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66C88" w14:textId="77777777" w:rsidR="006C37C9" w:rsidRPr="0071582F" w:rsidRDefault="006C37C9" w:rsidP="000214BA">
      <w:pPr>
        <w:rPr>
          <w:rFonts w:eastAsia="Calibri" w:cs="Calibri"/>
          <w:b/>
          <w:sz w:val="20"/>
          <w:szCs w:val="20"/>
        </w:rPr>
      </w:pPr>
    </w:p>
    <w:p w14:paraId="0BF403BE" w14:textId="77777777" w:rsidR="00B8717A" w:rsidRDefault="00B8717A" w:rsidP="006C37C9">
      <w:pPr>
        <w:jc w:val="center"/>
        <w:rPr>
          <w:rFonts w:eastAsia="Calibri" w:cs="Calibri"/>
          <w:b/>
          <w:sz w:val="20"/>
          <w:szCs w:val="20"/>
        </w:rPr>
      </w:pPr>
    </w:p>
    <w:p w14:paraId="7CA0D6BB" w14:textId="77777777" w:rsidR="00B8717A" w:rsidRDefault="00B8717A" w:rsidP="006C37C9">
      <w:pPr>
        <w:jc w:val="center"/>
        <w:rPr>
          <w:rFonts w:eastAsia="Calibri" w:cs="Calibri"/>
          <w:b/>
          <w:sz w:val="20"/>
          <w:szCs w:val="20"/>
        </w:rPr>
      </w:pPr>
    </w:p>
    <w:p w14:paraId="3B784DD4" w14:textId="77777777" w:rsidR="005C1A24" w:rsidRDefault="005C1A24" w:rsidP="006C37C9">
      <w:pPr>
        <w:jc w:val="center"/>
        <w:rPr>
          <w:rFonts w:eastAsia="Calibri" w:cs="Calibri"/>
          <w:b/>
          <w:sz w:val="20"/>
          <w:szCs w:val="20"/>
        </w:rPr>
      </w:pPr>
    </w:p>
    <w:p w14:paraId="19EA2B36" w14:textId="77777777" w:rsidR="005C1A24" w:rsidRDefault="005C1A24" w:rsidP="006C37C9">
      <w:pPr>
        <w:jc w:val="center"/>
        <w:rPr>
          <w:rFonts w:eastAsia="Calibri" w:cs="Calibri"/>
          <w:b/>
          <w:sz w:val="20"/>
          <w:szCs w:val="20"/>
        </w:rPr>
      </w:pPr>
    </w:p>
    <w:p w14:paraId="114E90BD" w14:textId="77777777" w:rsidR="005C1A24" w:rsidRDefault="005C1A24" w:rsidP="006C37C9">
      <w:pPr>
        <w:jc w:val="center"/>
        <w:rPr>
          <w:rFonts w:eastAsia="Calibri" w:cs="Calibri"/>
          <w:b/>
          <w:sz w:val="20"/>
          <w:szCs w:val="20"/>
        </w:rPr>
      </w:pPr>
    </w:p>
    <w:p w14:paraId="0E136A85" w14:textId="77777777" w:rsidR="005C1A24" w:rsidRDefault="005C1A24" w:rsidP="006C37C9">
      <w:pPr>
        <w:jc w:val="center"/>
        <w:rPr>
          <w:rFonts w:eastAsia="Calibri" w:cs="Calibri"/>
          <w:b/>
          <w:sz w:val="20"/>
          <w:szCs w:val="20"/>
        </w:rPr>
      </w:pPr>
    </w:p>
    <w:p w14:paraId="0B417FE1" w14:textId="77777777" w:rsidR="00B8717A" w:rsidRDefault="00B8717A" w:rsidP="00B1523A">
      <w:pPr>
        <w:rPr>
          <w:rFonts w:eastAsia="Calibri" w:cs="Calibri"/>
          <w:b/>
          <w:sz w:val="20"/>
          <w:szCs w:val="20"/>
        </w:rPr>
      </w:pPr>
    </w:p>
    <w:p w14:paraId="37BE918C" w14:textId="77777777" w:rsidR="006C37C9" w:rsidRPr="0071582F" w:rsidRDefault="006C37C9" w:rsidP="006C37C9">
      <w:pPr>
        <w:jc w:val="center"/>
        <w:rPr>
          <w:rFonts w:eastAsia="Calibri" w:cs="Calibri"/>
          <w:b/>
          <w:sz w:val="20"/>
          <w:szCs w:val="20"/>
        </w:rPr>
      </w:pPr>
      <w:r w:rsidRPr="0071582F">
        <w:rPr>
          <w:rFonts w:eastAsia="Calibri" w:cs="Calibri"/>
          <w:b/>
          <w:sz w:val="20"/>
          <w:szCs w:val="20"/>
        </w:rPr>
        <w:t>CORTE INTERAMERICANA DE DERECHOS HUMANOS</w:t>
      </w:r>
      <w:r w:rsidR="000012D8" w:rsidRPr="007A72BF">
        <w:rPr>
          <w:rStyle w:val="FootnoteReference"/>
          <w:rFonts w:eastAsia="MS Mincho"/>
        </w:rPr>
        <w:footnoteReference w:customMarkFollows="1" w:id="2"/>
        <w:t>*</w:t>
      </w:r>
    </w:p>
    <w:p w14:paraId="24E2702B" w14:textId="77777777" w:rsidR="006C37C9" w:rsidRPr="0071582F" w:rsidRDefault="006C37C9" w:rsidP="006C37C9">
      <w:pPr>
        <w:tabs>
          <w:tab w:val="left" w:pos="720"/>
        </w:tabs>
        <w:jc w:val="center"/>
        <w:rPr>
          <w:rFonts w:eastAsia="Calibri" w:cs="Verdana"/>
          <w:b/>
          <w:bCs/>
          <w:caps/>
          <w:snapToGrid w:val="0"/>
          <w:sz w:val="20"/>
          <w:szCs w:val="20"/>
          <w:lang w:eastAsia="es-ES"/>
        </w:rPr>
      </w:pPr>
    </w:p>
    <w:p w14:paraId="1DF5DFF7" w14:textId="77777777" w:rsidR="006C37C9" w:rsidRPr="0071582F" w:rsidRDefault="006C37C9" w:rsidP="006C37C9">
      <w:pPr>
        <w:jc w:val="center"/>
        <w:rPr>
          <w:rFonts w:eastAsia="Calibri" w:cs="Calibri"/>
          <w:b/>
          <w:sz w:val="20"/>
          <w:szCs w:val="20"/>
        </w:rPr>
      </w:pPr>
      <w:r w:rsidRPr="0071582F">
        <w:rPr>
          <w:rFonts w:eastAsia="Calibri" w:cs="Calibri"/>
          <w:b/>
          <w:sz w:val="20"/>
          <w:szCs w:val="20"/>
        </w:rPr>
        <w:t xml:space="preserve">CASO </w:t>
      </w:r>
      <w:r w:rsidR="00E80907">
        <w:rPr>
          <w:rFonts w:eastAsia="Calibri" w:cs="Calibri"/>
          <w:b/>
          <w:sz w:val="20"/>
          <w:szCs w:val="20"/>
        </w:rPr>
        <w:t>POBLETE VILCHES Y OTROS</w:t>
      </w:r>
      <w:r w:rsidRPr="0071582F">
        <w:rPr>
          <w:rFonts w:eastAsia="Calibri" w:cs="Calibri"/>
          <w:b/>
          <w:sz w:val="20"/>
          <w:szCs w:val="20"/>
        </w:rPr>
        <w:t xml:space="preserve"> </w:t>
      </w:r>
      <w:r w:rsidRPr="0071582F">
        <w:rPr>
          <w:rFonts w:eastAsia="Calibri" w:cs="Calibri"/>
          <w:b/>
          <w:i/>
          <w:sz w:val="20"/>
          <w:szCs w:val="20"/>
        </w:rPr>
        <w:t>VS</w:t>
      </w:r>
      <w:r w:rsidRPr="0071582F">
        <w:rPr>
          <w:rFonts w:eastAsia="Calibri" w:cs="Calibri"/>
          <w:b/>
          <w:sz w:val="20"/>
          <w:szCs w:val="20"/>
        </w:rPr>
        <w:t xml:space="preserve">. </w:t>
      </w:r>
      <w:r w:rsidR="00E80907">
        <w:rPr>
          <w:rFonts w:eastAsia="Calibri" w:cs="Calibri"/>
          <w:b/>
          <w:sz w:val="20"/>
          <w:szCs w:val="20"/>
        </w:rPr>
        <w:t>CHILE</w:t>
      </w:r>
    </w:p>
    <w:p w14:paraId="7C9DBF00" w14:textId="77777777" w:rsidR="006C37C9" w:rsidRPr="0071582F" w:rsidRDefault="006C37C9" w:rsidP="006C37C9">
      <w:pPr>
        <w:tabs>
          <w:tab w:val="left" w:pos="720"/>
        </w:tabs>
        <w:jc w:val="center"/>
        <w:rPr>
          <w:rFonts w:eastAsia="Calibri" w:cs="Verdana"/>
          <w:b/>
          <w:bCs/>
          <w:caps/>
          <w:snapToGrid w:val="0"/>
          <w:sz w:val="20"/>
          <w:szCs w:val="20"/>
          <w:lang w:eastAsia="es-ES"/>
        </w:rPr>
      </w:pPr>
    </w:p>
    <w:p w14:paraId="4AB54CA6" w14:textId="3E4BF1C3" w:rsidR="006C37C9" w:rsidRPr="0071582F" w:rsidRDefault="006C37C9" w:rsidP="006C37C9">
      <w:pPr>
        <w:tabs>
          <w:tab w:val="left" w:pos="720"/>
        </w:tabs>
        <w:jc w:val="center"/>
        <w:rPr>
          <w:rFonts w:eastAsia="Calibri" w:cs="Verdana"/>
          <w:b/>
          <w:bCs/>
          <w:snapToGrid w:val="0"/>
          <w:sz w:val="20"/>
          <w:szCs w:val="20"/>
          <w:lang w:eastAsia="es-ES"/>
        </w:rPr>
      </w:pPr>
      <w:r w:rsidRPr="0071582F">
        <w:rPr>
          <w:rFonts w:eastAsia="Calibri" w:cs="Verdana"/>
          <w:b/>
          <w:bCs/>
          <w:snapToGrid w:val="0"/>
          <w:sz w:val="20"/>
          <w:szCs w:val="20"/>
          <w:lang w:eastAsia="es-ES"/>
        </w:rPr>
        <w:t>SENTENCIA DE</w:t>
      </w:r>
      <w:r w:rsidRPr="00AE766F">
        <w:rPr>
          <w:rFonts w:eastAsia="Calibri" w:cs="Verdana"/>
          <w:b/>
          <w:bCs/>
          <w:snapToGrid w:val="0"/>
          <w:sz w:val="20"/>
          <w:szCs w:val="20"/>
          <w:lang w:eastAsia="es-ES"/>
        </w:rPr>
        <w:t xml:space="preserve"> </w:t>
      </w:r>
      <w:r w:rsidR="00AE766F" w:rsidRPr="007E5CD5">
        <w:rPr>
          <w:rFonts w:eastAsia="Calibri" w:cs="Verdana"/>
          <w:b/>
          <w:bCs/>
          <w:snapToGrid w:val="0"/>
          <w:sz w:val="20"/>
          <w:szCs w:val="20"/>
          <w:lang w:eastAsia="es-ES"/>
        </w:rPr>
        <w:t>8</w:t>
      </w:r>
      <w:r w:rsidR="00AE766F" w:rsidRPr="00AE766F">
        <w:rPr>
          <w:rFonts w:eastAsia="Calibri" w:cs="Verdana"/>
          <w:b/>
          <w:bCs/>
          <w:snapToGrid w:val="0"/>
          <w:sz w:val="20"/>
          <w:szCs w:val="20"/>
          <w:lang w:eastAsia="es-ES"/>
        </w:rPr>
        <w:t xml:space="preserve"> </w:t>
      </w:r>
      <w:r w:rsidR="007020DF">
        <w:rPr>
          <w:rFonts w:eastAsia="Calibri" w:cs="Verdana"/>
          <w:b/>
          <w:bCs/>
          <w:snapToGrid w:val="0"/>
          <w:sz w:val="20"/>
          <w:szCs w:val="20"/>
          <w:lang w:eastAsia="es-ES"/>
        </w:rPr>
        <w:t>MARZO DE 2018</w:t>
      </w:r>
    </w:p>
    <w:p w14:paraId="284A5A7E" w14:textId="77777777" w:rsidR="006C37C9" w:rsidRPr="0071582F" w:rsidRDefault="006C37C9" w:rsidP="006C37C9">
      <w:pPr>
        <w:tabs>
          <w:tab w:val="left" w:pos="720"/>
        </w:tabs>
        <w:jc w:val="center"/>
        <w:rPr>
          <w:rFonts w:eastAsia="Calibri" w:cs="Verdana"/>
          <w:b/>
          <w:bCs/>
          <w:caps/>
          <w:snapToGrid w:val="0"/>
          <w:sz w:val="20"/>
          <w:szCs w:val="20"/>
          <w:lang w:eastAsia="es-ES"/>
        </w:rPr>
      </w:pPr>
    </w:p>
    <w:p w14:paraId="477E539D" w14:textId="77777777" w:rsidR="006C37C9" w:rsidRPr="0071582F" w:rsidRDefault="006C37C9" w:rsidP="006C37C9">
      <w:pPr>
        <w:tabs>
          <w:tab w:val="left" w:pos="720"/>
        </w:tabs>
        <w:jc w:val="center"/>
        <w:rPr>
          <w:rFonts w:eastAsia="Calibri" w:cs="Verdana"/>
          <w:b/>
          <w:bCs/>
          <w:caps/>
          <w:snapToGrid w:val="0"/>
          <w:sz w:val="20"/>
          <w:szCs w:val="20"/>
          <w:lang w:eastAsia="es-ES"/>
        </w:rPr>
      </w:pPr>
      <w:r w:rsidRPr="0071582F">
        <w:rPr>
          <w:rFonts w:eastAsia="Calibri" w:cs="Verdana"/>
          <w:b/>
          <w:bCs/>
          <w:i/>
          <w:iCs/>
          <w:snapToGrid w:val="0"/>
          <w:sz w:val="20"/>
          <w:szCs w:val="20"/>
          <w:lang w:eastAsia="es-ES"/>
        </w:rPr>
        <w:t>(Fondo, Reparaciones y Costas)</w:t>
      </w:r>
    </w:p>
    <w:p w14:paraId="545A7E95" w14:textId="77777777" w:rsidR="006C37C9" w:rsidRPr="0071582F" w:rsidRDefault="006C37C9" w:rsidP="006C37C9">
      <w:pPr>
        <w:spacing w:before="4" w:line="280" w:lineRule="exact"/>
        <w:rPr>
          <w:rFonts w:ascii="Calibri" w:eastAsia="Calibri" w:hAnsi="Calibri"/>
          <w:sz w:val="28"/>
          <w:szCs w:val="28"/>
        </w:rPr>
      </w:pPr>
    </w:p>
    <w:p w14:paraId="2EB6FE16" w14:textId="77777777" w:rsidR="006C37C9" w:rsidRPr="0071582F" w:rsidRDefault="006C37C9" w:rsidP="006C37C9">
      <w:pPr>
        <w:spacing w:before="4" w:line="280" w:lineRule="exact"/>
        <w:rPr>
          <w:rFonts w:ascii="Calibri" w:eastAsia="Calibri" w:hAnsi="Calibri"/>
          <w:sz w:val="28"/>
          <w:szCs w:val="28"/>
        </w:rPr>
      </w:pPr>
    </w:p>
    <w:p w14:paraId="3D3E514F" w14:textId="77777777" w:rsidR="006C37C9" w:rsidRPr="0071582F" w:rsidRDefault="006C37C9" w:rsidP="006C37C9">
      <w:pPr>
        <w:spacing w:before="4" w:line="280" w:lineRule="exact"/>
        <w:rPr>
          <w:rFonts w:ascii="Calibri" w:eastAsia="Calibri" w:hAnsi="Calibri"/>
          <w:sz w:val="28"/>
          <w:szCs w:val="28"/>
        </w:rPr>
      </w:pPr>
    </w:p>
    <w:p w14:paraId="1AC209D6" w14:textId="77777777" w:rsidR="006C37C9" w:rsidRPr="0071582F" w:rsidRDefault="006C37C9" w:rsidP="006C37C9">
      <w:pPr>
        <w:spacing w:before="4" w:line="280" w:lineRule="exact"/>
        <w:rPr>
          <w:rFonts w:ascii="Calibri" w:eastAsia="Calibri" w:hAnsi="Calibri"/>
          <w:sz w:val="28"/>
          <w:szCs w:val="28"/>
        </w:rPr>
      </w:pPr>
    </w:p>
    <w:p w14:paraId="21000AD2" w14:textId="77777777" w:rsidR="006C37C9" w:rsidRPr="0071582F" w:rsidRDefault="006C37C9" w:rsidP="006C37C9">
      <w:pPr>
        <w:tabs>
          <w:tab w:val="left" w:pos="720"/>
        </w:tabs>
        <w:rPr>
          <w:rFonts w:eastAsia="Verdana" w:cs="Verdana"/>
          <w:sz w:val="20"/>
          <w:szCs w:val="20"/>
        </w:rPr>
      </w:pPr>
      <w:r w:rsidRPr="0071582F">
        <w:rPr>
          <w:rFonts w:eastAsia="Verdana" w:cs="Verdana"/>
          <w:sz w:val="20"/>
          <w:szCs w:val="20"/>
        </w:rPr>
        <w:t xml:space="preserve">En el caso </w:t>
      </w:r>
      <w:r w:rsidR="000012D8">
        <w:rPr>
          <w:rFonts w:eastAsia="Verdana" w:cs="Verdana"/>
          <w:i/>
          <w:sz w:val="20"/>
          <w:szCs w:val="20"/>
        </w:rPr>
        <w:t>Poblete Vilches y otros</w:t>
      </w:r>
      <w:r w:rsidRPr="0071582F">
        <w:rPr>
          <w:rFonts w:eastAsia="Verdana" w:cs="Verdana"/>
          <w:sz w:val="20"/>
          <w:szCs w:val="20"/>
        </w:rPr>
        <w:t>,</w:t>
      </w:r>
    </w:p>
    <w:p w14:paraId="19ABD6FC" w14:textId="77777777" w:rsidR="006C37C9" w:rsidRPr="0071582F" w:rsidRDefault="006C37C9" w:rsidP="006C37C9">
      <w:pPr>
        <w:spacing w:before="4" w:line="240" w:lineRule="exact"/>
        <w:rPr>
          <w:rFonts w:ascii="Calibri" w:eastAsia="Calibri" w:hAnsi="Calibri"/>
        </w:rPr>
      </w:pPr>
    </w:p>
    <w:p w14:paraId="706339F7" w14:textId="77777777" w:rsidR="006C37C9" w:rsidRPr="0071582F" w:rsidRDefault="006C37C9" w:rsidP="006C37C9">
      <w:pPr>
        <w:tabs>
          <w:tab w:val="left" w:pos="720"/>
        </w:tabs>
        <w:rPr>
          <w:rFonts w:eastAsia="Calibri" w:cs="Verdana"/>
          <w:sz w:val="20"/>
          <w:szCs w:val="20"/>
        </w:rPr>
      </w:pPr>
      <w:proofErr w:type="gramStart"/>
      <w:r w:rsidRPr="0071582F">
        <w:rPr>
          <w:rFonts w:eastAsia="Calibri" w:cs="Verdana"/>
          <w:sz w:val="20"/>
          <w:szCs w:val="20"/>
        </w:rPr>
        <w:t>la</w:t>
      </w:r>
      <w:proofErr w:type="gramEnd"/>
      <w:r w:rsidRPr="0071582F">
        <w:rPr>
          <w:rFonts w:eastAsia="Calibri" w:cs="Verdana"/>
          <w:sz w:val="20"/>
          <w:szCs w:val="20"/>
        </w:rPr>
        <w:t xml:space="preserve"> Corte Interamericana de Derechos Humanos (en adelante “la Corte Interamericana”, “la Corte” o “este Tribunal”), integrada por los siguientes jueces:</w:t>
      </w:r>
    </w:p>
    <w:p w14:paraId="29B3B051" w14:textId="77777777" w:rsidR="006C37C9" w:rsidRPr="0071582F" w:rsidRDefault="006C37C9" w:rsidP="006C37C9">
      <w:pPr>
        <w:tabs>
          <w:tab w:val="left" w:pos="720"/>
        </w:tabs>
        <w:rPr>
          <w:rFonts w:eastAsia="Calibri" w:cs="Verdana"/>
          <w:sz w:val="20"/>
          <w:szCs w:val="20"/>
        </w:rPr>
      </w:pPr>
    </w:p>
    <w:p w14:paraId="6D7FE95E" w14:textId="77777777" w:rsidR="006C37C9" w:rsidRPr="00B824B2" w:rsidRDefault="006C37C9" w:rsidP="006C37C9">
      <w:pPr>
        <w:tabs>
          <w:tab w:val="left" w:pos="720"/>
        </w:tabs>
        <w:rPr>
          <w:rFonts w:eastAsia="Calibri" w:cs="Verdana"/>
          <w:sz w:val="20"/>
          <w:szCs w:val="20"/>
          <w:lang w:val="pt-BR"/>
        </w:rPr>
      </w:pPr>
      <w:r w:rsidRPr="00B824B2">
        <w:rPr>
          <w:rFonts w:eastAsia="Calibri" w:cs="Verdana"/>
          <w:sz w:val="20"/>
          <w:szCs w:val="20"/>
          <w:lang w:val="pt-BR"/>
        </w:rPr>
        <w:t xml:space="preserve">Eduardo Ferrer Mac-Gregor Poisot, </w:t>
      </w:r>
      <w:r w:rsidR="007020DF">
        <w:rPr>
          <w:rFonts w:eastAsia="Calibri" w:cs="Verdana"/>
          <w:sz w:val="20"/>
          <w:szCs w:val="20"/>
          <w:lang w:val="pt-BR"/>
        </w:rPr>
        <w:t>P</w:t>
      </w:r>
      <w:r w:rsidRPr="00B824B2">
        <w:rPr>
          <w:rFonts w:eastAsia="Calibri" w:cs="Verdana"/>
          <w:sz w:val="20"/>
          <w:szCs w:val="20"/>
          <w:lang w:val="pt-BR"/>
        </w:rPr>
        <w:t>residente;</w:t>
      </w:r>
    </w:p>
    <w:p w14:paraId="34DF88F3" w14:textId="77777777" w:rsidR="006C37C9" w:rsidRPr="0071582F" w:rsidRDefault="006C37C9" w:rsidP="006C37C9">
      <w:pPr>
        <w:tabs>
          <w:tab w:val="left" w:pos="720"/>
        </w:tabs>
        <w:rPr>
          <w:rFonts w:eastAsia="Calibri" w:cs="Verdana"/>
          <w:sz w:val="20"/>
          <w:szCs w:val="20"/>
        </w:rPr>
      </w:pPr>
      <w:r w:rsidRPr="0071582F">
        <w:rPr>
          <w:rFonts w:eastAsia="Calibri" w:cs="Verdana"/>
          <w:sz w:val="20"/>
          <w:szCs w:val="20"/>
        </w:rPr>
        <w:t>Humberto Antonio Sierra Porto, Juez;</w:t>
      </w:r>
    </w:p>
    <w:p w14:paraId="7E95B362" w14:textId="124723D5" w:rsidR="006C37C9" w:rsidRPr="0071582F" w:rsidRDefault="006C37C9" w:rsidP="007E5CD5">
      <w:pPr>
        <w:tabs>
          <w:tab w:val="left" w:pos="720"/>
          <w:tab w:val="left" w:pos="5760"/>
        </w:tabs>
        <w:rPr>
          <w:rFonts w:eastAsia="Calibri" w:cs="Verdana"/>
          <w:sz w:val="20"/>
          <w:szCs w:val="20"/>
        </w:rPr>
      </w:pPr>
      <w:r w:rsidRPr="0071582F">
        <w:rPr>
          <w:rFonts w:eastAsia="Calibri" w:cs="Verdana"/>
          <w:sz w:val="20"/>
          <w:szCs w:val="20"/>
        </w:rPr>
        <w:t>Elizabeth Odio Benito, Jueza;</w:t>
      </w:r>
      <w:r w:rsidR="007E5CD5">
        <w:rPr>
          <w:rFonts w:eastAsia="Calibri" w:cs="Verdana"/>
          <w:sz w:val="20"/>
          <w:szCs w:val="20"/>
        </w:rPr>
        <w:tab/>
      </w:r>
    </w:p>
    <w:p w14:paraId="500FA006" w14:textId="77777777" w:rsidR="006C37C9" w:rsidRPr="0071582F" w:rsidRDefault="006C37C9" w:rsidP="006C37C9">
      <w:pPr>
        <w:tabs>
          <w:tab w:val="left" w:pos="720"/>
        </w:tabs>
        <w:rPr>
          <w:rFonts w:eastAsia="Calibri" w:cs="Verdana"/>
          <w:sz w:val="20"/>
          <w:szCs w:val="20"/>
        </w:rPr>
      </w:pPr>
      <w:r w:rsidRPr="0071582F">
        <w:rPr>
          <w:rFonts w:eastAsia="Calibri" w:cs="Verdana"/>
          <w:sz w:val="20"/>
          <w:szCs w:val="20"/>
        </w:rPr>
        <w:t xml:space="preserve">Eugenio Raúl </w:t>
      </w:r>
      <w:proofErr w:type="spellStart"/>
      <w:r w:rsidRPr="0071582F">
        <w:rPr>
          <w:rFonts w:eastAsia="Calibri" w:cs="Verdana"/>
          <w:sz w:val="20"/>
          <w:szCs w:val="20"/>
        </w:rPr>
        <w:t>Zaffaroni</w:t>
      </w:r>
      <w:proofErr w:type="spellEnd"/>
      <w:r w:rsidRPr="0071582F">
        <w:rPr>
          <w:rFonts w:eastAsia="Calibri" w:cs="Verdana"/>
          <w:sz w:val="20"/>
          <w:szCs w:val="20"/>
        </w:rPr>
        <w:t>, Juez, y</w:t>
      </w:r>
    </w:p>
    <w:p w14:paraId="027AF5E7" w14:textId="77777777" w:rsidR="006C37C9" w:rsidRPr="0071582F" w:rsidRDefault="006C37C9" w:rsidP="006C37C9">
      <w:pPr>
        <w:tabs>
          <w:tab w:val="left" w:pos="720"/>
        </w:tabs>
        <w:rPr>
          <w:rFonts w:eastAsia="Calibri" w:cs="Verdana"/>
          <w:sz w:val="20"/>
          <w:szCs w:val="20"/>
        </w:rPr>
      </w:pPr>
      <w:r w:rsidRPr="0071582F">
        <w:rPr>
          <w:rFonts w:eastAsia="Calibri" w:cs="Verdana"/>
          <w:sz w:val="20"/>
          <w:szCs w:val="20"/>
        </w:rPr>
        <w:t>L. Patricio Pazmiño Freire, Juez;</w:t>
      </w:r>
    </w:p>
    <w:p w14:paraId="42384BBA" w14:textId="77777777" w:rsidR="006C37C9" w:rsidRPr="0071582F" w:rsidRDefault="006C37C9" w:rsidP="006C37C9">
      <w:pPr>
        <w:tabs>
          <w:tab w:val="left" w:pos="720"/>
        </w:tabs>
        <w:rPr>
          <w:rFonts w:eastAsia="Calibri" w:cs="Verdana"/>
          <w:sz w:val="20"/>
          <w:szCs w:val="20"/>
        </w:rPr>
      </w:pPr>
    </w:p>
    <w:p w14:paraId="04BDE9E1" w14:textId="77777777" w:rsidR="006C37C9" w:rsidRPr="0071582F" w:rsidRDefault="006C37C9" w:rsidP="006C37C9">
      <w:pPr>
        <w:tabs>
          <w:tab w:val="left" w:pos="720"/>
        </w:tabs>
        <w:rPr>
          <w:rFonts w:eastAsia="Calibri" w:cs="Verdana"/>
          <w:sz w:val="20"/>
          <w:szCs w:val="20"/>
        </w:rPr>
      </w:pPr>
      <w:proofErr w:type="gramStart"/>
      <w:r w:rsidRPr="0071582F">
        <w:rPr>
          <w:rFonts w:eastAsia="Calibri" w:cs="Verdana"/>
          <w:sz w:val="20"/>
          <w:szCs w:val="20"/>
        </w:rPr>
        <w:t>presente</w:t>
      </w:r>
      <w:proofErr w:type="gramEnd"/>
      <w:r w:rsidRPr="0071582F">
        <w:rPr>
          <w:rFonts w:eastAsia="Calibri" w:cs="Verdana"/>
          <w:sz w:val="20"/>
          <w:szCs w:val="20"/>
        </w:rPr>
        <w:t xml:space="preserve"> además</w:t>
      </w:r>
      <w:r w:rsidR="00746759" w:rsidRPr="007A72BF">
        <w:rPr>
          <w:rStyle w:val="FootnoteReference"/>
          <w:rFonts w:eastAsia="MS Mincho"/>
        </w:rPr>
        <w:footnoteReference w:customMarkFollows="1" w:id="3"/>
        <w:t>*</w:t>
      </w:r>
      <w:r w:rsidR="00746759" w:rsidRPr="007A72BF">
        <w:rPr>
          <w:rStyle w:val="FootnoteReference"/>
          <w:rFonts w:eastAsia="MS Mincho"/>
        </w:rPr>
        <w:footnoteReference w:customMarkFollows="1" w:id="4"/>
        <w:t>*</w:t>
      </w:r>
      <w:r w:rsidRPr="0071582F">
        <w:rPr>
          <w:rFonts w:eastAsia="Calibri" w:cs="Verdana"/>
          <w:sz w:val="20"/>
          <w:szCs w:val="20"/>
        </w:rPr>
        <w:t>,</w:t>
      </w:r>
    </w:p>
    <w:p w14:paraId="04C215EA" w14:textId="77777777" w:rsidR="006C37C9" w:rsidRPr="0071582F" w:rsidRDefault="006C37C9" w:rsidP="006C37C9">
      <w:pPr>
        <w:tabs>
          <w:tab w:val="left" w:pos="720"/>
        </w:tabs>
        <w:rPr>
          <w:rFonts w:eastAsia="Calibri" w:cs="Verdana"/>
          <w:sz w:val="20"/>
          <w:szCs w:val="20"/>
        </w:rPr>
      </w:pPr>
    </w:p>
    <w:p w14:paraId="24CF55D3" w14:textId="77777777" w:rsidR="006C37C9" w:rsidRPr="0071582F" w:rsidRDefault="006C37C9" w:rsidP="006C37C9">
      <w:pPr>
        <w:tabs>
          <w:tab w:val="left" w:pos="720"/>
        </w:tabs>
        <w:rPr>
          <w:rFonts w:eastAsia="Calibri" w:cs="Verdana"/>
          <w:sz w:val="20"/>
          <w:szCs w:val="20"/>
        </w:rPr>
      </w:pPr>
      <w:r w:rsidRPr="0071582F">
        <w:rPr>
          <w:rFonts w:eastAsia="Calibri" w:cs="Verdana"/>
          <w:sz w:val="20"/>
          <w:szCs w:val="20"/>
          <w:lang w:eastAsia="es-MX"/>
        </w:rPr>
        <w:t>Emilia Segares Rodríguez, Secretaria Adjunta,</w:t>
      </w:r>
    </w:p>
    <w:p w14:paraId="411C52C0" w14:textId="77777777" w:rsidR="006C37C9" w:rsidRPr="0071582F" w:rsidRDefault="006C37C9" w:rsidP="006C37C9">
      <w:pPr>
        <w:tabs>
          <w:tab w:val="left" w:pos="720"/>
        </w:tabs>
        <w:rPr>
          <w:rFonts w:eastAsia="Calibri" w:cs="Verdana"/>
          <w:sz w:val="20"/>
          <w:szCs w:val="20"/>
        </w:rPr>
      </w:pPr>
    </w:p>
    <w:p w14:paraId="769F5415" w14:textId="727F2950" w:rsidR="006C37C9" w:rsidRPr="0071582F" w:rsidRDefault="006C37C9" w:rsidP="006C37C9">
      <w:pPr>
        <w:tabs>
          <w:tab w:val="left" w:pos="720"/>
        </w:tabs>
        <w:rPr>
          <w:rFonts w:eastAsia="Calibri" w:cs="Verdana"/>
          <w:sz w:val="20"/>
          <w:szCs w:val="20"/>
        </w:rPr>
      </w:pPr>
      <w:proofErr w:type="gramStart"/>
      <w:r w:rsidRPr="0071582F">
        <w:rPr>
          <w:rFonts w:eastAsia="Calibri" w:cs="Verdana"/>
          <w:sz w:val="20"/>
          <w:szCs w:val="20"/>
        </w:rPr>
        <w:t>de</w:t>
      </w:r>
      <w:proofErr w:type="gramEnd"/>
      <w:r w:rsidRPr="0071582F">
        <w:rPr>
          <w:rFonts w:eastAsia="Calibri" w:cs="Verdana"/>
          <w:sz w:val="20"/>
          <w:szCs w:val="20"/>
        </w:rPr>
        <w:t xml:space="preserve"> conformidad con los artículos 62.3 y 63.1 de la Convención Americana </w:t>
      </w:r>
      <w:r w:rsidR="00A4129C">
        <w:rPr>
          <w:rFonts w:eastAsia="Calibri" w:cs="Verdana"/>
          <w:sz w:val="20"/>
          <w:szCs w:val="20"/>
        </w:rPr>
        <w:t>sobre</w:t>
      </w:r>
      <w:r w:rsidRPr="0071582F">
        <w:rPr>
          <w:rFonts w:eastAsia="Calibri" w:cs="Verdana"/>
          <w:sz w:val="20"/>
          <w:szCs w:val="20"/>
        </w:rPr>
        <w:t xml:space="preserve"> Derechos Humanos (en adelante “la Convención Americana” o “la Convención</w:t>
      </w:r>
      <w:r w:rsidR="000012D8">
        <w:rPr>
          <w:rFonts w:eastAsia="Calibri" w:cs="Verdana"/>
          <w:sz w:val="20"/>
          <w:szCs w:val="20"/>
        </w:rPr>
        <w:t xml:space="preserve">”) y con los artículos 31, 32, </w:t>
      </w:r>
      <w:r w:rsidR="00221693">
        <w:rPr>
          <w:rFonts w:eastAsia="Calibri" w:cs="Verdana"/>
          <w:sz w:val="20"/>
          <w:szCs w:val="20"/>
        </w:rPr>
        <w:t xml:space="preserve">62, </w:t>
      </w:r>
      <w:r w:rsidRPr="0071582F">
        <w:rPr>
          <w:rFonts w:eastAsia="Calibri" w:cs="Verdana"/>
          <w:sz w:val="20"/>
          <w:szCs w:val="20"/>
        </w:rPr>
        <w:t xml:space="preserve">65 y 67 del Reglamento de la Corte </w:t>
      </w:r>
      <w:r w:rsidR="00780558">
        <w:rPr>
          <w:rFonts w:eastAsia="Calibri" w:cs="Verdana"/>
          <w:sz w:val="20"/>
          <w:szCs w:val="20"/>
        </w:rPr>
        <w:t xml:space="preserve">Interamericana </w:t>
      </w:r>
      <w:r w:rsidRPr="0071582F">
        <w:rPr>
          <w:rFonts w:eastAsia="Calibri" w:cs="Verdana"/>
          <w:sz w:val="20"/>
          <w:szCs w:val="20"/>
        </w:rPr>
        <w:t>(en adelante “el Reglamento” o “Reglamento de la Corte”), dicta la presente Sentencia, que se estructura en el siguiente orden:</w:t>
      </w:r>
    </w:p>
    <w:p w14:paraId="59699CA5" w14:textId="77777777" w:rsidR="006C37C9" w:rsidRPr="0071582F" w:rsidRDefault="006C37C9" w:rsidP="006C37C9">
      <w:pPr>
        <w:spacing w:before="1" w:line="235" w:lineRule="exact"/>
        <w:ind w:left="100" w:right="-1085"/>
        <w:rPr>
          <w:rFonts w:eastAsia="Verdana" w:cs="Verdana"/>
          <w:position w:val="-1"/>
          <w:sz w:val="20"/>
          <w:szCs w:val="20"/>
        </w:rPr>
      </w:pPr>
    </w:p>
    <w:p w14:paraId="43AB38E3" w14:textId="77777777" w:rsidR="006C37C9" w:rsidRPr="0071582F" w:rsidRDefault="006C37C9" w:rsidP="006C37C9">
      <w:pPr>
        <w:spacing w:before="1" w:line="235" w:lineRule="exact"/>
        <w:ind w:left="100" w:right="-20"/>
        <w:rPr>
          <w:rFonts w:eastAsia="Verdana" w:cs="Verdana"/>
          <w:position w:val="-1"/>
          <w:sz w:val="20"/>
          <w:szCs w:val="20"/>
        </w:rPr>
      </w:pPr>
    </w:p>
    <w:p w14:paraId="424A3AF7" w14:textId="0E573203" w:rsidR="009F7F67" w:rsidRDefault="006C37C9" w:rsidP="00BE6F31">
      <w:pPr>
        <w:rPr>
          <w:rFonts w:eastAsia="Verdana" w:cs="Verdana"/>
          <w:position w:val="-1"/>
          <w:sz w:val="20"/>
          <w:szCs w:val="20"/>
        </w:rPr>
      </w:pPr>
      <w:r w:rsidRPr="0071582F">
        <w:rPr>
          <w:rFonts w:eastAsia="Verdana" w:cs="Verdana"/>
          <w:position w:val="-1"/>
          <w:sz w:val="20"/>
          <w:szCs w:val="20"/>
        </w:rPr>
        <w:br w:type="page"/>
      </w:r>
    </w:p>
    <w:sdt>
      <w:sdtPr>
        <w:rPr>
          <w:rFonts w:ascii="Verdana" w:eastAsia="Times New Roman" w:hAnsi="Verdana" w:cs="Times New Roman"/>
          <w:b w:val="0"/>
          <w:bCs w:val="0"/>
          <w:color w:val="auto"/>
          <w:sz w:val="20"/>
          <w:szCs w:val="20"/>
          <w:lang w:val="es-CR" w:eastAsia="es-CR"/>
        </w:rPr>
        <w:id w:val="-1331666852"/>
        <w:docPartObj>
          <w:docPartGallery w:val="Table of Contents"/>
          <w:docPartUnique/>
        </w:docPartObj>
      </w:sdtPr>
      <w:sdtEndPr>
        <w:rPr>
          <w:noProof/>
        </w:rPr>
      </w:sdtEndPr>
      <w:sdtContent>
        <w:p w14:paraId="34C4E7DA" w14:textId="77777777" w:rsidR="009F7F67" w:rsidRPr="009F4015" w:rsidRDefault="009F7F67" w:rsidP="00760A6C">
          <w:pPr>
            <w:pStyle w:val="TOCHeading"/>
            <w:spacing w:before="0" w:line="240" w:lineRule="auto"/>
            <w:jc w:val="center"/>
            <w:rPr>
              <w:rFonts w:ascii="Verdana" w:hAnsi="Verdana"/>
              <w:color w:val="auto"/>
              <w:sz w:val="20"/>
              <w:szCs w:val="20"/>
            </w:rPr>
          </w:pPr>
          <w:r w:rsidRPr="008D6B5C">
            <w:rPr>
              <w:rFonts w:ascii="Verdana" w:hAnsi="Verdana"/>
              <w:color w:val="auto"/>
              <w:sz w:val="20"/>
              <w:szCs w:val="20"/>
            </w:rPr>
            <w:t>TABLA DE CONTENIDOS</w:t>
          </w:r>
        </w:p>
        <w:p w14:paraId="30478E62" w14:textId="77777777" w:rsidR="00760A6C" w:rsidRPr="009F4015" w:rsidRDefault="00760A6C" w:rsidP="002A64C9">
          <w:pPr>
            <w:rPr>
              <w:sz w:val="20"/>
              <w:szCs w:val="20"/>
            </w:rPr>
          </w:pPr>
        </w:p>
        <w:p w14:paraId="29DF301B" w14:textId="77777777" w:rsidR="009F4015" w:rsidRPr="008D6B5C" w:rsidRDefault="009F7F67" w:rsidP="00C004B1">
          <w:pPr>
            <w:pStyle w:val="TOC1"/>
            <w:rPr>
              <w:rFonts w:ascii="Verdana" w:eastAsiaTheme="minorEastAsia" w:hAnsi="Verdana" w:cstheme="minorBidi"/>
              <w:noProof/>
            </w:rPr>
          </w:pPr>
          <w:r w:rsidRPr="009F4015">
            <w:rPr>
              <w:smallCaps/>
            </w:rPr>
            <w:fldChar w:fldCharType="begin"/>
          </w:r>
          <w:r w:rsidRPr="009F4015">
            <w:rPr>
              <w:smallCaps/>
            </w:rPr>
            <w:instrText xml:space="preserve"> TOC \h \z \t "Heading 1,2,Heading 2,3,Heading 3,4,Heading 4,5,Title,1,Body 1,1" </w:instrText>
          </w:r>
          <w:r w:rsidRPr="009F4015">
            <w:rPr>
              <w:smallCaps/>
            </w:rPr>
            <w:fldChar w:fldCharType="separate"/>
          </w:r>
          <w:hyperlink w:anchor="_Toc513644440" w:history="1">
            <w:r w:rsidR="009F4015" w:rsidRPr="008D6B5C">
              <w:rPr>
                <w:rStyle w:val="Hyperlink"/>
                <w:rFonts w:ascii="Verdana" w:hAnsi="Verdana"/>
                <w:noProof/>
              </w:rPr>
              <w:t>I INTRODUCCIÓN DE LA CAUSA Y OBJETO DE LA CONTROVERSIA</w:t>
            </w:r>
            <w:r w:rsidR="009F4015" w:rsidRPr="008D6B5C">
              <w:rPr>
                <w:rFonts w:ascii="Verdana" w:hAnsi="Verdana"/>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_Toc513644440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4</w:t>
            </w:r>
            <w:r w:rsidR="009F4015" w:rsidRPr="008D6B5C">
              <w:rPr>
                <w:rFonts w:ascii="Verdana" w:hAnsi="Verdana"/>
                <w:b w:val="0"/>
                <w:noProof/>
                <w:webHidden/>
              </w:rPr>
              <w:fldChar w:fldCharType="end"/>
            </w:r>
          </w:hyperlink>
        </w:p>
        <w:p w14:paraId="72455066" w14:textId="77777777" w:rsidR="009F4015" w:rsidRPr="008D6B5C" w:rsidRDefault="00BE7922" w:rsidP="00C004B1">
          <w:pPr>
            <w:pStyle w:val="TOC1"/>
            <w:rPr>
              <w:rFonts w:ascii="Verdana" w:eastAsiaTheme="minorEastAsia" w:hAnsi="Verdana" w:cstheme="minorBidi"/>
              <w:noProof/>
            </w:rPr>
          </w:pPr>
          <w:hyperlink w:anchor="_Toc513644441" w:history="1">
            <w:r w:rsidR="009F4015" w:rsidRPr="008D6B5C">
              <w:rPr>
                <w:rStyle w:val="Hyperlink"/>
                <w:rFonts w:ascii="Verdana" w:hAnsi="Verdana"/>
                <w:noProof/>
              </w:rPr>
              <w:t>II PROCEDIMIENTO ANTE LA CORTE</w:t>
            </w:r>
            <w:r w:rsidR="009F4015" w:rsidRPr="008D6B5C">
              <w:rPr>
                <w:rFonts w:ascii="Verdana" w:hAnsi="Verdana"/>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_Toc513644441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6</w:t>
            </w:r>
            <w:r w:rsidR="009F4015" w:rsidRPr="008D6B5C">
              <w:rPr>
                <w:rFonts w:ascii="Verdana" w:hAnsi="Verdana"/>
                <w:b w:val="0"/>
                <w:noProof/>
                <w:webHidden/>
              </w:rPr>
              <w:fldChar w:fldCharType="end"/>
            </w:r>
          </w:hyperlink>
        </w:p>
        <w:p w14:paraId="682A5C07" w14:textId="77777777" w:rsidR="009F4015" w:rsidRPr="008D6B5C" w:rsidRDefault="00BE7922" w:rsidP="00C004B1">
          <w:pPr>
            <w:pStyle w:val="TOC1"/>
            <w:rPr>
              <w:rFonts w:ascii="Verdana" w:eastAsiaTheme="minorEastAsia" w:hAnsi="Verdana" w:cstheme="minorBidi"/>
              <w:noProof/>
            </w:rPr>
          </w:pPr>
          <w:hyperlink w:anchor="_Toc513644442" w:history="1">
            <w:r w:rsidR="009F4015" w:rsidRPr="008D6B5C">
              <w:rPr>
                <w:rStyle w:val="Hyperlink"/>
                <w:rFonts w:ascii="Verdana" w:hAnsi="Verdana"/>
                <w:noProof/>
              </w:rPr>
              <w:t>III COMPETENCIA</w:t>
            </w:r>
            <w:r w:rsidR="009F4015" w:rsidRPr="008D6B5C">
              <w:rPr>
                <w:rFonts w:ascii="Verdana" w:hAnsi="Verdana"/>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_Toc513644442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7</w:t>
            </w:r>
            <w:r w:rsidR="009F4015" w:rsidRPr="008D6B5C">
              <w:rPr>
                <w:rFonts w:ascii="Verdana" w:hAnsi="Verdana"/>
                <w:b w:val="0"/>
                <w:noProof/>
                <w:webHidden/>
              </w:rPr>
              <w:fldChar w:fldCharType="end"/>
            </w:r>
          </w:hyperlink>
        </w:p>
        <w:p w14:paraId="3C1965DD" w14:textId="77777777" w:rsidR="009F4015" w:rsidRPr="009F4015" w:rsidRDefault="00BE7922" w:rsidP="00C004B1">
          <w:pPr>
            <w:pStyle w:val="TOC1"/>
            <w:rPr>
              <w:rFonts w:eastAsiaTheme="minorEastAsia" w:cstheme="minorBidi"/>
              <w:noProof/>
            </w:rPr>
          </w:pPr>
          <w:hyperlink w:anchor="_Toc513644443" w:history="1">
            <w:r w:rsidR="009F4015" w:rsidRPr="009F4015">
              <w:rPr>
                <w:rStyle w:val="Hyperlink"/>
                <w:rFonts w:ascii="Verdana" w:hAnsi="Verdana"/>
                <w:noProof/>
              </w:rPr>
              <w:t>IV RECONOCIMIENTO PARCIAL DE RESPONSABILIDAD INTERNACIONAL DEL ESTADO</w:t>
            </w:r>
            <w:r w:rsidR="009F4015" w:rsidRPr="009F4015">
              <w:rPr>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_Toc513644443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7</w:t>
            </w:r>
            <w:r w:rsidR="009F4015" w:rsidRPr="008D6B5C">
              <w:rPr>
                <w:rFonts w:ascii="Verdana" w:hAnsi="Verdana"/>
                <w:b w:val="0"/>
                <w:noProof/>
                <w:webHidden/>
              </w:rPr>
              <w:fldChar w:fldCharType="end"/>
            </w:r>
          </w:hyperlink>
        </w:p>
        <w:p w14:paraId="3565A9A6" w14:textId="77777777" w:rsidR="009F4015" w:rsidRPr="009F4015" w:rsidRDefault="00BE7922" w:rsidP="009F4015">
          <w:pPr>
            <w:pStyle w:val="TOC3"/>
            <w:rPr>
              <w:rFonts w:eastAsiaTheme="minorEastAsia" w:cstheme="minorBidi"/>
              <w:iCs w:val="0"/>
            </w:rPr>
          </w:pPr>
          <w:hyperlink w:anchor="_Toc513644444" w:history="1">
            <w:r w:rsidR="009F4015" w:rsidRPr="009F4015">
              <w:rPr>
                <w:rStyle w:val="Hyperlink"/>
              </w:rPr>
              <w:t>A.</w:t>
            </w:r>
            <w:r w:rsidR="009F4015" w:rsidRPr="009F4015">
              <w:rPr>
                <w:rFonts w:eastAsiaTheme="minorEastAsia" w:cstheme="minorBidi"/>
                <w:iCs w:val="0"/>
              </w:rPr>
              <w:tab/>
            </w:r>
            <w:r w:rsidR="009F4015" w:rsidRPr="009F4015">
              <w:rPr>
                <w:rStyle w:val="Hyperlink"/>
              </w:rPr>
              <w:t>Posiciones respecto del Reconocimiento Parcial de responsabilidad del Estado</w:t>
            </w:r>
            <w:r w:rsidR="009F4015" w:rsidRPr="009F4015">
              <w:rPr>
                <w:webHidden/>
              </w:rPr>
              <w:tab/>
            </w:r>
            <w:r w:rsidR="009F4015" w:rsidRPr="009F4015">
              <w:rPr>
                <w:webHidden/>
              </w:rPr>
              <w:fldChar w:fldCharType="begin"/>
            </w:r>
            <w:r w:rsidR="009F4015" w:rsidRPr="009F4015">
              <w:rPr>
                <w:webHidden/>
              </w:rPr>
              <w:instrText xml:space="preserve"> PAGEREF _Toc513644444 \h </w:instrText>
            </w:r>
            <w:r w:rsidR="009F4015" w:rsidRPr="009F4015">
              <w:rPr>
                <w:webHidden/>
              </w:rPr>
            </w:r>
            <w:r w:rsidR="009F4015" w:rsidRPr="009F4015">
              <w:rPr>
                <w:webHidden/>
              </w:rPr>
              <w:fldChar w:fldCharType="separate"/>
            </w:r>
            <w:r w:rsidR="00B263FD">
              <w:rPr>
                <w:webHidden/>
              </w:rPr>
              <w:t>7</w:t>
            </w:r>
            <w:r w:rsidR="009F4015" w:rsidRPr="009F4015">
              <w:rPr>
                <w:webHidden/>
              </w:rPr>
              <w:fldChar w:fldCharType="end"/>
            </w:r>
          </w:hyperlink>
        </w:p>
        <w:p w14:paraId="182A2165" w14:textId="77777777" w:rsidR="009F4015" w:rsidRPr="009F4015" w:rsidRDefault="00BE7922" w:rsidP="009F4015">
          <w:pPr>
            <w:pStyle w:val="TOC3"/>
            <w:rPr>
              <w:rFonts w:eastAsiaTheme="minorEastAsia" w:cstheme="minorBidi"/>
              <w:iCs w:val="0"/>
            </w:rPr>
          </w:pPr>
          <w:hyperlink w:anchor="_Toc513644445" w:history="1">
            <w:r w:rsidR="009F4015" w:rsidRPr="009F4015">
              <w:rPr>
                <w:rStyle w:val="Hyperlink"/>
              </w:rPr>
              <w:t>B.</w:t>
            </w:r>
            <w:r w:rsidR="009F4015" w:rsidRPr="009F4015">
              <w:rPr>
                <w:rFonts w:eastAsiaTheme="minorEastAsia" w:cstheme="minorBidi"/>
                <w:iCs w:val="0"/>
              </w:rPr>
              <w:tab/>
            </w:r>
            <w:r w:rsidR="009F4015" w:rsidRPr="009F4015">
              <w:rPr>
                <w:rStyle w:val="Hyperlink"/>
              </w:rPr>
              <w:t>Consideraciones de la Corte</w:t>
            </w:r>
            <w:r w:rsidR="009F4015" w:rsidRPr="009F4015">
              <w:rPr>
                <w:webHidden/>
              </w:rPr>
              <w:tab/>
            </w:r>
            <w:r w:rsidR="009F4015" w:rsidRPr="009F4015">
              <w:rPr>
                <w:webHidden/>
              </w:rPr>
              <w:fldChar w:fldCharType="begin"/>
            </w:r>
            <w:r w:rsidR="009F4015" w:rsidRPr="009F4015">
              <w:rPr>
                <w:webHidden/>
              </w:rPr>
              <w:instrText xml:space="preserve"> PAGEREF _Toc513644445 \h </w:instrText>
            </w:r>
            <w:r w:rsidR="009F4015" w:rsidRPr="009F4015">
              <w:rPr>
                <w:webHidden/>
              </w:rPr>
            </w:r>
            <w:r w:rsidR="009F4015" w:rsidRPr="009F4015">
              <w:rPr>
                <w:webHidden/>
              </w:rPr>
              <w:fldChar w:fldCharType="separate"/>
            </w:r>
            <w:r w:rsidR="00B263FD">
              <w:rPr>
                <w:webHidden/>
              </w:rPr>
              <w:t>10</w:t>
            </w:r>
            <w:r w:rsidR="009F4015" w:rsidRPr="009F4015">
              <w:rPr>
                <w:webHidden/>
              </w:rPr>
              <w:fldChar w:fldCharType="end"/>
            </w:r>
          </w:hyperlink>
        </w:p>
        <w:p w14:paraId="234FDC3C" w14:textId="77777777" w:rsidR="009F4015" w:rsidRPr="009F4015" w:rsidRDefault="00BE7922" w:rsidP="009F4015">
          <w:pPr>
            <w:pStyle w:val="TOC4"/>
            <w:tabs>
              <w:tab w:val="left" w:pos="1200"/>
              <w:tab w:val="right" w:leader="dot" w:pos="9736"/>
            </w:tabs>
            <w:rPr>
              <w:rFonts w:ascii="Verdana" w:eastAsiaTheme="minorEastAsia" w:hAnsi="Verdana" w:cstheme="minorBidi"/>
              <w:noProof/>
              <w:sz w:val="20"/>
              <w:szCs w:val="20"/>
            </w:rPr>
          </w:pPr>
          <w:hyperlink w:anchor="_Toc513644446" w:history="1">
            <w:r w:rsidR="009F4015" w:rsidRPr="009F4015">
              <w:rPr>
                <w:rStyle w:val="Hyperlink"/>
                <w:rFonts w:ascii="Verdana" w:hAnsi="Verdana"/>
                <w:noProof/>
                <w:sz w:val="20"/>
                <w:szCs w:val="20"/>
              </w:rPr>
              <w:t xml:space="preserve">1. </w:t>
            </w:r>
            <w:r w:rsidR="009F4015" w:rsidRPr="009F4015">
              <w:rPr>
                <w:rFonts w:ascii="Verdana" w:eastAsiaTheme="minorEastAsia" w:hAnsi="Verdana" w:cstheme="minorBidi"/>
                <w:noProof/>
                <w:sz w:val="20"/>
                <w:szCs w:val="20"/>
              </w:rPr>
              <w:tab/>
            </w:r>
            <w:r w:rsidR="009F4015" w:rsidRPr="009F4015">
              <w:rPr>
                <w:rStyle w:val="Hyperlink"/>
                <w:rFonts w:ascii="Verdana" w:hAnsi="Verdana"/>
                <w:noProof/>
                <w:sz w:val="20"/>
                <w:szCs w:val="20"/>
              </w:rPr>
              <w:t>En cuanto a los hechos</w:t>
            </w:r>
            <w:r w:rsidR="009F4015" w:rsidRPr="009F4015">
              <w:rPr>
                <w:rFonts w:ascii="Verdana" w:hAnsi="Verdana"/>
                <w:noProof/>
                <w:webHidden/>
                <w:sz w:val="20"/>
                <w:szCs w:val="20"/>
              </w:rPr>
              <w:tab/>
            </w:r>
            <w:r w:rsidR="009F4015" w:rsidRPr="009F4015">
              <w:rPr>
                <w:rFonts w:ascii="Verdana" w:hAnsi="Verdana"/>
                <w:noProof/>
                <w:webHidden/>
                <w:sz w:val="20"/>
                <w:szCs w:val="20"/>
              </w:rPr>
              <w:fldChar w:fldCharType="begin"/>
            </w:r>
            <w:r w:rsidR="009F4015" w:rsidRPr="009F4015">
              <w:rPr>
                <w:rFonts w:ascii="Verdana" w:hAnsi="Verdana"/>
                <w:noProof/>
                <w:webHidden/>
                <w:sz w:val="20"/>
                <w:szCs w:val="20"/>
              </w:rPr>
              <w:instrText xml:space="preserve"> PAGEREF _Toc513644446 \h </w:instrText>
            </w:r>
            <w:r w:rsidR="009F4015" w:rsidRPr="009F4015">
              <w:rPr>
                <w:rFonts w:ascii="Verdana" w:hAnsi="Verdana"/>
                <w:noProof/>
                <w:webHidden/>
                <w:sz w:val="20"/>
                <w:szCs w:val="20"/>
              </w:rPr>
            </w:r>
            <w:r w:rsidR="009F4015" w:rsidRPr="009F4015">
              <w:rPr>
                <w:rFonts w:ascii="Verdana" w:hAnsi="Verdana"/>
                <w:noProof/>
                <w:webHidden/>
                <w:sz w:val="20"/>
                <w:szCs w:val="20"/>
              </w:rPr>
              <w:fldChar w:fldCharType="separate"/>
            </w:r>
            <w:r w:rsidR="00B263FD">
              <w:rPr>
                <w:rFonts w:ascii="Verdana" w:hAnsi="Verdana"/>
                <w:noProof/>
                <w:webHidden/>
                <w:sz w:val="20"/>
                <w:szCs w:val="20"/>
              </w:rPr>
              <w:t>11</w:t>
            </w:r>
            <w:r w:rsidR="009F4015" w:rsidRPr="009F4015">
              <w:rPr>
                <w:rFonts w:ascii="Verdana" w:hAnsi="Verdana"/>
                <w:noProof/>
                <w:webHidden/>
                <w:sz w:val="20"/>
                <w:szCs w:val="20"/>
              </w:rPr>
              <w:fldChar w:fldCharType="end"/>
            </w:r>
          </w:hyperlink>
        </w:p>
        <w:p w14:paraId="49C0BAA5" w14:textId="77777777" w:rsidR="009F4015" w:rsidRPr="009F4015" w:rsidRDefault="00BE7922" w:rsidP="009F4015">
          <w:pPr>
            <w:pStyle w:val="TOC4"/>
            <w:tabs>
              <w:tab w:val="left" w:pos="1200"/>
              <w:tab w:val="right" w:leader="dot" w:pos="9736"/>
            </w:tabs>
            <w:rPr>
              <w:rFonts w:ascii="Verdana" w:eastAsiaTheme="minorEastAsia" w:hAnsi="Verdana" w:cstheme="minorBidi"/>
              <w:noProof/>
              <w:sz w:val="20"/>
              <w:szCs w:val="20"/>
            </w:rPr>
          </w:pPr>
          <w:hyperlink w:anchor="_Toc513644447" w:history="1">
            <w:r w:rsidR="009F4015" w:rsidRPr="009F4015">
              <w:rPr>
                <w:rStyle w:val="Hyperlink"/>
                <w:rFonts w:ascii="Verdana" w:hAnsi="Verdana"/>
                <w:noProof/>
                <w:sz w:val="20"/>
                <w:szCs w:val="20"/>
              </w:rPr>
              <w:t xml:space="preserve">2. </w:t>
            </w:r>
            <w:r w:rsidR="009F4015" w:rsidRPr="009F4015">
              <w:rPr>
                <w:rFonts w:ascii="Verdana" w:eastAsiaTheme="minorEastAsia" w:hAnsi="Verdana" w:cstheme="minorBidi"/>
                <w:noProof/>
                <w:sz w:val="20"/>
                <w:szCs w:val="20"/>
              </w:rPr>
              <w:tab/>
            </w:r>
            <w:r w:rsidR="009F4015" w:rsidRPr="009F4015">
              <w:rPr>
                <w:rStyle w:val="Hyperlink"/>
                <w:rFonts w:ascii="Verdana" w:hAnsi="Verdana"/>
                <w:noProof/>
                <w:sz w:val="20"/>
                <w:szCs w:val="20"/>
              </w:rPr>
              <w:t>En cuanto a las pretensiones de derecho</w:t>
            </w:r>
            <w:r w:rsidR="009F4015" w:rsidRPr="009F4015">
              <w:rPr>
                <w:rFonts w:ascii="Verdana" w:hAnsi="Verdana"/>
                <w:noProof/>
                <w:webHidden/>
                <w:sz w:val="20"/>
                <w:szCs w:val="20"/>
              </w:rPr>
              <w:tab/>
            </w:r>
            <w:r w:rsidR="009F4015" w:rsidRPr="009F4015">
              <w:rPr>
                <w:rFonts w:ascii="Verdana" w:hAnsi="Verdana"/>
                <w:noProof/>
                <w:webHidden/>
                <w:sz w:val="20"/>
                <w:szCs w:val="20"/>
              </w:rPr>
              <w:fldChar w:fldCharType="begin"/>
            </w:r>
            <w:r w:rsidR="009F4015" w:rsidRPr="009F4015">
              <w:rPr>
                <w:rFonts w:ascii="Verdana" w:hAnsi="Verdana"/>
                <w:noProof/>
                <w:webHidden/>
                <w:sz w:val="20"/>
                <w:szCs w:val="20"/>
              </w:rPr>
              <w:instrText xml:space="preserve"> PAGEREF _Toc513644447 \h </w:instrText>
            </w:r>
            <w:r w:rsidR="009F4015" w:rsidRPr="009F4015">
              <w:rPr>
                <w:rFonts w:ascii="Verdana" w:hAnsi="Verdana"/>
                <w:noProof/>
                <w:webHidden/>
                <w:sz w:val="20"/>
                <w:szCs w:val="20"/>
              </w:rPr>
            </w:r>
            <w:r w:rsidR="009F4015" w:rsidRPr="009F4015">
              <w:rPr>
                <w:rFonts w:ascii="Verdana" w:hAnsi="Verdana"/>
                <w:noProof/>
                <w:webHidden/>
                <w:sz w:val="20"/>
                <w:szCs w:val="20"/>
              </w:rPr>
              <w:fldChar w:fldCharType="separate"/>
            </w:r>
            <w:r w:rsidR="00B263FD">
              <w:rPr>
                <w:rFonts w:ascii="Verdana" w:hAnsi="Verdana"/>
                <w:noProof/>
                <w:webHidden/>
                <w:sz w:val="20"/>
                <w:szCs w:val="20"/>
              </w:rPr>
              <w:t>11</w:t>
            </w:r>
            <w:r w:rsidR="009F4015" w:rsidRPr="009F4015">
              <w:rPr>
                <w:rFonts w:ascii="Verdana" w:hAnsi="Verdana"/>
                <w:noProof/>
                <w:webHidden/>
                <w:sz w:val="20"/>
                <w:szCs w:val="20"/>
              </w:rPr>
              <w:fldChar w:fldCharType="end"/>
            </w:r>
          </w:hyperlink>
        </w:p>
        <w:p w14:paraId="01C52569" w14:textId="77777777" w:rsidR="009F4015" w:rsidRPr="009F4015" w:rsidRDefault="00BE7922" w:rsidP="009F4015">
          <w:pPr>
            <w:pStyle w:val="TOC4"/>
            <w:tabs>
              <w:tab w:val="left" w:pos="1200"/>
              <w:tab w:val="right" w:leader="dot" w:pos="9736"/>
            </w:tabs>
            <w:rPr>
              <w:rFonts w:ascii="Verdana" w:eastAsiaTheme="minorEastAsia" w:hAnsi="Verdana" w:cstheme="minorBidi"/>
              <w:noProof/>
              <w:sz w:val="20"/>
              <w:szCs w:val="20"/>
            </w:rPr>
          </w:pPr>
          <w:hyperlink w:anchor="_Toc513644448" w:history="1">
            <w:r w:rsidR="009F4015" w:rsidRPr="009F4015">
              <w:rPr>
                <w:rStyle w:val="Hyperlink"/>
                <w:rFonts w:ascii="Verdana" w:hAnsi="Verdana"/>
                <w:noProof/>
                <w:sz w:val="20"/>
                <w:szCs w:val="20"/>
              </w:rPr>
              <w:t xml:space="preserve">3. </w:t>
            </w:r>
            <w:r w:rsidR="009F4015" w:rsidRPr="009F4015">
              <w:rPr>
                <w:rFonts w:ascii="Verdana" w:eastAsiaTheme="minorEastAsia" w:hAnsi="Verdana" w:cstheme="minorBidi"/>
                <w:noProof/>
                <w:sz w:val="20"/>
                <w:szCs w:val="20"/>
              </w:rPr>
              <w:tab/>
            </w:r>
            <w:r w:rsidR="009F4015" w:rsidRPr="009F4015">
              <w:rPr>
                <w:rStyle w:val="Hyperlink"/>
                <w:rFonts w:ascii="Verdana" w:hAnsi="Verdana"/>
                <w:noProof/>
                <w:sz w:val="20"/>
                <w:szCs w:val="20"/>
              </w:rPr>
              <w:t>En cuanto a las reparaciones</w:t>
            </w:r>
            <w:r w:rsidR="009F4015" w:rsidRPr="009F4015">
              <w:rPr>
                <w:rFonts w:ascii="Verdana" w:hAnsi="Verdana"/>
                <w:noProof/>
                <w:webHidden/>
                <w:sz w:val="20"/>
                <w:szCs w:val="20"/>
              </w:rPr>
              <w:tab/>
            </w:r>
            <w:r w:rsidR="009F4015" w:rsidRPr="009F4015">
              <w:rPr>
                <w:rFonts w:ascii="Verdana" w:hAnsi="Verdana"/>
                <w:noProof/>
                <w:webHidden/>
                <w:sz w:val="20"/>
                <w:szCs w:val="20"/>
              </w:rPr>
              <w:fldChar w:fldCharType="begin"/>
            </w:r>
            <w:r w:rsidR="009F4015" w:rsidRPr="009F4015">
              <w:rPr>
                <w:rFonts w:ascii="Verdana" w:hAnsi="Verdana"/>
                <w:noProof/>
                <w:webHidden/>
                <w:sz w:val="20"/>
                <w:szCs w:val="20"/>
              </w:rPr>
              <w:instrText xml:space="preserve"> PAGEREF _Toc513644448 \h </w:instrText>
            </w:r>
            <w:r w:rsidR="009F4015" w:rsidRPr="009F4015">
              <w:rPr>
                <w:rFonts w:ascii="Verdana" w:hAnsi="Verdana"/>
                <w:noProof/>
                <w:webHidden/>
                <w:sz w:val="20"/>
                <w:szCs w:val="20"/>
              </w:rPr>
            </w:r>
            <w:r w:rsidR="009F4015" w:rsidRPr="009F4015">
              <w:rPr>
                <w:rFonts w:ascii="Verdana" w:hAnsi="Verdana"/>
                <w:noProof/>
                <w:webHidden/>
                <w:sz w:val="20"/>
                <w:szCs w:val="20"/>
              </w:rPr>
              <w:fldChar w:fldCharType="separate"/>
            </w:r>
            <w:r w:rsidR="00B263FD">
              <w:rPr>
                <w:rFonts w:ascii="Verdana" w:hAnsi="Verdana"/>
                <w:noProof/>
                <w:webHidden/>
                <w:sz w:val="20"/>
                <w:szCs w:val="20"/>
              </w:rPr>
              <w:t>12</w:t>
            </w:r>
            <w:r w:rsidR="009F4015" w:rsidRPr="009F4015">
              <w:rPr>
                <w:rFonts w:ascii="Verdana" w:hAnsi="Verdana"/>
                <w:noProof/>
                <w:webHidden/>
                <w:sz w:val="20"/>
                <w:szCs w:val="20"/>
              </w:rPr>
              <w:fldChar w:fldCharType="end"/>
            </w:r>
          </w:hyperlink>
        </w:p>
        <w:p w14:paraId="0338DBFB" w14:textId="77777777" w:rsidR="009F4015" w:rsidRPr="009F4015" w:rsidRDefault="00BE7922" w:rsidP="009F4015">
          <w:pPr>
            <w:pStyle w:val="TOC4"/>
            <w:tabs>
              <w:tab w:val="left" w:pos="1200"/>
              <w:tab w:val="right" w:leader="dot" w:pos="9736"/>
            </w:tabs>
            <w:rPr>
              <w:rFonts w:ascii="Verdana" w:eastAsiaTheme="minorEastAsia" w:hAnsi="Verdana" w:cstheme="minorBidi"/>
              <w:noProof/>
              <w:sz w:val="20"/>
              <w:szCs w:val="20"/>
            </w:rPr>
          </w:pPr>
          <w:hyperlink w:anchor="_Toc513644449" w:history="1">
            <w:r w:rsidR="009F4015" w:rsidRPr="009F4015">
              <w:rPr>
                <w:rStyle w:val="Hyperlink"/>
                <w:rFonts w:ascii="Verdana" w:hAnsi="Verdana"/>
                <w:noProof/>
                <w:sz w:val="20"/>
                <w:szCs w:val="20"/>
              </w:rPr>
              <w:t xml:space="preserve">4. </w:t>
            </w:r>
            <w:r w:rsidR="009F4015" w:rsidRPr="009F4015">
              <w:rPr>
                <w:rFonts w:ascii="Verdana" w:eastAsiaTheme="minorEastAsia" w:hAnsi="Verdana" w:cstheme="minorBidi"/>
                <w:noProof/>
                <w:sz w:val="20"/>
                <w:szCs w:val="20"/>
              </w:rPr>
              <w:tab/>
            </w:r>
            <w:r w:rsidR="009F4015" w:rsidRPr="009F4015">
              <w:rPr>
                <w:rStyle w:val="Hyperlink"/>
                <w:rFonts w:ascii="Verdana" w:hAnsi="Verdana"/>
                <w:noProof/>
                <w:sz w:val="20"/>
                <w:szCs w:val="20"/>
              </w:rPr>
              <w:t>Valoración del alcance del reconocimiento parcial de responsabilidad</w:t>
            </w:r>
            <w:r w:rsidR="009F4015" w:rsidRPr="009F4015">
              <w:rPr>
                <w:rFonts w:ascii="Verdana" w:hAnsi="Verdana"/>
                <w:noProof/>
                <w:webHidden/>
                <w:sz w:val="20"/>
                <w:szCs w:val="20"/>
              </w:rPr>
              <w:tab/>
            </w:r>
            <w:r w:rsidR="009F4015" w:rsidRPr="009F4015">
              <w:rPr>
                <w:rFonts w:ascii="Verdana" w:hAnsi="Verdana"/>
                <w:noProof/>
                <w:webHidden/>
                <w:sz w:val="20"/>
                <w:szCs w:val="20"/>
              </w:rPr>
              <w:fldChar w:fldCharType="begin"/>
            </w:r>
            <w:r w:rsidR="009F4015" w:rsidRPr="009F4015">
              <w:rPr>
                <w:rFonts w:ascii="Verdana" w:hAnsi="Verdana"/>
                <w:noProof/>
                <w:webHidden/>
                <w:sz w:val="20"/>
                <w:szCs w:val="20"/>
              </w:rPr>
              <w:instrText xml:space="preserve"> PAGEREF _Toc513644449 \h </w:instrText>
            </w:r>
            <w:r w:rsidR="009F4015" w:rsidRPr="009F4015">
              <w:rPr>
                <w:rFonts w:ascii="Verdana" w:hAnsi="Verdana"/>
                <w:noProof/>
                <w:webHidden/>
                <w:sz w:val="20"/>
                <w:szCs w:val="20"/>
              </w:rPr>
            </w:r>
            <w:r w:rsidR="009F4015" w:rsidRPr="009F4015">
              <w:rPr>
                <w:rFonts w:ascii="Verdana" w:hAnsi="Verdana"/>
                <w:noProof/>
                <w:webHidden/>
                <w:sz w:val="20"/>
                <w:szCs w:val="20"/>
              </w:rPr>
              <w:fldChar w:fldCharType="separate"/>
            </w:r>
            <w:r w:rsidR="00B263FD">
              <w:rPr>
                <w:rFonts w:ascii="Verdana" w:hAnsi="Verdana"/>
                <w:noProof/>
                <w:webHidden/>
                <w:sz w:val="20"/>
                <w:szCs w:val="20"/>
              </w:rPr>
              <w:t>12</w:t>
            </w:r>
            <w:r w:rsidR="009F4015" w:rsidRPr="009F4015">
              <w:rPr>
                <w:rFonts w:ascii="Verdana" w:hAnsi="Verdana"/>
                <w:noProof/>
                <w:webHidden/>
                <w:sz w:val="20"/>
                <w:szCs w:val="20"/>
              </w:rPr>
              <w:fldChar w:fldCharType="end"/>
            </w:r>
          </w:hyperlink>
        </w:p>
        <w:p w14:paraId="375BCD74" w14:textId="77777777" w:rsidR="009F4015" w:rsidRPr="008D6B5C" w:rsidRDefault="00BE7922" w:rsidP="00C004B1">
          <w:pPr>
            <w:pStyle w:val="TOC1"/>
            <w:rPr>
              <w:rFonts w:ascii="Verdana" w:eastAsiaTheme="minorEastAsia" w:hAnsi="Verdana" w:cstheme="minorBidi"/>
              <w:noProof/>
            </w:rPr>
          </w:pPr>
          <w:hyperlink w:anchor="_Toc513644450" w:history="1">
            <w:r w:rsidR="009F4015" w:rsidRPr="008D6B5C">
              <w:rPr>
                <w:rStyle w:val="Hyperlink"/>
                <w:rFonts w:ascii="Verdana" w:hAnsi="Verdana"/>
                <w:noProof/>
              </w:rPr>
              <w:t>V PRUEBA</w:t>
            </w:r>
            <w:r w:rsidR="009F4015" w:rsidRPr="008D6B5C">
              <w:rPr>
                <w:rFonts w:ascii="Verdana" w:hAnsi="Verdana"/>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_Toc513644450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12</w:t>
            </w:r>
            <w:r w:rsidR="009F4015" w:rsidRPr="008D6B5C">
              <w:rPr>
                <w:rFonts w:ascii="Verdana" w:hAnsi="Verdana"/>
                <w:b w:val="0"/>
                <w:noProof/>
                <w:webHidden/>
              </w:rPr>
              <w:fldChar w:fldCharType="end"/>
            </w:r>
          </w:hyperlink>
        </w:p>
        <w:p w14:paraId="57E5BE7D" w14:textId="77777777" w:rsidR="009F4015" w:rsidRPr="008D6B5C" w:rsidRDefault="00BE7922" w:rsidP="009F4015">
          <w:pPr>
            <w:pStyle w:val="TOC3"/>
            <w:rPr>
              <w:rFonts w:eastAsiaTheme="minorEastAsia" w:cstheme="minorBidi"/>
              <w:iCs w:val="0"/>
            </w:rPr>
          </w:pPr>
          <w:hyperlink w:anchor="_Toc513644451" w:history="1">
            <w:r w:rsidR="009F4015" w:rsidRPr="008D6B5C">
              <w:rPr>
                <w:rStyle w:val="Hyperlink"/>
              </w:rPr>
              <w:t>A.</w:t>
            </w:r>
            <w:r w:rsidR="009F4015" w:rsidRPr="008D6B5C">
              <w:rPr>
                <w:rFonts w:eastAsiaTheme="minorEastAsia" w:cstheme="minorBidi"/>
                <w:iCs w:val="0"/>
              </w:rPr>
              <w:tab/>
            </w:r>
            <w:r w:rsidR="009F4015" w:rsidRPr="008D6B5C">
              <w:rPr>
                <w:rStyle w:val="Hyperlink"/>
              </w:rPr>
              <w:t>Prueba documental, testimonial y pericial</w:t>
            </w:r>
            <w:r w:rsidR="009F4015" w:rsidRPr="008D6B5C">
              <w:rPr>
                <w:webHidden/>
              </w:rPr>
              <w:tab/>
            </w:r>
            <w:r w:rsidR="009F4015" w:rsidRPr="008D6B5C">
              <w:rPr>
                <w:webHidden/>
              </w:rPr>
              <w:fldChar w:fldCharType="begin"/>
            </w:r>
            <w:r w:rsidR="009F4015" w:rsidRPr="008D6B5C">
              <w:rPr>
                <w:webHidden/>
              </w:rPr>
              <w:instrText xml:space="preserve"> PAGEREF _Toc513644451 \h </w:instrText>
            </w:r>
            <w:r w:rsidR="009F4015" w:rsidRPr="008D6B5C">
              <w:rPr>
                <w:webHidden/>
              </w:rPr>
            </w:r>
            <w:r w:rsidR="009F4015" w:rsidRPr="008D6B5C">
              <w:rPr>
                <w:webHidden/>
              </w:rPr>
              <w:fldChar w:fldCharType="separate"/>
            </w:r>
            <w:r w:rsidR="00B263FD">
              <w:rPr>
                <w:webHidden/>
              </w:rPr>
              <w:t>12</w:t>
            </w:r>
            <w:r w:rsidR="009F4015" w:rsidRPr="008D6B5C">
              <w:rPr>
                <w:webHidden/>
              </w:rPr>
              <w:fldChar w:fldCharType="end"/>
            </w:r>
          </w:hyperlink>
        </w:p>
        <w:p w14:paraId="23C9B46D" w14:textId="77777777" w:rsidR="009F4015" w:rsidRPr="008D6B5C" w:rsidRDefault="00BE7922" w:rsidP="009F4015">
          <w:pPr>
            <w:pStyle w:val="TOC3"/>
            <w:rPr>
              <w:rFonts w:eastAsiaTheme="minorEastAsia" w:cstheme="minorBidi"/>
              <w:iCs w:val="0"/>
            </w:rPr>
          </w:pPr>
          <w:hyperlink w:anchor="_Toc513644452" w:history="1">
            <w:r w:rsidR="009F4015" w:rsidRPr="008D6B5C">
              <w:rPr>
                <w:rStyle w:val="Hyperlink"/>
              </w:rPr>
              <w:t>B.</w:t>
            </w:r>
            <w:r w:rsidR="009F4015" w:rsidRPr="008D6B5C">
              <w:rPr>
                <w:rFonts w:eastAsiaTheme="minorEastAsia" w:cstheme="minorBidi"/>
                <w:iCs w:val="0"/>
              </w:rPr>
              <w:tab/>
            </w:r>
            <w:r w:rsidR="009F4015" w:rsidRPr="008D6B5C">
              <w:rPr>
                <w:rStyle w:val="Hyperlink"/>
              </w:rPr>
              <w:t>Admisión de la prueba</w:t>
            </w:r>
            <w:r w:rsidR="009F4015" w:rsidRPr="008D6B5C">
              <w:rPr>
                <w:webHidden/>
              </w:rPr>
              <w:tab/>
            </w:r>
            <w:r w:rsidR="009F4015" w:rsidRPr="008D6B5C">
              <w:rPr>
                <w:webHidden/>
              </w:rPr>
              <w:fldChar w:fldCharType="begin"/>
            </w:r>
            <w:r w:rsidR="009F4015" w:rsidRPr="008D6B5C">
              <w:rPr>
                <w:webHidden/>
              </w:rPr>
              <w:instrText xml:space="preserve"> PAGEREF _Toc513644452 \h </w:instrText>
            </w:r>
            <w:r w:rsidR="009F4015" w:rsidRPr="008D6B5C">
              <w:rPr>
                <w:webHidden/>
              </w:rPr>
            </w:r>
            <w:r w:rsidR="009F4015" w:rsidRPr="008D6B5C">
              <w:rPr>
                <w:webHidden/>
              </w:rPr>
              <w:fldChar w:fldCharType="separate"/>
            </w:r>
            <w:r w:rsidR="00B263FD">
              <w:rPr>
                <w:webHidden/>
              </w:rPr>
              <w:t>13</w:t>
            </w:r>
            <w:r w:rsidR="009F4015" w:rsidRPr="008D6B5C">
              <w:rPr>
                <w:webHidden/>
              </w:rPr>
              <w:fldChar w:fldCharType="end"/>
            </w:r>
          </w:hyperlink>
        </w:p>
        <w:p w14:paraId="0C1B8C79" w14:textId="77777777" w:rsidR="009F4015" w:rsidRPr="008D6B5C" w:rsidRDefault="00BE7922" w:rsidP="009F4015">
          <w:pPr>
            <w:pStyle w:val="TOC3"/>
            <w:rPr>
              <w:rFonts w:eastAsiaTheme="minorEastAsia" w:cstheme="minorBidi"/>
              <w:iCs w:val="0"/>
            </w:rPr>
          </w:pPr>
          <w:hyperlink w:anchor="_Toc513644453" w:history="1">
            <w:r w:rsidR="009F4015" w:rsidRPr="008D6B5C">
              <w:rPr>
                <w:rStyle w:val="Hyperlink"/>
              </w:rPr>
              <w:t>C.</w:t>
            </w:r>
            <w:r w:rsidR="009F4015" w:rsidRPr="008D6B5C">
              <w:rPr>
                <w:rFonts w:eastAsiaTheme="minorEastAsia" w:cstheme="minorBidi"/>
                <w:iCs w:val="0"/>
              </w:rPr>
              <w:tab/>
            </w:r>
            <w:r w:rsidR="009F4015" w:rsidRPr="008D6B5C">
              <w:rPr>
                <w:rStyle w:val="Hyperlink"/>
              </w:rPr>
              <w:t>Valoración de la prueba</w:t>
            </w:r>
            <w:r w:rsidR="009F4015" w:rsidRPr="008D6B5C">
              <w:rPr>
                <w:webHidden/>
              </w:rPr>
              <w:tab/>
            </w:r>
            <w:r w:rsidR="009F4015" w:rsidRPr="008D6B5C">
              <w:rPr>
                <w:webHidden/>
              </w:rPr>
              <w:fldChar w:fldCharType="begin"/>
            </w:r>
            <w:r w:rsidR="009F4015" w:rsidRPr="008D6B5C">
              <w:rPr>
                <w:webHidden/>
              </w:rPr>
              <w:instrText xml:space="preserve"> PAGEREF _Toc513644453 \h </w:instrText>
            </w:r>
            <w:r w:rsidR="009F4015" w:rsidRPr="008D6B5C">
              <w:rPr>
                <w:webHidden/>
              </w:rPr>
            </w:r>
            <w:r w:rsidR="009F4015" w:rsidRPr="008D6B5C">
              <w:rPr>
                <w:webHidden/>
              </w:rPr>
              <w:fldChar w:fldCharType="separate"/>
            </w:r>
            <w:r w:rsidR="00B263FD">
              <w:rPr>
                <w:webHidden/>
              </w:rPr>
              <w:t>13</w:t>
            </w:r>
            <w:r w:rsidR="009F4015" w:rsidRPr="008D6B5C">
              <w:rPr>
                <w:webHidden/>
              </w:rPr>
              <w:fldChar w:fldCharType="end"/>
            </w:r>
          </w:hyperlink>
        </w:p>
        <w:p w14:paraId="545087FB" w14:textId="0E27E5D1" w:rsidR="009F4015" w:rsidRPr="008D6B5C" w:rsidRDefault="00BE7922" w:rsidP="00C004B1">
          <w:pPr>
            <w:pStyle w:val="TOC1"/>
            <w:rPr>
              <w:rFonts w:ascii="Verdana" w:eastAsiaTheme="minorEastAsia" w:hAnsi="Verdana" w:cstheme="minorBidi"/>
              <w:noProof/>
            </w:rPr>
          </w:pPr>
          <w:hyperlink w:anchor="_Toc513644454" w:history="1">
            <w:r w:rsidR="009F4015" w:rsidRPr="008D6B5C">
              <w:rPr>
                <w:rStyle w:val="Hyperlink"/>
                <w:rFonts w:ascii="Verdana" w:hAnsi="Verdana"/>
                <w:noProof/>
              </w:rPr>
              <w:t>VI</w:t>
            </w:r>
          </w:hyperlink>
          <w:r w:rsidR="00C004B1" w:rsidRPr="008D6B5C">
            <w:rPr>
              <w:rStyle w:val="Hyperlink"/>
              <w:rFonts w:ascii="Verdana" w:hAnsi="Verdana"/>
              <w:noProof/>
              <w:u w:val="none"/>
            </w:rPr>
            <w:t xml:space="preserve"> </w:t>
          </w:r>
          <w:hyperlink w:anchor="_Toc513644455" w:history="1">
            <w:r w:rsidR="009F4015" w:rsidRPr="008D6B5C">
              <w:rPr>
                <w:rStyle w:val="Hyperlink"/>
                <w:rFonts w:ascii="Verdana" w:hAnsi="Verdana"/>
                <w:noProof/>
              </w:rPr>
              <w:t>HECHOS</w:t>
            </w:r>
            <w:r w:rsidR="009F4015" w:rsidRPr="008D6B5C">
              <w:rPr>
                <w:rFonts w:ascii="Verdana" w:hAnsi="Verdana"/>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_Toc513644455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14</w:t>
            </w:r>
            <w:r w:rsidR="009F4015" w:rsidRPr="008D6B5C">
              <w:rPr>
                <w:rFonts w:ascii="Verdana" w:hAnsi="Verdana"/>
                <w:b w:val="0"/>
                <w:noProof/>
                <w:webHidden/>
              </w:rPr>
              <w:fldChar w:fldCharType="end"/>
            </w:r>
          </w:hyperlink>
        </w:p>
        <w:p w14:paraId="58BB7FD1" w14:textId="0C86EBAE" w:rsidR="009F4015" w:rsidRPr="008D6B5C" w:rsidRDefault="00BE7922" w:rsidP="00C004B1">
          <w:pPr>
            <w:pStyle w:val="TOC1"/>
            <w:rPr>
              <w:rFonts w:ascii="Verdana" w:eastAsiaTheme="minorEastAsia" w:hAnsi="Verdana" w:cstheme="minorBidi"/>
              <w:noProof/>
            </w:rPr>
          </w:pPr>
          <w:hyperlink w:anchor="_Toc513644456" w:history="1">
            <w:r w:rsidR="009F4015" w:rsidRPr="008D6B5C">
              <w:rPr>
                <w:rStyle w:val="Hyperlink"/>
                <w:rFonts w:ascii="Verdana" w:hAnsi="Verdana"/>
                <w:noProof/>
              </w:rPr>
              <w:t>VII</w:t>
            </w:r>
          </w:hyperlink>
          <w:r w:rsidR="00C004B1" w:rsidRPr="008D6B5C">
            <w:rPr>
              <w:rStyle w:val="Hyperlink"/>
              <w:rFonts w:ascii="Verdana" w:hAnsi="Verdana"/>
              <w:noProof/>
              <w:u w:val="none"/>
            </w:rPr>
            <w:t xml:space="preserve"> </w:t>
          </w:r>
          <w:hyperlink w:anchor="_Toc513644457" w:history="1">
            <w:r w:rsidR="009F4015" w:rsidRPr="008D6B5C">
              <w:rPr>
                <w:rStyle w:val="Hyperlink"/>
                <w:rFonts w:ascii="Verdana" w:hAnsi="Verdana"/>
                <w:noProof/>
              </w:rPr>
              <w:t>FONDO</w:t>
            </w:r>
            <w:r w:rsidR="009F4015" w:rsidRPr="008D6B5C">
              <w:rPr>
                <w:rFonts w:ascii="Verdana" w:hAnsi="Verdana"/>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_Toc513644457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25</w:t>
            </w:r>
            <w:r w:rsidR="009F4015" w:rsidRPr="008D6B5C">
              <w:rPr>
                <w:rFonts w:ascii="Verdana" w:hAnsi="Verdana"/>
                <w:b w:val="0"/>
                <w:noProof/>
                <w:webHidden/>
              </w:rPr>
              <w:fldChar w:fldCharType="end"/>
            </w:r>
          </w:hyperlink>
        </w:p>
        <w:p w14:paraId="3E0103BF" w14:textId="49277497" w:rsidR="009F4015" w:rsidRPr="009F4015" w:rsidRDefault="00BE7922" w:rsidP="00C004B1">
          <w:pPr>
            <w:pStyle w:val="TOC1"/>
            <w:rPr>
              <w:rFonts w:eastAsiaTheme="minorEastAsia" w:cstheme="minorBidi"/>
              <w:noProof/>
            </w:rPr>
          </w:pPr>
          <w:hyperlink w:anchor="_Toc513644458" w:history="1">
            <w:r w:rsidR="009F4015" w:rsidRPr="009F4015">
              <w:rPr>
                <w:rStyle w:val="Hyperlink"/>
                <w:rFonts w:ascii="Verdana" w:hAnsi="Verdana"/>
                <w:noProof/>
              </w:rPr>
              <w:t>VII-1</w:t>
            </w:r>
          </w:hyperlink>
          <w:r w:rsidR="00C004B1" w:rsidRPr="00C004B1">
            <w:rPr>
              <w:rStyle w:val="Hyperlink"/>
              <w:rFonts w:ascii="Verdana" w:hAnsi="Verdana"/>
              <w:noProof/>
              <w:u w:val="none"/>
            </w:rPr>
            <w:t xml:space="preserve"> </w:t>
          </w:r>
          <w:hyperlink w:anchor="_Toc513644459" w:history="1">
            <w:r w:rsidR="009F4015" w:rsidRPr="009F4015">
              <w:rPr>
                <w:rStyle w:val="Hyperlink"/>
                <w:rFonts w:ascii="Verdana" w:hAnsi="Verdana"/>
                <w:noProof/>
              </w:rPr>
              <w:t>DERECHOS A LA SALUD, VIDA, INTEGRIDAD Y ACCESO A LA INFORMACIÓN</w:t>
            </w:r>
            <w:r w:rsidR="009F4015" w:rsidRPr="009F4015">
              <w:rPr>
                <w:noProof/>
                <w:webHidden/>
              </w:rPr>
              <w:tab/>
            </w:r>
          </w:hyperlink>
          <w:hyperlink w:anchor="_Toc513644460" w:history="1">
            <w:r w:rsidR="009F4015" w:rsidRPr="009F4015">
              <w:rPr>
                <w:rStyle w:val="Hyperlink"/>
                <w:rFonts w:ascii="Verdana" w:hAnsi="Verdana"/>
                <w:noProof/>
              </w:rPr>
              <w:t>(ARTÍCULOS 26, 1.1, 4, 5, 13, 7 Y 11 DE LA CONVENCIÓN AMERICANA)</w:t>
            </w:r>
            <w:r w:rsidR="009F4015" w:rsidRPr="009F4015">
              <w:rPr>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_Toc513644460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26</w:t>
            </w:r>
            <w:r w:rsidR="009F4015" w:rsidRPr="008D6B5C">
              <w:rPr>
                <w:rFonts w:ascii="Verdana" w:hAnsi="Verdana"/>
                <w:b w:val="0"/>
                <w:noProof/>
                <w:webHidden/>
              </w:rPr>
              <w:fldChar w:fldCharType="end"/>
            </w:r>
          </w:hyperlink>
        </w:p>
        <w:p w14:paraId="47F982AA" w14:textId="77777777" w:rsidR="009F4015" w:rsidRPr="009F4015" w:rsidRDefault="00BE7922" w:rsidP="009F4015">
          <w:pPr>
            <w:pStyle w:val="TOC3"/>
            <w:rPr>
              <w:rFonts w:eastAsiaTheme="minorEastAsia" w:cstheme="minorBidi"/>
              <w:iCs w:val="0"/>
            </w:rPr>
          </w:pPr>
          <w:hyperlink w:anchor="_Toc513644461" w:history="1">
            <w:r w:rsidR="009F4015" w:rsidRPr="009F4015">
              <w:rPr>
                <w:rStyle w:val="Hyperlink"/>
              </w:rPr>
              <w:t>A.</w:t>
            </w:r>
            <w:r w:rsidR="009F4015" w:rsidRPr="009F4015">
              <w:rPr>
                <w:rFonts w:eastAsiaTheme="minorEastAsia" w:cstheme="minorBidi"/>
                <w:iCs w:val="0"/>
              </w:rPr>
              <w:tab/>
            </w:r>
            <w:r w:rsidR="009F4015" w:rsidRPr="009F4015">
              <w:rPr>
                <w:rStyle w:val="Hyperlink"/>
              </w:rPr>
              <w:t>Argumentos de las partes y de la Comisión</w:t>
            </w:r>
            <w:r w:rsidR="009F4015" w:rsidRPr="009F4015">
              <w:rPr>
                <w:webHidden/>
              </w:rPr>
              <w:tab/>
            </w:r>
            <w:r w:rsidR="009F4015" w:rsidRPr="009F4015">
              <w:rPr>
                <w:webHidden/>
              </w:rPr>
              <w:fldChar w:fldCharType="begin"/>
            </w:r>
            <w:r w:rsidR="009F4015" w:rsidRPr="009F4015">
              <w:rPr>
                <w:webHidden/>
              </w:rPr>
              <w:instrText xml:space="preserve"> PAGEREF _Toc513644461 \h </w:instrText>
            </w:r>
            <w:r w:rsidR="009F4015" w:rsidRPr="009F4015">
              <w:rPr>
                <w:webHidden/>
              </w:rPr>
            </w:r>
            <w:r w:rsidR="009F4015" w:rsidRPr="009F4015">
              <w:rPr>
                <w:webHidden/>
              </w:rPr>
              <w:fldChar w:fldCharType="separate"/>
            </w:r>
            <w:r w:rsidR="00B263FD">
              <w:rPr>
                <w:webHidden/>
              </w:rPr>
              <w:t>26</w:t>
            </w:r>
            <w:r w:rsidR="009F4015" w:rsidRPr="009F4015">
              <w:rPr>
                <w:webHidden/>
              </w:rPr>
              <w:fldChar w:fldCharType="end"/>
            </w:r>
          </w:hyperlink>
        </w:p>
        <w:p w14:paraId="4A168A26" w14:textId="77777777" w:rsidR="009F4015" w:rsidRPr="00C004B1" w:rsidRDefault="00BE7922" w:rsidP="009F4015">
          <w:pPr>
            <w:pStyle w:val="TOC4"/>
            <w:tabs>
              <w:tab w:val="left" w:pos="1200"/>
              <w:tab w:val="right" w:leader="dot" w:pos="9736"/>
            </w:tabs>
            <w:rPr>
              <w:rFonts w:ascii="Verdana" w:eastAsiaTheme="minorEastAsia" w:hAnsi="Verdana" w:cstheme="minorBidi"/>
              <w:noProof/>
              <w:sz w:val="20"/>
              <w:szCs w:val="20"/>
            </w:rPr>
          </w:pPr>
          <w:hyperlink w:anchor="_Toc513644462" w:history="1">
            <w:r w:rsidR="009F4015" w:rsidRPr="00C004B1">
              <w:rPr>
                <w:rStyle w:val="Hyperlink"/>
                <w:rFonts w:ascii="Verdana" w:hAnsi="Verdana"/>
                <w:noProof/>
                <w:sz w:val="20"/>
                <w:szCs w:val="20"/>
              </w:rPr>
              <w:t>1.</w:t>
            </w:r>
            <w:r w:rsidR="009F4015" w:rsidRPr="00C004B1">
              <w:rPr>
                <w:rFonts w:ascii="Verdana" w:eastAsiaTheme="minorEastAsia" w:hAnsi="Verdana" w:cstheme="minorBidi"/>
                <w:noProof/>
                <w:sz w:val="20"/>
                <w:szCs w:val="20"/>
              </w:rPr>
              <w:tab/>
            </w:r>
            <w:r w:rsidR="009F4015" w:rsidRPr="00C004B1">
              <w:rPr>
                <w:rStyle w:val="Hyperlink"/>
                <w:rFonts w:ascii="Verdana" w:hAnsi="Verdana"/>
                <w:noProof/>
                <w:sz w:val="20"/>
                <w:szCs w:val="20"/>
              </w:rPr>
              <w:t>Relativos al derecho a la salud</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_Toc513644462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26</w:t>
            </w:r>
            <w:r w:rsidR="009F4015" w:rsidRPr="00C004B1">
              <w:rPr>
                <w:rFonts w:ascii="Verdana" w:hAnsi="Verdana"/>
                <w:noProof/>
                <w:webHidden/>
                <w:sz w:val="20"/>
                <w:szCs w:val="20"/>
              </w:rPr>
              <w:fldChar w:fldCharType="end"/>
            </w:r>
          </w:hyperlink>
        </w:p>
        <w:p w14:paraId="5DBEBE34" w14:textId="77777777" w:rsidR="009F4015" w:rsidRPr="00C004B1" w:rsidRDefault="00BE7922" w:rsidP="009F4015">
          <w:pPr>
            <w:pStyle w:val="TOC4"/>
            <w:tabs>
              <w:tab w:val="left" w:pos="1200"/>
              <w:tab w:val="right" w:leader="dot" w:pos="9736"/>
            </w:tabs>
            <w:rPr>
              <w:rFonts w:ascii="Verdana" w:eastAsiaTheme="minorEastAsia" w:hAnsi="Verdana" w:cstheme="minorBidi"/>
              <w:noProof/>
              <w:sz w:val="20"/>
              <w:szCs w:val="20"/>
            </w:rPr>
          </w:pPr>
          <w:hyperlink w:anchor="_Toc513644463" w:history="1">
            <w:r w:rsidR="009F4015" w:rsidRPr="00C004B1">
              <w:rPr>
                <w:rStyle w:val="Hyperlink"/>
                <w:rFonts w:ascii="Verdana" w:hAnsi="Verdana"/>
                <w:noProof/>
                <w:sz w:val="20"/>
                <w:szCs w:val="20"/>
              </w:rPr>
              <w:t>2.</w:t>
            </w:r>
            <w:r w:rsidR="009F4015" w:rsidRPr="00C004B1">
              <w:rPr>
                <w:rFonts w:ascii="Verdana" w:eastAsiaTheme="minorEastAsia" w:hAnsi="Verdana" w:cstheme="minorBidi"/>
                <w:noProof/>
                <w:sz w:val="20"/>
                <w:szCs w:val="20"/>
              </w:rPr>
              <w:tab/>
            </w:r>
            <w:r w:rsidR="009F4015" w:rsidRPr="00C004B1">
              <w:rPr>
                <w:rStyle w:val="Hyperlink"/>
                <w:rFonts w:ascii="Verdana" w:hAnsi="Verdana"/>
                <w:noProof/>
                <w:sz w:val="20"/>
                <w:szCs w:val="20"/>
              </w:rPr>
              <w:t>Relativos a la vida y a la integridad personal</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_Toc513644463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27</w:t>
            </w:r>
            <w:r w:rsidR="009F4015" w:rsidRPr="00C004B1">
              <w:rPr>
                <w:rFonts w:ascii="Verdana" w:hAnsi="Verdana"/>
                <w:noProof/>
                <w:webHidden/>
                <w:sz w:val="20"/>
                <w:szCs w:val="20"/>
              </w:rPr>
              <w:fldChar w:fldCharType="end"/>
            </w:r>
          </w:hyperlink>
        </w:p>
        <w:p w14:paraId="7993A807" w14:textId="77777777" w:rsidR="009F4015" w:rsidRPr="00C004B1" w:rsidRDefault="00BE7922" w:rsidP="009F4015">
          <w:pPr>
            <w:pStyle w:val="TOC4"/>
            <w:tabs>
              <w:tab w:val="left" w:pos="1200"/>
              <w:tab w:val="right" w:leader="dot" w:pos="9736"/>
            </w:tabs>
            <w:rPr>
              <w:rFonts w:ascii="Verdana" w:eastAsiaTheme="minorEastAsia" w:hAnsi="Verdana" w:cstheme="minorBidi"/>
              <w:noProof/>
              <w:sz w:val="20"/>
              <w:szCs w:val="20"/>
            </w:rPr>
          </w:pPr>
          <w:hyperlink w:anchor="_Toc513644464" w:history="1">
            <w:r w:rsidR="009F4015" w:rsidRPr="00C004B1">
              <w:rPr>
                <w:rStyle w:val="Hyperlink"/>
                <w:rFonts w:ascii="Verdana" w:hAnsi="Verdana"/>
                <w:noProof/>
                <w:sz w:val="20"/>
                <w:szCs w:val="20"/>
              </w:rPr>
              <w:t>3.</w:t>
            </w:r>
            <w:r w:rsidR="009F4015" w:rsidRPr="00C004B1">
              <w:rPr>
                <w:rFonts w:ascii="Verdana" w:eastAsiaTheme="minorEastAsia" w:hAnsi="Verdana" w:cstheme="minorBidi"/>
                <w:noProof/>
                <w:sz w:val="20"/>
                <w:szCs w:val="20"/>
              </w:rPr>
              <w:tab/>
            </w:r>
            <w:r w:rsidR="009F4015" w:rsidRPr="00C004B1">
              <w:rPr>
                <w:rStyle w:val="Hyperlink"/>
                <w:rFonts w:ascii="Verdana" w:hAnsi="Verdana"/>
                <w:noProof/>
                <w:sz w:val="20"/>
                <w:szCs w:val="20"/>
              </w:rPr>
              <w:t>Relativos al consentimiento informado</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_Toc513644464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29</w:t>
            </w:r>
            <w:r w:rsidR="009F4015" w:rsidRPr="00C004B1">
              <w:rPr>
                <w:rFonts w:ascii="Verdana" w:hAnsi="Verdana"/>
                <w:noProof/>
                <w:webHidden/>
                <w:sz w:val="20"/>
                <w:szCs w:val="20"/>
              </w:rPr>
              <w:fldChar w:fldCharType="end"/>
            </w:r>
          </w:hyperlink>
        </w:p>
        <w:p w14:paraId="30A21E43" w14:textId="77777777" w:rsidR="009F4015" w:rsidRPr="009F4015" w:rsidRDefault="00BE7922" w:rsidP="009F4015">
          <w:pPr>
            <w:pStyle w:val="TOC3"/>
            <w:rPr>
              <w:rFonts w:eastAsiaTheme="minorEastAsia" w:cstheme="minorBidi"/>
              <w:iCs w:val="0"/>
            </w:rPr>
          </w:pPr>
          <w:hyperlink w:anchor="_Toc513644465" w:history="1">
            <w:r w:rsidR="009F4015" w:rsidRPr="009F4015">
              <w:rPr>
                <w:rStyle w:val="Hyperlink"/>
              </w:rPr>
              <w:t>B.</w:t>
            </w:r>
            <w:r w:rsidR="009F4015" w:rsidRPr="009F4015">
              <w:rPr>
                <w:rFonts w:eastAsiaTheme="minorEastAsia" w:cstheme="minorBidi"/>
                <w:iCs w:val="0"/>
              </w:rPr>
              <w:tab/>
            </w:r>
            <w:r w:rsidR="009F4015" w:rsidRPr="009F4015">
              <w:rPr>
                <w:rStyle w:val="Hyperlink"/>
              </w:rPr>
              <w:t>Consideraciones de la Corte</w:t>
            </w:r>
            <w:r w:rsidR="009F4015" w:rsidRPr="009F4015">
              <w:rPr>
                <w:webHidden/>
              </w:rPr>
              <w:tab/>
            </w:r>
            <w:r w:rsidR="009F4015" w:rsidRPr="009F4015">
              <w:rPr>
                <w:webHidden/>
              </w:rPr>
              <w:fldChar w:fldCharType="begin"/>
            </w:r>
            <w:r w:rsidR="009F4015" w:rsidRPr="009F4015">
              <w:rPr>
                <w:webHidden/>
              </w:rPr>
              <w:instrText xml:space="preserve"> PAGEREF _Toc513644465 \h </w:instrText>
            </w:r>
            <w:r w:rsidR="009F4015" w:rsidRPr="009F4015">
              <w:rPr>
                <w:webHidden/>
              </w:rPr>
            </w:r>
            <w:r w:rsidR="009F4015" w:rsidRPr="009F4015">
              <w:rPr>
                <w:webHidden/>
              </w:rPr>
              <w:fldChar w:fldCharType="separate"/>
            </w:r>
            <w:r w:rsidR="00B263FD">
              <w:rPr>
                <w:webHidden/>
              </w:rPr>
              <w:t>31</w:t>
            </w:r>
            <w:r w:rsidR="009F4015" w:rsidRPr="009F4015">
              <w:rPr>
                <w:webHidden/>
              </w:rPr>
              <w:fldChar w:fldCharType="end"/>
            </w:r>
          </w:hyperlink>
        </w:p>
        <w:p w14:paraId="566FC4A2" w14:textId="77777777" w:rsidR="009F4015" w:rsidRPr="00C004B1" w:rsidRDefault="00BE7922" w:rsidP="009F4015">
          <w:pPr>
            <w:pStyle w:val="TOC4"/>
            <w:tabs>
              <w:tab w:val="left" w:pos="1200"/>
              <w:tab w:val="right" w:leader="dot" w:pos="9736"/>
            </w:tabs>
            <w:rPr>
              <w:rFonts w:ascii="Verdana" w:eastAsiaTheme="minorEastAsia" w:hAnsi="Verdana" w:cstheme="minorBidi"/>
              <w:noProof/>
              <w:sz w:val="20"/>
              <w:szCs w:val="20"/>
            </w:rPr>
          </w:pPr>
          <w:hyperlink w:anchor="_Toc513644466" w:history="1">
            <w:r w:rsidR="009F4015" w:rsidRPr="00C004B1">
              <w:rPr>
                <w:rStyle w:val="Hyperlink"/>
                <w:rFonts w:ascii="Verdana" w:hAnsi="Verdana"/>
                <w:smallCaps/>
                <w:noProof/>
                <w:sz w:val="20"/>
                <w:szCs w:val="20"/>
              </w:rPr>
              <w:t>1.</w:t>
            </w:r>
            <w:r w:rsidR="009F4015" w:rsidRPr="00C004B1">
              <w:rPr>
                <w:rFonts w:ascii="Verdana" w:eastAsiaTheme="minorEastAsia" w:hAnsi="Verdana" w:cstheme="minorBidi"/>
                <w:noProof/>
                <w:sz w:val="20"/>
                <w:szCs w:val="20"/>
              </w:rPr>
              <w:tab/>
            </w:r>
            <w:r w:rsidR="009F4015" w:rsidRPr="00C004B1">
              <w:rPr>
                <w:rStyle w:val="Hyperlink"/>
                <w:rFonts w:ascii="Verdana" w:hAnsi="Verdana"/>
                <w:noProof/>
                <w:sz w:val="20"/>
                <w:szCs w:val="20"/>
              </w:rPr>
              <w:t>El Derecho a la Salud</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_Toc513644466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31</w:t>
            </w:r>
            <w:r w:rsidR="009F4015" w:rsidRPr="00C004B1">
              <w:rPr>
                <w:rFonts w:ascii="Verdana" w:hAnsi="Verdana"/>
                <w:noProof/>
                <w:webHidden/>
                <w:sz w:val="20"/>
                <w:szCs w:val="20"/>
              </w:rPr>
              <w:fldChar w:fldCharType="end"/>
            </w:r>
          </w:hyperlink>
        </w:p>
        <w:p w14:paraId="18D761F5" w14:textId="77777777" w:rsidR="009F4015" w:rsidRPr="00C004B1" w:rsidRDefault="00BE7922" w:rsidP="009F4015">
          <w:pPr>
            <w:pStyle w:val="TOC5"/>
            <w:tabs>
              <w:tab w:val="right" w:leader="dot" w:pos="9736"/>
            </w:tabs>
            <w:rPr>
              <w:rFonts w:ascii="Verdana" w:eastAsiaTheme="minorEastAsia" w:hAnsi="Verdana" w:cstheme="minorBidi"/>
              <w:noProof/>
              <w:sz w:val="20"/>
              <w:szCs w:val="20"/>
            </w:rPr>
          </w:pPr>
          <w:hyperlink w:anchor="_Toc513644467" w:history="1">
            <w:r w:rsidR="009F4015" w:rsidRPr="00C004B1">
              <w:rPr>
                <w:rStyle w:val="Hyperlink"/>
                <w:rFonts w:ascii="Verdana" w:eastAsia="Calibri" w:hAnsi="Verdana"/>
                <w:noProof/>
                <w:sz w:val="20"/>
                <w:szCs w:val="20"/>
                <w:lang w:val="es-ES_tradnl" w:eastAsia="en-US"/>
              </w:rPr>
              <w:t>1.1 El derecho a la salud protegido por el artículo 26 de la Convención</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_Toc513644467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31</w:t>
            </w:r>
            <w:r w:rsidR="009F4015" w:rsidRPr="00C004B1">
              <w:rPr>
                <w:rFonts w:ascii="Verdana" w:hAnsi="Verdana"/>
                <w:noProof/>
                <w:webHidden/>
                <w:sz w:val="20"/>
                <w:szCs w:val="20"/>
              </w:rPr>
              <w:fldChar w:fldCharType="end"/>
            </w:r>
          </w:hyperlink>
        </w:p>
        <w:p w14:paraId="19D5A516" w14:textId="77777777" w:rsidR="009F4015" w:rsidRPr="00C004B1" w:rsidRDefault="00BE7922" w:rsidP="009F4015">
          <w:pPr>
            <w:pStyle w:val="TOC5"/>
            <w:tabs>
              <w:tab w:val="right" w:leader="dot" w:pos="9736"/>
            </w:tabs>
            <w:rPr>
              <w:rFonts w:ascii="Verdana" w:eastAsiaTheme="minorEastAsia" w:hAnsi="Verdana" w:cstheme="minorBidi"/>
              <w:noProof/>
              <w:sz w:val="20"/>
              <w:szCs w:val="20"/>
            </w:rPr>
          </w:pPr>
          <w:hyperlink w:anchor="_Toc513644468" w:history="1">
            <w:r w:rsidR="009F4015" w:rsidRPr="00C004B1">
              <w:rPr>
                <w:rStyle w:val="Hyperlink"/>
                <w:rFonts w:ascii="Verdana" w:eastAsia="Calibri" w:hAnsi="Verdana"/>
                <w:noProof/>
                <w:sz w:val="20"/>
                <w:szCs w:val="20"/>
                <w:lang w:val="es-MX" w:eastAsia="en-US"/>
              </w:rPr>
              <w:t>1.1.1 Estándares sobre el derecho a la salud aplicables a situaciones de urgencia médica</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_Toc513644468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39</w:t>
            </w:r>
            <w:r w:rsidR="009F4015" w:rsidRPr="00C004B1">
              <w:rPr>
                <w:rFonts w:ascii="Verdana" w:hAnsi="Verdana"/>
                <w:noProof/>
                <w:webHidden/>
                <w:sz w:val="20"/>
                <w:szCs w:val="20"/>
              </w:rPr>
              <w:fldChar w:fldCharType="end"/>
            </w:r>
          </w:hyperlink>
        </w:p>
        <w:p w14:paraId="342AEF7F" w14:textId="77777777" w:rsidR="009F4015" w:rsidRPr="00C004B1" w:rsidRDefault="00BE7922" w:rsidP="009F4015">
          <w:pPr>
            <w:pStyle w:val="TOC5"/>
            <w:tabs>
              <w:tab w:val="right" w:leader="dot" w:pos="9736"/>
            </w:tabs>
            <w:rPr>
              <w:rFonts w:ascii="Verdana" w:eastAsiaTheme="minorEastAsia" w:hAnsi="Verdana" w:cstheme="minorBidi"/>
              <w:noProof/>
              <w:sz w:val="20"/>
              <w:szCs w:val="20"/>
            </w:rPr>
          </w:pPr>
          <w:hyperlink w:anchor="_Toc513644469" w:history="1">
            <w:r w:rsidR="009F4015" w:rsidRPr="00C004B1">
              <w:rPr>
                <w:rStyle w:val="Hyperlink"/>
                <w:rFonts w:ascii="Verdana" w:eastAsia="Calibri" w:hAnsi="Verdana"/>
                <w:noProof/>
                <w:sz w:val="20"/>
                <w:szCs w:val="20"/>
                <w:lang w:val="es-MX" w:eastAsia="en-US"/>
              </w:rPr>
              <w:t>1.1.2  Respecto de las personas mayores en materia de salud</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_Toc513644469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41</w:t>
            </w:r>
            <w:r w:rsidR="009F4015" w:rsidRPr="00C004B1">
              <w:rPr>
                <w:rFonts w:ascii="Verdana" w:hAnsi="Verdana"/>
                <w:noProof/>
                <w:webHidden/>
                <w:sz w:val="20"/>
                <w:szCs w:val="20"/>
              </w:rPr>
              <w:fldChar w:fldCharType="end"/>
            </w:r>
          </w:hyperlink>
        </w:p>
        <w:p w14:paraId="6E329EF2" w14:textId="77777777" w:rsidR="009F4015" w:rsidRPr="00C004B1" w:rsidRDefault="00BE7922" w:rsidP="009F4015">
          <w:pPr>
            <w:pStyle w:val="TOC5"/>
            <w:tabs>
              <w:tab w:val="right" w:leader="dot" w:pos="9736"/>
            </w:tabs>
            <w:rPr>
              <w:rFonts w:ascii="Verdana" w:eastAsiaTheme="minorEastAsia" w:hAnsi="Verdana" w:cstheme="minorBidi"/>
              <w:noProof/>
              <w:sz w:val="20"/>
              <w:szCs w:val="20"/>
            </w:rPr>
          </w:pPr>
          <w:hyperlink w:anchor="_Toc513644470" w:history="1">
            <w:r w:rsidR="009F4015" w:rsidRPr="00C004B1">
              <w:rPr>
                <w:rStyle w:val="Hyperlink"/>
                <w:rFonts w:ascii="Verdana" w:eastAsia="Calibri" w:hAnsi="Verdana"/>
                <w:noProof/>
                <w:sz w:val="20"/>
                <w:szCs w:val="20"/>
                <w:lang w:val="es-MX" w:eastAsia="en-US"/>
              </w:rPr>
              <w:t>1.1.3  Análisis del presente caso</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_Toc513644470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45</w:t>
            </w:r>
            <w:r w:rsidR="009F4015" w:rsidRPr="00C004B1">
              <w:rPr>
                <w:rFonts w:ascii="Verdana" w:hAnsi="Verdana"/>
                <w:noProof/>
                <w:webHidden/>
                <w:sz w:val="20"/>
                <w:szCs w:val="20"/>
              </w:rPr>
              <w:fldChar w:fldCharType="end"/>
            </w:r>
          </w:hyperlink>
        </w:p>
        <w:p w14:paraId="27089284" w14:textId="77777777" w:rsidR="009F4015" w:rsidRPr="00C004B1" w:rsidRDefault="00BE7922" w:rsidP="009F4015">
          <w:pPr>
            <w:pStyle w:val="TOC5"/>
            <w:tabs>
              <w:tab w:val="right" w:leader="dot" w:pos="9736"/>
            </w:tabs>
            <w:rPr>
              <w:rFonts w:ascii="Verdana" w:eastAsiaTheme="minorEastAsia" w:hAnsi="Verdana" w:cstheme="minorBidi"/>
              <w:noProof/>
              <w:sz w:val="20"/>
              <w:szCs w:val="20"/>
            </w:rPr>
          </w:pPr>
          <w:hyperlink w:anchor="_Toc513644471" w:history="1">
            <w:r w:rsidR="009F4015" w:rsidRPr="00C004B1">
              <w:rPr>
                <w:rStyle w:val="Hyperlink"/>
                <w:rFonts w:ascii="Verdana" w:eastAsia="Calibri" w:hAnsi="Verdana"/>
                <w:noProof/>
                <w:sz w:val="20"/>
                <w:szCs w:val="20"/>
                <w:lang w:val="es-ES_tradnl" w:eastAsia="en-US"/>
              </w:rPr>
              <w:t>1.2  Derechos a la vida e integridad personal</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_Toc513644471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48</w:t>
            </w:r>
            <w:r w:rsidR="009F4015" w:rsidRPr="00C004B1">
              <w:rPr>
                <w:rFonts w:ascii="Verdana" w:hAnsi="Verdana"/>
                <w:noProof/>
                <w:webHidden/>
                <w:sz w:val="20"/>
                <w:szCs w:val="20"/>
              </w:rPr>
              <w:fldChar w:fldCharType="end"/>
            </w:r>
          </w:hyperlink>
        </w:p>
        <w:p w14:paraId="0EE99B50" w14:textId="77777777" w:rsidR="009F4015" w:rsidRPr="00C004B1" w:rsidRDefault="00BE7922" w:rsidP="009F4015">
          <w:pPr>
            <w:pStyle w:val="TOC5"/>
            <w:tabs>
              <w:tab w:val="right" w:leader="dot" w:pos="9736"/>
            </w:tabs>
            <w:rPr>
              <w:rFonts w:ascii="Verdana" w:eastAsiaTheme="minorEastAsia" w:hAnsi="Verdana" w:cstheme="minorBidi"/>
              <w:noProof/>
              <w:sz w:val="20"/>
              <w:szCs w:val="20"/>
            </w:rPr>
          </w:pPr>
          <w:hyperlink w:anchor="_Toc513644472" w:history="1">
            <w:r w:rsidR="009F4015" w:rsidRPr="00C004B1">
              <w:rPr>
                <w:rStyle w:val="Hyperlink"/>
                <w:rFonts w:ascii="Verdana" w:eastAsia="Calibri" w:hAnsi="Verdana"/>
                <w:noProof/>
                <w:sz w:val="20"/>
                <w:szCs w:val="20"/>
                <w:lang w:val="es-ES_tradnl" w:eastAsia="en-US"/>
              </w:rPr>
              <w:t>1.3 Derecho al consentimiento informado en materia de salud y  acceso a la información</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_Toc513644472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51</w:t>
            </w:r>
            <w:r w:rsidR="009F4015" w:rsidRPr="00C004B1">
              <w:rPr>
                <w:rFonts w:ascii="Verdana" w:hAnsi="Verdana"/>
                <w:noProof/>
                <w:webHidden/>
                <w:sz w:val="20"/>
                <w:szCs w:val="20"/>
              </w:rPr>
              <w:fldChar w:fldCharType="end"/>
            </w:r>
          </w:hyperlink>
        </w:p>
        <w:p w14:paraId="32F7F8DF" w14:textId="09E64F7A" w:rsidR="009F4015" w:rsidRPr="00C004B1" w:rsidRDefault="00BE7922" w:rsidP="009F4015">
          <w:pPr>
            <w:pStyle w:val="TOC5"/>
            <w:tabs>
              <w:tab w:val="right" w:leader="dot" w:pos="9736"/>
            </w:tabs>
            <w:rPr>
              <w:rFonts w:ascii="Verdana" w:eastAsiaTheme="minorEastAsia" w:hAnsi="Verdana" w:cstheme="minorBidi"/>
              <w:noProof/>
              <w:sz w:val="20"/>
              <w:szCs w:val="20"/>
            </w:rPr>
          </w:pPr>
          <w:hyperlink w:anchor="_Toc513644473" w:history="1">
            <w:r w:rsidR="009F4015" w:rsidRPr="00C004B1">
              <w:rPr>
                <w:rStyle w:val="Hyperlink"/>
                <w:rFonts w:ascii="Verdana" w:eastAsia="Calibri" w:hAnsi="Verdana"/>
                <w:noProof/>
                <w:sz w:val="20"/>
                <w:szCs w:val="20"/>
                <w:lang w:val="es-ES_tradnl" w:eastAsia="en-US"/>
              </w:rPr>
              <w:t>1.3.1. Respecto del señor Vinicio Poblete</w:t>
            </w:r>
            <w:r w:rsidR="00C004B1">
              <w:rPr>
                <w:rStyle w:val="Hyperlink"/>
                <w:rFonts w:ascii="Verdana" w:eastAsia="Calibri" w:hAnsi="Verdana"/>
                <w:noProof/>
                <w:sz w:val="20"/>
                <w:szCs w:val="20"/>
                <w:lang w:val="es-ES_tradnl" w:eastAsia="en-US"/>
              </w:rPr>
              <w:t xml:space="preserve"> y el reconocimiento parcial de </w:t>
            </w:r>
            <w:r w:rsidR="009F4015" w:rsidRPr="00C004B1">
              <w:rPr>
                <w:rStyle w:val="Hyperlink"/>
                <w:rFonts w:ascii="Verdana" w:eastAsia="Calibri" w:hAnsi="Verdana"/>
                <w:noProof/>
                <w:sz w:val="20"/>
                <w:szCs w:val="20"/>
                <w:lang w:val="es-ES_tradnl" w:eastAsia="en-US"/>
              </w:rPr>
              <w:t>responsabilidad del Estado</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_Toc513644473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51</w:t>
            </w:r>
            <w:r w:rsidR="009F4015" w:rsidRPr="00C004B1">
              <w:rPr>
                <w:rFonts w:ascii="Verdana" w:hAnsi="Verdana"/>
                <w:noProof/>
                <w:webHidden/>
                <w:sz w:val="20"/>
                <w:szCs w:val="20"/>
              </w:rPr>
              <w:fldChar w:fldCharType="end"/>
            </w:r>
          </w:hyperlink>
        </w:p>
        <w:p w14:paraId="6E134E50" w14:textId="77777777" w:rsidR="009F4015" w:rsidRPr="00C004B1" w:rsidRDefault="00BE7922" w:rsidP="009F4015">
          <w:pPr>
            <w:pStyle w:val="TOC5"/>
            <w:tabs>
              <w:tab w:val="right" w:leader="dot" w:pos="9736"/>
            </w:tabs>
            <w:rPr>
              <w:rFonts w:ascii="Verdana" w:eastAsiaTheme="minorEastAsia" w:hAnsi="Verdana" w:cstheme="minorBidi"/>
              <w:noProof/>
              <w:sz w:val="20"/>
              <w:szCs w:val="20"/>
            </w:rPr>
          </w:pPr>
          <w:hyperlink w:anchor="_Toc513644474" w:history="1">
            <w:r w:rsidR="009F4015" w:rsidRPr="00C004B1">
              <w:rPr>
                <w:rStyle w:val="Hyperlink"/>
                <w:rFonts w:ascii="Verdana" w:eastAsia="Calibri" w:hAnsi="Verdana"/>
                <w:noProof/>
                <w:sz w:val="20"/>
                <w:szCs w:val="20"/>
                <w:lang w:val="es-ES_tradnl" w:eastAsia="en-US"/>
              </w:rPr>
              <w:t>1.3.2 Consentimiento por sustitución y acceso a la información en materia de salud a favor de los familiares</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_Toc513644474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52</w:t>
            </w:r>
            <w:r w:rsidR="009F4015" w:rsidRPr="00C004B1">
              <w:rPr>
                <w:rFonts w:ascii="Verdana" w:hAnsi="Verdana"/>
                <w:noProof/>
                <w:webHidden/>
                <w:sz w:val="20"/>
                <w:szCs w:val="20"/>
              </w:rPr>
              <w:fldChar w:fldCharType="end"/>
            </w:r>
          </w:hyperlink>
        </w:p>
        <w:p w14:paraId="75B041F4" w14:textId="77777777" w:rsidR="009F4015" w:rsidRPr="00C004B1" w:rsidRDefault="00BE7922" w:rsidP="009F4015">
          <w:pPr>
            <w:pStyle w:val="TOC5"/>
            <w:tabs>
              <w:tab w:val="right" w:leader="dot" w:pos="9736"/>
            </w:tabs>
            <w:rPr>
              <w:rFonts w:ascii="Verdana" w:eastAsiaTheme="minorEastAsia" w:hAnsi="Verdana" w:cstheme="minorBidi"/>
              <w:noProof/>
              <w:sz w:val="20"/>
              <w:szCs w:val="20"/>
            </w:rPr>
          </w:pPr>
          <w:hyperlink w:anchor="_Toc513644475" w:history="1">
            <w:r w:rsidR="009F4015" w:rsidRPr="00C004B1">
              <w:rPr>
                <w:rStyle w:val="Hyperlink"/>
                <w:rFonts w:ascii="Verdana" w:eastAsia="Calibri" w:hAnsi="Verdana"/>
                <w:noProof/>
                <w:sz w:val="20"/>
                <w:szCs w:val="20"/>
                <w:lang w:val="es-ES_tradnl" w:eastAsia="en-US"/>
              </w:rPr>
              <w:t>1.4 Conclusión general sobre el derecho a la salud</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_Toc513644475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56</w:t>
            </w:r>
            <w:r w:rsidR="009F4015" w:rsidRPr="00C004B1">
              <w:rPr>
                <w:rFonts w:ascii="Verdana" w:hAnsi="Verdana"/>
                <w:noProof/>
                <w:webHidden/>
                <w:sz w:val="20"/>
                <w:szCs w:val="20"/>
              </w:rPr>
              <w:fldChar w:fldCharType="end"/>
            </w:r>
          </w:hyperlink>
        </w:p>
        <w:p w14:paraId="5CF19498" w14:textId="4965F263" w:rsidR="009F4015" w:rsidRPr="009F4015" w:rsidRDefault="00BE7922" w:rsidP="00C004B1">
          <w:pPr>
            <w:pStyle w:val="TOC1"/>
            <w:rPr>
              <w:rFonts w:eastAsiaTheme="minorEastAsia" w:cstheme="minorBidi"/>
              <w:noProof/>
            </w:rPr>
          </w:pPr>
          <w:hyperlink w:anchor="_Toc513644476" w:history="1">
            <w:r w:rsidR="009F4015" w:rsidRPr="009F4015">
              <w:rPr>
                <w:rStyle w:val="Hyperlink"/>
                <w:rFonts w:ascii="Verdana" w:hAnsi="Verdana"/>
                <w:noProof/>
              </w:rPr>
              <w:t>VII-2</w:t>
            </w:r>
            <w:r w:rsidR="009F4015" w:rsidRPr="009F4015">
              <w:rPr>
                <w:noProof/>
                <w:webHidden/>
              </w:rPr>
              <w:tab/>
            </w:r>
          </w:hyperlink>
          <w:r w:rsidR="00C004B1" w:rsidRPr="00C004B1">
            <w:rPr>
              <w:rStyle w:val="Hyperlink"/>
              <w:rFonts w:ascii="Verdana" w:hAnsi="Verdana"/>
              <w:noProof/>
              <w:u w:val="none"/>
            </w:rPr>
            <w:t xml:space="preserve"> </w:t>
          </w:r>
          <w:hyperlink w:anchor="_Toc513644477" w:history="1">
            <w:r w:rsidR="009F4015" w:rsidRPr="009F4015">
              <w:rPr>
                <w:rStyle w:val="Hyperlink"/>
                <w:rFonts w:ascii="Verdana" w:hAnsi="Verdana"/>
                <w:noProof/>
              </w:rPr>
              <w:t>DERECHOS A LAS GARANTÍAS JUDICIALES Y A LA PROTECCIÓN JUDICIAL (ARTÍCULOS 8 Y 25 DE LA CONVENCIÓN AMERICANA)</w:t>
            </w:r>
            <w:r w:rsidR="009F4015" w:rsidRPr="009F4015">
              <w:rPr>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_Toc513644477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57</w:t>
            </w:r>
            <w:r w:rsidR="009F4015" w:rsidRPr="008D6B5C">
              <w:rPr>
                <w:rFonts w:ascii="Verdana" w:hAnsi="Verdana"/>
                <w:b w:val="0"/>
                <w:noProof/>
                <w:webHidden/>
              </w:rPr>
              <w:fldChar w:fldCharType="end"/>
            </w:r>
          </w:hyperlink>
        </w:p>
        <w:p w14:paraId="3ADE7CF6" w14:textId="77777777" w:rsidR="009F4015" w:rsidRPr="009F4015" w:rsidRDefault="00BE7922" w:rsidP="009F4015">
          <w:pPr>
            <w:pStyle w:val="TOC3"/>
            <w:rPr>
              <w:rFonts w:eastAsiaTheme="minorEastAsia" w:cstheme="minorBidi"/>
              <w:iCs w:val="0"/>
            </w:rPr>
          </w:pPr>
          <w:hyperlink w:anchor="_Toc513644478" w:history="1">
            <w:r w:rsidR="009F4015" w:rsidRPr="009F4015">
              <w:rPr>
                <w:rStyle w:val="Hyperlink"/>
              </w:rPr>
              <w:t>A.</w:t>
            </w:r>
            <w:r w:rsidR="009F4015" w:rsidRPr="009F4015">
              <w:rPr>
                <w:rFonts w:eastAsiaTheme="minorEastAsia" w:cstheme="minorBidi"/>
                <w:iCs w:val="0"/>
              </w:rPr>
              <w:tab/>
            </w:r>
            <w:r w:rsidR="009F4015" w:rsidRPr="009F4015">
              <w:rPr>
                <w:rStyle w:val="Hyperlink"/>
              </w:rPr>
              <w:t>Argumentos de las partes y de la Comisión</w:t>
            </w:r>
            <w:r w:rsidR="009F4015" w:rsidRPr="009F4015">
              <w:rPr>
                <w:webHidden/>
              </w:rPr>
              <w:tab/>
            </w:r>
            <w:r w:rsidR="009F4015" w:rsidRPr="009F4015">
              <w:rPr>
                <w:webHidden/>
              </w:rPr>
              <w:fldChar w:fldCharType="begin"/>
            </w:r>
            <w:r w:rsidR="009F4015" w:rsidRPr="009F4015">
              <w:rPr>
                <w:webHidden/>
              </w:rPr>
              <w:instrText xml:space="preserve"> PAGEREF _Toc513644478 \h </w:instrText>
            </w:r>
            <w:r w:rsidR="009F4015" w:rsidRPr="009F4015">
              <w:rPr>
                <w:webHidden/>
              </w:rPr>
            </w:r>
            <w:r w:rsidR="009F4015" w:rsidRPr="009F4015">
              <w:rPr>
                <w:webHidden/>
              </w:rPr>
              <w:fldChar w:fldCharType="separate"/>
            </w:r>
            <w:r w:rsidR="00B263FD">
              <w:rPr>
                <w:webHidden/>
              </w:rPr>
              <w:t>57</w:t>
            </w:r>
            <w:r w:rsidR="009F4015" w:rsidRPr="009F4015">
              <w:rPr>
                <w:webHidden/>
              </w:rPr>
              <w:fldChar w:fldCharType="end"/>
            </w:r>
          </w:hyperlink>
        </w:p>
        <w:p w14:paraId="046CB8DF" w14:textId="77777777" w:rsidR="009F4015" w:rsidRPr="009F4015" w:rsidRDefault="00BE7922" w:rsidP="009F4015">
          <w:pPr>
            <w:pStyle w:val="TOC3"/>
            <w:rPr>
              <w:rFonts w:eastAsiaTheme="minorEastAsia" w:cstheme="minorBidi"/>
              <w:iCs w:val="0"/>
            </w:rPr>
          </w:pPr>
          <w:hyperlink w:anchor="_Toc513644479" w:history="1">
            <w:r w:rsidR="009F4015" w:rsidRPr="009F4015">
              <w:rPr>
                <w:rStyle w:val="Hyperlink"/>
              </w:rPr>
              <w:t>B.</w:t>
            </w:r>
            <w:r w:rsidR="009F4015" w:rsidRPr="009F4015">
              <w:rPr>
                <w:rFonts w:eastAsiaTheme="minorEastAsia" w:cstheme="minorBidi"/>
                <w:iCs w:val="0"/>
              </w:rPr>
              <w:tab/>
            </w:r>
            <w:r w:rsidR="009F4015" w:rsidRPr="009F4015">
              <w:rPr>
                <w:rStyle w:val="Hyperlink"/>
              </w:rPr>
              <w:t>Consideraciones de la Corte</w:t>
            </w:r>
            <w:r w:rsidR="009F4015" w:rsidRPr="009F4015">
              <w:rPr>
                <w:webHidden/>
              </w:rPr>
              <w:tab/>
            </w:r>
            <w:r w:rsidR="009F4015" w:rsidRPr="009F4015">
              <w:rPr>
                <w:webHidden/>
              </w:rPr>
              <w:fldChar w:fldCharType="begin"/>
            </w:r>
            <w:r w:rsidR="009F4015" w:rsidRPr="009F4015">
              <w:rPr>
                <w:webHidden/>
              </w:rPr>
              <w:instrText xml:space="preserve"> PAGEREF _Toc513644479 \h </w:instrText>
            </w:r>
            <w:r w:rsidR="009F4015" w:rsidRPr="009F4015">
              <w:rPr>
                <w:webHidden/>
              </w:rPr>
            </w:r>
            <w:r w:rsidR="009F4015" w:rsidRPr="009F4015">
              <w:rPr>
                <w:webHidden/>
              </w:rPr>
              <w:fldChar w:fldCharType="separate"/>
            </w:r>
            <w:r w:rsidR="00B263FD">
              <w:rPr>
                <w:webHidden/>
              </w:rPr>
              <w:t>59</w:t>
            </w:r>
            <w:r w:rsidR="009F4015" w:rsidRPr="009F4015">
              <w:rPr>
                <w:webHidden/>
              </w:rPr>
              <w:fldChar w:fldCharType="end"/>
            </w:r>
          </w:hyperlink>
        </w:p>
        <w:p w14:paraId="59FCEBC5" w14:textId="77777777" w:rsidR="009F4015" w:rsidRPr="00C004B1" w:rsidRDefault="00BE7922" w:rsidP="009F4015">
          <w:pPr>
            <w:pStyle w:val="TOC4"/>
            <w:tabs>
              <w:tab w:val="right" w:leader="dot" w:pos="9736"/>
            </w:tabs>
            <w:rPr>
              <w:rFonts w:ascii="Verdana" w:eastAsiaTheme="minorEastAsia" w:hAnsi="Verdana" w:cstheme="minorBidi"/>
              <w:noProof/>
              <w:sz w:val="20"/>
              <w:szCs w:val="20"/>
            </w:rPr>
          </w:pPr>
          <w:hyperlink w:anchor="_Toc513644480" w:history="1">
            <w:r w:rsidR="009F4015" w:rsidRPr="00C004B1">
              <w:rPr>
                <w:rStyle w:val="Hyperlink"/>
                <w:rFonts w:ascii="Verdana" w:hAnsi="Verdana"/>
                <w:noProof/>
                <w:sz w:val="20"/>
                <w:szCs w:val="20"/>
              </w:rPr>
              <w:t>1. Respecto de la debida diligencia</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_Toc513644480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59</w:t>
            </w:r>
            <w:r w:rsidR="009F4015" w:rsidRPr="00C004B1">
              <w:rPr>
                <w:rFonts w:ascii="Verdana" w:hAnsi="Verdana"/>
                <w:noProof/>
                <w:webHidden/>
                <w:sz w:val="20"/>
                <w:szCs w:val="20"/>
              </w:rPr>
              <w:fldChar w:fldCharType="end"/>
            </w:r>
          </w:hyperlink>
        </w:p>
        <w:p w14:paraId="56EDDD93" w14:textId="77777777" w:rsidR="009F4015" w:rsidRPr="00C004B1" w:rsidRDefault="00BE7922" w:rsidP="009F4015">
          <w:pPr>
            <w:pStyle w:val="TOC4"/>
            <w:tabs>
              <w:tab w:val="right" w:leader="dot" w:pos="9736"/>
            </w:tabs>
            <w:rPr>
              <w:rFonts w:ascii="Verdana" w:eastAsiaTheme="minorEastAsia" w:hAnsi="Verdana" w:cstheme="minorBidi"/>
              <w:noProof/>
              <w:sz w:val="20"/>
              <w:szCs w:val="20"/>
            </w:rPr>
          </w:pPr>
          <w:hyperlink w:anchor="_Toc513644481" w:history="1">
            <w:r w:rsidR="009F4015" w:rsidRPr="00C004B1">
              <w:rPr>
                <w:rStyle w:val="Hyperlink"/>
                <w:rFonts w:ascii="Verdana" w:hAnsi="Verdana"/>
                <w:noProof/>
                <w:sz w:val="20"/>
                <w:szCs w:val="20"/>
              </w:rPr>
              <w:t>2. Respecto de la imparcialidad judicial</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_Toc513644481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62</w:t>
            </w:r>
            <w:r w:rsidR="009F4015" w:rsidRPr="00C004B1">
              <w:rPr>
                <w:rFonts w:ascii="Verdana" w:hAnsi="Verdana"/>
                <w:noProof/>
                <w:webHidden/>
                <w:sz w:val="20"/>
                <w:szCs w:val="20"/>
              </w:rPr>
              <w:fldChar w:fldCharType="end"/>
            </w:r>
          </w:hyperlink>
        </w:p>
        <w:p w14:paraId="714D880E" w14:textId="09B0A9CA" w:rsidR="009F4015" w:rsidRPr="009F4015" w:rsidRDefault="00BE7922" w:rsidP="00C004B1">
          <w:pPr>
            <w:pStyle w:val="TOC1"/>
            <w:rPr>
              <w:rFonts w:eastAsiaTheme="minorEastAsia" w:cstheme="minorBidi"/>
              <w:noProof/>
            </w:rPr>
          </w:pPr>
          <w:hyperlink w:anchor="_Toc513644482" w:history="1">
            <w:r w:rsidR="009F4015" w:rsidRPr="009F4015">
              <w:rPr>
                <w:rStyle w:val="Hyperlink"/>
                <w:rFonts w:ascii="Verdana" w:hAnsi="Verdana"/>
                <w:noProof/>
              </w:rPr>
              <w:t>VII-3</w:t>
            </w:r>
            <w:r w:rsidR="009F4015" w:rsidRPr="009F4015">
              <w:rPr>
                <w:noProof/>
                <w:webHidden/>
              </w:rPr>
              <w:tab/>
            </w:r>
          </w:hyperlink>
          <w:r w:rsidR="00C004B1">
            <w:rPr>
              <w:rFonts w:eastAsiaTheme="minorEastAsia" w:cstheme="minorBidi"/>
              <w:noProof/>
            </w:rPr>
            <w:t xml:space="preserve"> </w:t>
          </w:r>
          <w:hyperlink w:anchor="_Toc513644483" w:history="1">
            <w:r w:rsidR="009F4015" w:rsidRPr="009F4015">
              <w:rPr>
                <w:rStyle w:val="Hyperlink"/>
                <w:rFonts w:ascii="Verdana" w:hAnsi="Verdana"/>
                <w:noProof/>
              </w:rPr>
              <w:t>DERECHO A LA INTEGRIDAD PERSONAL DE LOS FAMILIARES</w:t>
            </w:r>
            <w:r w:rsidR="009F4015" w:rsidRPr="009F4015">
              <w:rPr>
                <w:noProof/>
                <w:webHidden/>
              </w:rPr>
              <w:tab/>
            </w:r>
          </w:hyperlink>
          <w:hyperlink w:anchor="_Toc513644484" w:history="1">
            <w:r w:rsidR="009F4015" w:rsidRPr="009F4015">
              <w:rPr>
                <w:rStyle w:val="Hyperlink"/>
                <w:rFonts w:ascii="Verdana" w:hAnsi="Verdana"/>
                <w:noProof/>
              </w:rPr>
              <w:t>(ARTÍCULO 5.1 DE LA CONVENCIÓN AMERICANA)</w:t>
            </w:r>
            <w:r w:rsidR="009F4015" w:rsidRPr="009F4015">
              <w:rPr>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_Toc513644484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63</w:t>
            </w:r>
            <w:r w:rsidR="009F4015" w:rsidRPr="008D6B5C">
              <w:rPr>
                <w:rFonts w:ascii="Verdana" w:hAnsi="Verdana"/>
                <w:b w:val="0"/>
                <w:noProof/>
                <w:webHidden/>
              </w:rPr>
              <w:fldChar w:fldCharType="end"/>
            </w:r>
          </w:hyperlink>
        </w:p>
        <w:p w14:paraId="466972FA" w14:textId="77777777" w:rsidR="009F4015" w:rsidRPr="009F4015" w:rsidRDefault="00BE7922" w:rsidP="009F4015">
          <w:pPr>
            <w:pStyle w:val="TOC3"/>
            <w:rPr>
              <w:rFonts w:eastAsiaTheme="minorEastAsia" w:cstheme="minorBidi"/>
              <w:iCs w:val="0"/>
            </w:rPr>
          </w:pPr>
          <w:hyperlink w:anchor="_Toc513644485" w:history="1">
            <w:r w:rsidR="009F4015" w:rsidRPr="009F4015">
              <w:rPr>
                <w:rStyle w:val="Hyperlink"/>
              </w:rPr>
              <w:t>A.</w:t>
            </w:r>
            <w:r w:rsidR="009F4015" w:rsidRPr="009F4015">
              <w:rPr>
                <w:rFonts w:eastAsiaTheme="minorEastAsia" w:cstheme="minorBidi"/>
                <w:iCs w:val="0"/>
              </w:rPr>
              <w:tab/>
            </w:r>
            <w:r w:rsidR="009F4015" w:rsidRPr="009F4015">
              <w:rPr>
                <w:rStyle w:val="Hyperlink"/>
              </w:rPr>
              <w:t>Argumentos de la Comisión y de las partes</w:t>
            </w:r>
            <w:r w:rsidR="009F4015" w:rsidRPr="009F4015">
              <w:rPr>
                <w:webHidden/>
              </w:rPr>
              <w:tab/>
            </w:r>
            <w:r w:rsidR="009F4015" w:rsidRPr="009F4015">
              <w:rPr>
                <w:webHidden/>
              </w:rPr>
              <w:fldChar w:fldCharType="begin"/>
            </w:r>
            <w:r w:rsidR="009F4015" w:rsidRPr="009F4015">
              <w:rPr>
                <w:webHidden/>
              </w:rPr>
              <w:instrText xml:space="preserve"> PAGEREF _Toc513644485 \h </w:instrText>
            </w:r>
            <w:r w:rsidR="009F4015" w:rsidRPr="009F4015">
              <w:rPr>
                <w:webHidden/>
              </w:rPr>
            </w:r>
            <w:r w:rsidR="009F4015" w:rsidRPr="009F4015">
              <w:rPr>
                <w:webHidden/>
              </w:rPr>
              <w:fldChar w:fldCharType="separate"/>
            </w:r>
            <w:r w:rsidR="00B263FD">
              <w:rPr>
                <w:webHidden/>
              </w:rPr>
              <w:t>63</w:t>
            </w:r>
            <w:r w:rsidR="009F4015" w:rsidRPr="009F4015">
              <w:rPr>
                <w:webHidden/>
              </w:rPr>
              <w:fldChar w:fldCharType="end"/>
            </w:r>
          </w:hyperlink>
        </w:p>
        <w:p w14:paraId="566CBE41" w14:textId="77777777" w:rsidR="009F4015" w:rsidRPr="009F4015" w:rsidRDefault="00BE7922" w:rsidP="009F4015">
          <w:pPr>
            <w:pStyle w:val="TOC3"/>
            <w:rPr>
              <w:rFonts w:eastAsiaTheme="minorEastAsia" w:cstheme="minorBidi"/>
              <w:iCs w:val="0"/>
            </w:rPr>
          </w:pPr>
          <w:hyperlink w:anchor="_Toc513644486" w:history="1">
            <w:r w:rsidR="009F4015" w:rsidRPr="009F4015">
              <w:rPr>
                <w:rStyle w:val="Hyperlink"/>
              </w:rPr>
              <w:t>B.</w:t>
            </w:r>
            <w:r w:rsidR="009F4015" w:rsidRPr="009F4015">
              <w:rPr>
                <w:rFonts w:eastAsiaTheme="minorEastAsia" w:cstheme="minorBidi"/>
                <w:iCs w:val="0"/>
              </w:rPr>
              <w:tab/>
            </w:r>
            <w:r w:rsidR="009F4015" w:rsidRPr="009F4015">
              <w:rPr>
                <w:rStyle w:val="Hyperlink"/>
              </w:rPr>
              <w:t>Consideraciones de la Corte</w:t>
            </w:r>
            <w:r w:rsidR="009F4015" w:rsidRPr="009F4015">
              <w:rPr>
                <w:webHidden/>
              </w:rPr>
              <w:tab/>
            </w:r>
            <w:r w:rsidR="009F4015" w:rsidRPr="009F4015">
              <w:rPr>
                <w:webHidden/>
              </w:rPr>
              <w:fldChar w:fldCharType="begin"/>
            </w:r>
            <w:r w:rsidR="009F4015" w:rsidRPr="009F4015">
              <w:rPr>
                <w:webHidden/>
              </w:rPr>
              <w:instrText xml:space="preserve"> PAGEREF _Toc513644486 \h </w:instrText>
            </w:r>
            <w:r w:rsidR="009F4015" w:rsidRPr="009F4015">
              <w:rPr>
                <w:webHidden/>
              </w:rPr>
            </w:r>
            <w:r w:rsidR="009F4015" w:rsidRPr="009F4015">
              <w:rPr>
                <w:webHidden/>
              </w:rPr>
              <w:fldChar w:fldCharType="separate"/>
            </w:r>
            <w:r w:rsidR="00B263FD">
              <w:rPr>
                <w:webHidden/>
              </w:rPr>
              <w:t>64</w:t>
            </w:r>
            <w:r w:rsidR="009F4015" w:rsidRPr="009F4015">
              <w:rPr>
                <w:webHidden/>
              </w:rPr>
              <w:fldChar w:fldCharType="end"/>
            </w:r>
          </w:hyperlink>
        </w:p>
        <w:p w14:paraId="5BBAF2A2" w14:textId="1BB453CF" w:rsidR="009F4015" w:rsidRPr="009F4015" w:rsidRDefault="00BE7922" w:rsidP="00C004B1">
          <w:pPr>
            <w:pStyle w:val="TOC1"/>
            <w:rPr>
              <w:rFonts w:eastAsiaTheme="minorEastAsia" w:cstheme="minorBidi"/>
              <w:noProof/>
            </w:rPr>
          </w:pPr>
          <w:hyperlink w:anchor="_Toc513644487" w:history="1">
            <w:r w:rsidR="009F4015" w:rsidRPr="009F4015">
              <w:rPr>
                <w:rStyle w:val="Hyperlink"/>
                <w:rFonts w:ascii="Verdana" w:hAnsi="Verdana"/>
                <w:noProof/>
              </w:rPr>
              <w:t>VIII</w:t>
            </w:r>
          </w:hyperlink>
          <w:r w:rsidR="00C004B1" w:rsidRPr="00C004B1">
            <w:rPr>
              <w:rStyle w:val="Hyperlink"/>
              <w:rFonts w:ascii="Verdana" w:hAnsi="Verdana"/>
              <w:noProof/>
              <w:u w:val="none"/>
            </w:rPr>
            <w:t xml:space="preserve"> </w:t>
          </w:r>
          <w:hyperlink w:anchor="_Toc513644488" w:history="1">
            <w:r w:rsidR="009F4015" w:rsidRPr="009F4015">
              <w:rPr>
                <w:rStyle w:val="Hyperlink"/>
                <w:rFonts w:ascii="Verdana" w:hAnsi="Verdana"/>
                <w:noProof/>
              </w:rPr>
              <w:t>REPARACIONES</w:t>
            </w:r>
            <w:r w:rsidR="009F4015" w:rsidRPr="009F4015">
              <w:rPr>
                <w:noProof/>
                <w:webHidden/>
              </w:rPr>
              <w:tab/>
            </w:r>
          </w:hyperlink>
          <w:r w:rsidR="00C004B1">
            <w:rPr>
              <w:rFonts w:eastAsiaTheme="minorEastAsia" w:cstheme="minorBidi"/>
              <w:noProof/>
            </w:rPr>
            <w:t xml:space="preserve"> </w:t>
          </w:r>
          <w:hyperlink w:anchor="_Toc513644489" w:history="1">
            <w:r w:rsidR="009F4015" w:rsidRPr="009F4015">
              <w:rPr>
                <w:rStyle w:val="Hyperlink"/>
                <w:rFonts w:ascii="Verdana" w:hAnsi="Verdana"/>
                <w:noProof/>
              </w:rPr>
              <w:t>(</w:t>
            </w:r>
            <w:r w:rsidR="009F4015" w:rsidRPr="009F4015">
              <w:rPr>
                <w:rStyle w:val="Hyperlink"/>
                <w:rFonts w:ascii="Verdana" w:hAnsi="Verdana"/>
                <w:i/>
                <w:noProof/>
              </w:rPr>
              <w:t>APLICACIÓN DEL ARTÍCULO 63.1 DE LA CONVENCIÓN AMERICANA</w:t>
            </w:r>
            <w:r w:rsidR="009F4015" w:rsidRPr="009F4015">
              <w:rPr>
                <w:rStyle w:val="Hyperlink"/>
                <w:rFonts w:ascii="Verdana" w:hAnsi="Verdana"/>
                <w:noProof/>
              </w:rPr>
              <w:t>)</w:t>
            </w:r>
            <w:r w:rsidR="009F4015" w:rsidRPr="009F4015">
              <w:rPr>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_Toc513644489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66</w:t>
            </w:r>
            <w:r w:rsidR="009F4015" w:rsidRPr="008D6B5C">
              <w:rPr>
                <w:rFonts w:ascii="Verdana" w:hAnsi="Verdana"/>
                <w:b w:val="0"/>
                <w:noProof/>
                <w:webHidden/>
              </w:rPr>
              <w:fldChar w:fldCharType="end"/>
            </w:r>
          </w:hyperlink>
        </w:p>
        <w:p w14:paraId="2DFB1362" w14:textId="77777777" w:rsidR="009F4015" w:rsidRPr="009F4015" w:rsidRDefault="00BE7922" w:rsidP="009F4015">
          <w:pPr>
            <w:pStyle w:val="TOC3"/>
            <w:rPr>
              <w:rFonts w:eastAsiaTheme="minorEastAsia" w:cstheme="minorBidi"/>
              <w:iCs w:val="0"/>
            </w:rPr>
          </w:pPr>
          <w:hyperlink w:anchor="_Toc513644490" w:history="1">
            <w:r w:rsidR="009F4015" w:rsidRPr="009F4015">
              <w:rPr>
                <w:rStyle w:val="Hyperlink"/>
              </w:rPr>
              <w:t>A.</w:t>
            </w:r>
            <w:r w:rsidR="009F4015" w:rsidRPr="009F4015">
              <w:rPr>
                <w:rFonts w:eastAsiaTheme="minorEastAsia" w:cstheme="minorBidi"/>
                <w:iCs w:val="0"/>
              </w:rPr>
              <w:tab/>
            </w:r>
            <w:r w:rsidR="009F4015" w:rsidRPr="009F4015">
              <w:rPr>
                <w:rStyle w:val="Hyperlink"/>
              </w:rPr>
              <w:t>Parte lesionada</w:t>
            </w:r>
            <w:r w:rsidR="009F4015" w:rsidRPr="009F4015">
              <w:rPr>
                <w:webHidden/>
              </w:rPr>
              <w:tab/>
            </w:r>
            <w:r w:rsidR="009F4015" w:rsidRPr="009F4015">
              <w:rPr>
                <w:webHidden/>
              </w:rPr>
              <w:fldChar w:fldCharType="begin"/>
            </w:r>
            <w:r w:rsidR="009F4015" w:rsidRPr="009F4015">
              <w:rPr>
                <w:webHidden/>
              </w:rPr>
              <w:instrText xml:space="preserve"> PAGEREF _Toc513644490 \h </w:instrText>
            </w:r>
            <w:r w:rsidR="009F4015" w:rsidRPr="009F4015">
              <w:rPr>
                <w:webHidden/>
              </w:rPr>
            </w:r>
            <w:r w:rsidR="009F4015" w:rsidRPr="009F4015">
              <w:rPr>
                <w:webHidden/>
              </w:rPr>
              <w:fldChar w:fldCharType="separate"/>
            </w:r>
            <w:r w:rsidR="00B263FD">
              <w:rPr>
                <w:webHidden/>
              </w:rPr>
              <w:t>67</w:t>
            </w:r>
            <w:r w:rsidR="009F4015" w:rsidRPr="009F4015">
              <w:rPr>
                <w:webHidden/>
              </w:rPr>
              <w:fldChar w:fldCharType="end"/>
            </w:r>
          </w:hyperlink>
        </w:p>
        <w:p w14:paraId="14236AF9" w14:textId="77777777" w:rsidR="009F4015" w:rsidRPr="009F4015" w:rsidRDefault="00BE7922" w:rsidP="009F4015">
          <w:pPr>
            <w:pStyle w:val="TOC3"/>
            <w:rPr>
              <w:rFonts w:eastAsiaTheme="minorEastAsia" w:cstheme="minorBidi"/>
              <w:iCs w:val="0"/>
            </w:rPr>
          </w:pPr>
          <w:hyperlink w:anchor="_Toc513644491" w:history="1">
            <w:r w:rsidR="009F4015" w:rsidRPr="009F4015">
              <w:rPr>
                <w:rStyle w:val="Hyperlink"/>
              </w:rPr>
              <w:t>B.</w:t>
            </w:r>
            <w:r w:rsidR="009F4015" w:rsidRPr="009F4015">
              <w:rPr>
                <w:rFonts w:eastAsiaTheme="minorEastAsia" w:cstheme="minorBidi"/>
                <w:iCs w:val="0"/>
              </w:rPr>
              <w:tab/>
            </w:r>
            <w:r w:rsidR="009F4015" w:rsidRPr="009F4015">
              <w:rPr>
                <w:rStyle w:val="Hyperlink"/>
              </w:rPr>
              <w:t>Investigación</w:t>
            </w:r>
            <w:r w:rsidR="009F4015" w:rsidRPr="009F4015">
              <w:rPr>
                <w:webHidden/>
              </w:rPr>
              <w:tab/>
            </w:r>
            <w:r w:rsidR="009F4015" w:rsidRPr="009F4015">
              <w:rPr>
                <w:webHidden/>
              </w:rPr>
              <w:fldChar w:fldCharType="begin"/>
            </w:r>
            <w:r w:rsidR="009F4015" w:rsidRPr="009F4015">
              <w:rPr>
                <w:webHidden/>
              </w:rPr>
              <w:instrText xml:space="preserve"> PAGEREF _Toc513644491 \h </w:instrText>
            </w:r>
            <w:r w:rsidR="009F4015" w:rsidRPr="009F4015">
              <w:rPr>
                <w:webHidden/>
              </w:rPr>
            </w:r>
            <w:r w:rsidR="009F4015" w:rsidRPr="009F4015">
              <w:rPr>
                <w:webHidden/>
              </w:rPr>
              <w:fldChar w:fldCharType="separate"/>
            </w:r>
            <w:r w:rsidR="00B263FD">
              <w:rPr>
                <w:webHidden/>
              </w:rPr>
              <w:t>67</w:t>
            </w:r>
            <w:r w:rsidR="009F4015" w:rsidRPr="009F4015">
              <w:rPr>
                <w:webHidden/>
              </w:rPr>
              <w:fldChar w:fldCharType="end"/>
            </w:r>
          </w:hyperlink>
        </w:p>
        <w:p w14:paraId="2DCB9A2A" w14:textId="77777777" w:rsidR="009F4015" w:rsidRPr="009F4015" w:rsidRDefault="00BE7922" w:rsidP="009F4015">
          <w:pPr>
            <w:pStyle w:val="TOC3"/>
            <w:rPr>
              <w:rFonts w:eastAsiaTheme="minorEastAsia" w:cstheme="minorBidi"/>
              <w:iCs w:val="0"/>
            </w:rPr>
          </w:pPr>
          <w:hyperlink w:anchor="_Toc513644492" w:history="1">
            <w:r w:rsidR="009F4015" w:rsidRPr="009F4015">
              <w:rPr>
                <w:rStyle w:val="Hyperlink"/>
              </w:rPr>
              <w:t>C.</w:t>
            </w:r>
            <w:r w:rsidR="009F4015" w:rsidRPr="009F4015">
              <w:rPr>
                <w:rFonts w:eastAsiaTheme="minorEastAsia" w:cstheme="minorBidi"/>
                <w:iCs w:val="0"/>
              </w:rPr>
              <w:tab/>
            </w:r>
            <w:r w:rsidR="009F4015" w:rsidRPr="009F4015">
              <w:rPr>
                <w:rStyle w:val="Hyperlink"/>
              </w:rPr>
              <w:t>Satisfacción</w:t>
            </w:r>
            <w:r w:rsidR="009F4015" w:rsidRPr="009F4015">
              <w:rPr>
                <w:webHidden/>
              </w:rPr>
              <w:tab/>
            </w:r>
            <w:r w:rsidR="009F4015" w:rsidRPr="009F4015">
              <w:rPr>
                <w:webHidden/>
              </w:rPr>
              <w:fldChar w:fldCharType="begin"/>
            </w:r>
            <w:r w:rsidR="009F4015" w:rsidRPr="009F4015">
              <w:rPr>
                <w:webHidden/>
              </w:rPr>
              <w:instrText xml:space="preserve"> PAGEREF _Toc513644492 \h </w:instrText>
            </w:r>
            <w:r w:rsidR="009F4015" w:rsidRPr="009F4015">
              <w:rPr>
                <w:webHidden/>
              </w:rPr>
            </w:r>
            <w:r w:rsidR="009F4015" w:rsidRPr="009F4015">
              <w:rPr>
                <w:webHidden/>
              </w:rPr>
              <w:fldChar w:fldCharType="separate"/>
            </w:r>
            <w:r w:rsidR="00B263FD">
              <w:rPr>
                <w:webHidden/>
              </w:rPr>
              <w:t>68</w:t>
            </w:r>
            <w:r w:rsidR="009F4015" w:rsidRPr="009F4015">
              <w:rPr>
                <w:webHidden/>
              </w:rPr>
              <w:fldChar w:fldCharType="end"/>
            </w:r>
          </w:hyperlink>
        </w:p>
        <w:p w14:paraId="76E61093" w14:textId="77777777" w:rsidR="009F4015" w:rsidRPr="009F4015" w:rsidRDefault="00BE7922" w:rsidP="009F4015">
          <w:pPr>
            <w:pStyle w:val="TOC3"/>
            <w:rPr>
              <w:rFonts w:eastAsiaTheme="minorEastAsia" w:cstheme="minorBidi"/>
              <w:iCs w:val="0"/>
            </w:rPr>
          </w:pPr>
          <w:hyperlink w:anchor="_Toc513644493" w:history="1">
            <w:r w:rsidR="009F4015" w:rsidRPr="009F4015">
              <w:rPr>
                <w:rStyle w:val="Hyperlink"/>
              </w:rPr>
              <w:t>D.</w:t>
            </w:r>
            <w:r w:rsidR="009F4015" w:rsidRPr="009F4015">
              <w:rPr>
                <w:rFonts w:eastAsiaTheme="minorEastAsia" w:cstheme="minorBidi"/>
                <w:iCs w:val="0"/>
              </w:rPr>
              <w:tab/>
            </w:r>
            <w:r w:rsidR="009F4015" w:rsidRPr="009F4015">
              <w:rPr>
                <w:rStyle w:val="Hyperlink"/>
              </w:rPr>
              <w:t>Rehabilitación</w:t>
            </w:r>
            <w:r w:rsidR="009F4015" w:rsidRPr="009F4015">
              <w:rPr>
                <w:webHidden/>
              </w:rPr>
              <w:tab/>
            </w:r>
            <w:r w:rsidR="009F4015" w:rsidRPr="009F4015">
              <w:rPr>
                <w:webHidden/>
              </w:rPr>
              <w:fldChar w:fldCharType="begin"/>
            </w:r>
            <w:r w:rsidR="009F4015" w:rsidRPr="009F4015">
              <w:rPr>
                <w:webHidden/>
              </w:rPr>
              <w:instrText xml:space="preserve"> PAGEREF _Toc513644493 \h </w:instrText>
            </w:r>
            <w:r w:rsidR="009F4015" w:rsidRPr="009F4015">
              <w:rPr>
                <w:webHidden/>
              </w:rPr>
            </w:r>
            <w:r w:rsidR="009F4015" w:rsidRPr="009F4015">
              <w:rPr>
                <w:webHidden/>
              </w:rPr>
              <w:fldChar w:fldCharType="separate"/>
            </w:r>
            <w:r w:rsidR="00B263FD">
              <w:rPr>
                <w:webHidden/>
              </w:rPr>
              <w:t>69</w:t>
            </w:r>
            <w:r w:rsidR="009F4015" w:rsidRPr="009F4015">
              <w:rPr>
                <w:webHidden/>
              </w:rPr>
              <w:fldChar w:fldCharType="end"/>
            </w:r>
          </w:hyperlink>
        </w:p>
        <w:p w14:paraId="7316D701" w14:textId="77777777" w:rsidR="009F4015" w:rsidRPr="009F4015" w:rsidRDefault="00BE7922" w:rsidP="009F4015">
          <w:pPr>
            <w:pStyle w:val="TOC3"/>
            <w:rPr>
              <w:rFonts w:eastAsiaTheme="minorEastAsia" w:cstheme="minorBidi"/>
              <w:iCs w:val="0"/>
            </w:rPr>
          </w:pPr>
          <w:hyperlink w:anchor="_Toc513644494" w:history="1">
            <w:r w:rsidR="009F4015" w:rsidRPr="009F4015">
              <w:rPr>
                <w:rStyle w:val="Hyperlink"/>
              </w:rPr>
              <w:t>E.</w:t>
            </w:r>
            <w:r w:rsidR="009F4015" w:rsidRPr="009F4015">
              <w:rPr>
                <w:rFonts w:eastAsiaTheme="minorEastAsia" w:cstheme="minorBidi"/>
                <w:iCs w:val="0"/>
              </w:rPr>
              <w:tab/>
            </w:r>
            <w:r w:rsidR="009F4015" w:rsidRPr="009F4015">
              <w:rPr>
                <w:rStyle w:val="Hyperlink"/>
              </w:rPr>
              <w:t>Garantías de no repetición</w:t>
            </w:r>
            <w:r w:rsidR="009F4015" w:rsidRPr="009F4015">
              <w:rPr>
                <w:webHidden/>
              </w:rPr>
              <w:tab/>
            </w:r>
            <w:r w:rsidR="009F4015" w:rsidRPr="009F4015">
              <w:rPr>
                <w:webHidden/>
              </w:rPr>
              <w:fldChar w:fldCharType="begin"/>
            </w:r>
            <w:r w:rsidR="009F4015" w:rsidRPr="009F4015">
              <w:rPr>
                <w:webHidden/>
              </w:rPr>
              <w:instrText xml:space="preserve"> PAGEREF _Toc513644494 \h </w:instrText>
            </w:r>
            <w:r w:rsidR="009F4015" w:rsidRPr="009F4015">
              <w:rPr>
                <w:webHidden/>
              </w:rPr>
            </w:r>
            <w:r w:rsidR="009F4015" w:rsidRPr="009F4015">
              <w:rPr>
                <w:webHidden/>
              </w:rPr>
              <w:fldChar w:fldCharType="separate"/>
            </w:r>
            <w:r w:rsidR="00B263FD">
              <w:rPr>
                <w:webHidden/>
              </w:rPr>
              <w:t>69</w:t>
            </w:r>
            <w:r w:rsidR="009F4015" w:rsidRPr="009F4015">
              <w:rPr>
                <w:webHidden/>
              </w:rPr>
              <w:fldChar w:fldCharType="end"/>
            </w:r>
          </w:hyperlink>
        </w:p>
        <w:p w14:paraId="4E432817" w14:textId="77777777" w:rsidR="009F4015" w:rsidRPr="009F4015" w:rsidRDefault="00BE7922" w:rsidP="009F4015">
          <w:pPr>
            <w:pStyle w:val="TOC3"/>
            <w:rPr>
              <w:rFonts w:eastAsiaTheme="minorEastAsia" w:cstheme="minorBidi"/>
              <w:iCs w:val="0"/>
            </w:rPr>
          </w:pPr>
          <w:hyperlink w:anchor="_Toc513644495" w:history="1">
            <w:r w:rsidR="009F4015" w:rsidRPr="009F4015">
              <w:rPr>
                <w:rStyle w:val="Hyperlink"/>
              </w:rPr>
              <w:t>F.</w:t>
            </w:r>
            <w:r w:rsidR="009F4015" w:rsidRPr="009F4015">
              <w:rPr>
                <w:rFonts w:eastAsiaTheme="minorEastAsia" w:cstheme="minorBidi"/>
                <w:iCs w:val="0"/>
              </w:rPr>
              <w:tab/>
            </w:r>
            <w:r w:rsidR="009F4015" w:rsidRPr="009F4015">
              <w:rPr>
                <w:rStyle w:val="Hyperlink"/>
              </w:rPr>
              <w:t>Indemnización compensatoria</w:t>
            </w:r>
            <w:r w:rsidR="009F4015" w:rsidRPr="009F4015">
              <w:rPr>
                <w:webHidden/>
              </w:rPr>
              <w:tab/>
            </w:r>
            <w:r w:rsidR="009F4015" w:rsidRPr="009F4015">
              <w:rPr>
                <w:webHidden/>
              </w:rPr>
              <w:fldChar w:fldCharType="begin"/>
            </w:r>
            <w:r w:rsidR="009F4015" w:rsidRPr="009F4015">
              <w:rPr>
                <w:webHidden/>
              </w:rPr>
              <w:instrText xml:space="preserve"> PAGEREF _Toc513644495 \h </w:instrText>
            </w:r>
            <w:r w:rsidR="009F4015" w:rsidRPr="009F4015">
              <w:rPr>
                <w:webHidden/>
              </w:rPr>
            </w:r>
            <w:r w:rsidR="009F4015" w:rsidRPr="009F4015">
              <w:rPr>
                <w:webHidden/>
              </w:rPr>
              <w:fldChar w:fldCharType="separate"/>
            </w:r>
            <w:r w:rsidR="00B263FD">
              <w:rPr>
                <w:webHidden/>
              </w:rPr>
              <w:t>72</w:t>
            </w:r>
            <w:r w:rsidR="009F4015" w:rsidRPr="009F4015">
              <w:rPr>
                <w:webHidden/>
              </w:rPr>
              <w:fldChar w:fldCharType="end"/>
            </w:r>
          </w:hyperlink>
        </w:p>
        <w:p w14:paraId="0165D566" w14:textId="77777777" w:rsidR="009F4015" w:rsidRPr="00C004B1" w:rsidRDefault="00BE7922" w:rsidP="009F4015">
          <w:pPr>
            <w:pStyle w:val="TOC4"/>
            <w:tabs>
              <w:tab w:val="right" w:leader="dot" w:pos="9736"/>
            </w:tabs>
            <w:rPr>
              <w:rFonts w:ascii="Verdana" w:eastAsiaTheme="minorEastAsia" w:hAnsi="Verdana" w:cstheme="minorBidi"/>
              <w:noProof/>
              <w:sz w:val="20"/>
              <w:szCs w:val="20"/>
            </w:rPr>
          </w:pPr>
          <w:hyperlink w:anchor="_Toc513644496" w:history="1">
            <w:r w:rsidR="009F4015" w:rsidRPr="00C004B1">
              <w:rPr>
                <w:rStyle w:val="Hyperlink"/>
                <w:rFonts w:ascii="Verdana" w:hAnsi="Verdana"/>
                <w:noProof/>
                <w:sz w:val="20"/>
                <w:szCs w:val="20"/>
              </w:rPr>
              <w:t>1. Daño Material</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_Toc513644496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74</w:t>
            </w:r>
            <w:r w:rsidR="009F4015" w:rsidRPr="00C004B1">
              <w:rPr>
                <w:rFonts w:ascii="Verdana" w:hAnsi="Verdana"/>
                <w:noProof/>
                <w:webHidden/>
                <w:sz w:val="20"/>
                <w:szCs w:val="20"/>
              </w:rPr>
              <w:fldChar w:fldCharType="end"/>
            </w:r>
          </w:hyperlink>
        </w:p>
        <w:p w14:paraId="3AB851C4" w14:textId="77777777" w:rsidR="009F4015" w:rsidRPr="00C004B1" w:rsidRDefault="00BE7922" w:rsidP="009F4015">
          <w:pPr>
            <w:pStyle w:val="TOC4"/>
            <w:tabs>
              <w:tab w:val="right" w:leader="dot" w:pos="9736"/>
            </w:tabs>
            <w:rPr>
              <w:rFonts w:ascii="Verdana" w:eastAsiaTheme="minorEastAsia" w:hAnsi="Verdana" w:cstheme="minorBidi"/>
              <w:noProof/>
              <w:sz w:val="20"/>
              <w:szCs w:val="20"/>
            </w:rPr>
          </w:pPr>
          <w:hyperlink w:anchor="_Toc513644497" w:history="1">
            <w:r w:rsidR="009F4015" w:rsidRPr="00C004B1">
              <w:rPr>
                <w:rStyle w:val="Hyperlink"/>
                <w:rFonts w:ascii="Verdana" w:hAnsi="Verdana"/>
                <w:noProof/>
                <w:sz w:val="20"/>
                <w:szCs w:val="20"/>
              </w:rPr>
              <w:t>2. Daño Inmaterial</w:t>
            </w:r>
            <w:r w:rsidR="009F4015" w:rsidRPr="00C004B1">
              <w:rPr>
                <w:rFonts w:ascii="Verdana" w:hAnsi="Verdana"/>
                <w:noProof/>
                <w:webHidden/>
                <w:sz w:val="20"/>
                <w:szCs w:val="20"/>
              </w:rPr>
              <w:tab/>
            </w:r>
            <w:r w:rsidR="009F4015" w:rsidRPr="00C004B1">
              <w:rPr>
                <w:rFonts w:ascii="Verdana" w:hAnsi="Verdana"/>
                <w:noProof/>
                <w:webHidden/>
                <w:sz w:val="20"/>
                <w:szCs w:val="20"/>
              </w:rPr>
              <w:fldChar w:fldCharType="begin"/>
            </w:r>
            <w:r w:rsidR="009F4015" w:rsidRPr="00C004B1">
              <w:rPr>
                <w:rFonts w:ascii="Verdana" w:hAnsi="Verdana"/>
                <w:noProof/>
                <w:webHidden/>
                <w:sz w:val="20"/>
                <w:szCs w:val="20"/>
              </w:rPr>
              <w:instrText xml:space="preserve"> PAGEREF _Toc513644497 \h </w:instrText>
            </w:r>
            <w:r w:rsidR="009F4015" w:rsidRPr="00C004B1">
              <w:rPr>
                <w:rFonts w:ascii="Verdana" w:hAnsi="Verdana"/>
                <w:noProof/>
                <w:webHidden/>
                <w:sz w:val="20"/>
                <w:szCs w:val="20"/>
              </w:rPr>
            </w:r>
            <w:r w:rsidR="009F4015" w:rsidRPr="00C004B1">
              <w:rPr>
                <w:rFonts w:ascii="Verdana" w:hAnsi="Verdana"/>
                <w:noProof/>
                <w:webHidden/>
                <w:sz w:val="20"/>
                <w:szCs w:val="20"/>
              </w:rPr>
              <w:fldChar w:fldCharType="separate"/>
            </w:r>
            <w:r w:rsidR="00B263FD">
              <w:rPr>
                <w:rFonts w:ascii="Verdana" w:hAnsi="Verdana"/>
                <w:noProof/>
                <w:webHidden/>
                <w:sz w:val="20"/>
                <w:szCs w:val="20"/>
              </w:rPr>
              <w:t>74</w:t>
            </w:r>
            <w:r w:rsidR="009F4015" w:rsidRPr="00C004B1">
              <w:rPr>
                <w:rFonts w:ascii="Verdana" w:hAnsi="Verdana"/>
                <w:noProof/>
                <w:webHidden/>
                <w:sz w:val="20"/>
                <w:szCs w:val="20"/>
              </w:rPr>
              <w:fldChar w:fldCharType="end"/>
            </w:r>
          </w:hyperlink>
        </w:p>
        <w:p w14:paraId="4C25B062" w14:textId="77777777" w:rsidR="009F4015" w:rsidRPr="009F4015" w:rsidRDefault="00BE7922" w:rsidP="009F4015">
          <w:pPr>
            <w:pStyle w:val="TOC3"/>
            <w:rPr>
              <w:rFonts w:eastAsiaTheme="minorEastAsia" w:cstheme="minorBidi"/>
              <w:iCs w:val="0"/>
            </w:rPr>
          </w:pPr>
          <w:hyperlink w:anchor="_Toc513644498" w:history="1">
            <w:r w:rsidR="009F4015" w:rsidRPr="009F4015">
              <w:rPr>
                <w:rStyle w:val="Hyperlink"/>
              </w:rPr>
              <w:t>G.</w:t>
            </w:r>
            <w:r w:rsidR="009F4015" w:rsidRPr="009F4015">
              <w:rPr>
                <w:rFonts w:eastAsiaTheme="minorEastAsia" w:cstheme="minorBidi"/>
                <w:iCs w:val="0"/>
              </w:rPr>
              <w:tab/>
            </w:r>
            <w:r w:rsidR="009F4015" w:rsidRPr="009F4015">
              <w:rPr>
                <w:rStyle w:val="Hyperlink"/>
              </w:rPr>
              <w:t>Gastos y Costas</w:t>
            </w:r>
            <w:r w:rsidR="009F4015" w:rsidRPr="009F4015">
              <w:rPr>
                <w:webHidden/>
              </w:rPr>
              <w:tab/>
            </w:r>
            <w:r w:rsidR="009F4015" w:rsidRPr="009F4015">
              <w:rPr>
                <w:webHidden/>
              </w:rPr>
              <w:fldChar w:fldCharType="begin"/>
            </w:r>
            <w:r w:rsidR="009F4015" w:rsidRPr="009F4015">
              <w:rPr>
                <w:webHidden/>
              </w:rPr>
              <w:instrText xml:space="preserve"> PAGEREF _Toc513644498 \h </w:instrText>
            </w:r>
            <w:r w:rsidR="009F4015" w:rsidRPr="009F4015">
              <w:rPr>
                <w:webHidden/>
              </w:rPr>
            </w:r>
            <w:r w:rsidR="009F4015" w:rsidRPr="009F4015">
              <w:rPr>
                <w:webHidden/>
              </w:rPr>
              <w:fldChar w:fldCharType="separate"/>
            </w:r>
            <w:r w:rsidR="00B263FD">
              <w:rPr>
                <w:webHidden/>
              </w:rPr>
              <w:t>75</w:t>
            </w:r>
            <w:r w:rsidR="009F4015" w:rsidRPr="009F4015">
              <w:rPr>
                <w:webHidden/>
              </w:rPr>
              <w:fldChar w:fldCharType="end"/>
            </w:r>
          </w:hyperlink>
        </w:p>
        <w:p w14:paraId="5CEC7F49" w14:textId="77777777" w:rsidR="009F4015" w:rsidRPr="009F4015" w:rsidRDefault="00BE7922" w:rsidP="009F4015">
          <w:pPr>
            <w:pStyle w:val="TOC3"/>
            <w:rPr>
              <w:rFonts w:eastAsiaTheme="minorEastAsia" w:cstheme="minorBidi"/>
              <w:iCs w:val="0"/>
            </w:rPr>
          </w:pPr>
          <w:hyperlink w:anchor="_Toc513644499" w:history="1">
            <w:r w:rsidR="009F4015" w:rsidRPr="009F4015">
              <w:rPr>
                <w:rStyle w:val="Hyperlink"/>
              </w:rPr>
              <w:t>H.</w:t>
            </w:r>
            <w:r w:rsidR="009F4015" w:rsidRPr="009F4015">
              <w:rPr>
                <w:rFonts w:eastAsiaTheme="minorEastAsia" w:cstheme="minorBidi"/>
                <w:iCs w:val="0"/>
              </w:rPr>
              <w:tab/>
            </w:r>
            <w:r w:rsidR="009F4015" w:rsidRPr="009F4015">
              <w:rPr>
                <w:rStyle w:val="Hyperlink"/>
              </w:rPr>
              <w:t>Reintegro de los gastos al Fondo de Asistencia Legal de Víctimas</w:t>
            </w:r>
            <w:r w:rsidR="009F4015" w:rsidRPr="009F4015">
              <w:rPr>
                <w:webHidden/>
              </w:rPr>
              <w:tab/>
            </w:r>
            <w:r w:rsidR="009F4015" w:rsidRPr="009F4015">
              <w:rPr>
                <w:webHidden/>
              </w:rPr>
              <w:fldChar w:fldCharType="begin"/>
            </w:r>
            <w:r w:rsidR="009F4015" w:rsidRPr="009F4015">
              <w:rPr>
                <w:webHidden/>
              </w:rPr>
              <w:instrText xml:space="preserve"> PAGEREF _Toc513644499 \h </w:instrText>
            </w:r>
            <w:r w:rsidR="009F4015" w:rsidRPr="009F4015">
              <w:rPr>
                <w:webHidden/>
              </w:rPr>
            </w:r>
            <w:r w:rsidR="009F4015" w:rsidRPr="009F4015">
              <w:rPr>
                <w:webHidden/>
              </w:rPr>
              <w:fldChar w:fldCharType="separate"/>
            </w:r>
            <w:r w:rsidR="00B263FD">
              <w:rPr>
                <w:webHidden/>
              </w:rPr>
              <w:t>76</w:t>
            </w:r>
            <w:r w:rsidR="009F4015" w:rsidRPr="009F4015">
              <w:rPr>
                <w:webHidden/>
              </w:rPr>
              <w:fldChar w:fldCharType="end"/>
            </w:r>
          </w:hyperlink>
        </w:p>
        <w:p w14:paraId="77DBEBA2" w14:textId="77777777" w:rsidR="009F4015" w:rsidRPr="009F4015" w:rsidRDefault="00BE7922" w:rsidP="009F4015">
          <w:pPr>
            <w:pStyle w:val="TOC3"/>
            <w:rPr>
              <w:rFonts w:eastAsiaTheme="minorEastAsia" w:cstheme="minorBidi"/>
              <w:iCs w:val="0"/>
            </w:rPr>
          </w:pPr>
          <w:hyperlink w:anchor="_Toc513644500" w:history="1">
            <w:r w:rsidR="009F4015" w:rsidRPr="009F4015">
              <w:rPr>
                <w:rStyle w:val="Hyperlink"/>
              </w:rPr>
              <w:t>I.</w:t>
            </w:r>
            <w:r w:rsidR="009F4015" w:rsidRPr="009F4015">
              <w:rPr>
                <w:rFonts w:eastAsiaTheme="minorEastAsia" w:cstheme="minorBidi"/>
                <w:iCs w:val="0"/>
              </w:rPr>
              <w:tab/>
            </w:r>
            <w:r w:rsidR="009F4015" w:rsidRPr="009F4015">
              <w:rPr>
                <w:rStyle w:val="Hyperlink"/>
              </w:rPr>
              <w:t>Modalidad de cumplimiento de los pagos ordenados</w:t>
            </w:r>
            <w:r w:rsidR="009F4015" w:rsidRPr="009F4015">
              <w:rPr>
                <w:webHidden/>
              </w:rPr>
              <w:tab/>
            </w:r>
            <w:r w:rsidR="009F4015" w:rsidRPr="009F4015">
              <w:rPr>
                <w:webHidden/>
              </w:rPr>
              <w:fldChar w:fldCharType="begin"/>
            </w:r>
            <w:r w:rsidR="009F4015" w:rsidRPr="009F4015">
              <w:rPr>
                <w:webHidden/>
              </w:rPr>
              <w:instrText xml:space="preserve"> PAGEREF _Toc513644500 \h </w:instrText>
            </w:r>
            <w:r w:rsidR="009F4015" w:rsidRPr="009F4015">
              <w:rPr>
                <w:webHidden/>
              </w:rPr>
            </w:r>
            <w:r w:rsidR="009F4015" w:rsidRPr="009F4015">
              <w:rPr>
                <w:webHidden/>
              </w:rPr>
              <w:fldChar w:fldCharType="separate"/>
            </w:r>
            <w:r w:rsidR="00B263FD">
              <w:rPr>
                <w:webHidden/>
              </w:rPr>
              <w:t>77</w:t>
            </w:r>
            <w:r w:rsidR="009F4015" w:rsidRPr="009F4015">
              <w:rPr>
                <w:webHidden/>
              </w:rPr>
              <w:fldChar w:fldCharType="end"/>
            </w:r>
          </w:hyperlink>
        </w:p>
        <w:p w14:paraId="4B0F52B3" w14:textId="45538098" w:rsidR="009F4015" w:rsidRPr="009F4015" w:rsidRDefault="008D6B5C" w:rsidP="00C004B1">
          <w:pPr>
            <w:pStyle w:val="TOC1"/>
            <w:rPr>
              <w:rFonts w:eastAsiaTheme="minorEastAsia" w:cstheme="minorBidi"/>
              <w:noProof/>
            </w:rPr>
          </w:pPr>
          <w:r w:rsidRPr="008D6B5C">
            <w:rPr>
              <w:rStyle w:val="Hyperlink"/>
              <w:rFonts w:ascii="Verdana" w:hAnsi="Verdana"/>
              <w:noProof/>
              <w:color w:val="auto"/>
              <w:u w:val="none"/>
            </w:rPr>
            <w:t xml:space="preserve">ix </w:t>
          </w:r>
          <w:hyperlink w:anchor="_Toc513644502" w:history="1">
            <w:r w:rsidR="00C004B1">
              <w:rPr>
                <w:rStyle w:val="Hyperlink"/>
                <w:rFonts w:ascii="Verdana" w:hAnsi="Verdana"/>
                <w:noProof/>
              </w:rPr>
              <w:t>PUNTOS</w:t>
            </w:r>
            <w:r>
              <w:rPr>
                <w:rStyle w:val="Hyperlink"/>
                <w:rFonts w:ascii="Verdana" w:hAnsi="Verdana"/>
                <w:noProof/>
              </w:rPr>
              <w:t xml:space="preserve"> resolutivos</w:t>
            </w:r>
            <w:r w:rsidR="009F4015" w:rsidRPr="009F4015">
              <w:rPr>
                <w:noProof/>
                <w:webHidden/>
              </w:rPr>
              <w:tab/>
            </w:r>
            <w:r w:rsidR="009F4015" w:rsidRPr="008D6B5C">
              <w:rPr>
                <w:rFonts w:ascii="Verdana" w:hAnsi="Verdana"/>
                <w:b w:val="0"/>
                <w:noProof/>
                <w:webHidden/>
              </w:rPr>
              <w:fldChar w:fldCharType="begin"/>
            </w:r>
            <w:r w:rsidR="009F4015" w:rsidRPr="008D6B5C">
              <w:rPr>
                <w:rFonts w:ascii="Verdana" w:hAnsi="Verdana"/>
                <w:b w:val="0"/>
                <w:noProof/>
                <w:webHidden/>
              </w:rPr>
              <w:instrText xml:space="preserve"> PAGEREF _Toc513644502 \h </w:instrText>
            </w:r>
            <w:r w:rsidR="009F4015" w:rsidRPr="008D6B5C">
              <w:rPr>
                <w:rFonts w:ascii="Verdana" w:hAnsi="Verdana"/>
                <w:b w:val="0"/>
                <w:noProof/>
                <w:webHidden/>
              </w:rPr>
            </w:r>
            <w:r w:rsidR="009F4015" w:rsidRPr="008D6B5C">
              <w:rPr>
                <w:rFonts w:ascii="Verdana" w:hAnsi="Verdana"/>
                <w:b w:val="0"/>
                <w:noProof/>
                <w:webHidden/>
              </w:rPr>
              <w:fldChar w:fldCharType="separate"/>
            </w:r>
            <w:r w:rsidR="00B263FD">
              <w:rPr>
                <w:rFonts w:ascii="Verdana" w:hAnsi="Verdana"/>
                <w:b w:val="0"/>
                <w:noProof/>
                <w:webHidden/>
              </w:rPr>
              <w:t>78</w:t>
            </w:r>
            <w:r w:rsidR="009F4015" w:rsidRPr="008D6B5C">
              <w:rPr>
                <w:rFonts w:ascii="Verdana" w:hAnsi="Verdana"/>
                <w:b w:val="0"/>
                <w:noProof/>
                <w:webHidden/>
              </w:rPr>
              <w:fldChar w:fldCharType="end"/>
            </w:r>
          </w:hyperlink>
        </w:p>
        <w:p w14:paraId="1EA953EB" w14:textId="77777777" w:rsidR="009F7F67" w:rsidRPr="002A64C9" w:rsidRDefault="009F7F67" w:rsidP="009F4015">
          <w:pPr>
            <w:rPr>
              <w:sz w:val="20"/>
              <w:szCs w:val="20"/>
            </w:rPr>
          </w:pPr>
          <w:r w:rsidRPr="009F4015">
            <w:rPr>
              <w:smallCaps/>
              <w:sz w:val="20"/>
              <w:szCs w:val="20"/>
            </w:rPr>
            <w:fldChar w:fldCharType="end"/>
          </w:r>
        </w:p>
      </w:sdtContent>
    </w:sdt>
    <w:p w14:paraId="61051BF6" w14:textId="77777777" w:rsidR="009F7F67" w:rsidRPr="00760A6C" w:rsidRDefault="009F7F67" w:rsidP="009F4015">
      <w:pPr>
        <w:rPr>
          <w:rFonts w:eastAsia="Verdana" w:cs="Verdana"/>
          <w:position w:val="-1"/>
          <w:sz w:val="20"/>
          <w:szCs w:val="20"/>
        </w:rPr>
      </w:pPr>
    </w:p>
    <w:p w14:paraId="1C0EA90D" w14:textId="77777777" w:rsidR="001C4462" w:rsidRPr="00BE23A5" w:rsidRDefault="001C4462" w:rsidP="00BE23A5">
      <w:pPr>
        <w:rPr>
          <w:rFonts w:eastAsia="Verdana" w:cs="Verdana"/>
          <w:position w:val="-1"/>
          <w:sz w:val="20"/>
          <w:szCs w:val="20"/>
        </w:rPr>
      </w:pPr>
      <w:r w:rsidRPr="00BE23A5">
        <w:rPr>
          <w:rFonts w:eastAsia="Verdana" w:cs="Verdana"/>
          <w:position w:val="-1"/>
          <w:sz w:val="20"/>
          <w:szCs w:val="20"/>
        </w:rPr>
        <w:br w:type="page"/>
      </w:r>
    </w:p>
    <w:p w14:paraId="797814C9" w14:textId="77777777" w:rsidR="006C37C9" w:rsidRPr="00BC17B7" w:rsidRDefault="006C37C9" w:rsidP="006B2A4D">
      <w:pPr>
        <w:pStyle w:val="Title"/>
      </w:pPr>
      <w:bookmarkStart w:id="0" w:name="_Toc373093233"/>
      <w:bookmarkStart w:id="1" w:name="_Toc373350045"/>
      <w:bookmarkStart w:id="2" w:name="_Toc375560891"/>
      <w:bookmarkStart w:id="3" w:name="_Toc401931877"/>
      <w:bookmarkStart w:id="4" w:name="_Toc428369976"/>
      <w:bookmarkStart w:id="5" w:name="_Toc459158092"/>
      <w:bookmarkStart w:id="6" w:name="_Toc470180032"/>
      <w:bookmarkStart w:id="7" w:name="_Toc513644440"/>
      <w:r w:rsidRPr="00B4445F">
        <w:lastRenderedPageBreak/>
        <w:t>I</w:t>
      </w:r>
      <w:bookmarkStart w:id="8" w:name="_Toc375062709"/>
      <w:bookmarkStart w:id="9" w:name="_Toc375140859"/>
      <w:bookmarkStart w:id="10" w:name="_Toc375504818"/>
      <w:bookmarkStart w:id="11" w:name="_Toc375560892"/>
      <w:bookmarkEnd w:id="0"/>
      <w:bookmarkEnd w:id="1"/>
      <w:bookmarkEnd w:id="2"/>
      <w:r w:rsidRPr="00B4445F">
        <w:br/>
      </w:r>
      <w:r w:rsidRPr="00BC17B7">
        <w:t xml:space="preserve">INTRODUCCIÓN DE LA CAUSA </w:t>
      </w:r>
      <w:r w:rsidR="00DE732C" w:rsidRPr="00BC17B7">
        <w:t>Y</w:t>
      </w:r>
      <w:r w:rsidRPr="00BC17B7">
        <w:t xml:space="preserve"> OBJETO DE LA CONTROVERSIA</w:t>
      </w:r>
      <w:bookmarkEnd w:id="3"/>
      <w:bookmarkEnd w:id="4"/>
      <w:bookmarkEnd w:id="5"/>
      <w:bookmarkEnd w:id="6"/>
      <w:bookmarkEnd w:id="8"/>
      <w:bookmarkEnd w:id="9"/>
      <w:bookmarkEnd w:id="10"/>
      <w:bookmarkEnd w:id="11"/>
      <w:bookmarkEnd w:id="7"/>
    </w:p>
    <w:p w14:paraId="0EC264A6" w14:textId="77777777" w:rsidR="006C37C9" w:rsidRPr="00BC17B7" w:rsidRDefault="006C37C9" w:rsidP="00F3026E">
      <w:pPr>
        <w:spacing w:line="240" w:lineRule="exact"/>
        <w:rPr>
          <w:rFonts w:ascii="Calibri" w:eastAsia="Calibri" w:hAnsi="Calibri"/>
        </w:rPr>
      </w:pPr>
    </w:p>
    <w:p w14:paraId="529BF0EC" w14:textId="2F9CA542" w:rsidR="006C37C9" w:rsidRPr="0059117C" w:rsidRDefault="006C37C9" w:rsidP="0059117C">
      <w:pPr>
        <w:numPr>
          <w:ilvl w:val="0"/>
          <w:numId w:val="2"/>
        </w:numPr>
        <w:tabs>
          <w:tab w:val="left" w:pos="567"/>
          <w:tab w:val="num" w:pos="12305"/>
        </w:tabs>
        <w:ind w:left="0" w:firstLine="0"/>
        <w:rPr>
          <w:rFonts w:eastAsia="Calibri" w:cs="Arial"/>
          <w:szCs w:val="20"/>
        </w:rPr>
      </w:pPr>
      <w:r w:rsidRPr="00BC17B7">
        <w:rPr>
          <w:rFonts w:eastAsia="Verdana" w:cs="Verdana"/>
          <w:i/>
          <w:sz w:val="20"/>
          <w:szCs w:val="20"/>
        </w:rPr>
        <w:t xml:space="preserve">El caso sometido a la Corte. – </w:t>
      </w:r>
      <w:r w:rsidR="00DE732C" w:rsidRPr="00BC17B7">
        <w:rPr>
          <w:rFonts w:eastAsia="Verdana" w:cs="Verdana"/>
          <w:sz w:val="20"/>
          <w:szCs w:val="20"/>
        </w:rPr>
        <w:t>El 26</w:t>
      </w:r>
      <w:r w:rsidRPr="00BC17B7">
        <w:rPr>
          <w:rFonts w:eastAsia="Verdana" w:cs="Verdana"/>
          <w:sz w:val="20"/>
          <w:szCs w:val="20"/>
        </w:rPr>
        <w:t xml:space="preserve"> de a</w:t>
      </w:r>
      <w:r w:rsidR="0058113B" w:rsidRPr="00BC17B7">
        <w:rPr>
          <w:rFonts w:eastAsia="Verdana" w:cs="Verdana"/>
          <w:sz w:val="20"/>
          <w:szCs w:val="20"/>
        </w:rPr>
        <w:t>gosto de 2016</w:t>
      </w:r>
      <w:r w:rsidRPr="00BC17B7">
        <w:rPr>
          <w:rFonts w:eastAsia="Verdana" w:cs="Verdana"/>
          <w:sz w:val="20"/>
          <w:szCs w:val="20"/>
        </w:rPr>
        <w:t xml:space="preserve"> la Comisión Interamericana de Derechos Humanos (en adelante “la Comisión</w:t>
      </w:r>
      <w:r w:rsidR="006A1285" w:rsidRPr="00BC17B7">
        <w:rPr>
          <w:rFonts w:eastAsia="Verdana" w:cs="Verdana"/>
          <w:sz w:val="20"/>
          <w:szCs w:val="20"/>
        </w:rPr>
        <w:t xml:space="preserve"> </w:t>
      </w:r>
      <w:r w:rsidRPr="00BC17B7">
        <w:rPr>
          <w:rFonts w:eastAsia="Verdana" w:cs="Verdana"/>
          <w:sz w:val="20"/>
          <w:szCs w:val="20"/>
        </w:rPr>
        <w:t xml:space="preserve">Interamericana” o “la Comisión”) sometió a la jurisdicción de la Corte el caso </w:t>
      </w:r>
      <w:r w:rsidR="0058113B" w:rsidRPr="00BC17B7">
        <w:rPr>
          <w:rFonts w:eastAsia="Verdana" w:cs="Verdana"/>
          <w:i/>
          <w:sz w:val="20"/>
          <w:szCs w:val="20"/>
        </w:rPr>
        <w:t>“</w:t>
      </w:r>
      <w:r w:rsidR="00DE732C" w:rsidRPr="00BC17B7">
        <w:rPr>
          <w:rFonts w:eastAsia="Verdana" w:cs="Verdana"/>
          <w:i/>
          <w:sz w:val="20"/>
          <w:szCs w:val="20"/>
        </w:rPr>
        <w:t>Poblete Vilches y otros</w:t>
      </w:r>
      <w:r w:rsidRPr="00BC17B7">
        <w:rPr>
          <w:rFonts w:eastAsia="Verdana" w:cs="Verdana"/>
          <w:i/>
          <w:sz w:val="20"/>
          <w:szCs w:val="20"/>
        </w:rPr>
        <w:t>”</w:t>
      </w:r>
      <w:r w:rsidRPr="00BC17B7">
        <w:rPr>
          <w:rFonts w:eastAsia="Verdana" w:cs="Verdana"/>
          <w:sz w:val="20"/>
          <w:szCs w:val="20"/>
        </w:rPr>
        <w:t xml:space="preserve"> contra </w:t>
      </w:r>
      <w:r w:rsidR="0058113B" w:rsidRPr="00BC17B7">
        <w:rPr>
          <w:rFonts w:eastAsia="Verdana" w:cs="Verdana"/>
          <w:sz w:val="20"/>
          <w:szCs w:val="20"/>
        </w:rPr>
        <w:t xml:space="preserve">la República de </w:t>
      </w:r>
      <w:r w:rsidR="00DE732C" w:rsidRPr="00BC17B7">
        <w:rPr>
          <w:rFonts w:eastAsia="Verdana" w:cs="Verdana"/>
          <w:sz w:val="20"/>
          <w:szCs w:val="20"/>
        </w:rPr>
        <w:t>Chile</w:t>
      </w:r>
      <w:r w:rsidRPr="00BC17B7">
        <w:rPr>
          <w:rFonts w:eastAsia="Verdana" w:cs="Verdana"/>
          <w:sz w:val="20"/>
          <w:szCs w:val="20"/>
        </w:rPr>
        <w:t xml:space="preserve"> (en adelante “el Estado de </w:t>
      </w:r>
      <w:r w:rsidR="00DE732C" w:rsidRPr="00BC17B7">
        <w:rPr>
          <w:rFonts w:eastAsia="Verdana" w:cs="Verdana"/>
          <w:sz w:val="20"/>
          <w:szCs w:val="20"/>
        </w:rPr>
        <w:t>Chile</w:t>
      </w:r>
      <w:r w:rsidRPr="00BC17B7">
        <w:rPr>
          <w:rFonts w:eastAsia="Verdana" w:cs="Verdana"/>
          <w:sz w:val="20"/>
          <w:szCs w:val="20"/>
        </w:rPr>
        <w:t xml:space="preserve">”, “el Estado </w:t>
      </w:r>
      <w:r w:rsidR="00DE732C" w:rsidRPr="00BC17B7">
        <w:rPr>
          <w:rFonts w:eastAsia="Verdana" w:cs="Verdana"/>
          <w:sz w:val="20"/>
          <w:szCs w:val="20"/>
        </w:rPr>
        <w:t>chileno</w:t>
      </w:r>
      <w:r w:rsidRPr="00BC17B7">
        <w:rPr>
          <w:rFonts w:eastAsia="Verdana" w:cs="Verdana"/>
          <w:sz w:val="20"/>
          <w:szCs w:val="20"/>
        </w:rPr>
        <w:t>” o “</w:t>
      </w:r>
      <w:r w:rsidR="00082399" w:rsidRPr="00BC17B7">
        <w:rPr>
          <w:rFonts w:eastAsia="Verdana" w:cs="Verdana"/>
          <w:sz w:val="20"/>
          <w:szCs w:val="20"/>
        </w:rPr>
        <w:t>Chile</w:t>
      </w:r>
      <w:r w:rsidRPr="00BC17B7">
        <w:rPr>
          <w:rFonts w:eastAsia="Verdana" w:cs="Verdana"/>
          <w:sz w:val="20"/>
          <w:szCs w:val="20"/>
        </w:rPr>
        <w:t>”). De acuerdo con lo indicado por la Comisión, el caso se refiere a la</w:t>
      </w:r>
      <w:r w:rsidR="00F14674" w:rsidRPr="00BC17B7">
        <w:rPr>
          <w:rFonts w:eastAsia="Calibri" w:cs="Arial"/>
          <w:sz w:val="20"/>
          <w:szCs w:val="20"/>
        </w:rPr>
        <w:t xml:space="preserve"> alegada responsabilidad internacional del Estado de </w:t>
      </w:r>
      <w:r w:rsidR="004E1443" w:rsidRPr="00BC17B7">
        <w:rPr>
          <w:rFonts w:eastAsia="Calibri" w:cs="Arial"/>
          <w:sz w:val="20"/>
          <w:szCs w:val="20"/>
        </w:rPr>
        <w:t xml:space="preserve">Chile por las acciones y omisiones que tuvieron lugar entre el 17 de enero y el 7 de febrero de 2001, fechas en las cuales Vinicio Antonio Poblete Vilches, quien era un adulto mayor, ingresó en dos oportunidades al hospital público </w:t>
      </w:r>
      <w:proofErr w:type="spellStart"/>
      <w:r w:rsidR="004E1443" w:rsidRPr="00BC17B7">
        <w:rPr>
          <w:rFonts w:eastAsia="Calibri" w:cs="Arial"/>
          <w:sz w:val="20"/>
          <w:szCs w:val="20"/>
        </w:rPr>
        <w:t>Sótero</w:t>
      </w:r>
      <w:proofErr w:type="spellEnd"/>
      <w:r w:rsidR="004E1443" w:rsidRPr="00BC17B7">
        <w:rPr>
          <w:rFonts w:eastAsia="Calibri" w:cs="Arial"/>
          <w:sz w:val="20"/>
          <w:szCs w:val="20"/>
        </w:rPr>
        <w:t xml:space="preserve"> del Río, donde falleció en la última fecha. La Comisión estableció que en dos momentos el personal médico del hospital se abstuvo de obtener el consentimiento informado para la toma de decisiones en materia de salud. Específicamente, en el marco de un procedimiento realizado el 26 de enero de 2001 durante el primer ingreso al hospital, así como en la decisión de mantenerlo en “tratamiento intermedio” en las horas anteriores a su muerte en el segundo ingreso al hospital. La Comisión concluyó que existen suficientes elementos para considerar que la decisión de dar de alta a Vinicio Antonio Poblete Vilches y la manera en que la misma se realizó, pudo tener incidencia en el rápido deterioro que sufrió en los días inmediatamente posteriores a su salida del hospital y su posterior muerte cuando ingresó nuevamente en grave estado de salud. Asimismo, determinó la responsabilidad estatal por </w:t>
      </w:r>
      <w:r w:rsidR="002A5452">
        <w:rPr>
          <w:rFonts w:eastAsia="Calibri" w:cs="Arial"/>
          <w:sz w:val="20"/>
          <w:szCs w:val="20"/>
        </w:rPr>
        <w:t xml:space="preserve">no haberle brindado </w:t>
      </w:r>
      <w:r w:rsidR="004E1443" w:rsidRPr="00BC17B7">
        <w:rPr>
          <w:rFonts w:eastAsia="Calibri" w:cs="Arial"/>
          <w:sz w:val="20"/>
          <w:szCs w:val="20"/>
        </w:rPr>
        <w:t xml:space="preserve">el tratamiento intensivo que requería en su segundo </w:t>
      </w:r>
      <w:r w:rsidR="004E1443" w:rsidRPr="00BC17B7">
        <w:rPr>
          <w:rFonts w:eastAsia="Calibri" w:cs="Arial"/>
          <w:bCs/>
          <w:sz w:val="20"/>
          <w:szCs w:val="20"/>
        </w:rPr>
        <w:t xml:space="preserve">ingreso </w:t>
      </w:r>
      <w:r w:rsidR="004E1443" w:rsidRPr="00BC17B7">
        <w:rPr>
          <w:rFonts w:eastAsia="Calibri" w:cs="Arial"/>
          <w:sz w:val="20"/>
          <w:szCs w:val="20"/>
        </w:rPr>
        <w:t>al hospital, y que las investigaciones a nivel interno no fueron realizadas con la debida diligencia y en un plazo razonable.</w:t>
      </w:r>
      <w:r w:rsidR="00F14674" w:rsidRPr="00BC17B7">
        <w:rPr>
          <w:rFonts w:eastAsia="Calibri" w:cs="Arial"/>
          <w:sz w:val="20"/>
          <w:szCs w:val="20"/>
        </w:rPr>
        <w:t xml:space="preserve"> </w:t>
      </w:r>
      <w:r w:rsidR="00BC17B7" w:rsidRPr="0059117C">
        <w:rPr>
          <w:sz w:val="20"/>
          <w:szCs w:val="16"/>
        </w:rPr>
        <w:t xml:space="preserve">Las presuntas víctimas en este caso, además del señor Vinicio Antonio Poblete Vilches, son: </w:t>
      </w:r>
      <w:r w:rsidR="00E32C7B" w:rsidRPr="00B1523A">
        <w:rPr>
          <w:sz w:val="20"/>
          <w:szCs w:val="16"/>
        </w:rPr>
        <w:t>su esposa,</w:t>
      </w:r>
      <w:r w:rsidR="00E32C7B" w:rsidRPr="001736E4">
        <w:rPr>
          <w:sz w:val="20"/>
          <w:szCs w:val="16"/>
        </w:rPr>
        <w:t xml:space="preserve"> </w:t>
      </w:r>
      <w:r w:rsidR="00BC17B7" w:rsidRPr="001736E4">
        <w:rPr>
          <w:sz w:val="20"/>
          <w:szCs w:val="16"/>
          <w:lang w:val="es-ES"/>
        </w:rPr>
        <w:t>Blanca Tapia Encina (fallecida),</w:t>
      </w:r>
      <w:r w:rsidR="008F36CB" w:rsidRPr="001736E4">
        <w:rPr>
          <w:sz w:val="20"/>
          <w:szCs w:val="16"/>
          <w:lang w:val="es-ES"/>
        </w:rPr>
        <w:t xml:space="preserve"> </w:t>
      </w:r>
      <w:r w:rsidR="008F36CB" w:rsidRPr="00B1523A">
        <w:rPr>
          <w:sz w:val="20"/>
          <w:szCs w:val="16"/>
          <w:lang w:val="es-ES"/>
        </w:rPr>
        <w:t>y sus hijos e hija,</w:t>
      </w:r>
      <w:r w:rsidR="008F36CB">
        <w:rPr>
          <w:sz w:val="20"/>
          <w:szCs w:val="16"/>
          <w:lang w:val="es-ES"/>
        </w:rPr>
        <w:t xml:space="preserve"> </w:t>
      </w:r>
      <w:r w:rsidR="00BC17B7" w:rsidRPr="00BC17B7">
        <w:rPr>
          <w:rFonts w:eastAsia="Calibri"/>
          <w:sz w:val="20"/>
          <w:szCs w:val="20"/>
          <w:lang w:eastAsia="en-US"/>
        </w:rPr>
        <w:t>Gonzalo Poblete Tapia</w:t>
      </w:r>
      <w:r w:rsidR="00BC17B7" w:rsidRPr="0059117C">
        <w:rPr>
          <w:rFonts w:eastAsia="Calibri"/>
          <w:sz w:val="20"/>
          <w:szCs w:val="20"/>
          <w:lang w:val="es-ES" w:eastAsia="es-ES"/>
        </w:rPr>
        <w:t xml:space="preserve"> (fallecido),</w:t>
      </w:r>
      <w:r w:rsidR="00E32C7B">
        <w:rPr>
          <w:rFonts w:eastAsia="Calibri"/>
          <w:sz w:val="20"/>
          <w:szCs w:val="20"/>
          <w:lang w:val="es-ES" w:eastAsia="es-ES"/>
        </w:rPr>
        <w:t xml:space="preserve"> </w:t>
      </w:r>
      <w:r w:rsidR="00BC17B7" w:rsidRPr="0059117C">
        <w:rPr>
          <w:sz w:val="20"/>
          <w:szCs w:val="16"/>
          <w:lang w:val="es-ES"/>
        </w:rPr>
        <w:t>Vinicio Marco Poblete Tapia y</w:t>
      </w:r>
      <w:r w:rsidR="00E32C7B">
        <w:rPr>
          <w:sz w:val="20"/>
          <w:szCs w:val="16"/>
          <w:lang w:val="es-ES"/>
        </w:rPr>
        <w:t xml:space="preserve"> </w:t>
      </w:r>
      <w:proofErr w:type="spellStart"/>
      <w:r w:rsidR="00BC17B7" w:rsidRPr="0059117C">
        <w:rPr>
          <w:sz w:val="20"/>
          <w:szCs w:val="16"/>
          <w:lang w:val="es-ES"/>
        </w:rPr>
        <w:t>Cesia</w:t>
      </w:r>
      <w:proofErr w:type="spellEnd"/>
      <w:r w:rsidR="00BC17B7" w:rsidRPr="0059117C">
        <w:rPr>
          <w:sz w:val="20"/>
          <w:szCs w:val="16"/>
          <w:lang w:val="es-ES"/>
        </w:rPr>
        <w:t xml:space="preserve"> Poblete Tapia.</w:t>
      </w:r>
    </w:p>
    <w:p w14:paraId="4376658D" w14:textId="77777777" w:rsidR="00BC17B7" w:rsidRPr="00BC17B7" w:rsidRDefault="00BC17B7" w:rsidP="00BC17B7">
      <w:pPr>
        <w:tabs>
          <w:tab w:val="left" w:pos="567"/>
        </w:tabs>
        <w:rPr>
          <w:rFonts w:eastAsia="Calibri" w:cs="Arial"/>
          <w:sz w:val="20"/>
          <w:szCs w:val="20"/>
        </w:rPr>
      </w:pPr>
    </w:p>
    <w:p w14:paraId="3022A791" w14:textId="77777777" w:rsidR="006C37C9" w:rsidRPr="0071582F" w:rsidRDefault="006C37C9" w:rsidP="00F3026E">
      <w:pPr>
        <w:numPr>
          <w:ilvl w:val="0"/>
          <w:numId w:val="2"/>
        </w:numPr>
        <w:tabs>
          <w:tab w:val="left" w:pos="567"/>
          <w:tab w:val="num" w:pos="12305"/>
        </w:tabs>
        <w:ind w:left="0" w:firstLine="0"/>
        <w:rPr>
          <w:rFonts w:eastAsia="Calibri" w:cs="Arial"/>
          <w:sz w:val="20"/>
          <w:szCs w:val="20"/>
        </w:rPr>
      </w:pPr>
      <w:r w:rsidRPr="0071582F">
        <w:rPr>
          <w:rFonts w:eastAsia="Verdana" w:cs="Verdana"/>
          <w:i/>
          <w:sz w:val="20"/>
          <w:szCs w:val="20"/>
        </w:rPr>
        <w:t xml:space="preserve">Trámite ante la Comisión. – </w:t>
      </w:r>
      <w:r w:rsidRPr="0071582F">
        <w:rPr>
          <w:rFonts w:eastAsia="Verdana" w:cs="Verdana"/>
          <w:sz w:val="20"/>
          <w:szCs w:val="20"/>
        </w:rPr>
        <w:t>El trámite ante la Comisión fue el siguiente:</w:t>
      </w:r>
    </w:p>
    <w:p w14:paraId="3C833B3F" w14:textId="77777777" w:rsidR="006C37C9" w:rsidRPr="0071582F" w:rsidRDefault="006C37C9" w:rsidP="00F3026E">
      <w:pPr>
        <w:rPr>
          <w:rFonts w:eastAsia="Calibri"/>
          <w:sz w:val="20"/>
          <w:szCs w:val="20"/>
        </w:rPr>
      </w:pPr>
    </w:p>
    <w:p w14:paraId="1184A400" w14:textId="7F20003E" w:rsidR="006C37C9" w:rsidRPr="0071582F" w:rsidRDefault="006C37C9" w:rsidP="00F3026E">
      <w:pPr>
        <w:numPr>
          <w:ilvl w:val="0"/>
          <w:numId w:val="3"/>
        </w:numPr>
        <w:ind w:right="144"/>
        <w:contextualSpacing/>
        <w:rPr>
          <w:rFonts w:eastAsia="Verdana" w:cs="Verdana"/>
          <w:sz w:val="20"/>
          <w:szCs w:val="20"/>
        </w:rPr>
      </w:pPr>
      <w:r w:rsidRPr="0071582F">
        <w:rPr>
          <w:rFonts w:eastAsia="Verdana" w:cs="Verdana"/>
          <w:i/>
          <w:sz w:val="20"/>
          <w:szCs w:val="20"/>
        </w:rPr>
        <w:t xml:space="preserve">Petición. – </w:t>
      </w:r>
      <w:r w:rsidRPr="0071582F">
        <w:rPr>
          <w:rFonts w:eastAsia="Verdana" w:cs="Verdana"/>
          <w:sz w:val="20"/>
          <w:szCs w:val="20"/>
        </w:rPr>
        <w:t xml:space="preserve">El </w:t>
      </w:r>
      <w:r w:rsidR="004E1443">
        <w:rPr>
          <w:rFonts w:eastAsia="Verdana" w:cs="Verdana"/>
          <w:sz w:val="20"/>
          <w:szCs w:val="20"/>
        </w:rPr>
        <w:t>15</w:t>
      </w:r>
      <w:r w:rsidRPr="0071582F">
        <w:rPr>
          <w:rFonts w:eastAsia="Verdana" w:cs="Verdana"/>
          <w:sz w:val="20"/>
          <w:szCs w:val="20"/>
        </w:rPr>
        <w:t xml:space="preserve"> de </w:t>
      </w:r>
      <w:r w:rsidR="004E1443">
        <w:rPr>
          <w:rFonts w:eastAsia="Verdana" w:cs="Verdana"/>
          <w:sz w:val="20"/>
          <w:szCs w:val="20"/>
        </w:rPr>
        <w:t>mayo</w:t>
      </w:r>
      <w:r w:rsidRPr="0071582F">
        <w:rPr>
          <w:rFonts w:eastAsia="Verdana" w:cs="Verdana"/>
          <w:sz w:val="20"/>
          <w:szCs w:val="20"/>
        </w:rPr>
        <w:t xml:space="preserve"> d</w:t>
      </w:r>
      <w:r w:rsidR="00F14674">
        <w:rPr>
          <w:rFonts w:eastAsia="Verdana" w:cs="Verdana"/>
          <w:sz w:val="20"/>
          <w:szCs w:val="20"/>
        </w:rPr>
        <w:t>e 2002</w:t>
      </w:r>
      <w:r w:rsidRPr="0071582F">
        <w:rPr>
          <w:rFonts w:eastAsia="Verdana" w:cs="Verdana"/>
          <w:sz w:val="20"/>
          <w:szCs w:val="20"/>
        </w:rPr>
        <w:t xml:space="preserve"> </w:t>
      </w:r>
      <w:r w:rsidR="00F14674">
        <w:rPr>
          <w:rFonts w:eastAsia="Verdana" w:cs="Verdana"/>
          <w:sz w:val="20"/>
          <w:szCs w:val="20"/>
        </w:rPr>
        <w:t>la</w:t>
      </w:r>
      <w:r w:rsidR="004E1443">
        <w:rPr>
          <w:rFonts w:eastAsia="Verdana" w:cs="Verdana"/>
          <w:sz w:val="20"/>
          <w:szCs w:val="20"/>
        </w:rPr>
        <w:t>s</w:t>
      </w:r>
      <w:r w:rsidR="00F14674">
        <w:rPr>
          <w:rFonts w:eastAsia="Verdana" w:cs="Verdana"/>
          <w:sz w:val="20"/>
          <w:szCs w:val="20"/>
        </w:rPr>
        <w:t xml:space="preserve"> señora</w:t>
      </w:r>
      <w:r w:rsidR="004E1443">
        <w:rPr>
          <w:rFonts w:eastAsia="Verdana" w:cs="Verdana"/>
          <w:sz w:val="20"/>
          <w:szCs w:val="20"/>
        </w:rPr>
        <w:t>s</w:t>
      </w:r>
      <w:r w:rsidR="00F14674">
        <w:rPr>
          <w:rFonts w:eastAsia="Verdana" w:cs="Verdana"/>
          <w:sz w:val="20"/>
          <w:szCs w:val="20"/>
        </w:rPr>
        <w:t xml:space="preserve"> </w:t>
      </w:r>
      <w:r w:rsidR="004E1443">
        <w:rPr>
          <w:rFonts w:eastAsia="Verdana" w:cs="Verdana"/>
          <w:sz w:val="20"/>
          <w:szCs w:val="20"/>
        </w:rPr>
        <w:t>Blanca Margarita Tapia Encina</w:t>
      </w:r>
      <w:r w:rsidR="001736E4">
        <w:rPr>
          <w:rFonts w:eastAsia="Verdana" w:cs="Verdana"/>
          <w:sz w:val="20"/>
          <w:szCs w:val="20"/>
        </w:rPr>
        <w:t>, así como</w:t>
      </w:r>
      <w:r w:rsidR="004E1443">
        <w:rPr>
          <w:rFonts w:eastAsia="Verdana" w:cs="Verdana"/>
          <w:sz w:val="20"/>
          <w:szCs w:val="20"/>
        </w:rPr>
        <w:t xml:space="preserve"> </w:t>
      </w:r>
      <w:proofErr w:type="spellStart"/>
      <w:r w:rsidR="004E1443">
        <w:rPr>
          <w:rFonts w:eastAsia="Verdana" w:cs="Verdana"/>
          <w:sz w:val="20"/>
          <w:szCs w:val="20"/>
        </w:rPr>
        <w:t>Cesia</w:t>
      </w:r>
      <w:proofErr w:type="spellEnd"/>
      <w:r w:rsidR="004E1443">
        <w:rPr>
          <w:rFonts w:eastAsia="Verdana" w:cs="Verdana"/>
          <w:sz w:val="20"/>
          <w:szCs w:val="20"/>
        </w:rPr>
        <w:t xml:space="preserve"> </w:t>
      </w:r>
      <w:proofErr w:type="spellStart"/>
      <w:r w:rsidR="004E1443">
        <w:rPr>
          <w:rFonts w:eastAsia="Verdana" w:cs="Verdana"/>
          <w:sz w:val="20"/>
          <w:szCs w:val="20"/>
        </w:rPr>
        <w:t>Leyla</w:t>
      </w:r>
      <w:proofErr w:type="spellEnd"/>
      <w:r w:rsidR="004E1443">
        <w:rPr>
          <w:rFonts w:eastAsia="Verdana" w:cs="Verdana"/>
          <w:sz w:val="20"/>
          <w:szCs w:val="20"/>
        </w:rPr>
        <w:t xml:space="preserve"> Poblete Tapia, y el señor Vinicio Antonio Poblete Tapia </w:t>
      </w:r>
      <w:r w:rsidRPr="0071582F">
        <w:rPr>
          <w:rFonts w:eastAsia="Verdana" w:cs="Verdana"/>
          <w:sz w:val="20"/>
          <w:szCs w:val="20"/>
        </w:rPr>
        <w:t>(en adelante “</w:t>
      </w:r>
      <w:r w:rsidR="004E1443">
        <w:rPr>
          <w:rFonts w:eastAsia="Verdana" w:cs="Verdana"/>
          <w:sz w:val="20"/>
          <w:szCs w:val="20"/>
        </w:rPr>
        <w:t>los peticionarios</w:t>
      </w:r>
      <w:r w:rsidRPr="0071582F">
        <w:rPr>
          <w:rFonts w:eastAsia="Verdana" w:cs="Verdana"/>
          <w:sz w:val="20"/>
          <w:szCs w:val="20"/>
        </w:rPr>
        <w:t>”</w:t>
      </w:r>
      <w:r w:rsidR="004E1443">
        <w:rPr>
          <w:rFonts w:eastAsia="Verdana" w:cs="Verdana"/>
          <w:sz w:val="20"/>
          <w:szCs w:val="20"/>
        </w:rPr>
        <w:t xml:space="preserve">) </w:t>
      </w:r>
      <w:r w:rsidRPr="0071582F">
        <w:rPr>
          <w:rFonts w:eastAsia="Verdana" w:cs="Verdana"/>
          <w:sz w:val="20"/>
          <w:szCs w:val="20"/>
        </w:rPr>
        <w:t>present</w:t>
      </w:r>
      <w:r w:rsidR="004E1443">
        <w:rPr>
          <w:rFonts w:eastAsia="Verdana" w:cs="Verdana"/>
          <w:sz w:val="20"/>
          <w:szCs w:val="20"/>
        </w:rPr>
        <w:t>aron</w:t>
      </w:r>
      <w:r w:rsidRPr="0071582F">
        <w:rPr>
          <w:rFonts w:eastAsia="Verdana" w:cs="Verdana"/>
          <w:sz w:val="20"/>
          <w:szCs w:val="20"/>
        </w:rPr>
        <w:t xml:space="preserve"> la petición inicial ante la Comisión</w:t>
      </w:r>
      <w:r w:rsidR="000F5ADD">
        <w:rPr>
          <w:rFonts w:eastAsia="Verdana" w:cs="Verdana"/>
          <w:sz w:val="20"/>
          <w:szCs w:val="20"/>
        </w:rPr>
        <w:t xml:space="preserve"> en la cual se alegó la responsabilidad internacional de </w:t>
      </w:r>
      <w:r w:rsidR="004E1443">
        <w:rPr>
          <w:rFonts w:eastAsia="Verdana" w:cs="Verdana"/>
          <w:sz w:val="20"/>
          <w:szCs w:val="20"/>
        </w:rPr>
        <w:t>Chile</w:t>
      </w:r>
      <w:r w:rsidR="000F5ADD">
        <w:rPr>
          <w:rFonts w:eastAsia="Verdana" w:cs="Verdana"/>
          <w:sz w:val="20"/>
          <w:szCs w:val="20"/>
        </w:rPr>
        <w:t xml:space="preserve"> </w:t>
      </w:r>
      <w:r w:rsidR="004E1443">
        <w:rPr>
          <w:rFonts w:eastAsia="Verdana" w:cs="Verdana"/>
          <w:sz w:val="20"/>
          <w:szCs w:val="20"/>
        </w:rPr>
        <w:t>en relación con la muerte del señor Vinicio Antonio Poblete Vilches, acaecida el 7 de febrero de 2001 en un hospital público de la ciudad de Santiago</w:t>
      </w:r>
      <w:r w:rsidR="000F5ADD">
        <w:rPr>
          <w:rFonts w:eastAsia="Verdana" w:cs="Verdana"/>
          <w:sz w:val="20"/>
          <w:szCs w:val="20"/>
        </w:rPr>
        <w:t>.</w:t>
      </w:r>
      <w:r w:rsidR="004D7E7A">
        <w:rPr>
          <w:rFonts w:eastAsia="Verdana" w:cs="Verdana"/>
          <w:sz w:val="20"/>
          <w:szCs w:val="20"/>
        </w:rPr>
        <w:t xml:space="preserve"> </w:t>
      </w:r>
    </w:p>
    <w:p w14:paraId="28944BC0" w14:textId="77777777" w:rsidR="006C37C9" w:rsidRPr="0071582F" w:rsidRDefault="006C37C9" w:rsidP="00F3026E">
      <w:pPr>
        <w:ind w:left="818" w:right="144"/>
        <w:contextualSpacing/>
        <w:rPr>
          <w:rFonts w:eastAsia="Verdana" w:cs="Verdana"/>
          <w:sz w:val="20"/>
          <w:szCs w:val="20"/>
        </w:rPr>
      </w:pPr>
    </w:p>
    <w:p w14:paraId="5C2ABD9F" w14:textId="060F7BDC" w:rsidR="006C37C9" w:rsidRPr="0071582F" w:rsidRDefault="006C37C9" w:rsidP="00F3026E">
      <w:pPr>
        <w:numPr>
          <w:ilvl w:val="0"/>
          <w:numId w:val="3"/>
        </w:numPr>
        <w:ind w:right="144"/>
        <w:contextualSpacing/>
        <w:rPr>
          <w:rFonts w:eastAsia="Verdana" w:cs="Verdana"/>
          <w:sz w:val="20"/>
          <w:szCs w:val="20"/>
        </w:rPr>
      </w:pPr>
      <w:r w:rsidRPr="0071582F">
        <w:rPr>
          <w:rFonts w:eastAsia="Verdana" w:cs="Verdana"/>
          <w:i/>
          <w:sz w:val="20"/>
          <w:szCs w:val="20"/>
        </w:rPr>
        <w:t xml:space="preserve">Informe de Admisibilidad. – </w:t>
      </w:r>
      <w:r w:rsidRPr="0071582F">
        <w:rPr>
          <w:rFonts w:eastAsia="Verdana" w:cs="Verdana"/>
          <w:sz w:val="20"/>
          <w:szCs w:val="20"/>
        </w:rPr>
        <w:t xml:space="preserve">El </w:t>
      </w:r>
      <w:r w:rsidR="000F5ADD">
        <w:rPr>
          <w:rFonts w:eastAsia="Verdana" w:cs="Verdana"/>
          <w:sz w:val="20"/>
          <w:szCs w:val="20"/>
        </w:rPr>
        <w:t>1</w:t>
      </w:r>
      <w:r w:rsidR="004E1443">
        <w:rPr>
          <w:rFonts w:eastAsia="Verdana" w:cs="Verdana"/>
          <w:sz w:val="20"/>
          <w:szCs w:val="20"/>
        </w:rPr>
        <w:t>9</w:t>
      </w:r>
      <w:r w:rsidRPr="0071582F">
        <w:rPr>
          <w:rFonts w:eastAsia="Verdana" w:cs="Verdana"/>
          <w:sz w:val="20"/>
          <w:szCs w:val="20"/>
        </w:rPr>
        <w:t xml:space="preserve"> de </w:t>
      </w:r>
      <w:r w:rsidR="004E1443">
        <w:rPr>
          <w:rFonts w:eastAsia="Verdana" w:cs="Verdana"/>
          <w:sz w:val="20"/>
          <w:szCs w:val="20"/>
        </w:rPr>
        <w:t>marzo</w:t>
      </w:r>
      <w:r w:rsidR="000F5ADD">
        <w:rPr>
          <w:rFonts w:eastAsia="Verdana" w:cs="Verdana"/>
          <w:sz w:val="20"/>
          <w:szCs w:val="20"/>
        </w:rPr>
        <w:t xml:space="preserve"> de 2009</w:t>
      </w:r>
      <w:r w:rsidRPr="0071582F">
        <w:rPr>
          <w:rFonts w:eastAsia="Verdana" w:cs="Verdana"/>
          <w:sz w:val="20"/>
          <w:szCs w:val="20"/>
        </w:rPr>
        <w:t xml:space="preserve"> la Comisión aprobó el Informe de </w:t>
      </w:r>
      <w:r w:rsidRPr="0071582F">
        <w:rPr>
          <w:rFonts w:eastAsia="Verdana" w:cs="Verdana"/>
          <w:position w:val="-1"/>
          <w:sz w:val="20"/>
          <w:szCs w:val="20"/>
        </w:rPr>
        <w:t xml:space="preserve">Admisibilidad No. </w:t>
      </w:r>
      <w:r w:rsidR="004E1443">
        <w:rPr>
          <w:rFonts w:eastAsia="Verdana" w:cs="Verdana"/>
          <w:position w:val="-1"/>
          <w:sz w:val="20"/>
          <w:szCs w:val="20"/>
        </w:rPr>
        <w:t>1</w:t>
      </w:r>
      <w:r w:rsidR="000F5ADD">
        <w:rPr>
          <w:rFonts w:eastAsia="Verdana" w:cs="Verdana"/>
          <w:position w:val="-1"/>
          <w:sz w:val="20"/>
          <w:szCs w:val="20"/>
        </w:rPr>
        <w:t>3/09</w:t>
      </w:r>
      <w:r w:rsidRPr="0071582F">
        <w:rPr>
          <w:rFonts w:eastAsia="Verdana" w:cs="Verdana"/>
          <w:position w:val="-1"/>
          <w:sz w:val="20"/>
          <w:szCs w:val="20"/>
        </w:rPr>
        <w:t xml:space="preserve"> </w:t>
      </w:r>
      <w:r w:rsidRPr="0071582F">
        <w:rPr>
          <w:rFonts w:cs="Verdana"/>
          <w:sz w:val="20"/>
          <w:szCs w:val="20"/>
        </w:rPr>
        <w:t xml:space="preserve">en el que concluyó que la </w:t>
      </w:r>
      <w:r w:rsidRPr="003A6303">
        <w:rPr>
          <w:rFonts w:cs="Verdana"/>
          <w:sz w:val="20"/>
          <w:szCs w:val="20"/>
        </w:rPr>
        <w:t xml:space="preserve">petición </w:t>
      </w:r>
      <w:r w:rsidR="004E1443">
        <w:rPr>
          <w:rFonts w:cs="Verdana"/>
          <w:sz w:val="20"/>
          <w:szCs w:val="20"/>
        </w:rPr>
        <w:t>339</w:t>
      </w:r>
      <w:r w:rsidR="003A6303" w:rsidRPr="003A6303">
        <w:rPr>
          <w:rFonts w:cs="Verdana"/>
          <w:sz w:val="20"/>
          <w:szCs w:val="20"/>
        </w:rPr>
        <w:t>-02</w:t>
      </w:r>
      <w:r w:rsidRPr="0071582F">
        <w:rPr>
          <w:rFonts w:cs="Verdana"/>
          <w:sz w:val="20"/>
          <w:szCs w:val="20"/>
        </w:rPr>
        <w:t xml:space="preserve"> era admisible</w:t>
      </w:r>
      <w:r w:rsidRPr="0071582F">
        <w:rPr>
          <w:rStyle w:val="FootnoteReference"/>
          <w:rFonts w:eastAsia="Verdana" w:cs="Verdana"/>
          <w:position w:val="-1"/>
          <w:sz w:val="20"/>
          <w:szCs w:val="20"/>
        </w:rPr>
        <w:footnoteReference w:id="5"/>
      </w:r>
      <w:r w:rsidRPr="0071582F">
        <w:rPr>
          <w:rFonts w:eastAsia="Verdana" w:cs="Verdana"/>
          <w:position w:val="-1"/>
          <w:sz w:val="20"/>
          <w:szCs w:val="20"/>
        </w:rPr>
        <w:t>.</w:t>
      </w:r>
      <w:r w:rsidR="004D7E7A">
        <w:rPr>
          <w:rFonts w:eastAsia="Verdana" w:cs="Verdana"/>
          <w:position w:val="-1"/>
          <w:sz w:val="20"/>
          <w:szCs w:val="20"/>
        </w:rPr>
        <w:t xml:space="preserve"> </w:t>
      </w:r>
    </w:p>
    <w:p w14:paraId="6EB9516E" w14:textId="77777777" w:rsidR="006C37C9" w:rsidRPr="0071582F" w:rsidRDefault="006C37C9" w:rsidP="00F3026E">
      <w:pPr>
        <w:ind w:left="818" w:right="144"/>
        <w:contextualSpacing/>
        <w:rPr>
          <w:rFonts w:eastAsia="Verdana" w:cs="Verdana"/>
          <w:sz w:val="20"/>
          <w:szCs w:val="20"/>
        </w:rPr>
      </w:pPr>
    </w:p>
    <w:p w14:paraId="5675CC8A" w14:textId="360908B3" w:rsidR="006C37C9" w:rsidRDefault="006C37C9" w:rsidP="00F3026E">
      <w:pPr>
        <w:numPr>
          <w:ilvl w:val="0"/>
          <w:numId w:val="3"/>
        </w:numPr>
        <w:ind w:right="144"/>
        <w:contextualSpacing/>
        <w:rPr>
          <w:rFonts w:eastAsia="Verdana" w:cs="Verdana"/>
          <w:sz w:val="20"/>
          <w:szCs w:val="20"/>
        </w:rPr>
      </w:pPr>
      <w:r w:rsidRPr="0071582F">
        <w:rPr>
          <w:rFonts w:eastAsia="Verdana" w:cs="Verdana"/>
          <w:i/>
          <w:sz w:val="20"/>
          <w:szCs w:val="20"/>
        </w:rPr>
        <w:t xml:space="preserve">Informe de Fondo. – </w:t>
      </w:r>
      <w:r w:rsidR="003A6303">
        <w:rPr>
          <w:rFonts w:eastAsia="Verdana" w:cs="Verdana"/>
          <w:sz w:val="20"/>
          <w:szCs w:val="20"/>
        </w:rPr>
        <w:t>El 13</w:t>
      </w:r>
      <w:r w:rsidRPr="0071582F">
        <w:rPr>
          <w:rFonts w:eastAsia="Verdana" w:cs="Verdana"/>
          <w:sz w:val="20"/>
          <w:szCs w:val="20"/>
        </w:rPr>
        <w:t xml:space="preserve"> de a</w:t>
      </w:r>
      <w:r w:rsidR="003A6303">
        <w:rPr>
          <w:rFonts w:eastAsia="Verdana" w:cs="Verdana"/>
          <w:sz w:val="20"/>
          <w:szCs w:val="20"/>
        </w:rPr>
        <w:t>bril de 2016</w:t>
      </w:r>
      <w:r w:rsidRPr="0071582F">
        <w:rPr>
          <w:rFonts w:eastAsia="Verdana" w:cs="Verdana"/>
          <w:sz w:val="20"/>
          <w:szCs w:val="20"/>
        </w:rPr>
        <w:t xml:space="preserve"> la Comisión aprobó el Informe de Fondo No. </w:t>
      </w:r>
      <w:r w:rsidR="004D7E7A">
        <w:rPr>
          <w:rFonts w:eastAsia="Verdana" w:cs="Verdana"/>
          <w:sz w:val="20"/>
          <w:szCs w:val="20"/>
        </w:rPr>
        <w:t>1</w:t>
      </w:r>
      <w:r w:rsidR="003A6303">
        <w:rPr>
          <w:rFonts w:eastAsia="Verdana" w:cs="Verdana"/>
          <w:sz w:val="20"/>
          <w:szCs w:val="20"/>
        </w:rPr>
        <w:t>/16</w:t>
      </w:r>
      <w:r w:rsidRPr="0071582F">
        <w:rPr>
          <w:rFonts w:eastAsia="Verdana" w:cs="Verdana"/>
          <w:sz w:val="20"/>
          <w:szCs w:val="20"/>
        </w:rPr>
        <w:t xml:space="preserve">, de conformidad con el artículo 50 de la Convención (en adelante también “el </w:t>
      </w:r>
      <w:r w:rsidR="00C00A35" w:rsidRPr="0071582F">
        <w:rPr>
          <w:rFonts w:eastAsia="Verdana" w:cs="Verdana"/>
          <w:sz w:val="20"/>
          <w:szCs w:val="20"/>
        </w:rPr>
        <w:t>I</w:t>
      </w:r>
      <w:r w:rsidRPr="0071582F">
        <w:rPr>
          <w:rFonts w:eastAsia="Verdana" w:cs="Verdana"/>
          <w:sz w:val="20"/>
          <w:szCs w:val="20"/>
        </w:rPr>
        <w:t xml:space="preserve">nforme de </w:t>
      </w:r>
      <w:r w:rsidR="00C00A35" w:rsidRPr="0071582F">
        <w:rPr>
          <w:rFonts w:eastAsia="Verdana" w:cs="Verdana"/>
          <w:sz w:val="20"/>
          <w:szCs w:val="20"/>
        </w:rPr>
        <w:t>F</w:t>
      </w:r>
      <w:r w:rsidRPr="0071582F">
        <w:rPr>
          <w:rFonts w:eastAsia="Verdana" w:cs="Verdana"/>
          <w:sz w:val="20"/>
          <w:szCs w:val="20"/>
        </w:rPr>
        <w:t xml:space="preserve">ondo” o “el </w:t>
      </w:r>
      <w:r w:rsidR="00C00A35" w:rsidRPr="0071582F">
        <w:rPr>
          <w:rFonts w:eastAsia="Verdana" w:cs="Verdana"/>
          <w:sz w:val="20"/>
          <w:szCs w:val="20"/>
        </w:rPr>
        <w:t>I</w:t>
      </w:r>
      <w:r w:rsidRPr="0071582F">
        <w:rPr>
          <w:rFonts w:eastAsia="Verdana" w:cs="Verdana"/>
          <w:sz w:val="20"/>
          <w:szCs w:val="20"/>
        </w:rPr>
        <w:t xml:space="preserve">nforme No. </w:t>
      </w:r>
      <w:r w:rsidR="004D7E7A">
        <w:rPr>
          <w:rFonts w:eastAsia="Verdana" w:cs="Verdana"/>
          <w:sz w:val="20"/>
          <w:szCs w:val="20"/>
        </w:rPr>
        <w:t>1</w:t>
      </w:r>
      <w:r w:rsidR="003A6303">
        <w:rPr>
          <w:rFonts w:eastAsia="Verdana" w:cs="Verdana"/>
          <w:sz w:val="20"/>
          <w:szCs w:val="20"/>
        </w:rPr>
        <w:t>/16</w:t>
      </w:r>
      <w:r w:rsidRPr="0071582F">
        <w:rPr>
          <w:rFonts w:eastAsia="Verdana" w:cs="Verdana"/>
          <w:sz w:val="20"/>
          <w:szCs w:val="20"/>
        </w:rPr>
        <w:t>”), en el cual llegó a una serie de conclusiones y formuló varias recomendaciones al Estado.</w:t>
      </w:r>
    </w:p>
    <w:p w14:paraId="0034B369" w14:textId="77777777" w:rsidR="004D7E7A" w:rsidRPr="0071582F" w:rsidRDefault="004D7E7A" w:rsidP="00F3026E">
      <w:pPr>
        <w:ind w:left="818" w:right="144"/>
        <w:contextualSpacing/>
        <w:rPr>
          <w:rFonts w:eastAsia="Verdana" w:cs="Verdana"/>
          <w:sz w:val="20"/>
          <w:szCs w:val="20"/>
        </w:rPr>
      </w:pPr>
    </w:p>
    <w:p w14:paraId="00D37E7E" w14:textId="6AB4AA9D" w:rsidR="004D7E7A" w:rsidRDefault="004D7E7A" w:rsidP="00F3026E">
      <w:pPr>
        <w:pStyle w:val="ListParagraph"/>
        <w:numPr>
          <w:ilvl w:val="0"/>
          <w:numId w:val="6"/>
        </w:numPr>
        <w:ind w:right="148"/>
        <w:contextualSpacing/>
        <w:rPr>
          <w:sz w:val="20"/>
          <w:szCs w:val="20"/>
        </w:rPr>
      </w:pPr>
      <w:r w:rsidRPr="004D7E7A">
        <w:rPr>
          <w:rFonts w:eastAsia="Verdana" w:cs="Verdana"/>
          <w:i/>
          <w:sz w:val="20"/>
          <w:szCs w:val="20"/>
        </w:rPr>
        <w:t>Conclusiones</w:t>
      </w:r>
      <w:r w:rsidRPr="0071582F">
        <w:rPr>
          <w:rFonts w:eastAsia="Verdana" w:cs="Verdana"/>
          <w:i/>
          <w:sz w:val="20"/>
          <w:szCs w:val="20"/>
        </w:rPr>
        <w:t xml:space="preserve">. – </w:t>
      </w:r>
      <w:r w:rsidRPr="004D7E7A">
        <w:rPr>
          <w:rFonts w:eastAsia="Verdana" w:cs="Verdana"/>
          <w:sz w:val="20"/>
          <w:szCs w:val="20"/>
        </w:rPr>
        <w:t xml:space="preserve"> </w:t>
      </w:r>
      <w:r w:rsidRPr="004D7E7A">
        <w:rPr>
          <w:sz w:val="20"/>
          <w:szCs w:val="20"/>
        </w:rPr>
        <w:t>La Comisión concluyó que el Estado era responsable por la alegada violación a los siguientes derechos humanos establecidos en la Convención Americana:</w:t>
      </w:r>
    </w:p>
    <w:p w14:paraId="4CA855DB" w14:textId="77777777" w:rsidR="00F42643" w:rsidRPr="004D7E7A" w:rsidRDefault="00F42643" w:rsidP="00F42643">
      <w:pPr>
        <w:pStyle w:val="ListParagraph"/>
        <w:ind w:left="1900" w:right="148"/>
        <w:contextualSpacing/>
        <w:rPr>
          <w:sz w:val="20"/>
          <w:szCs w:val="20"/>
        </w:rPr>
      </w:pPr>
    </w:p>
    <w:p w14:paraId="70F28F9B" w14:textId="77777777" w:rsidR="004D7E7A" w:rsidRPr="000214BA" w:rsidRDefault="00F42643" w:rsidP="00F3026E">
      <w:pPr>
        <w:pStyle w:val="ListParagraph"/>
        <w:numPr>
          <w:ilvl w:val="0"/>
          <w:numId w:val="4"/>
        </w:numPr>
        <w:autoSpaceDE w:val="0"/>
        <w:autoSpaceDN w:val="0"/>
        <w:ind w:left="2404" w:hanging="357"/>
        <w:rPr>
          <w:sz w:val="18"/>
          <w:szCs w:val="18"/>
        </w:rPr>
      </w:pPr>
      <w:r w:rsidRPr="000214BA">
        <w:rPr>
          <w:sz w:val="18"/>
          <w:szCs w:val="18"/>
        </w:rPr>
        <w:t>[l]</w:t>
      </w:r>
      <w:r w:rsidR="004D7E7A" w:rsidRPr="000214BA">
        <w:rPr>
          <w:sz w:val="18"/>
          <w:szCs w:val="18"/>
        </w:rPr>
        <w:t>a violación del derecho de acceso a la información en materia de salud establecido en el artículo 13 de la Convención, en relaci</w:t>
      </w:r>
      <w:r w:rsidRPr="000214BA">
        <w:rPr>
          <w:sz w:val="18"/>
          <w:szCs w:val="18"/>
        </w:rPr>
        <w:t xml:space="preserve">ón con los derechos a la </w:t>
      </w:r>
      <w:r w:rsidRPr="000214BA">
        <w:rPr>
          <w:sz w:val="18"/>
          <w:szCs w:val="18"/>
        </w:rPr>
        <w:lastRenderedPageBreak/>
        <w:t>vida, i</w:t>
      </w:r>
      <w:r w:rsidR="004D7E7A" w:rsidRPr="000214BA">
        <w:rPr>
          <w:sz w:val="18"/>
          <w:szCs w:val="18"/>
        </w:rPr>
        <w:t>ntegridad personal y salud establecidos</w:t>
      </w:r>
      <w:r w:rsidRPr="000214BA">
        <w:rPr>
          <w:sz w:val="18"/>
          <w:szCs w:val="18"/>
        </w:rPr>
        <w:t xml:space="preserve"> </w:t>
      </w:r>
      <w:r w:rsidR="004D7E7A" w:rsidRPr="000214BA">
        <w:rPr>
          <w:sz w:val="18"/>
          <w:szCs w:val="18"/>
        </w:rPr>
        <w:t xml:space="preserve">en los artículos 4 y 5 de la Convención, y con las obligaciones establecidas en el </w:t>
      </w:r>
      <w:r w:rsidRPr="000214BA">
        <w:rPr>
          <w:sz w:val="18"/>
          <w:szCs w:val="18"/>
        </w:rPr>
        <w:t>artículo</w:t>
      </w:r>
      <w:r w:rsidR="004D7E7A" w:rsidRPr="000214BA">
        <w:rPr>
          <w:sz w:val="18"/>
          <w:szCs w:val="18"/>
        </w:rPr>
        <w:t xml:space="preserve"> 1.1 del</w:t>
      </w:r>
      <w:r w:rsidRPr="000214BA">
        <w:rPr>
          <w:sz w:val="18"/>
          <w:szCs w:val="18"/>
        </w:rPr>
        <w:t xml:space="preserve"> </w:t>
      </w:r>
      <w:r w:rsidR="004D7E7A" w:rsidRPr="000214BA">
        <w:rPr>
          <w:sz w:val="18"/>
          <w:szCs w:val="18"/>
        </w:rPr>
        <w:t>mismo i</w:t>
      </w:r>
      <w:r w:rsidRPr="000214BA">
        <w:rPr>
          <w:sz w:val="18"/>
          <w:szCs w:val="18"/>
        </w:rPr>
        <w:t>nstrumento, en perjuicio de Vini</w:t>
      </w:r>
      <w:r w:rsidR="004D7E7A" w:rsidRPr="000214BA">
        <w:rPr>
          <w:sz w:val="18"/>
          <w:szCs w:val="18"/>
        </w:rPr>
        <w:t>cio Antonio Poblete Vilches y sus familiares</w:t>
      </w:r>
      <w:r w:rsidR="00F44B67" w:rsidRPr="000214BA">
        <w:rPr>
          <w:sz w:val="18"/>
          <w:szCs w:val="18"/>
        </w:rPr>
        <w:t>[</w:t>
      </w:r>
      <w:r w:rsidR="004D7E7A" w:rsidRPr="000214BA">
        <w:rPr>
          <w:sz w:val="18"/>
          <w:szCs w:val="18"/>
        </w:rPr>
        <w:t>;</w:t>
      </w:r>
      <w:r w:rsidR="00F44B67" w:rsidRPr="000214BA">
        <w:rPr>
          <w:sz w:val="18"/>
          <w:szCs w:val="18"/>
        </w:rPr>
        <w:t>]</w:t>
      </w:r>
    </w:p>
    <w:p w14:paraId="247C1875" w14:textId="596E5132" w:rsidR="004D7E7A" w:rsidRPr="000214BA" w:rsidRDefault="00F42643" w:rsidP="00F3026E">
      <w:pPr>
        <w:pStyle w:val="ListParagraph"/>
        <w:numPr>
          <w:ilvl w:val="0"/>
          <w:numId w:val="4"/>
        </w:numPr>
        <w:autoSpaceDE w:val="0"/>
        <w:autoSpaceDN w:val="0"/>
        <w:ind w:left="2404" w:hanging="357"/>
        <w:rPr>
          <w:sz w:val="18"/>
          <w:szCs w:val="18"/>
        </w:rPr>
      </w:pPr>
      <w:r w:rsidRPr="000214BA">
        <w:rPr>
          <w:sz w:val="18"/>
          <w:szCs w:val="18"/>
        </w:rPr>
        <w:t>[l]</w:t>
      </w:r>
      <w:r w:rsidR="004D7E7A" w:rsidRPr="000214BA">
        <w:rPr>
          <w:sz w:val="18"/>
          <w:szCs w:val="18"/>
        </w:rPr>
        <w:t>a violación de los derechos a la vida, integridad pe</w:t>
      </w:r>
      <w:r w:rsidRPr="000214BA">
        <w:rPr>
          <w:sz w:val="18"/>
          <w:szCs w:val="18"/>
        </w:rPr>
        <w:t>r</w:t>
      </w:r>
      <w:r w:rsidR="004D7E7A" w:rsidRPr="000214BA">
        <w:rPr>
          <w:sz w:val="18"/>
          <w:szCs w:val="18"/>
        </w:rPr>
        <w:t>sonal y salud establecidos en los articulas 4 y</w:t>
      </w:r>
      <w:r w:rsidRPr="000214BA">
        <w:rPr>
          <w:sz w:val="18"/>
          <w:szCs w:val="18"/>
        </w:rPr>
        <w:t xml:space="preserve"> </w:t>
      </w:r>
      <w:r w:rsidR="004D7E7A" w:rsidRPr="000214BA">
        <w:rPr>
          <w:sz w:val="18"/>
          <w:szCs w:val="18"/>
        </w:rPr>
        <w:t>5 de la Convención Americana, en relación con las obligaciones establecidas en el artículo 1.1 del</w:t>
      </w:r>
      <w:r w:rsidRPr="000214BA">
        <w:rPr>
          <w:sz w:val="18"/>
          <w:szCs w:val="18"/>
        </w:rPr>
        <w:t xml:space="preserve"> </w:t>
      </w:r>
      <w:r w:rsidR="004D7E7A" w:rsidRPr="000214BA">
        <w:rPr>
          <w:sz w:val="18"/>
          <w:szCs w:val="18"/>
        </w:rPr>
        <w:t>mismo instrumento, en perjuicio de Vinicio Antonio Poblete Vilches</w:t>
      </w:r>
      <w:r w:rsidR="003B52C8">
        <w:rPr>
          <w:sz w:val="18"/>
          <w:szCs w:val="18"/>
        </w:rPr>
        <w:t>,</w:t>
      </w:r>
      <w:r w:rsidRPr="000214BA">
        <w:rPr>
          <w:sz w:val="18"/>
          <w:szCs w:val="18"/>
        </w:rPr>
        <w:t xml:space="preserve"> [y] </w:t>
      </w:r>
    </w:p>
    <w:p w14:paraId="47C3109A" w14:textId="5AE0A7DC" w:rsidR="004D7E7A" w:rsidRPr="000214BA" w:rsidRDefault="00F42643" w:rsidP="00F3026E">
      <w:pPr>
        <w:pStyle w:val="ListParagraph"/>
        <w:numPr>
          <w:ilvl w:val="0"/>
          <w:numId w:val="4"/>
        </w:numPr>
        <w:autoSpaceDE w:val="0"/>
        <w:autoSpaceDN w:val="0"/>
        <w:ind w:left="2404" w:hanging="357"/>
        <w:rPr>
          <w:sz w:val="18"/>
          <w:szCs w:val="18"/>
        </w:rPr>
      </w:pPr>
      <w:r w:rsidRPr="000214BA">
        <w:rPr>
          <w:sz w:val="18"/>
          <w:szCs w:val="18"/>
        </w:rPr>
        <w:t>[l]</w:t>
      </w:r>
      <w:r w:rsidR="004D7E7A" w:rsidRPr="000214BA">
        <w:rPr>
          <w:sz w:val="18"/>
          <w:szCs w:val="18"/>
        </w:rPr>
        <w:t>a violación de los derechos a la integridad personal, garantías judiciales y protección judicial</w:t>
      </w:r>
      <w:r w:rsidRPr="000214BA">
        <w:rPr>
          <w:sz w:val="18"/>
          <w:szCs w:val="18"/>
        </w:rPr>
        <w:t xml:space="preserve"> </w:t>
      </w:r>
      <w:r w:rsidR="004D7E7A" w:rsidRPr="000214BA">
        <w:rPr>
          <w:sz w:val="18"/>
          <w:szCs w:val="18"/>
        </w:rPr>
        <w:t>establecidos en los artículos 5, 8 y 25 de la Convención A</w:t>
      </w:r>
      <w:r w:rsidRPr="000214BA">
        <w:rPr>
          <w:sz w:val="18"/>
          <w:szCs w:val="18"/>
        </w:rPr>
        <w:t>mericana</w:t>
      </w:r>
      <w:r w:rsidR="00C12427">
        <w:rPr>
          <w:sz w:val="18"/>
          <w:szCs w:val="18"/>
        </w:rPr>
        <w:t>,</w:t>
      </w:r>
      <w:r w:rsidRPr="000214BA">
        <w:rPr>
          <w:sz w:val="18"/>
          <w:szCs w:val="18"/>
        </w:rPr>
        <w:t xml:space="preserve"> en relación con el artí</w:t>
      </w:r>
      <w:r w:rsidR="004D7E7A" w:rsidRPr="000214BA">
        <w:rPr>
          <w:sz w:val="18"/>
          <w:szCs w:val="18"/>
        </w:rPr>
        <w:t>culo 1.1 del</w:t>
      </w:r>
      <w:r w:rsidRPr="000214BA">
        <w:rPr>
          <w:sz w:val="18"/>
          <w:szCs w:val="18"/>
        </w:rPr>
        <w:t xml:space="preserve"> </w:t>
      </w:r>
      <w:r w:rsidR="004D7E7A" w:rsidRPr="000214BA">
        <w:rPr>
          <w:sz w:val="18"/>
          <w:szCs w:val="18"/>
        </w:rPr>
        <w:t>mismo instrumento, en perjuicio de los familiares del señor Vi</w:t>
      </w:r>
      <w:r w:rsidRPr="000214BA">
        <w:rPr>
          <w:sz w:val="18"/>
          <w:szCs w:val="18"/>
        </w:rPr>
        <w:t>nicio</w:t>
      </w:r>
      <w:r w:rsidR="004D7E7A" w:rsidRPr="000214BA">
        <w:rPr>
          <w:sz w:val="18"/>
          <w:szCs w:val="18"/>
        </w:rPr>
        <w:t xml:space="preserve"> Antonio Poblete </w:t>
      </w:r>
      <w:r w:rsidRPr="000214BA">
        <w:rPr>
          <w:sz w:val="18"/>
          <w:szCs w:val="18"/>
        </w:rPr>
        <w:t>Vilches</w:t>
      </w:r>
      <w:r w:rsidR="00F44B67" w:rsidRPr="000214BA">
        <w:rPr>
          <w:sz w:val="18"/>
          <w:szCs w:val="18"/>
        </w:rPr>
        <w:t>.</w:t>
      </w:r>
    </w:p>
    <w:p w14:paraId="2160C475" w14:textId="77777777" w:rsidR="006C37C9" w:rsidRPr="0071582F" w:rsidRDefault="006C37C9" w:rsidP="00F3026E">
      <w:pPr>
        <w:pStyle w:val="ListParagraph"/>
        <w:ind w:left="1900" w:right="148"/>
        <w:rPr>
          <w:rFonts w:eastAsia="Verdana" w:cs="Verdana"/>
          <w:sz w:val="20"/>
          <w:szCs w:val="20"/>
        </w:rPr>
      </w:pPr>
    </w:p>
    <w:p w14:paraId="185D6E2F" w14:textId="23FAE052" w:rsidR="006C37C9" w:rsidRPr="0071582F" w:rsidRDefault="006C37C9" w:rsidP="00F3026E">
      <w:pPr>
        <w:pStyle w:val="ListParagraph"/>
        <w:numPr>
          <w:ilvl w:val="0"/>
          <w:numId w:val="6"/>
        </w:numPr>
        <w:ind w:right="148"/>
        <w:contextualSpacing/>
        <w:rPr>
          <w:rFonts w:eastAsia="Verdana" w:cs="Verdana"/>
          <w:sz w:val="20"/>
          <w:szCs w:val="20"/>
        </w:rPr>
      </w:pPr>
      <w:r w:rsidRPr="0071582F">
        <w:rPr>
          <w:rFonts w:eastAsia="Verdana" w:cs="Verdana"/>
          <w:i/>
          <w:sz w:val="20"/>
          <w:szCs w:val="20"/>
        </w:rPr>
        <w:t xml:space="preserve">Recomendaciones. </w:t>
      </w:r>
      <w:r w:rsidRPr="000214BA">
        <w:rPr>
          <w:rFonts w:eastAsia="Verdana" w:cs="Verdana"/>
          <w:sz w:val="20"/>
          <w:szCs w:val="20"/>
        </w:rPr>
        <w:t>– En consecuencia, la Comisión hizo al Estado</w:t>
      </w:r>
      <w:r w:rsidRPr="0071582F">
        <w:rPr>
          <w:rFonts w:eastAsia="Verdana" w:cs="Verdana"/>
          <w:sz w:val="20"/>
          <w:szCs w:val="20"/>
        </w:rPr>
        <w:t xml:space="preserve"> una serie de recomendaciones:</w:t>
      </w:r>
    </w:p>
    <w:p w14:paraId="5358C4F5" w14:textId="77777777" w:rsidR="006C37C9" w:rsidRPr="0071582F" w:rsidRDefault="006C37C9" w:rsidP="00F3026E">
      <w:pPr>
        <w:pStyle w:val="ListParagraph"/>
        <w:ind w:left="1900" w:right="148"/>
        <w:rPr>
          <w:rFonts w:eastAsia="Verdana" w:cs="Verdana"/>
          <w:sz w:val="20"/>
          <w:szCs w:val="20"/>
        </w:rPr>
      </w:pPr>
    </w:p>
    <w:p w14:paraId="0F88DA93" w14:textId="77777777" w:rsidR="00F42643" w:rsidRPr="000214BA" w:rsidRDefault="00F42643" w:rsidP="00F3026E">
      <w:pPr>
        <w:pStyle w:val="ListParagraph"/>
        <w:numPr>
          <w:ilvl w:val="0"/>
          <w:numId w:val="5"/>
        </w:numPr>
        <w:autoSpaceDE w:val="0"/>
        <w:autoSpaceDN w:val="0"/>
        <w:rPr>
          <w:sz w:val="18"/>
          <w:szCs w:val="18"/>
        </w:rPr>
      </w:pPr>
      <w:r w:rsidRPr="000214BA">
        <w:rPr>
          <w:sz w:val="18"/>
          <w:szCs w:val="18"/>
        </w:rPr>
        <w:t>[r]</w:t>
      </w:r>
      <w:proofErr w:type="spellStart"/>
      <w:r w:rsidRPr="000214BA">
        <w:rPr>
          <w:sz w:val="18"/>
          <w:szCs w:val="18"/>
        </w:rPr>
        <w:t>eparar</w:t>
      </w:r>
      <w:proofErr w:type="spellEnd"/>
      <w:r w:rsidRPr="000214BA">
        <w:rPr>
          <w:sz w:val="18"/>
          <w:szCs w:val="18"/>
        </w:rPr>
        <w:t xml:space="preserve"> integralmente a los familiares del señor Vinicio Antonio Poblete Vilches por las violaciones de derechos humanos declaradas en el presente informe, incluyendo una debida compensación por el da</w:t>
      </w:r>
      <w:r w:rsidR="00CA683F" w:rsidRPr="000214BA">
        <w:rPr>
          <w:sz w:val="18"/>
          <w:szCs w:val="18"/>
        </w:rPr>
        <w:t>ño material y moral causado, así</w:t>
      </w:r>
      <w:r w:rsidRPr="000214BA">
        <w:rPr>
          <w:sz w:val="18"/>
          <w:szCs w:val="18"/>
        </w:rPr>
        <w:t xml:space="preserve"> como otras medidas de satisfacción moral[;]</w:t>
      </w:r>
    </w:p>
    <w:p w14:paraId="1035FEA4" w14:textId="782DC872" w:rsidR="00F42643" w:rsidRPr="000214BA" w:rsidRDefault="00F42643" w:rsidP="00F3026E">
      <w:pPr>
        <w:pStyle w:val="ListParagraph"/>
        <w:numPr>
          <w:ilvl w:val="0"/>
          <w:numId w:val="5"/>
        </w:numPr>
        <w:autoSpaceDE w:val="0"/>
        <w:autoSpaceDN w:val="0"/>
        <w:rPr>
          <w:sz w:val="18"/>
          <w:szCs w:val="18"/>
        </w:rPr>
      </w:pPr>
      <w:r w:rsidRPr="000214BA">
        <w:rPr>
          <w:sz w:val="18"/>
          <w:szCs w:val="18"/>
        </w:rPr>
        <w:t>[r]</w:t>
      </w:r>
      <w:proofErr w:type="spellStart"/>
      <w:r w:rsidRPr="000214BA">
        <w:rPr>
          <w:sz w:val="18"/>
          <w:szCs w:val="18"/>
        </w:rPr>
        <w:t>ealizar</w:t>
      </w:r>
      <w:proofErr w:type="spellEnd"/>
      <w:r w:rsidRPr="000214BA">
        <w:rPr>
          <w:sz w:val="18"/>
          <w:szCs w:val="18"/>
        </w:rPr>
        <w:t xml:space="preserve"> una investigación completa y efectiva de las violaciones de derechos humanos</w:t>
      </w:r>
      <w:r w:rsidR="00337C65" w:rsidRPr="000214BA">
        <w:rPr>
          <w:sz w:val="18"/>
          <w:szCs w:val="18"/>
        </w:rPr>
        <w:t xml:space="preserve"> </w:t>
      </w:r>
      <w:r w:rsidRPr="000214BA">
        <w:rPr>
          <w:sz w:val="18"/>
          <w:szCs w:val="18"/>
        </w:rPr>
        <w:t>declaradas en el presente informe, a fin de que los familiares del señor Poblete Vilches cuenten con un</w:t>
      </w:r>
      <w:r w:rsidR="00337C65" w:rsidRPr="000214BA">
        <w:rPr>
          <w:sz w:val="18"/>
          <w:szCs w:val="18"/>
        </w:rPr>
        <w:t xml:space="preserve"> </w:t>
      </w:r>
      <w:r w:rsidRPr="000214BA">
        <w:rPr>
          <w:sz w:val="18"/>
          <w:szCs w:val="18"/>
        </w:rPr>
        <w:t>esclarecimiento de lo sucedido y, de se</w:t>
      </w:r>
      <w:r w:rsidR="00F44B67" w:rsidRPr="000214BA">
        <w:rPr>
          <w:sz w:val="18"/>
          <w:szCs w:val="18"/>
        </w:rPr>
        <w:t>r</w:t>
      </w:r>
      <w:r w:rsidRPr="000214BA">
        <w:rPr>
          <w:sz w:val="18"/>
          <w:szCs w:val="18"/>
        </w:rPr>
        <w:t xml:space="preserve"> el caso, se impongan las sanciones correspondientes. Para tal efecto,</w:t>
      </w:r>
      <w:r w:rsidR="00337C65" w:rsidRPr="000214BA">
        <w:rPr>
          <w:sz w:val="18"/>
          <w:szCs w:val="18"/>
        </w:rPr>
        <w:t xml:space="preserve"> </w:t>
      </w:r>
      <w:r w:rsidRPr="000214BA">
        <w:rPr>
          <w:sz w:val="18"/>
          <w:szCs w:val="18"/>
        </w:rPr>
        <w:t>el Estado deberá continuar la investigación reabierta en el año 2008 o, de ser el caso, iniciar una nueva</w:t>
      </w:r>
      <w:r w:rsidR="00337C65" w:rsidRPr="000214BA">
        <w:rPr>
          <w:sz w:val="18"/>
          <w:szCs w:val="18"/>
        </w:rPr>
        <w:t xml:space="preserve"> investigación con el objetivo de superar los obstáculos identificados en el presente informe que han impedido la obtención de justicia</w:t>
      </w:r>
      <w:r w:rsidR="003B52C8">
        <w:rPr>
          <w:sz w:val="18"/>
          <w:szCs w:val="18"/>
        </w:rPr>
        <w:t>,</w:t>
      </w:r>
      <w:r w:rsidR="00337C65" w:rsidRPr="000214BA">
        <w:rPr>
          <w:sz w:val="18"/>
          <w:szCs w:val="18"/>
        </w:rPr>
        <w:t xml:space="preserve"> [y]</w:t>
      </w:r>
    </w:p>
    <w:p w14:paraId="027686C4" w14:textId="0F5CF5B1" w:rsidR="00337C65" w:rsidRDefault="00337C65" w:rsidP="00F3026E">
      <w:pPr>
        <w:pStyle w:val="ListParagraph"/>
        <w:numPr>
          <w:ilvl w:val="0"/>
          <w:numId w:val="5"/>
        </w:numPr>
        <w:autoSpaceDE w:val="0"/>
        <w:autoSpaceDN w:val="0"/>
        <w:rPr>
          <w:sz w:val="18"/>
          <w:szCs w:val="18"/>
        </w:rPr>
      </w:pPr>
      <w:r w:rsidRPr="000214BA">
        <w:rPr>
          <w:sz w:val="18"/>
          <w:szCs w:val="18"/>
        </w:rPr>
        <w:t xml:space="preserve">Disponer mecanismos de no repetición que incluyan: i) las medidas legislativas, administrativas y de otra índole que se requieran para la implementación del consentimiento informado en materia de salud de conformidad con los estándares establecidos en el presente informe; ii) las medidas necesarias, incluyendo medidas </w:t>
      </w:r>
      <w:r w:rsidR="008D1152" w:rsidRPr="000214BA">
        <w:rPr>
          <w:sz w:val="18"/>
          <w:szCs w:val="18"/>
        </w:rPr>
        <w:t>presupuest</w:t>
      </w:r>
      <w:r w:rsidR="008D1152">
        <w:rPr>
          <w:sz w:val="18"/>
          <w:szCs w:val="18"/>
        </w:rPr>
        <w:t>arias</w:t>
      </w:r>
      <w:r w:rsidRPr="000214BA">
        <w:rPr>
          <w:sz w:val="18"/>
          <w:szCs w:val="18"/>
        </w:rPr>
        <w:t xml:space="preserve">, para asegurar que el Hospital </w:t>
      </w:r>
      <w:proofErr w:type="spellStart"/>
      <w:r w:rsidRPr="000214BA">
        <w:rPr>
          <w:sz w:val="18"/>
          <w:szCs w:val="18"/>
        </w:rPr>
        <w:t>Sótero</w:t>
      </w:r>
      <w:proofErr w:type="spellEnd"/>
      <w:r w:rsidRPr="000214BA">
        <w:rPr>
          <w:sz w:val="18"/>
          <w:szCs w:val="18"/>
        </w:rPr>
        <w:t xml:space="preserve"> del Río cuente con los medios e infraestructura necesarios para brindar una atención adecuada, particularmente cuando se requiera terapia intensiva; y iii) las medidas de capacitación y entrenamiento a los operadores judiciales en cuanto al deber de investigar posibles responsabilidades derivadas de la muerte de una persona como consecuencia de una atención inadecuada en salud.</w:t>
      </w:r>
    </w:p>
    <w:p w14:paraId="181CAEA0" w14:textId="77777777" w:rsidR="00F3026E" w:rsidRPr="000214BA" w:rsidRDefault="00F3026E" w:rsidP="00F3026E">
      <w:pPr>
        <w:pStyle w:val="ListParagraph"/>
        <w:autoSpaceDE w:val="0"/>
        <w:autoSpaceDN w:val="0"/>
        <w:ind w:left="2407"/>
        <w:rPr>
          <w:sz w:val="18"/>
          <w:szCs w:val="18"/>
        </w:rPr>
      </w:pPr>
    </w:p>
    <w:p w14:paraId="1F63E40E" w14:textId="5749312C" w:rsidR="006C37C9" w:rsidRDefault="006C37C9" w:rsidP="00F3026E">
      <w:pPr>
        <w:numPr>
          <w:ilvl w:val="0"/>
          <w:numId w:val="3"/>
        </w:numPr>
        <w:ind w:right="144"/>
        <w:contextualSpacing/>
        <w:rPr>
          <w:rFonts w:eastAsia="Verdana" w:cs="Verdana"/>
          <w:sz w:val="20"/>
          <w:szCs w:val="20"/>
        </w:rPr>
      </w:pPr>
      <w:r w:rsidRPr="0071582F">
        <w:rPr>
          <w:rFonts w:eastAsia="Verdana" w:cs="Verdana"/>
          <w:i/>
          <w:sz w:val="20"/>
          <w:szCs w:val="20"/>
        </w:rPr>
        <w:t xml:space="preserve">Notificación al Estado. – </w:t>
      </w:r>
      <w:r w:rsidRPr="0071582F">
        <w:rPr>
          <w:rFonts w:eastAsia="Verdana" w:cs="Verdana"/>
          <w:sz w:val="20"/>
          <w:szCs w:val="20"/>
        </w:rPr>
        <w:t xml:space="preserve">El </w:t>
      </w:r>
      <w:r w:rsidR="00221693">
        <w:rPr>
          <w:rFonts w:eastAsia="Verdana" w:cs="Verdana"/>
          <w:sz w:val="20"/>
          <w:szCs w:val="20"/>
        </w:rPr>
        <w:t>I</w:t>
      </w:r>
      <w:r w:rsidRPr="0071582F">
        <w:rPr>
          <w:rFonts w:eastAsia="Verdana" w:cs="Verdana"/>
          <w:sz w:val="20"/>
          <w:szCs w:val="20"/>
        </w:rPr>
        <w:t xml:space="preserve">nforme de </w:t>
      </w:r>
      <w:r w:rsidR="00221693">
        <w:rPr>
          <w:rFonts w:eastAsia="Verdana" w:cs="Verdana"/>
          <w:sz w:val="20"/>
          <w:szCs w:val="20"/>
        </w:rPr>
        <w:t>F</w:t>
      </w:r>
      <w:r w:rsidRPr="0071582F">
        <w:rPr>
          <w:rFonts w:eastAsia="Verdana" w:cs="Verdana"/>
          <w:sz w:val="20"/>
          <w:szCs w:val="20"/>
        </w:rPr>
        <w:t xml:space="preserve">ondo fue notificado al Estado </w:t>
      </w:r>
      <w:r w:rsidR="000C3D54">
        <w:rPr>
          <w:rFonts w:eastAsia="Verdana" w:cs="Verdana"/>
          <w:sz w:val="20"/>
          <w:szCs w:val="20"/>
        </w:rPr>
        <w:t xml:space="preserve">el </w:t>
      </w:r>
      <w:r w:rsidR="00EF57B6">
        <w:rPr>
          <w:rFonts w:eastAsia="Verdana" w:cs="Verdana"/>
          <w:sz w:val="20"/>
          <w:szCs w:val="20"/>
        </w:rPr>
        <w:t>2</w:t>
      </w:r>
      <w:r w:rsidR="000C3D54">
        <w:rPr>
          <w:rFonts w:eastAsia="Verdana" w:cs="Verdana"/>
          <w:sz w:val="20"/>
          <w:szCs w:val="20"/>
        </w:rPr>
        <w:t>7</w:t>
      </w:r>
      <w:r w:rsidR="00EF57B6">
        <w:rPr>
          <w:rFonts w:eastAsia="Verdana" w:cs="Verdana"/>
          <w:sz w:val="20"/>
          <w:szCs w:val="20"/>
        </w:rPr>
        <w:t xml:space="preserve"> de mayo de 201</w:t>
      </w:r>
      <w:r w:rsidR="004D67BE">
        <w:rPr>
          <w:rFonts w:eastAsia="Verdana" w:cs="Verdana"/>
          <w:sz w:val="20"/>
          <w:szCs w:val="20"/>
        </w:rPr>
        <w:t>6</w:t>
      </w:r>
      <w:r w:rsidRPr="0071582F">
        <w:rPr>
          <w:rFonts w:eastAsia="Verdana" w:cs="Verdana"/>
          <w:sz w:val="20"/>
          <w:szCs w:val="20"/>
        </w:rPr>
        <w:t>, otorgándole un plazo de dos meses para informar sobre el cumplimiento de las recomendaciones.</w:t>
      </w:r>
    </w:p>
    <w:p w14:paraId="5630B2D8" w14:textId="77777777" w:rsidR="00B4445F" w:rsidRPr="0071582F" w:rsidRDefault="00B4445F" w:rsidP="00F3026E">
      <w:pPr>
        <w:ind w:left="818" w:right="144"/>
        <w:contextualSpacing/>
        <w:rPr>
          <w:rFonts w:eastAsia="Verdana" w:cs="Verdana"/>
          <w:sz w:val="20"/>
          <w:szCs w:val="20"/>
        </w:rPr>
      </w:pPr>
    </w:p>
    <w:p w14:paraId="2549E66E" w14:textId="2DE69ED4" w:rsidR="006C37C9" w:rsidRPr="000C3D54" w:rsidRDefault="006C37C9" w:rsidP="00F3026E">
      <w:pPr>
        <w:numPr>
          <w:ilvl w:val="0"/>
          <w:numId w:val="3"/>
        </w:numPr>
        <w:ind w:right="144"/>
        <w:contextualSpacing/>
        <w:rPr>
          <w:sz w:val="20"/>
          <w:szCs w:val="20"/>
        </w:rPr>
      </w:pPr>
      <w:r w:rsidRPr="0071582F">
        <w:rPr>
          <w:rFonts w:eastAsia="Verdana" w:cs="Verdana"/>
          <w:i/>
          <w:sz w:val="20"/>
          <w:szCs w:val="20"/>
        </w:rPr>
        <w:t xml:space="preserve">Informes sobre las recomendaciones de la Comisión. – </w:t>
      </w:r>
      <w:r w:rsidR="000C3D54" w:rsidRPr="0001748B">
        <w:rPr>
          <w:sz w:val="20"/>
          <w:szCs w:val="20"/>
        </w:rPr>
        <w:t xml:space="preserve">El Estado </w:t>
      </w:r>
      <w:r w:rsidR="00FB4EEF">
        <w:rPr>
          <w:sz w:val="20"/>
          <w:szCs w:val="20"/>
        </w:rPr>
        <w:t>chileno</w:t>
      </w:r>
      <w:r w:rsidR="000C3D54" w:rsidRPr="0001748B">
        <w:rPr>
          <w:sz w:val="20"/>
          <w:szCs w:val="20"/>
        </w:rPr>
        <w:t xml:space="preserve"> no dio respuesta alguna al </w:t>
      </w:r>
      <w:r w:rsidR="00221693">
        <w:rPr>
          <w:sz w:val="20"/>
          <w:szCs w:val="20"/>
        </w:rPr>
        <w:t>I</w:t>
      </w:r>
      <w:r w:rsidR="000C3D54" w:rsidRPr="0001748B">
        <w:rPr>
          <w:sz w:val="20"/>
          <w:szCs w:val="20"/>
        </w:rPr>
        <w:t>nforme de</w:t>
      </w:r>
      <w:r w:rsidR="00221693">
        <w:rPr>
          <w:sz w:val="20"/>
          <w:szCs w:val="20"/>
        </w:rPr>
        <w:t xml:space="preserve"> F</w:t>
      </w:r>
      <w:r w:rsidR="000C3D54" w:rsidRPr="0001748B">
        <w:rPr>
          <w:sz w:val="20"/>
          <w:szCs w:val="20"/>
        </w:rPr>
        <w:t>ondo de la Comisión.</w:t>
      </w:r>
    </w:p>
    <w:p w14:paraId="1F19DB43" w14:textId="77777777" w:rsidR="006C37C9" w:rsidRPr="0071582F" w:rsidRDefault="006C37C9" w:rsidP="00F3026E">
      <w:pPr>
        <w:ind w:left="818" w:right="144"/>
        <w:contextualSpacing/>
        <w:rPr>
          <w:rFonts w:eastAsia="Verdana" w:cs="Verdana"/>
          <w:sz w:val="20"/>
          <w:szCs w:val="20"/>
        </w:rPr>
      </w:pPr>
    </w:p>
    <w:p w14:paraId="3DFD4FE3" w14:textId="219A56D4" w:rsidR="006C37C9" w:rsidRPr="0071582F" w:rsidRDefault="006C37C9" w:rsidP="00F3026E">
      <w:pPr>
        <w:numPr>
          <w:ilvl w:val="0"/>
          <w:numId w:val="2"/>
        </w:numPr>
        <w:tabs>
          <w:tab w:val="left" w:pos="567"/>
          <w:tab w:val="num" w:pos="12305"/>
        </w:tabs>
        <w:ind w:left="0" w:firstLine="0"/>
        <w:rPr>
          <w:rFonts w:cs="Arial"/>
          <w:sz w:val="20"/>
          <w:szCs w:val="20"/>
        </w:rPr>
      </w:pPr>
      <w:r w:rsidRPr="0071582F">
        <w:rPr>
          <w:rFonts w:eastAsia="Verdana" w:cs="Verdana"/>
          <w:i/>
          <w:sz w:val="20"/>
          <w:szCs w:val="20"/>
        </w:rPr>
        <w:t xml:space="preserve">Sometimiento a la Corte. </w:t>
      </w:r>
      <w:r w:rsidR="00EF57B6">
        <w:rPr>
          <w:rFonts w:eastAsia="Verdana" w:cs="Verdana"/>
          <w:sz w:val="20"/>
          <w:szCs w:val="20"/>
        </w:rPr>
        <w:t>– El 2</w:t>
      </w:r>
      <w:r w:rsidR="000C3D54">
        <w:rPr>
          <w:rFonts w:eastAsia="Verdana" w:cs="Verdana"/>
          <w:sz w:val="20"/>
          <w:szCs w:val="20"/>
        </w:rPr>
        <w:t>6</w:t>
      </w:r>
      <w:r w:rsidRPr="0071582F">
        <w:rPr>
          <w:rFonts w:eastAsia="Verdana" w:cs="Verdana"/>
          <w:sz w:val="20"/>
          <w:szCs w:val="20"/>
        </w:rPr>
        <w:t xml:space="preserve"> de a</w:t>
      </w:r>
      <w:r w:rsidR="00EF57B6">
        <w:rPr>
          <w:rFonts w:eastAsia="Verdana" w:cs="Verdana"/>
          <w:sz w:val="20"/>
          <w:szCs w:val="20"/>
        </w:rPr>
        <w:t>gosto de 2016</w:t>
      </w:r>
      <w:r w:rsidRPr="0071582F">
        <w:rPr>
          <w:rFonts w:eastAsia="Verdana" w:cs="Verdana"/>
          <w:sz w:val="20"/>
          <w:szCs w:val="20"/>
        </w:rPr>
        <w:t xml:space="preserve">, la Comisión sometió a la jurisdicción de la Corte Interamericana la totalidad de los hechos y violaciones de derechos humanos descritos en el </w:t>
      </w:r>
      <w:r w:rsidR="00221693">
        <w:rPr>
          <w:rFonts w:eastAsia="Verdana" w:cs="Verdana"/>
          <w:sz w:val="20"/>
          <w:szCs w:val="20"/>
        </w:rPr>
        <w:t>I</w:t>
      </w:r>
      <w:r w:rsidRPr="0071582F">
        <w:rPr>
          <w:rFonts w:eastAsia="Verdana" w:cs="Verdana"/>
          <w:sz w:val="20"/>
          <w:szCs w:val="20"/>
        </w:rPr>
        <w:t xml:space="preserve">nforme de </w:t>
      </w:r>
      <w:r w:rsidR="00221693">
        <w:rPr>
          <w:rFonts w:eastAsia="Verdana" w:cs="Verdana"/>
          <w:sz w:val="20"/>
          <w:szCs w:val="20"/>
        </w:rPr>
        <w:t>F</w:t>
      </w:r>
      <w:r w:rsidRPr="0071582F">
        <w:rPr>
          <w:rFonts w:eastAsia="Verdana" w:cs="Verdana"/>
          <w:sz w:val="20"/>
          <w:szCs w:val="20"/>
        </w:rPr>
        <w:t>ondo “ante la necesidad de obtención de justicia”</w:t>
      </w:r>
      <w:r w:rsidR="00EB3F3D" w:rsidRPr="0071582F">
        <w:rPr>
          <w:rStyle w:val="FootnoteReference"/>
          <w:rFonts w:eastAsia="Verdana" w:cs="Verdana"/>
          <w:sz w:val="20"/>
          <w:szCs w:val="20"/>
        </w:rPr>
        <w:footnoteReference w:id="6"/>
      </w:r>
      <w:r w:rsidR="004D67BE">
        <w:rPr>
          <w:rFonts w:eastAsia="Verdana" w:cs="Verdana"/>
          <w:sz w:val="20"/>
          <w:szCs w:val="20"/>
        </w:rPr>
        <w:t>.</w:t>
      </w:r>
    </w:p>
    <w:p w14:paraId="39EE9A4C" w14:textId="77777777" w:rsidR="006C37C9" w:rsidRPr="0071582F" w:rsidRDefault="006C37C9" w:rsidP="00F3026E">
      <w:pPr>
        <w:ind w:left="818" w:right="144"/>
        <w:contextualSpacing/>
        <w:rPr>
          <w:rFonts w:cs="Arial"/>
          <w:sz w:val="20"/>
          <w:szCs w:val="20"/>
        </w:rPr>
      </w:pPr>
    </w:p>
    <w:p w14:paraId="11A21F7E" w14:textId="77777777" w:rsidR="006C37C9" w:rsidRPr="0071582F" w:rsidRDefault="006C37C9" w:rsidP="00F3026E">
      <w:pPr>
        <w:numPr>
          <w:ilvl w:val="0"/>
          <w:numId w:val="2"/>
        </w:numPr>
        <w:tabs>
          <w:tab w:val="left" w:pos="567"/>
          <w:tab w:val="num" w:pos="12305"/>
        </w:tabs>
        <w:ind w:left="0" w:firstLine="0"/>
        <w:rPr>
          <w:rFonts w:eastAsia="Verdana" w:cs="Verdana"/>
          <w:sz w:val="20"/>
          <w:szCs w:val="20"/>
        </w:rPr>
      </w:pPr>
      <w:r w:rsidRPr="0071582F">
        <w:rPr>
          <w:rFonts w:eastAsia="Verdana" w:cs="Verdana"/>
          <w:i/>
          <w:sz w:val="20"/>
          <w:szCs w:val="20"/>
        </w:rPr>
        <w:t xml:space="preserve">Solicitudes de la Comisión Interamericana. – </w:t>
      </w:r>
      <w:r w:rsidRPr="0071582F">
        <w:rPr>
          <w:rFonts w:eastAsia="Verdana" w:cs="Verdana"/>
          <w:sz w:val="20"/>
          <w:szCs w:val="20"/>
        </w:rPr>
        <w:t xml:space="preserve">Con base en lo anterior, la Comisión solicitó a la Corte que declarara la responsabilidad internacional del Estado por las mismas violaciones señaladas en su </w:t>
      </w:r>
      <w:r w:rsidR="00221693">
        <w:rPr>
          <w:rFonts w:eastAsia="Verdana" w:cs="Verdana"/>
          <w:sz w:val="20"/>
          <w:szCs w:val="20"/>
        </w:rPr>
        <w:t>I</w:t>
      </w:r>
      <w:r w:rsidRPr="0071582F">
        <w:rPr>
          <w:rFonts w:eastAsia="Verdana" w:cs="Verdana"/>
          <w:sz w:val="20"/>
          <w:szCs w:val="20"/>
        </w:rPr>
        <w:t xml:space="preserve">nforme de </w:t>
      </w:r>
      <w:r w:rsidR="00221693">
        <w:rPr>
          <w:rFonts w:eastAsia="Verdana" w:cs="Verdana"/>
          <w:sz w:val="20"/>
          <w:szCs w:val="20"/>
        </w:rPr>
        <w:t>F</w:t>
      </w:r>
      <w:r w:rsidRPr="0071582F">
        <w:rPr>
          <w:rFonts w:eastAsia="Verdana" w:cs="Verdana"/>
          <w:sz w:val="20"/>
          <w:szCs w:val="20"/>
        </w:rPr>
        <w:t xml:space="preserve">ondo </w:t>
      </w:r>
      <w:r w:rsidRPr="0071582F">
        <w:rPr>
          <w:rFonts w:cs="Verdana"/>
          <w:sz w:val="20"/>
          <w:szCs w:val="20"/>
        </w:rPr>
        <w:t>(</w:t>
      </w:r>
      <w:r w:rsidR="00062586" w:rsidRPr="00062586">
        <w:rPr>
          <w:rFonts w:cs="Verdana"/>
          <w:i/>
          <w:iCs/>
          <w:sz w:val="20"/>
          <w:szCs w:val="20"/>
        </w:rPr>
        <w:t>supra</w:t>
      </w:r>
      <w:r w:rsidRPr="0071582F">
        <w:rPr>
          <w:rFonts w:cs="Verdana"/>
          <w:i/>
          <w:iCs/>
          <w:sz w:val="20"/>
          <w:szCs w:val="20"/>
        </w:rPr>
        <w:t xml:space="preserve"> </w:t>
      </w:r>
      <w:r w:rsidR="003568FC">
        <w:rPr>
          <w:rFonts w:cs="Verdana"/>
          <w:sz w:val="20"/>
          <w:szCs w:val="20"/>
        </w:rPr>
        <w:t>párr. 2. c.</w:t>
      </w:r>
      <w:r w:rsidRPr="0071582F">
        <w:rPr>
          <w:rFonts w:cs="Verdana"/>
          <w:sz w:val="20"/>
          <w:szCs w:val="20"/>
        </w:rPr>
        <w:t>)</w:t>
      </w:r>
      <w:r w:rsidRPr="0071582F">
        <w:rPr>
          <w:rFonts w:eastAsia="Verdana" w:cs="Verdana"/>
          <w:sz w:val="20"/>
          <w:szCs w:val="20"/>
        </w:rPr>
        <w:t xml:space="preserve">. Asimismo, la Comisión solicitó a la </w:t>
      </w:r>
      <w:r w:rsidRPr="0071582F">
        <w:rPr>
          <w:rFonts w:eastAsia="Calibri" w:cs="Arial"/>
          <w:sz w:val="20"/>
          <w:szCs w:val="20"/>
        </w:rPr>
        <w:t>Corte</w:t>
      </w:r>
      <w:r w:rsidRPr="0071582F">
        <w:rPr>
          <w:rFonts w:eastAsia="Verdana" w:cs="Verdana"/>
          <w:sz w:val="20"/>
          <w:szCs w:val="20"/>
        </w:rPr>
        <w:t xml:space="preserve"> que ordenara al Estado determinadas medidas de reparación, las cuales se detallan y analizan en el Capítulo </w:t>
      </w:r>
      <w:r w:rsidR="00F4682C">
        <w:rPr>
          <w:rFonts w:eastAsia="Verdana" w:cs="Verdana"/>
          <w:sz w:val="20"/>
          <w:szCs w:val="20"/>
        </w:rPr>
        <w:t>VIII</w:t>
      </w:r>
      <w:r w:rsidRPr="0071582F">
        <w:rPr>
          <w:rFonts w:eastAsia="Verdana" w:cs="Verdana"/>
          <w:sz w:val="20"/>
          <w:szCs w:val="20"/>
        </w:rPr>
        <w:t xml:space="preserve"> de la presente Sentencia.</w:t>
      </w:r>
    </w:p>
    <w:p w14:paraId="139EDC00" w14:textId="74635867" w:rsidR="006C37C9" w:rsidRPr="0071582F" w:rsidRDefault="006C37C9" w:rsidP="006C37C9">
      <w:pPr>
        <w:pStyle w:val="ListParagraph"/>
        <w:autoSpaceDE w:val="0"/>
        <w:autoSpaceDN w:val="0"/>
        <w:ind w:left="709"/>
        <w:rPr>
          <w:rFonts w:eastAsia="Verdana" w:cs="Verdana"/>
          <w:sz w:val="20"/>
          <w:szCs w:val="20"/>
        </w:rPr>
      </w:pPr>
    </w:p>
    <w:p w14:paraId="506A9A74" w14:textId="77777777" w:rsidR="003568FC" w:rsidRDefault="006C37C9" w:rsidP="006B2A4D">
      <w:pPr>
        <w:pStyle w:val="Title"/>
      </w:pPr>
      <w:bookmarkStart w:id="12" w:name="_Toc372568229"/>
      <w:bookmarkStart w:id="13" w:name="_Toc373093235"/>
      <w:bookmarkStart w:id="14" w:name="_Toc373350047"/>
      <w:bookmarkStart w:id="15" w:name="_Toc375560893"/>
      <w:bookmarkStart w:id="16" w:name="_Toc401931878"/>
      <w:bookmarkStart w:id="17" w:name="_Toc428369977"/>
      <w:bookmarkStart w:id="18" w:name="_Toc459158093"/>
      <w:bookmarkStart w:id="19" w:name="_Toc470180033"/>
      <w:bookmarkStart w:id="20" w:name="_Toc513644441"/>
      <w:r w:rsidRPr="0071582F">
        <w:t>II</w:t>
      </w:r>
      <w:bookmarkStart w:id="21" w:name="_Toc375062711"/>
      <w:bookmarkStart w:id="22" w:name="_Toc375140861"/>
      <w:bookmarkStart w:id="23" w:name="_Toc375504820"/>
      <w:bookmarkStart w:id="24" w:name="_Toc375560894"/>
      <w:bookmarkEnd w:id="12"/>
      <w:bookmarkEnd w:id="13"/>
      <w:bookmarkEnd w:id="14"/>
      <w:bookmarkEnd w:id="15"/>
      <w:r w:rsidRPr="0071582F">
        <w:br/>
        <w:t>PROCEDIMIENTO ANTE LA CORTE</w:t>
      </w:r>
      <w:bookmarkEnd w:id="16"/>
      <w:bookmarkEnd w:id="17"/>
      <w:bookmarkEnd w:id="18"/>
      <w:bookmarkEnd w:id="19"/>
      <w:bookmarkEnd w:id="20"/>
      <w:bookmarkEnd w:id="21"/>
      <w:bookmarkEnd w:id="22"/>
      <w:bookmarkEnd w:id="23"/>
      <w:bookmarkEnd w:id="24"/>
    </w:p>
    <w:p w14:paraId="24B445A9" w14:textId="77777777" w:rsidR="00F3026E" w:rsidRPr="00F3026E" w:rsidRDefault="00F3026E" w:rsidP="00F3026E">
      <w:pPr>
        <w:rPr>
          <w:rFonts w:eastAsia="Verdana"/>
          <w:sz w:val="20"/>
          <w:szCs w:val="20"/>
        </w:rPr>
      </w:pPr>
    </w:p>
    <w:p w14:paraId="32E11EFD" w14:textId="139661C2" w:rsidR="006C37C9" w:rsidRPr="003568FC" w:rsidRDefault="006C37C9" w:rsidP="00F3026E">
      <w:pPr>
        <w:numPr>
          <w:ilvl w:val="0"/>
          <w:numId w:val="2"/>
        </w:numPr>
        <w:tabs>
          <w:tab w:val="left" w:pos="567"/>
          <w:tab w:val="num" w:pos="12305"/>
        </w:tabs>
        <w:ind w:left="0" w:firstLine="0"/>
        <w:rPr>
          <w:rFonts w:eastAsia="Verdana" w:cs="Verdana"/>
          <w:sz w:val="16"/>
          <w:szCs w:val="16"/>
        </w:rPr>
      </w:pPr>
      <w:r w:rsidRPr="0071582F">
        <w:rPr>
          <w:rFonts w:eastAsia="Verdana" w:cs="Verdana"/>
          <w:i/>
          <w:sz w:val="20"/>
          <w:szCs w:val="20"/>
        </w:rPr>
        <w:t>Notificación a la</w:t>
      </w:r>
      <w:r w:rsidR="008D1152">
        <w:rPr>
          <w:rFonts w:eastAsia="Verdana" w:cs="Verdana"/>
          <w:i/>
          <w:sz w:val="20"/>
          <w:szCs w:val="20"/>
        </w:rPr>
        <w:t>s</w:t>
      </w:r>
      <w:r w:rsidRPr="0071582F">
        <w:rPr>
          <w:rFonts w:eastAsia="Verdana" w:cs="Verdana"/>
          <w:i/>
          <w:sz w:val="20"/>
          <w:szCs w:val="20"/>
        </w:rPr>
        <w:t xml:space="preserve"> representante</w:t>
      </w:r>
      <w:r w:rsidR="008D1152">
        <w:rPr>
          <w:rFonts w:eastAsia="Verdana" w:cs="Verdana"/>
          <w:i/>
          <w:sz w:val="20"/>
          <w:szCs w:val="20"/>
        </w:rPr>
        <w:t>s</w:t>
      </w:r>
      <w:r w:rsidR="00A26F4E" w:rsidRPr="0071582F">
        <w:rPr>
          <w:rFonts w:eastAsia="Verdana" w:cs="Verdana"/>
          <w:i/>
          <w:sz w:val="20"/>
          <w:szCs w:val="20"/>
        </w:rPr>
        <w:t xml:space="preserve"> y al Estado</w:t>
      </w:r>
      <w:r w:rsidRPr="0071582F">
        <w:rPr>
          <w:rFonts w:eastAsia="Verdana" w:cs="Verdana"/>
          <w:i/>
          <w:sz w:val="20"/>
          <w:szCs w:val="20"/>
        </w:rPr>
        <w:t xml:space="preserve">. – </w:t>
      </w:r>
      <w:r w:rsidRPr="0071582F">
        <w:rPr>
          <w:rFonts w:eastAsia="Verdana" w:cs="Verdana"/>
          <w:sz w:val="20"/>
          <w:szCs w:val="20"/>
        </w:rPr>
        <w:t>El sometimiento del caso por parte de la Comisió</w:t>
      </w:r>
      <w:r w:rsidR="003568FC">
        <w:rPr>
          <w:rFonts w:eastAsia="Verdana" w:cs="Verdana"/>
          <w:sz w:val="20"/>
          <w:szCs w:val="20"/>
        </w:rPr>
        <w:t xml:space="preserve">n fue notificado por la Corte a los representantes de las presuntas víctimas, Nicolás </w:t>
      </w:r>
      <w:proofErr w:type="spellStart"/>
      <w:r w:rsidR="003568FC">
        <w:rPr>
          <w:rFonts w:eastAsia="Verdana" w:cs="Verdana"/>
          <w:sz w:val="20"/>
          <w:szCs w:val="20"/>
        </w:rPr>
        <w:t>Daneri</w:t>
      </w:r>
      <w:proofErr w:type="spellEnd"/>
      <w:r w:rsidR="003568FC">
        <w:rPr>
          <w:rFonts w:eastAsia="Verdana" w:cs="Verdana"/>
          <w:sz w:val="20"/>
          <w:szCs w:val="20"/>
        </w:rPr>
        <w:t xml:space="preserve"> </w:t>
      </w:r>
      <w:proofErr w:type="spellStart"/>
      <w:r w:rsidR="003568FC">
        <w:rPr>
          <w:rFonts w:eastAsia="Verdana" w:cs="Verdana"/>
          <w:sz w:val="20"/>
          <w:szCs w:val="20"/>
        </w:rPr>
        <w:t>Bascuña</w:t>
      </w:r>
      <w:proofErr w:type="spellEnd"/>
      <w:r w:rsidR="003568FC">
        <w:rPr>
          <w:rFonts w:eastAsia="Verdana" w:cs="Verdana"/>
          <w:sz w:val="20"/>
          <w:szCs w:val="20"/>
        </w:rPr>
        <w:t xml:space="preserve"> y Vinicio </w:t>
      </w:r>
      <w:r w:rsidR="00F4682C">
        <w:rPr>
          <w:rFonts w:eastAsia="Verdana" w:cs="Verdana"/>
          <w:sz w:val="20"/>
          <w:szCs w:val="20"/>
        </w:rPr>
        <w:t xml:space="preserve">Marco </w:t>
      </w:r>
      <w:r w:rsidR="003568FC">
        <w:rPr>
          <w:rFonts w:eastAsia="Verdana" w:cs="Verdana"/>
          <w:sz w:val="20"/>
          <w:szCs w:val="20"/>
        </w:rPr>
        <w:t>Poblete Tapia</w:t>
      </w:r>
      <w:r w:rsidR="00F4682C">
        <w:rPr>
          <w:rFonts w:eastAsia="Verdana" w:cs="Verdana"/>
          <w:sz w:val="20"/>
          <w:szCs w:val="20"/>
        </w:rPr>
        <w:t>,</w:t>
      </w:r>
      <w:r w:rsidR="003568FC">
        <w:rPr>
          <w:rFonts w:eastAsia="Verdana" w:cs="Verdana"/>
          <w:sz w:val="20"/>
          <w:szCs w:val="20"/>
        </w:rPr>
        <w:t xml:space="preserve"> </w:t>
      </w:r>
      <w:r w:rsidRPr="0071582F">
        <w:rPr>
          <w:rFonts w:eastAsia="Verdana" w:cs="Verdana"/>
          <w:sz w:val="20"/>
          <w:szCs w:val="20"/>
        </w:rPr>
        <w:t>y al Estado</w:t>
      </w:r>
      <w:r w:rsidR="007C786B">
        <w:rPr>
          <w:rFonts w:eastAsia="Verdana" w:cs="Verdana"/>
          <w:sz w:val="20"/>
          <w:szCs w:val="20"/>
        </w:rPr>
        <w:t>,</w:t>
      </w:r>
      <w:r w:rsidRPr="0071582F">
        <w:rPr>
          <w:rFonts w:eastAsia="Verdana" w:cs="Verdana"/>
          <w:sz w:val="20"/>
          <w:szCs w:val="20"/>
        </w:rPr>
        <w:t xml:space="preserve"> el </w:t>
      </w:r>
      <w:r w:rsidR="00B4445F">
        <w:rPr>
          <w:rFonts w:eastAsia="Verdana" w:cs="Verdana"/>
          <w:sz w:val="20"/>
          <w:szCs w:val="20"/>
        </w:rPr>
        <w:t>17</w:t>
      </w:r>
      <w:r w:rsidRPr="0071582F">
        <w:rPr>
          <w:rFonts w:eastAsia="Verdana" w:cs="Verdana"/>
          <w:sz w:val="20"/>
          <w:szCs w:val="20"/>
        </w:rPr>
        <w:t xml:space="preserve"> de</w:t>
      </w:r>
      <w:r w:rsidR="00B4445F">
        <w:rPr>
          <w:rFonts w:eastAsia="Verdana" w:cs="Verdana"/>
          <w:sz w:val="20"/>
          <w:szCs w:val="20"/>
        </w:rPr>
        <w:t xml:space="preserve"> octubre</w:t>
      </w:r>
      <w:r w:rsidR="004B6D26">
        <w:rPr>
          <w:rFonts w:eastAsia="Verdana" w:cs="Verdana"/>
          <w:sz w:val="20"/>
          <w:szCs w:val="20"/>
        </w:rPr>
        <w:t xml:space="preserve"> de 2016</w:t>
      </w:r>
      <w:r w:rsidRPr="0071582F">
        <w:rPr>
          <w:rFonts w:eastAsia="Verdana" w:cs="Verdana"/>
          <w:sz w:val="20"/>
          <w:szCs w:val="20"/>
        </w:rPr>
        <w:t>.</w:t>
      </w:r>
      <w:r w:rsidR="00962981">
        <w:rPr>
          <w:rFonts w:eastAsia="Verdana" w:cs="Verdana"/>
          <w:sz w:val="20"/>
          <w:szCs w:val="20"/>
        </w:rPr>
        <w:t xml:space="preserve"> </w:t>
      </w:r>
    </w:p>
    <w:p w14:paraId="016EAB67" w14:textId="77777777" w:rsidR="003568FC" w:rsidRPr="0071582F" w:rsidRDefault="003568FC" w:rsidP="00F3026E">
      <w:pPr>
        <w:tabs>
          <w:tab w:val="left" w:pos="567"/>
        </w:tabs>
        <w:rPr>
          <w:rFonts w:eastAsia="Verdana" w:cs="Verdana"/>
          <w:sz w:val="16"/>
          <w:szCs w:val="16"/>
        </w:rPr>
      </w:pPr>
    </w:p>
    <w:p w14:paraId="0DB23994" w14:textId="62588300" w:rsidR="003568FC" w:rsidRDefault="003568FC" w:rsidP="00F3026E">
      <w:pPr>
        <w:numPr>
          <w:ilvl w:val="0"/>
          <w:numId w:val="2"/>
        </w:numPr>
        <w:tabs>
          <w:tab w:val="left" w:pos="567"/>
          <w:tab w:val="num" w:pos="12305"/>
        </w:tabs>
        <w:ind w:left="0" w:firstLine="0"/>
        <w:rPr>
          <w:rFonts w:eastAsia="Verdana" w:cs="Verdana"/>
          <w:sz w:val="20"/>
          <w:szCs w:val="20"/>
        </w:rPr>
      </w:pPr>
      <w:r w:rsidRPr="00B4445F">
        <w:rPr>
          <w:rFonts w:eastAsia="Verdana" w:cs="Verdana"/>
          <w:i/>
          <w:sz w:val="20"/>
          <w:szCs w:val="20"/>
        </w:rPr>
        <w:t>Designación de Defensores Públicos Interamericanos</w:t>
      </w:r>
      <w:r w:rsidRPr="00B4445F">
        <w:rPr>
          <w:rFonts w:eastAsia="Verdana" w:cs="Verdana"/>
          <w:sz w:val="20"/>
          <w:szCs w:val="20"/>
        </w:rPr>
        <w:t xml:space="preserve">. – </w:t>
      </w:r>
      <w:r>
        <w:rPr>
          <w:rFonts w:eastAsia="Verdana" w:cs="Verdana"/>
          <w:sz w:val="20"/>
          <w:szCs w:val="20"/>
        </w:rPr>
        <w:t xml:space="preserve">El 23 de noviembre de 2016 el señor Vinicio Poblete Tapia señaló que el señor Nicolás </w:t>
      </w:r>
      <w:proofErr w:type="spellStart"/>
      <w:r>
        <w:rPr>
          <w:rFonts w:eastAsia="Verdana" w:cs="Verdana"/>
          <w:sz w:val="20"/>
          <w:szCs w:val="20"/>
        </w:rPr>
        <w:t>Daneri</w:t>
      </w:r>
      <w:proofErr w:type="spellEnd"/>
      <w:r>
        <w:rPr>
          <w:rFonts w:eastAsia="Verdana" w:cs="Verdana"/>
          <w:sz w:val="20"/>
          <w:szCs w:val="20"/>
        </w:rPr>
        <w:t xml:space="preserve"> </w:t>
      </w:r>
      <w:proofErr w:type="spellStart"/>
      <w:r>
        <w:rPr>
          <w:rFonts w:eastAsia="Verdana" w:cs="Verdana"/>
          <w:sz w:val="20"/>
          <w:szCs w:val="20"/>
        </w:rPr>
        <w:t>Bascuña</w:t>
      </w:r>
      <w:proofErr w:type="spellEnd"/>
      <w:r>
        <w:rPr>
          <w:rFonts w:eastAsia="Verdana" w:cs="Verdana"/>
          <w:sz w:val="20"/>
          <w:szCs w:val="20"/>
        </w:rPr>
        <w:t xml:space="preserve"> no continuaría con la representación legal del caso ante la Corte, información que fue confirmada por el señor </w:t>
      </w:r>
      <w:proofErr w:type="spellStart"/>
      <w:r>
        <w:rPr>
          <w:rFonts w:eastAsia="Verdana" w:cs="Verdana"/>
          <w:sz w:val="20"/>
          <w:szCs w:val="20"/>
        </w:rPr>
        <w:t>Daneri</w:t>
      </w:r>
      <w:proofErr w:type="spellEnd"/>
      <w:r w:rsidRPr="00B4445F">
        <w:rPr>
          <w:rFonts w:eastAsia="Verdana" w:cs="Verdana"/>
          <w:sz w:val="20"/>
          <w:szCs w:val="20"/>
        </w:rPr>
        <w:t>.</w:t>
      </w:r>
      <w:r w:rsidR="00962981" w:rsidRPr="00962981">
        <w:rPr>
          <w:b/>
          <w:sz w:val="18"/>
          <w:szCs w:val="18"/>
        </w:rPr>
        <w:t xml:space="preserve"> </w:t>
      </w:r>
      <w:r w:rsidRPr="00B4445F">
        <w:rPr>
          <w:rFonts w:eastAsia="Verdana" w:cs="Verdana"/>
          <w:sz w:val="20"/>
          <w:szCs w:val="20"/>
        </w:rPr>
        <w:t>Luego de una comunicación remitida por la Secretaría, siguiendo instrucciones del Presidente de la Corte, el 2</w:t>
      </w:r>
      <w:r>
        <w:rPr>
          <w:rFonts w:eastAsia="Verdana" w:cs="Verdana"/>
          <w:sz w:val="20"/>
          <w:szCs w:val="20"/>
        </w:rPr>
        <w:t>4</w:t>
      </w:r>
      <w:r w:rsidRPr="00B4445F">
        <w:rPr>
          <w:rFonts w:eastAsia="Verdana" w:cs="Verdana"/>
          <w:sz w:val="20"/>
          <w:szCs w:val="20"/>
        </w:rPr>
        <w:t xml:space="preserve"> de </w:t>
      </w:r>
      <w:r>
        <w:rPr>
          <w:rFonts w:eastAsia="Verdana" w:cs="Verdana"/>
          <w:sz w:val="20"/>
          <w:szCs w:val="20"/>
        </w:rPr>
        <w:t>noviembre</w:t>
      </w:r>
      <w:r w:rsidRPr="00B4445F">
        <w:rPr>
          <w:rFonts w:eastAsia="Verdana" w:cs="Verdana"/>
          <w:sz w:val="20"/>
          <w:szCs w:val="20"/>
        </w:rPr>
        <w:t xml:space="preserve"> de 201</w:t>
      </w:r>
      <w:r>
        <w:rPr>
          <w:rFonts w:eastAsia="Verdana" w:cs="Verdana"/>
          <w:sz w:val="20"/>
          <w:szCs w:val="20"/>
        </w:rPr>
        <w:t>6</w:t>
      </w:r>
      <w:r w:rsidRPr="00B4445F">
        <w:rPr>
          <w:rFonts w:eastAsia="Verdana" w:cs="Verdana"/>
          <w:sz w:val="20"/>
          <w:szCs w:val="20"/>
        </w:rPr>
        <w:t xml:space="preserve"> el señor </w:t>
      </w:r>
      <w:r>
        <w:rPr>
          <w:rFonts w:eastAsia="Verdana" w:cs="Verdana"/>
          <w:sz w:val="20"/>
          <w:szCs w:val="20"/>
        </w:rPr>
        <w:t>Poblete Tapia</w:t>
      </w:r>
      <w:r w:rsidRPr="00B4445F">
        <w:rPr>
          <w:rFonts w:eastAsia="Verdana" w:cs="Verdana"/>
          <w:sz w:val="20"/>
          <w:szCs w:val="20"/>
        </w:rPr>
        <w:t xml:space="preserve"> solicitó la designación de un Defensor Público Interamericano.</w:t>
      </w:r>
      <w:r w:rsidR="00962981" w:rsidRPr="00962981">
        <w:rPr>
          <w:b/>
          <w:sz w:val="18"/>
          <w:szCs w:val="18"/>
        </w:rPr>
        <w:t xml:space="preserve"> </w:t>
      </w:r>
      <w:r>
        <w:rPr>
          <w:rFonts w:eastAsia="Verdana" w:cs="Verdana"/>
          <w:sz w:val="20"/>
          <w:szCs w:val="20"/>
        </w:rPr>
        <w:t xml:space="preserve">Mediante Resolución del Presidente de 25 de noviembre de 2017 se suspendió el plazo de dos meses para la presentación del escrito </w:t>
      </w:r>
      <w:r w:rsidR="009F637A" w:rsidRPr="0071582F">
        <w:rPr>
          <w:rFonts w:eastAsia="Verdana" w:cs="Verdana"/>
          <w:sz w:val="20"/>
          <w:szCs w:val="20"/>
        </w:rPr>
        <w:t>de solicitudes, argumentos y pruebas (en adelante “escrito de solicitudes y argumentos”)</w:t>
      </w:r>
      <w:r w:rsidR="009F637A">
        <w:rPr>
          <w:rFonts w:eastAsia="Verdana" w:cs="Verdana"/>
          <w:sz w:val="20"/>
          <w:szCs w:val="20"/>
        </w:rPr>
        <w:t xml:space="preserve"> hasta que se notificara la nueva representación, de conformidad con el artículo 40 del Reglamento de la Corte</w:t>
      </w:r>
      <w:r w:rsidR="009F637A">
        <w:rPr>
          <w:rStyle w:val="FootnoteReference"/>
          <w:rFonts w:eastAsia="Verdana" w:cs="Verdana"/>
          <w:sz w:val="20"/>
          <w:szCs w:val="20"/>
        </w:rPr>
        <w:footnoteReference w:id="7"/>
      </w:r>
      <w:r w:rsidR="009F637A">
        <w:rPr>
          <w:rFonts w:eastAsia="Verdana" w:cs="Verdana"/>
          <w:sz w:val="20"/>
          <w:szCs w:val="20"/>
        </w:rPr>
        <w:t xml:space="preserve">. </w:t>
      </w:r>
      <w:r w:rsidRPr="00B4445F">
        <w:rPr>
          <w:rFonts w:eastAsia="Verdana" w:cs="Verdana"/>
          <w:sz w:val="20"/>
          <w:szCs w:val="20"/>
        </w:rPr>
        <w:t xml:space="preserve">Luego de las respectivas comunicaciones con la Asociación Interamericana de Defensorías Públicas (AIDEF), el </w:t>
      </w:r>
      <w:r w:rsidR="009F637A">
        <w:rPr>
          <w:rFonts w:eastAsia="Verdana" w:cs="Verdana"/>
          <w:sz w:val="20"/>
          <w:szCs w:val="20"/>
        </w:rPr>
        <w:t>7</w:t>
      </w:r>
      <w:r w:rsidRPr="00B4445F">
        <w:rPr>
          <w:rFonts w:eastAsia="Verdana" w:cs="Verdana"/>
          <w:sz w:val="20"/>
          <w:szCs w:val="20"/>
        </w:rPr>
        <w:t xml:space="preserve"> de </w:t>
      </w:r>
      <w:r w:rsidR="009F637A">
        <w:rPr>
          <w:rFonts w:eastAsia="Verdana" w:cs="Verdana"/>
          <w:sz w:val="20"/>
          <w:szCs w:val="20"/>
        </w:rPr>
        <w:t>diciembre de 2017 el Coordinador</w:t>
      </w:r>
      <w:r w:rsidRPr="00B4445F">
        <w:rPr>
          <w:rFonts w:eastAsia="Verdana" w:cs="Verdana"/>
          <w:sz w:val="20"/>
          <w:szCs w:val="20"/>
        </w:rPr>
        <w:t xml:space="preserve"> General de dicha Asociación comunicó a la Corte que la se</w:t>
      </w:r>
      <w:r w:rsidR="00C133E5">
        <w:rPr>
          <w:rFonts w:eastAsia="Verdana" w:cs="Verdana"/>
          <w:sz w:val="20"/>
          <w:szCs w:val="20"/>
        </w:rPr>
        <w:t>ñora Silvia Martínez</w:t>
      </w:r>
      <w:r w:rsidRPr="00B4445F">
        <w:rPr>
          <w:rFonts w:eastAsia="Verdana" w:cs="Verdana"/>
          <w:sz w:val="20"/>
          <w:szCs w:val="20"/>
        </w:rPr>
        <w:t xml:space="preserve"> y </w:t>
      </w:r>
      <w:r w:rsidR="009F637A">
        <w:rPr>
          <w:rFonts w:eastAsia="Verdana" w:cs="Verdana"/>
          <w:sz w:val="20"/>
          <w:szCs w:val="20"/>
        </w:rPr>
        <w:t>la</w:t>
      </w:r>
      <w:r w:rsidRPr="00B4445F">
        <w:rPr>
          <w:rFonts w:eastAsia="Verdana" w:cs="Verdana"/>
          <w:sz w:val="20"/>
          <w:szCs w:val="20"/>
        </w:rPr>
        <w:t xml:space="preserve"> señor</w:t>
      </w:r>
      <w:r w:rsidR="009F637A">
        <w:rPr>
          <w:rFonts w:eastAsia="Verdana" w:cs="Verdana"/>
          <w:sz w:val="20"/>
          <w:szCs w:val="20"/>
        </w:rPr>
        <w:t>a</w:t>
      </w:r>
      <w:r w:rsidRPr="00B4445F">
        <w:rPr>
          <w:rFonts w:eastAsia="Verdana" w:cs="Verdana"/>
          <w:sz w:val="20"/>
          <w:szCs w:val="20"/>
        </w:rPr>
        <w:t xml:space="preserve"> </w:t>
      </w:r>
      <w:proofErr w:type="spellStart"/>
      <w:r w:rsidR="009F637A">
        <w:rPr>
          <w:rFonts w:eastAsia="Verdana" w:cs="Verdana"/>
          <w:sz w:val="20"/>
          <w:szCs w:val="20"/>
        </w:rPr>
        <w:t>Rivana</w:t>
      </w:r>
      <w:proofErr w:type="spellEnd"/>
      <w:r w:rsidR="009F637A">
        <w:rPr>
          <w:rFonts w:eastAsia="Verdana" w:cs="Verdana"/>
          <w:sz w:val="20"/>
          <w:szCs w:val="20"/>
        </w:rPr>
        <w:t xml:space="preserve"> Barreto Ricarte de Oliveira</w:t>
      </w:r>
      <w:r w:rsidR="00C133E5">
        <w:rPr>
          <w:rFonts w:eastAsia="Verdana" w:cs="Verdana"/>
          <w:sz w:val="20"/>
          <w:szCs w:val="20"/>
        </w:rPr>
        <w:t xml:space="preserve"> </w:t>
      </w:r>
      <w:r w:rsidRPr="00B4445F">
        <w:rPr>
          <w:rFonts w:eastAsia="Verdana" w:cs="Verdana"/>
          <w:sz w:val="20"/>
          <w:szCs w:val="20"/>
        </w:rPr>
        <w:t>había</w:t>
      </w:r>
      <w:r w:rsidR="009F637A">
        <w:rPr>
          <w:rFonts w:eastAsia="Verdana" w:cs="Verdana"/>
          <w:sz w:val="20"/>
          <w:szCs w:val="20"/>
        </w:rPr>
        <w:t>n sido designados como defensoras públicas interamericana</w:t>
      </w:r>
      <w:r w:rsidRPr="00B4445F">
        <w:rPr>
          <w:rFonts w:eastAsia="Verdana" w:cs="Verdana"/>
          <w:sz w:val="20"/>
          <w:szCs w:val="20"/>
        </w:rPr>
        <w:t>s para ejercer la representación legal de la</w:t>
      </w:r>
      <w:r w:rsidR="006D1797">
        <w:rPr>
          <w:rFonts w:eastAsia="Verdana" w:cs="Verdana"/>
          <w:sz w:val="20"/>
          <w:szCs w:val="20"/>
        </w:rPr>
        <w:t>s</w:t>
      </w:r>
      <w:r w:rsidRPr="00B4445F">
        <w:rPr>
          <w:rFonts w:eastAsia="Verdana" w:cs="Verdana"/>
          <w:sz w:val="20"/>
          <w:szCs w:val="20"/>
        </w:rPr>
        <w:t xml:space="preserve"> presunta</w:t>
      </w:r>
      <w:r w:rsidR="006D1797">
        <w:rPr>
          <w:rFonts w:eastAsia="Verdana" w:cs="Verdana"/>
          <w:sz w:val="20"/>
          <w:szCs w:val="20"/>
        </w:rPr>
        <w:t>s</w:t>
      </w:r>
      <w:r w:rsidRPr="00B4445F">
        <w:rPr>
          <w:rFonts w:eastAsia="Verdana" w:cs="Verdana"/>
          <w:sz w:val="20"/>
          <w:szCs w:val="20"/>
        </w:rPr>
        <w:t xml:space="preserve"> vícti</w:t>
      </w:r>
      <w:r w:rsidR="009F637A">
        <w:rPr>
          <w:rFonts w:eastAsia="Verdana" w:cs="Verdana"/>
          <w:sz w:val="20"/>
          <w:szCs w:val="20"/>
        </w:rPr>
        <w:t>ma</w:t>
      </w:r>
      <w:r w:rsidR="006D1797">
        <w:rPr>
          <w:rFonts w:eastAsia="Verdana" w:cs="Verdana"/>
          <w:sz w:val="20"/>
          <w:szCs w:val="20"/>
        </w:rPr>
        <w:t>s</w:t>
      </w:r>
      <w:r w:rsidR="009F637A">
        <w:rPr>
          <w:rFonts w:eastAsia="Verdana" w:cs="Verdana"/>
          <w:sz w:val="20"/>
          <w:szCs w:val="20"/>
        </w:rPr>
        <w:t xml:space="preserve"> en este caso (en adelante “la</w:t>
      </w:r>
      <w:r w:rsidRPr="00B4445F">
        <w:rPr>
          <w:rFonts w:eastAsia="Verdana" w:cs="Verdana"/>
          <w:sz w:val="20"/>
          <w:szCs w:val="20"/>
        </w:rPr>
        <w:t xml:space="preserve">s </w:t>
      </w:r>
      <w:r w:rsidR="009F637A">
        <w:rPr>
          <w:rFonts w:eastAsia="Verdana" w:cs="Verdana"/>
          <w:sz w:val="20"/>
          <w:szCs w:val="20"/>
        </w:rPr>
        <w:t>defensoras interamericanas</w:t>
      </w:r>
      <w:r w:rsidRPr="00B4445F">
        <w:rPr>
          <w:rFonts w:eastAsia="Verdana" w:cs="Verdana"/>
          <w:sz w:val="20"/>
          <w:szCs w:val="20"/>
        </w:rPr>
        <w:t>”</w:t>
      </w:r>
      <w:r w:rsidR="009F637A">
        <w:rPr>
          <w:rFonts w:eastAsia="Verdana" w:cs="Verdana"/>
          <w:sz w:val="20"/>
          <w:szCs w:val="20"/>
        </w:rPr>
        <w:t xml:space="preserve"> o “las representantes”</w:t>
      </w:r>
      <w:r w:rsidRPr="00B4445F">
        <w:rPr>
          <w:rFonts w:eastAsia="Verdana" w:cs="Verdana"/>
          <w:sz w:val="20"/>
          <w:szCs w:val="20"/>
        </w:rPr>
        <w:t>).</w:t>
      </w:r>
      <w:r w:rsidR="00962981">
        <w:rPr>
          <w:rFonts w:eastAsia="Verdana" w:cs="Verdana"/>
          <w:sz w:val="20"/>
          <w:szCs w:val="20"/>
        </w:rPr>
        <w:t xml:space="preserve"> </w:t>
      </w:r>
    </w:p>
    <w:p w14:paraId="0957AE39" w14:textId="77777777" w:rsidR="006C37C9" w:rsidRPr="0071582F" w:rsidRDefault="006C37C9" w:rsidP="00F3026E"/>
    <w:p w14:paraId="03C37C51" w14:textId="78A67315" w:rsidR="006C37C9" w:rsidRPr="008D0F8E" w:rsidRDefault="006C37C9" w:rsidP="00F3026E">
      <w:pPr>
        <w:numPr>
          <w:ilvl w:val="0"/>
          <w:numId w:val="2"/>
        </w:numPr>
        <w:tabs>
          <w:tab w:val="left" w:pos="567"/>
          <w:tab w:val="num" w:pos="12305"/>
        </w:tabs>
        <w:ind w:left="0" w:firstLine="0"/>
        <w:rPr>
          <w:rFonts w:eastAsia="Verdana" w:cs="Verdana"/>
          <w:sz w:val="20"/>
          <w:szCs w:val="20"/>
          <w:u w:val="single"/>
        </w:rPr>
      </w:pPr>
      <w:r w:rsidRPr="0071582F">
        <w:rPr>
          <w:rFonts w:eastAsia="Verdana" w:cs="Verdana"/>
          <w:i/>
          <w:sz w:val="20"/>
          <w:szCs w:val="20"/>
        </w:rPr>
        <w:t xml:space="preserve">Escrito de solicitudes, argumentos y pruebas. – </w:t>
      </w:r>
      <w:r w:rsidRPr="0071582F">
        <w:rPr>
          <w:rFonts w:eastAsia="Verdana" w:cs="Verdana"/>
          <w:sz w:val="20"/>
          <w:szCs w:val="20"/>
        </w:rPr>
        <w:t xml:space="preserve">El </w:t>
      </w:r>
      <w:r w:rsidR="004B6D26">
        <w:rPr>
          <w:rFonts w:eastAsia="Verdana" w:cs="Verdana"/>
          <w:sz w:val="20"/>
          <w:szCs w:val="20"/>
        </w:rPr>
        <w:t>27</w:t>
      </w:r>
      <w:r w:rsidRPr="0071582F">
        <w:rPr>
          <w:rFonts w:eastAsia="Verdana" w:cs="Verdana"/>
          <w:sz w:val="20"/>
          <w:szCs w:val="20"/>
        </w:rPr>
        <w:t xml:space="preserve"> de </w:t>
      </w:r>
      <w:r w:rsidR="004B6D26">
        <w:rPr>
          <w:rFonts w:eastAsia="Verdana" w:cs="Verdana"/>
          <w:sz w:val="20"/>
          <w:szCs w:val="20"/>
        </w:rPr>
        <w:t>enero de 2017</w:t>
      </w:r>
      <w:r w:rsidRPr="0071582F">
        <w:rPr>
          <w:rFonts w:eastAsia="Verdana" w:cs="Verdana"/>
          <w:sz w:val="20"/>
          <w:szCs w:val="20"/>
        </w:rPr>
        <w:t xml:space="preserve"> la</w:t>
      </w:r>
      <w:r w:rsidR="004B6D26">
        <w:rPr>
          <w:rFonts w:eastAsia="Verdana" w:cs="Verdana"/>
          <w:sz w:val="20"/>
          <w:szCs w:val="20"/>
        </w:rPr>
        <w:t>s</w:t>
      </w:r>
      <w:r w:rsidRPr="0071582F">
        <w:rPr>
          <w:rFonts w:eastAsia="Verdana" w:cs="Verdana"/>
          <w:sz w:val="20"/>
          <w:szCs w:val="20"/>
        </w:rPr>
        <w:t xml:space="preserve"> </w:t>
      </w:r>
      <w:r w:rsidR="004B6D26">
        <w:rPr>
          <w:rFonts w:eastAsia="Calibri" w:cs="Arial"/>
          <w:sz w:val="20"/>
          <w:szCs w:val="20"/>
        </w:rPr>
        <w:t>defensoras interamericanas</w:t>
      </w:r>
      <w:r w:rsidRPr="0071582F">
        <w:rPr>
          <w:rFonts w:eastAsia="Verdana" w:cs="Verdana"/>
          <w:sz w:val="20"/>
          <w:szCs w:val="20"/>
        </w:rPr>
        <w:t xml:space="preserve"> present</w:t>
      </w:r>
      <w:r w:rsidR="004B6D26">
        <w:rPr>
          <w:rFonts w:eastAsia="Verdana" w:cs="Verdana"/>
          <w:sz w:val="20"/>
          <w:szCs w:val="20"/>
        </w:rPr>
        <w:t>aron</w:t>
      </w:r>
      <w:r w:rsidRPr="0071582F">
        <w:rPr>
          <w:rFonts w:eastAsia="Verdana" w:cs="Verdana"/>
          <w:sz w:val="20"/>
          <w:szCs w:val="20"/>
        </w:rPr>
        <w:t xml:space="preserve"> ante la </w:t>
      </w:r>
      <w:r w:rsidR="006D1797">
        <w:rPr>
          <w:rFonts w:eastAsia="Verdana" w:cs="Verdana"/>
          <w:sz w:val="20"/>
          <w:szCs w:val="20"/>
        </w:rPr>
        <w:t>Corte su escrito de solicitudes y argumentos</w:t>
      </w:r>
      <w:r w:rsidRPr="0071582F">
        <w:rPr>
          <w:rFonts w:eastAsia="Verdana" w:cs="Verdana"/>
          <w:sz w:val="20"/>
          <w:szCs w:val="20"/>
        </w:rPr>
        <w:t>. La</w:t>
      </w:r>
      <w:r w:rsidR="008D1152">
        <w:rPr>
          <w:rFonts w:eastAsia="Verdana" w:cs="Verdana"/>
          <w:sz w:val="20"/>
          <w:szCs w:val="20"/>
        </w:rPr>
        <w:t>s</w:t>
      </w:r>
      <w:r w:rsidRPr="0071582F">
        <w:rPr>
          <w:rFonts w:eastAsia="Verdana" w:cs="Verdana"/>
          <w:sz w:val="20"/>
          <w:szCs w:val="20"/>
        </w:rPr>
        <w:t xml:space="preserve"> representante</w:t>
      </w:r>
      <w:r w:rsidR="008D1152">
        <w:rPr>
          <w:rFonts w:eastAsia="Verdana" w:cs="Verdana"/>
          <w:sz w:val="20"/>
          <w:szCs w:val="20"/>
        </w:rPr>
        <w:t>s</w:t>
      </w:r>
      <w:r w:rsidRPr="0071582F">
        <w:rPr>
          <w:rFonts w:eastAsia="Verdana" w:cs="Verdana"/>
          <w:sz w:val="20"/>
          <w:szCs w:val="20"/>
        </w:rPr>
        <w:t xml:space="preserve"> coincid</w:t>
      </w:r>
      <w:r w:rsidR="008D1152">
        <w:rPr>
          <w:rFonts w:eastAsia="Verdana" w:cs="Verdana"/>
          <w:sz w:val="20"/>
          <w:szCs w:val="20"/>
        </w:rPr>
        <w:t>ieron</w:t>
      </w:r>
      <w:r w:rsidRPr="0071582F">
        <w:rPr>
          <w:rFonts w:eastAsia="Verdana" w:cs="Verdana"/>
          <w:sz w:val="20"/>
          <w:szCs w:val="20"/>
        </w:rPr>
        <w:t xml:space="preserve"> sustancialmente con los alegatos de la Comisión y solicit</w:t>
      </w:r>
      <w:r w:rsidR="008D1152">
        <w:rPr>
          <w:rFonts w:eastAsia="Verdana" w:cs="Verdana"/>
          <w:sz w:val="20"/>
          <w:szCs w:val="20"/>
        </w:rPr>
        <w:t>aron</w:t>
      </w:r>
      <w:r w:rsidRPr="0071582F">
        <w:rPr>
          <w:rFonts w:eastAsia="Verdana" w:cs="Verdana"/>
          <w:sz w:val="20"/>
          <w:szCs w:val="20"/>
        </w:rPr>
        <w:t xml:space="preserve"> a la Corte que declarara la responsabilidad internacional del Estado por la violación de los artículos </w:t>
      </w:r>
      <w:r w:rsidR="008D0F8E">
        <w:rPr>
          <w:rFonts w:eastAsia="Verdana" w:cs="Verdana"/>
          <w:sz w:val="20"/>
          <w:szCs w:val="20"/>
        </w:rPr>
        <w:t xml:space="preserve">4.1, 5.1, 26, 8, 25, 13.1, 11 y 7 </w:t>
      </w:r>
      <w:r w:rsidRPr="0071582F">
        <w:rPr>
          <w:rFonts w:eastAsia="Verdana" w:cs="Verdana"/>
          <w:sz w:val="20"/>
          <w:szCs w:val="20"/>
        </w:rPr>
        <w:t xml:space="preserve">de la Convención Americana, en conexión con el artículo 1.1 </w:t>
      </w:r>
      <w:r w:rsidR="008D0F8E">
        <w:rPr>
          <w:rFonts w:eastAsia="Verdana" w:cs="Verdana"/>
          <w:sz w:val="20"/>
          <w:szCs w:val="20"/>
        </w:rPr>
        <w:t>y 2 del mismo instrumento</w:t>
      </w:r>
      <w:r w:rsidR="00C133E5">
        <w:rPr>
          <w:rFonts w:eastAsia="Verdana" w:cs="Verdana"/>
          <w:sz w:val="20"/>
          <w:szCs w:val="20"/>
        </w:rPr>
        <w:t>,</w:t>
      </w:r>
      <w:r w:rsidR="008D0F8E">
        <w:rPr>
          <w:rFonts w:eastAsia="Verdana" w:cs="Verdana"/>
          <w:sz w:val="20"/>
          <w:szCs w:val="20"/>
        </w:rPr>
        <w:t xml:space="preserve"> en perjuicio del señor Vinicio Antonio Poblete Vilches y sus familiares.</w:t>
      </w:r>
      <w:r w:rsidR="00962981" w:rsidRPr="00962981">
        <w:rPr>
          <w:b/>
          <w:sz w:val="18"/>
          <w:szCs w:val="18"/>
        </w:rPr>
        <w:t xml:space="preserve"> </w:t>
      </w:r>
      <w:r w:rsidRPr="008D0F8E">
        <w:rPr>
          <w:rFonts w:eastAsia="Verdana" w:cs="Verdana"/>
          <w:sz w:val="20"/>
          <w:szCs w:val="20"/>
        </w:rPr>
        <w:t>Asimismo, la</w:t>
      </w:r>
      <w:r w:rsidR="008D0F8E">
        <w:rPr>
          <w:rFonts w:eastAsia="Verdana" w:cs="Verdana"/>
          <w:sz w:val="20"/>
          <w:szCs w:val="20"/>
        </w:rPr>
        <w:t>s defensoras interamericanas solicitaron</w:t>
      </w:r>
      <w:r w:rsidRPr="008D0F8E">
        <w:rPr>
          <w:rFonts w:eastAsia="Verdana" w:cs="Verdana"/>
          <w:sz w:val="20"/>
          <w:szCs w:val="20"/>
        </w:rPr>
        <w:t xml:space="preserve"> acogerse al Fondo de Asistencia Legal de Víctimas de la Corte Interamericana (en adelante el “Fondo de Asistencia de la Corte” o el “Fondo”). Finalmente, solicit</w:t>
      </w:r>
      <w:r w:rsidR="008D1152">
        <w:rPr>
          <w:rFonts w:eastAsia="Verdana" w:cs="Verdana"/>
          <w:sz w:val="20"/>
          <w:szCs w:val="20"/>
        </w:rPr>
        <w:t>aron</w:t>
      </w:r>
      <w:r w:rsidRPr="008D0F8E">
        <w:rPr>
          <w:rFonts w:eastAsia="Verdana" w:cs="Verdana"/>
          <w:sz w:val="20"/>
          <w:szCs w:val="20"/>
        </w:rPr>
        <w:t xml:space="preserve"> a la Corte que ordenara al Estado la adopción de diversas medidas de reparación y el reintegro de determinadas costas y gastos.</w:t>
      </w:r>
      <w:r w:rsidR="00962981" w:rsidRPr="00962981">
        <w:rPr>
          <w:b/>
          <w:sz w:val="18"/>
          <w:szCs w:val="18"/>
        </w:rPr>
        <w:t xml:space="preserve"> </w:t>
      </w:r>
    </w:p>
    <w:p w14:paraId="7D84E2B6" w14:textId="77777777" w:rsidR="006C37C9" w:rsidRPr="0071582F" w:rsidRDefault="006C37C9" w:rsidP="00F3026E">
      <w:pPr>
        <w:rPr>
          <w:sz w:val="20"/>
          <w:szCs w:val="20"/>
        </w:rPr>
      </w:pPr>
    </w:p>
    <w:p w14:paraId="6DFA59E9" w14:textId="400A7B5E" w:rsidR="006C37C9" w:rsidRPr="00D823EA" w:rsidRDefault="006C37C9" w:rsidP="00F3026E">
      <w:pPr>
        <w:numPr>
          <w:ilvl w:val="0"/>
          <w:numId w:val="2"/>
        </w:numPr>
        <w:tabs>
          <w:tab w:val="left" w:pos="567"/>
          <w:tab w:val="num" w:pos="12305"/>
        </w:tabs>
        <w:ind w:left="0" w:firstLine="0"/>
        <w:rPr>
          <w:rFonts w:eastAsia="Verdana" w:cs="Verdana"/>
          <w:i/>
          <w:sz w:val="20"/>
          <w:szCs w:val="20"/>
        </w:rPr>
      </w:pPr>
      <w:r w:rsidRPr="0071582F">
        <w:rPr>
          <w:rFonts w:eastAsia="Verdana" w:cs="Verdana"/>
          <w:i/>
          <w:sz w:val="20"/>
          <w:szCs w:val="20"/>
        </w:rPr>
        <w:t xml:space="preserve">Escrito de contestación. – </w:t>
      </w:r>
      <w:r w:rsidRPr="0071582F">
        <w:rPr>
          <w:rFonts w:eastAsia="Verdana" w:cs="Verdana"/>
          <w:sz w:val="20"/>
          <w:szCs w:val="20"/>
        </w:rPr>
        <w:t xml:space="preserve">El </w:t>
      </w:r>
      <w:r w:rsidR="008D0F8E">
        <w:rPr>
          <w:rFonts w:eastAsia="Verdana" w:cs="Verdana"/>
          <w:sz w:val="20"/>
          <w:szCs w:val="20"/>
        </w:rPr>
        <w:t>21</w:t>
      </w:r>
      <w:r w:rsidRPr="0071582F">
        <w:rPr>
          <w:rFonts w:eastAsia="Verdana" w:cs="Verdana"/>
          <w:sz w:val="20"/>
          <w:szCs w:val="20"/>
        </w:rPr>
        <w:t xml:space="preserve"> de </w:t>
      </w:r>
      <w:r w:rsidR="008D0F8E">
        <w:rPr>
          <w:rFonts w:eastAsia="Verdana" w:cs="Verdana"/>
          <w:sz w:val="20"/>
          <w:szCs w:val="20"/>
        </w:rPr>
        <w:t>abril</w:t>
      </w:r>
      <w:r w:rsidRPr="0071582F">
        <w:rPr>
          <w:rFonts w:eastAsia="Verdana" w:cs="Verdana"/>
          <w:sz w:val="20"/>
          <w:szCs w:val="20"/>
        </w:rPr>
        <w:t xml:space="preserve"> de 201</w:t>
      </w:r>
      <w:r w:rsidR="008D0F8E">
        <w:rPr>
          <w:rFonts w:eastAsia="Verdana" w:cs="Verdana"/>
          <w:sz w:val="20"/>
          <w:szCs w:val="20"/>
        </w:rPr>
        <w:t>7</w:t>
      </w:r>
      <w:r w:rsidRPr="0071582F">
        <w:rPr>
          <w:rFonts w:eastAsia="Verdana" w:cs="Verdana"/>
          <w:sz w:val="20"/>
          <w:szCs w:val="20"/>
        </w:rPr>
        <w:t xml:space="preserve"> el Estado</w:t>
      </w:r>
      <w:r w:rsidR="00EB3F3D" w:rsidRPr="0071582F">
        <w:rPr>
          <w:rStyle w:val="FootnoteReference"/>
          <w:rFonts w:eastAsia="Verdana" w:cs="Verdana"/>
          <w:sz w:val="20"/>
          <w:szCs w:val="20"/>
        </w:rPr>
        <w:footnoteReference w:id="8"/>
      </w:r>
      <w:r w:rsidRPr="0071582F">
        <w:rPr>
          <w:rFonts w:eastAsia="Verdana" w:cs="Verdana"/>
          <w:sz w:val="20"/>
          <w:szCs w:val="20"/>
        </w:rPr>
        <w:t xml:space="preserve"> presentó ante la Corte su </w:t>
      </w:r>
      <w:r w:rsidRPr="0071582F">
        <w:rPr>
          <w:rFonts w:eastAsia="Calibri" w:cs="Arial"/>
          <w:sz w:val="20"/>
          <w:szCs w:val="20"/>
        </w:rPr>
        <w:t>escrito</w:t>
      </w:r>
      <w:r w:rsidRPr="0071582F">
        <w:rPr>
          <w:rFonts w:eastAsia="Verdana" w:cs="Verdana"/>
          <w:sz w:val="20"/>
          <w:szCs w:val="20"/>
        </w:rPr>
        <w:t xml:space="preserve"> de contestación al sometimiento </w:t>
      </w:r>
      <w:r w:rsidR="008D1152">
        <w:rPr>
          <w:rFonts w:eastAsia="Verdana" w:cs="Verdana"/>
          <w:sz w:val="20"/>
          <w:szCs w:val="20"/>
        </w:rPr>
        <w:t xml:space="preserve">del caso </w:t>
      </w:r>
      <w:r w:rsidRPr="0071582F">
        <w:rPr>
          <w:rFonts w:eastAsia="Verdana" w:cs="Verdana"/>
          <w:sz w:val="20"/>
          <w:szCs w:val="20"/>
        </w:rPr>
        <w:t xml:space="preserve">e </w:t>
      </w:r>
      <w:r w:rsidR="00221693">
        <w:rPr>
          <w:rFonts w:eastAsia="Verdana" w:cs="Verdana"/>
          <w:sz w:val="20"/>
          <w:szCs w:val="20"/>
        </w:rPr>
        <w:t>I</w:t>
      </w:r>
      <w:r w:rsidRPr="0071582F">
        <w:rPr>
          <w:rFonts w:eastAsia="Verdana" w:cs="Verdana"/>
          <w:sz w:val="20"/>
          <w:szCs w:val="20"/>
        </w:rPr>
        <w:t xml:space="preserve">nforme de </w:t>
      </w:r>
      <w:r w:rsidR="00221693">
        <w:rPr>
          <w:rFonts w:eastAsia="Verdana" w:cs="Verdana"/>
          <w:sz w:val="20"/>
          <w:szCs w:val="20"/>
        </w:rPr>
        <w:t>F</w:t>
      </w:r>
      <w:r w:rsidRPr="0071582F">
        <w:rPr>
          <w:rFonts w:eastAsia="Verdana" w:cs="Verdana"/>
          <w:sz w:val="20"/>
          <w:szCs w:val="20"/>
        </w:rPr>
        <w:t>ondo de la Comisión Interamericana y al escrito de solicitudes</w:t>
      </w:r>
      <w:r w:rsidR="008D0F8E">
        <w:rPr>
          <w:rFonts w:eastAsia="Verdana" w:cs="Verdana"/>
          <w:sz w:val="20"/>
          <w:szCs w:val="20"/>
        </w:rPr>
        <w:t xml:space="preserve"> y argumentos</w:t>
      </w:r>
      <w:r w:rsidRPr="0071582F">
        <w:rPr>
          <w:rFonts w:eastAsia="Verdana" w:cs="Verdana"/>
          <w:sz w:val="20"/>
          <w:szCs w:val="20"/>
        </w:rPr>
        <w:t xml:space="preserve">. En dicho escrito el Estado </w:t>
      </w:r>
      <w:r w:rsidR="00D823EA">
        <w:rPr>
          <w:rFonts w:eastAsia="Verdana" w:cs="Verdana"/>
          <w:sz w:val="20"/>
          <w:szCs w:val="20"/>
        </w:rPr>
        <w:t>realizó un reconocimiento parcial de responsabilidad internacional.</w:t>
      </w:r>
      <w:r w:rsidR="00962981" w:rsidRPr="00962981">
        <w:rPr>
          <w:b/>
          <w:sz w:val="18"/>
          <w:szCs w:val="18"/>
        </w:rPr>
        <w:t xml:space="preserve"> </w:t>
      </w:r>
    </w:p>
    <w:p w14:paraId="3858368E" w14:textId="77777777" w:rsidR="00D823EA" w:rsidRPr="00D823EA" w:rsidRDefault="00D823EA" w:rsidP="00F3026E">
      <w:pPr>
        <w:tabs>
          <w:tab w:val="left" w:pos="567"/>
        </w:tabs>
        <w:rPr>
          <w:rFonts w:eastAsia="Verdana" w:cs="Verdana"/>
          <w:i/>
          <w:sz w:val="20"/>
          <w:szCs w:val="20"/>
        </w:rPr>
      </w:pPr>
    </w:p>
    <w:p w14:paraId="2B31C99E" w14:textId="7914B079" w:rsidR="00D823EA" w:rsidRPr="0071582F" w:rsidRDefault="00D823EA" w:rsidP="00F3026E">
      <w:pPr>
        <w:numPr>
          <w:ilvl w:val="0"/>
          <w:numId w:val="2"/>
        </w:numPr>
        <w:tabs>
          <w:tab w:val="left" w:pos="567"/>
          <w:tab w:val="num" w:pos="12305"/>
        </w:tabs>
        <w:ind w:left="0" w:firstLine="0"/>
        <w:rPr>
          <w:rFonts w:eastAsia="Verdana" w:cs="Verdana"/>
          <w:i/>
          <w:sz w:val="20"/>
          <w:szCs w:val="20"/>
        </w:rPr>
      </w:pPr>
      <w:r>
        <w:rPr>
          <w:rFonts w:eastAsia="Verdana" w:cs="Verdana"/>
          <w:i/>
          <w:sz w:val="20"/>
          <w:szCs w:val="20"/>
        </w:rPr>
        <w:t>Observaciones al Reconocimiento Parcial de Responsabilidad Internacional del Estado</w:t>
      </w:r>
      <w:r w:rsidRPr="0071582F">
        <w:rPr>
          <w:rFonts w:eastAsia="Verdana" w:cs="Verdana"/>
          <w:i/>
          <w:sz w:val="20"/>
          <w:szCs w:val="20"/>
        </w:rPr>
        <w:t>. –</w:t>
      </w:r>
      <w:r>
        <w:rPr>
          <w:rFonts w:eastAsia="Verdana" w:cs="Verdana"/>
          <w:sz w:val="20"/>
          <w:szCs w:val="20"/>
        </w:rPr>
        <w:t xml:space="preserve"> El 3 de julio de 2017 las defensoras interamericanas y la Comisión Interamericana presentaron sus observaciones al reconocimiento parcial de responsabilidad internacional presentado por el Estado de Chile.</w:t>
      </w:r>
      <w:r w:rsidR="00962981" w:rsidRPr="00962981">
        <w:rPr>
          <w:b/>
          <w:sz w:val="18"/>
          <w:szCs w:val="18"/>
        </w:rPr>
        <w:t xml:space="preserve"> </w:t>
      </w:r>
    </w:p>
    <w:p w14:paraId="301078AF" w14:textId="77777777" w:rsidR="006C37C9" w:rsidRPr="0071582F" w:rsidRDefault="006C37C9" w:rsidP="00F3026E">
      <w:pPr>
        <w:autoSpaceDE w:val="0"/>
        <w:autoSpaceDN w:val="0"/>
        <w:rPr>
          <w:rFonts w:eastAsia="Verdana" w:cs="Verdana"/>
          <w:sz w:val="20"/>
          <w:szCs w:val="20"/>
        </w:rPr>
      </w:pPr>
    </w:p>
    <w:p w14:paraId="02F29397" w14:textId="5D8F2DE7" w:rsidR="006C37C9" w:rsidRPr="0071582F" w:rsidRDefault="006C37C9" w:rsidP="00F3026E">
      <w:pPr>
        <w:numPr>
          <w:ilvl w:val="0"/>
          <w:numId w:val="2"/>
        </w:numPr>
        <w:tabs>
          <w:tab w:val="left" w:pos="567"/>
          <w:tab w:val="num" w:pos="12305"/>
        </w:tabs>
        <w:ind w:left="0" w:firstLine="0"/>
        <w:rPr>
          <w:rFonts w:eastAsia="Verdana" w:cs="Verdana"/>
          <w:sz w:val="20"/>
          <w:szCs w:val="20"/>
        </w:rPr>
      </w:pPr>
      <w:r w:rsidRPr="0071582F">
        <w:rPr>
          <w:rFonts w:eastAsia="Verdana" w:cs="Verdana"/>
          <w:i/>
          <w:position w:val="-1"/>
          <w:sz w:val="20"/>
          <w:szCs w:val="20"/>
        </w:rPr>
        <w:t xml:space="preserve">Audiencia Pública - </w:t>
      </w:r>
      <w:r w:rsidRPr="0071582F">
        <w:rPr>
          <w:rFonts w:eastAsia="Verdana" w:cs="Verdana"/>
          <w:position w:val="-1"/>
          <w:sz w:val="20"/>
          <w:szCs w:val="20"/>
        </w:rPr>
        <w:t>Mediante Resolución de 2</w:t>
      </w:r>
      <w:r w:rsidR="005C56F6">
        <w:rPr>
          <w:rFonts w:eastAsia="Verdana" w:cs="Verdana"/>
          <w:position w:val="-1"/>
          <w:sz w:val="20"/>
          <w:szCs w:val="20"/>
        </w:rPr>
        <w:t>1</w:t>
      </w:r>
      <w:r w:rsidRPr="0071582F">
        <w:rPr>
          <w:rFonts w:eastAsia="Verdana" w:cs="Verdana"/>
          <w:position w:val="-1"/>
          <w:sz w:val="20"/>
          <w:szCs w:val="20"/>
        </w:rPr>
        <w:t xml:space="preserve"> de </w:t>
      </w:r>
      <w:r w:rsidR="005C56F6">
        <w:rPr>
          <w:rFonts w:eastAsia="Verdana" w:cs="Verdana"/>
          <w:position w:val="-1"/>
          <w:sz w:val="20"/>
          <w:szCs w:val="20"/>
        </w:rPr>
        <w:t>septiembre de 2017</w:t>
      </w:r>
      <w:r w:rsidRPr="0071582F">
        <w:rPr>
          <w:rStyle w:val="FootnoteReference"/>
          <w:rFonts w:eastAsia="Verdana" w:cs="Verdana"/>
          <w:position w:val="-1"/>
          <w:sz w:val="20"/>
          <w:szCs w:val="20"/>
        </w:rPr>
        <w:footnoteReference w:id="9"/>
      </w:r>
      <w:r w:rsidRPr="0071582F">
        <w:rPr>
          <w:rFonts w:eastAsia="Verdana" w:cs="Verdana"/>
          <w:position w:val="-1"/>
          <w:sz w:val="20"/>
          <w:szCs w:val="20"/>
        </w:rPr>
        <w:t xml:space="preserve"> el Presidente convocó a las partes y a la Comisión Interamericana a una audiencia pública para recibir sus </w:t>
      </w:r>
      <w:r w:rsidRPr="0071582F">
        <w:rPr>
          <w:rFonts w:eastAsia="Verdana" w:cs="Verdana"/>
          <w:position w:val="-1"/>
          <w:sz w:val="20"/>
          <w:szCs w:val="20"/>
        </w:rPr>
        <w:lastRenderedPageBreak/>
        <w:t xml:space="preserve">alegatos y observaciones finales orales sobre </w:t>
      </w:r>
      <w:r w:rsidR="005C56F6">
        <w:rPr>
          <w:rFonts w:eastAsia="Verdana" w:cs="Verdana"/>
          <w:position w:val="-1"/>
          <w:sz w:val="20"/>
          <w:szCs w:val="20"/>
        </w:rPr>
        <w:t>el fondo y eventuales</w:t>
      </w:r>
      <w:r w:rsidRPr="0071582F">
        <w:rPr>
          <w:rFonts w:eastAsia="Verdana" w:cs="Verdana"/>
          <w:position w:val="-1"/>
          <w:sz w:val="20"/>
          <w:szCs w:val="20"/>
        </w:rPr>
        <w:t xml:space="preserve"> reparaciones y costas, así como para recibir las declaraciones </w:t>
      </w:r>
      <w:r w:rsidRPr="0071582F">
        <w:rPr>
          <w:rFonts w:eastAsia="Verdana" w:cs="Verdana"/>
          <w:sz w:val="20"/>
          <w:szCs w:val="20"/>
        </w:rPr>
        <w:t xml:space="preserve">de </w:t>
      </w:r>
      <w:r w:rsidR="005C56F6">
        <w:rPr>
          <w:rFonts w:eastAsia="Verdana" w:cs="Verdana"/>
          <w:sz w:val="20"/>
          <w:szCs w:val="20"/>
        </w:rPr>
        <w:t xml:space="preserve">una </w:t>
      </w:r>
      <w:r w:rsidRPr="0071582F">
        <w:rPr>
          <w:rFonts w:eastAsia="Verdana" w:cs="Verdana"/>
          <w:sz w:val="20"/>
          <w:szCs w:val="20"/>
        </w:rPr>
        <w:t xml:space="preserve">presunta víctima, </w:t>
      </w:r>
      <w:r w:rsidR="00A32354" w:rsidRPr="0071582F">
        <w:rPr>
          <w:rFonts w:eastAsia="Verdana" w:cs="Verdana"/>
          <w:sz w:val="20"/>
          <w:szCs w:val="20"/>
        </w:rPr>
        <w:t xml:space="preserve">de </w:t>
      </w:r>
      <w:r w:rsidRPr="0071582F">
        <w:rPr>
          <w:rFonts w:eastAsia="Verdana" w:cs="Verdana"/>
          <w:position w:val="-1"/>
          <w:sz w:val="20"/>
          <w:szCs w:val="20"/>
        </w:rPr>
        <w:t xml:space="preserve">un testigo propuesto por el Estado y de </w:t>
      </w:r>
      <w:r w:rsidR="005C56F6">
        <w:rPr>
          <w:rFonts w:eastAsia="Verdana" w:cs="Verdana"/>
          <w:position w:val="-1"/>
          <w:sz w:val="20"/>
          <w:szCs w:val="20"/>
        </w:rPr>
        <w:t>dos</w:t>
      </w:r>
      <w:r w:rsidRPr="0071582F">
        <w:rPr>
          <w:rFonts w:eastAsia="Verdana" w:cs="Verdana"/>
          <w:position w:val="-1"/>
          <w:sz w:val="20"/>
          <w:szCs w:val="20"/>
        </w:rPr>
        <w:t xml:space="preserve"> peritos ofrecidos por la </w:t>
      </w:r>
      <w:r w:rsidR="005C56F6">
        <w:rPr>
          <w:rFonts w:eastAsia="Verdana" w:cs="Verdana"/>
          <w:position w:val="-1"/>
          <w:sz w:val="20"/>
          <w:szCs w:val="20"/>
        </w:rPr>
        <w:t>Comisión y las defensoras interamericanas</w:t>
      </w:r>
      <w:r w:rsidRPr="0071582F">
        <w:rPr>
          <w:rFonts w:eastAsia="Verdana" w:cs="Verdana"/>
          <w:position w:val="-1"/>
          <w:sz w:val="20"/>
          <w:szCs w:val="20"/>
        </w:rPr>
        <w:t xml:space="preserve">. </w:t>
      </w:r>
      <w:r w:rsidRPr="0071582F">
        <w:rPr>
          <w:rFonts w:eastAsia="Verdana" w:cs="Verdana"/>
          <w:sz w:val="20"/>
          <w:szCs w:val="20"/>
        </w:rPr>
        <w:t xml:space="preserve">La audiencia pública fue celebrada el </w:t>
      </w:r>
      <w:r w:rsidR="005C56F6">
        <w:rPr>
          <w:rFonts w:eastAsia="Verdana" w:cs="Verdana"/>
          <w:sz w:val="20"/>
          <w:szCs w:val="20"/>
        </w:rPr>
        <w:t>19</w:t>
      </w:r>
      <w:r w:rsidRPr="0071582F">
        <w:rPr>
          <w:rFonts w:eastAsia="Verdana" w:cs="Verdana"/>
          <w:sz w:val="20"/>
          <w:szCs w:val="20"/>
        </w:rPr>
        <w:t xml:space="preserve"> de </w:t>
      </w:r>
      <w:r w:rsidR="005C56F6">
        <w:rPr>
          <w:rFonts w:eastAsia="Verdana" w:cs="Verdana"/>
          <w:sz w:val="20"/>
          <w:szCs w:val="20"/>
        </w:rPr>
        <w:t>octubre de 2017</w:t>
      </w:r>
      <w:r w:rsidRPr="0071582F">
        <w:rPr>
          <w:rFonts w:eastAsia="Verdana" w:cs="Verdana"/>
          <w:sz w:val="20"/>
          <w:szCs w:val="20"/>
        </w:rPr>
        <w:t xml:space="preserve">, durante el </w:t>
      </w:r>
      <w:r w:rsidR="005C56F6">
        <w:rPr>
          <w:rFonts w:eastAsia="Verdana" w:cs="Verdana"/>
          <w:sz w:val="20"/>
          <w:szCs w:val="20"/>
        </w:rPr>
        <w:t>58° Período Extrao</w:t>
      </w:r>
      <w:r w:rsidRPr="0071582F">
        <w:rPr>
          <w:rFonts w:eastAsia="Verdana" w:cs="Verdana"/>
          <w:sz w:val="20"/>
          <w:szCs w:val="20"/>
        </w:rPr>
        <w:t xml:space="preserve">rdinario de Sesiones de la Corte, llevado a cabo en </w:t>
      </w:r>
      <w:r w:rsidR="00C12427">
        <w:rPr>
          <w:rFonts w:eastAsia="Verdana" w:cs="Verdana"/>
          <w:sz w:val="20"/>
          <w:szCs w:val="20"/>
        </w:rPr>
        <w:t xml:space="preserve">la </w:t>
      </w:r>
      <w:r w:rsidR="005C56F6">
        <w:rPr>
          <w:rFonts w:eastAsia="Verdana" w:cs="Verdana"/>
          <w:sz w:val="20"/>
          <w:szCs w:val="20"/>
        </w:rPr>
        <w:t>Ciudad de Panamá</w:t>
      </w:r>
      <w:r w:rsidRPr="0071582F">
        <w:rPr>
          <w:rStyle w:val="FootnoteReference"/>
          <w:rFonts w:eastAsia="Verdana" w:cs="Verdana"/>
          <w:sz w:val="20"/>
          <w:szCs w:val="20"/>
        </w:rPr>
        <w:footnoteReference w:id="10"/>
      </w:r>
      <w:r w:rsidRPr="0071582F">
        <w:rPr>
          <w:rFonts w:eastAsia="Verdana" w:cs="Verdana"/>
          <w:sz w:val="20"/>
          <w:szCs w:val="20"/>
        </w:rPr>
        <w:t>. En la audiencia se recibió la declara</w:t>
      </w:r>
      <w:r w:rsidR="005C56F6">
        <w:rPr>
          <w:rFonts w:eastAsia="Verdana" w:cs="Verdana"/>
          <w:sz w:val="20"/>
          <w:szCs w:val="20"/>
        </w:rPr>
        <w:t>ción de la presunta víctima Vinicio Marco Antonio Poblete Tapia</w:t>
      </w:r>
      <w:r w:rsidRPr="0071582F">
        <w:rPr>
          <w:rFonts w:eastAsia="Verdana" w:cs="Verdana"/>
          <w:sz w:val="20"/>
          <w:szCs w:val="20"/>
        </w:rPr>
        <w:t xml:space="preserve">, del testigo </w:t>
      </w:r>
      <w:r w:rsidR="005C56F6">
        <w:rPr>
          <w:rFonts w:eastAsia="Verdana" w:cs="Verdana"/>
          <w:sz w:val="20"/>
          <w:szCs w:val="20"/>
        </w:rPr>
        <w:t xml:space="preserve">Rodrigo Avendaño </w:t>
      </w:r>
      <w:proofErr w:type="spellStart"/>
      <w:r w:rsidR="005C56F6">
        <w:rPr>
          <w:rFonts w:eastAsia="Verdana" w:cs="Verdana"/>
          <w:sz w:val="20"/>
          <w:szCs w:val="20"/>
        </w:rPr>
        <w:t>Brandeis</w:t>
      </w:r>
      <w:proofErr w:type="spellEnd"/>
      <w:r w:rsidRPr="0071582F">
        <w:rPr>
          <w:rFonts w:eastAsia="Verdana" w:cs="Verdana"/>
          <w:sz w:val="20"/>
          <w:szCs w:val="20"/>
        </w:rPr>
        <w:t xml:space="preserve"> y de los peritos </w:t>
      </w:r>
      <w:r w:rsidR="005C56F6">
        <w:rPr>
          <w:rFonts w:eastAsia="Verdana" w:cs="Verdana"/>
          <w:sz w:val="20"/>
          <w:szCs w:val="20"/>
        </w:rPr>
        <w:t xml:space="preserve">Alicia Ely </w:t>
      </w:r>
      <w:proofErr w:type="spellStart"/>
      <w:r w:rsidR="005C56F6">
        <w:rPr>
          <w:rFonts w:eastAsia="Verdana" w:cs="Verdana"/>
          <w:sz w:val="20"/>
          <w:szCs w:val="20"/>
        </w:rPr>
        <w:t>Yemin</w:t>
      </w:r>
      <w:proofErr w:type="spellEnd"/>
      <w:r w:rsidRPr="0071582F">
        <w:rPr>
          <w:rFonts w:eastAsia="Verdana" w:cs="Verdana"/>
          <w:sz w:val="20"/>
          <w:szCs w:val="20"/>
        </w:rPr>
        <w:t xml:space="preserve"> y </w:t>
      </w:r>
      <w:r w:rsidR="005C56F6">
        <w:rPr>
          <w:rFonts w:eastAsia="Verdana" w:cs="Verdana"/>
          <w:sz w:val="20"/>
          <w:szCs w:val="20"/>
        </w:rPr>
        <w:t>Javier Alejandro Santos</w:t>
      </w:r>
      <w:r w:rsidRPr="0071582F">
        <w:rPr>
          <w:rFonts w:eastAsia="Verdana" w:cs="Verdana"/>
          <w:sz w:val="20"/>
          <w:szCs w:val="20"/>
        </w:rPr>
        <w:t xml:space="preserve">. </w:t>
      </w:r>
      <w:r w:rsidR="0011543E" w:rsidRPr="0071582F">
        <w:rPr>
          <w:sz w:val="20"/>
          <w:szCs w:val="20"/>
          <w:lang w:eastAsia="es-ES"/>
        </w:rPr>
        <w:t>Asimismo, la Corte requirió a las partes que presentaran determinada información y documentación</w:t>
      </w:r>
      <w:r w:rsidR="004D67BE">
        <w:rPr>
          <w:sz w:val="20"/>
          <w:szCs w:val="20"/>
          <w:lang w:eastAsia="es-ES"/>
        </w:rPr>
        <w:t xml:space="preserve">. </w:t>
      </w:r>
      <w:r w:rsidRPr="0071582F">
        <w:rPr>
          <w:rFonts w:eastAsia="Verdana" w:cs="Verdana"/>
          <w:position w:val="-1"/>
          <w:sz w:val="20"/>
          <w:szCs w:val="20"/>
        </w:rPr>
        <w:t xml:space="preserve">Las declaraciones solicitadas ante fedatario público fueron recibidas los días </w:t>
      </w:r>
      <w:r w:rsidR="00C07280">
        <w:rPr>
          <w:rFonts w:eastAsia="Verdana" w:cs="Verdana"/>
          <w:position w:val="-1"/>
          <w:sz w:val="20"/>
          <w:szCs w:val="20"/>
        </w:rPr>
        <w:t>10 y 11</w:t>
      </w:r>
      <w:r w:rsidRPr="0071582F">
        <w:rPr>
          <w:rFonts w:eastAsia="Verdana" w:cs="Verdana"/>
          <w:position w:val="-1"/>
          <w:sz w:val="20"/>
          <w:szCs w:val="20"/>
        </w:rPr>
        <w:t xml:space="preserve"> de </w:t>
      </w:r>
      <w:r w:rsidR="00C07280">
        <w:rPr>
          <w:rFonts w:eastAsia="Verdana" w:cs="Verdana"/>
          <w:position w:val="-1"/>
          <w:sz w:val="20"/>
          <w:szCs w:val="20"/>
        </w:rPr>
        <w:t>octubre de 2017</w:t>
      </w:r>
      <w:r w:rsidRPr="0071582F">
        <w:rPr>
          <w:rFonts w:eastAsia="Verdana" w:cs="Verdana"/>
          <w:position w:val="-1"/>
          <w:sz w:val="20"/>
          <w:szCs w:val="20"/>
        </w:rPr>
        <w:t>.</w:t>
      </w:r>
    </w:p>
    <w:p w14:paraId="2F14BC4E" w14:textId="77777777" w:rsidR="003765A7" w:rsidRPr="0071582F" w:rsidRDefault="003765A7" w:rsidP="00F3026E">
      <w:pPr>
        <w:autoSpaceDE w:val="0"/>
        <w:autoSpaceDN w:val="0"/>
        <w:rPr>
          <w:rFonts w:eastAsia="Verdana" w:cs="Verdana"/>
          <w:sz w:val="20"/>
          <w:szCs w:val="20"/>
        </w:rPr>
      </w:pPr>
    </w:p>
    <w:p w14:paraId="4988DBDF" w14:textId="46B7D17D" w:rsidR="006C37C9" w:rsidRPr="0071582F" w:rsidRDefault="006C37C9" w:rsidP="00F3026E">
      <w:pPr>
        <w:numPr>
          <w:ilvl w:val="0"/>
          <w:numId w:val="2"/>
        </w:numPr>
        <w:tabs>
          <w:tab w:val="left" w:pos="567"/>
          <w:tab w:val="num" w:pos="12305"/>
        </w:tabs>
        <w:ind w:left="0" w:firstLine="0"/>
        <w:rPr>
          <w:rFonts w:cs="Verdana"/>
          <w:snapToGrid w:val="0"/>
          <w:sz w:val="20"/>
          <w:szCs w:val="20"/>
          <w:lang w:eastAsia="es-ES"/>
        </w:rPr>
      </w:pPr>
      <w:bookmarkStart w:id="25" w:name="_Ref354147731"/>
      <w:r w:rsidRPr="0071582F">
        <w:rPr>
          <w:rFonts w:cs="Verdana"/>
          <w:i/>
          <w:sz w:val="20"/>
          <w:szCs w:val="20"/>
        </w:rPr>
        <w:t>Alegatos y observaciones finales escrit</w:t>
      </w:r>
      <w:r w:rsidR="00C12427">
        <w:rPr>
          <w:rFonts w:cs="Verdana"/>
          <w:i/>
          <w:sz w:val="20"/>
          <w:szCs w:val="20"/>
        </w:rPr>
        <w:t>a</w:t>
      </w:r>
      <w:r w:rsidRPr="0071582F">
        <w:rPr>
          <w:rFonts w:cs="Verdana"/>
          <w:i/>
          <w:sz w:val="20"/>
          <w:szCs w:val="20"/>
        </w:rPr>
        <w:t xml:space="preserve">s. </w:t>
      </w:r>
      <w:bookmarkEnd w:id="25"/>
      <w:r w:rsidRPr="0071582F">
        <w:rPr>
          <w:rFonts w:cs="Verdana"/>
          <w:i/>
          <w:sz w:val="20"/>
          <w:szCs w:val="20"/>
        </w:rPr>
        <w:t xml:space="preserve">- </w:t>
      </w:r>
      <w:r w:rsidR="00EB2C98" w:rsidRPr="000214BA">
        <w:rPr>
          <w:rFonts w:eastAsia="Verdana" w:cs="Verdana"/>
          <w:position w:val="-1"/>
          <w:sz w:val="20"/>
          <w:szCs w:val="20"/>
        </w:rPr>
        <w:t xml:space="preserve">El </w:t>
      </w:r>
      <w:r w:rsidR="00EB2C98">
        <w:rPr>
          <w:rFonts w:eastAsia="Verdana" w:cs="Verdana"/>
          <w:position w:val="-1"/>
          <w:sz w:val="20"/>
          <w:szCs w:val="20"/>
        </w:rPr>
        <w:t>20</w:t>
      </w:r>
      <w:r w:rsidR="00EB2C98" w:rsidRPr="000214BA">
        <w:rPr>
          <w:rFonts w:eastAsia="Verdana" w:cs="Verdana"/>
          <w:position w:val="-1"/>
          <w:sz w:val="20"/>
          <w:szCs w:val="20"/>
        </w:rPr>
        <w:t xml:space="preserve"> de </w:t>
      </w:r>
      <w:r w:rsidR="00EB2C98">
        <w:rPr>
          <w:rFonts w:eastAsia="Verdana" w:cs="Verdana"/>
          <w:position w:val="-1"/>
          <w:sz w:val="20"/>
          <w:szCs w:val="20"/>
        </w:rPr>
        <w:t>noviembre</w:t>
      </w:r>
      <w:r w:rsidR="00EB2C98" w:rsidRPr="000214BA">
        <w:rPr>
          <w:rFonts w:eastAsia="Verdana" w:cs="Verdana"/>
          <w:position w:val="-1"/>
          <w:sz w:val="20"/>
          <w:szCs w:val="20"/>
        </w:rPr>
        <w:t xml:space="preserve"> de 201</w:t>
      </w:r>
      <w:r w:rsidR="00EB2C98">
        <w:rPr>
          <w:rFonts w:eastAsia="Verdana" w:cs="Verdana"/>
          <w:position w:val="-1"/>
          <w:sz w:val="20"/>
          <w:szCs w:val="20"/>
        </w:rPr>
        <w:t>7</w:t>
      </w:r>
      <w:r w:rsidR="00EB2C98" w:rsidRPr="000214BA">
        <w:rPr>
          <w:rFonts w:eastAsia="Verdana" w:cs="Verdana"/>
          <w:position w:val="-1"/>
          <w:sz w:val="20"/>
          <w:szCs w:val="20"/>
        </w:rPr>
        <w:t xml:space="preserve"> el Estado y l</w:t>
      </w:r>
      <w:r w:rsidR="00C12427">
        <w:rPr>
          <w:rFonts w:eastAsia="Verdana" w:cs="Verdana"/>
          <w:position w:val="-1"/>
          <w:sz w:val="20"/>
          <w:szCs w:val="20"/>
        </w:rPr>
        <w:t>a</w:t>
      </w:r>
      <w:r w:rsidR="00EB2C98" w:rsidRPr="000214BA">
        <w:rPr>
          <w:rFonts w:eastAsia="Verdana" w:cs="Verdana"/>
          <w:position w:val="-1"/>
          <w:sz w:val="20"/>
          <w:szCs w:val="20"/>
        </w:rPr>
        <w:t>s representantes presentaron sus alegatos finales escritos y sus anexos, así como la Comisión presentó sus observaciones finales escritas. El</w:t>
      </w:r>
      <w:r w:rsidR="00EB2C98">
        <w:rPr>
          <w:rFonts w:eastAsia="Verdana" w:cs="Verdana"/>
          <w:position w:val="-1"/>
          <w:sz w:val="20"/>
          <w:szCs w:val="20"/>
        </w:rPr>
        <w:t xml:space="preserve"> 27 </w:t>
      </w:r>
      <w:r w:rsidR="00EB2C98" w:rsidRPr="000214BA">
        <w:rPr>
          <w:rFonts w:eastAsia="Verdana" w:cs="Verdana"/>
          <w:position w:val="-1"/>
          <w:sz w:val="20"/>
          <w:szCs w:val="20"/>
        </w:rPr>
        <w:t xml:space="preserve">de </w:t>
      </w:r>
      <w:r w:rsidR="00EB2C98">
        <w:rPr>
          <w:rFonts w:eastAsia="Verdana" w:cs="Verdana"/>
          <w:position w:val="-1"/>
          <w:sz w:val="20"/>
          <w:szCs w:val="20"/>
        </w:rPr>
        <w:t>noviembre</w:t>
      </w:r>
      <w:r w:rsidR="00EB2C98" w:rsidRPr="000214BA">
        <w:rPr>
          <w:rFonts w:eastAsia="Verdana" w:cs="Verdana"/>
          <w:position w:val="-1"/>
          <w:sz w:val="20"/>
          <w:szCs w:val="20"/>
        </w:rPr>
        <w:t xml:space="preserve"> de 2017 la Secretaría de la Corte remitió </w:t>
      </w:r>
      <w:r w:rsidR="00EB2C98">
        <w:rPr>
          <w:rFonts w:eastAsia="Verdana" w:cs="Verdana"/>
          <w:position w:val="-1"/>
          <w:sz w:val="20"/>
          <w:szCs w:val="20"/>
        </w:rPr>
        <w:t>el</w:t>
      </w:r>
      <w:r w:rsidR="00EB2C98" w:rsidRPr="00EB2C98">
        <w:rPr>
          <w:rFonts w:eastAsia="Verdana" w:cs="Verdana"/>
          <w:position w:val="-1"/>
          <w:sz w:val="20"/>
          <w:szCs w:val="20"/>
        </w:rPr>
        <w:t xml:space="preserve"> anexo</w:t>
      </w:r>
      <w:r w:rsidR="00EB2C98" w:rsidRPr="000214BA">
        <w:rPr>
          <w:rFonts w:eastAsia="Verdana" w:cs="Verdana"/>
          <w:position w:val="-1"/>
          <w:sz w:val="20"/>
          <w:szCs w:val="20"/>
        </w:rPr>
        <w:t xml:space="preserve"> a los alegatos finales escritos </w:t>
      </w:r>
      <w:r w:rsidR="00EB2C98">
        <w:rPr>
          <w:rFonts w:eastAsia="Verdana" w:cs="Verdana"/>
          <w:position w:val="-1"/>
          <w:sz w:val="20"/>
          <w:szCs w:val="20"/>
        </w:rPr>
        <w:t xml:space="preserve">de las representantes </w:t>
      </w:r>
      <w:r w:rsidR="00EB2C98" w:rsidRPr="000214BA">
        <w:rPr>
          <w:rFonts w:eastAsia="Verdana" w:cs="Verdana"/>
          <w:position w:val="-1"/>
          <w:sz w:val="20"/>
          <w:szCs w:val="20"/>
        </w:rPr>
        <w:t xml:space="preserve">y solicitó </w:t>
      </w:r>
      <w:r w:rsidR="00EB2C98">
        <w:rPr>
          <w:rFonts w:eastAsia="Verdana" w:cs="Verdana"/>
          <w:position w:val="-1"/>
          <w:sz w:val="20"/>
          <w:szCs w:val="20"/>
        </w:rPr>
        <w:t>al Estado</w:t>
      </w:r>
      <w:r w:rsidR="00EB2C98" w:rsidRPr="000214BA">
        <w:rPr>
          <w:rFonts w:eastAsia="Verdana" w:cs="Verdana"/>
          <w:position w:val="-1"/>
          <w:sz w:val="20"/>
          <w:szCs w:val="20"/>
        </w:rPr>
        <w:t xml:space="preserve"> las observaciones que estimaren pertinentes. Mediante comunicación de </w:t>
      </w:r>
      <w:r w:rsidR="00EB2C98">
        <w:rPr>
          <w:rFonts w:eastAsia="Verdana" w:cs="Verdana"/>
          <w:position w:val="-1"/>
          <w:sz w:val="20"/>
          <w:szCs w:val="20"/>
        </w:rPr>
        <w:t>4</w:t>
      </w:r>
      <w:r w:rsidR="00EB2C98" w:rsidRPr="000214BA">
        <w:rPr>
          <w:rFonts w:eastAsia="Verdana" w:cs="Verdana"/>
          <w:position w:val="-1"/>
          <w:sz w:val="20"/>
          <w:szCs w:val="20"/>
        </w:rPr>
        <w:t xml:space="preserve"> de </w:t>
      </w:r>
      <w:r w:rsidR="00EB2C98">
        <w:rPr>
          <w:rFonts w:eastAsia="Verdana" w:cs="Verdana"/>
          <w:position w:val="-1"/>
          <w:sz w:val="20"/>
          <w:szCs w:val="20"/>
        </w:rPr>
        <w:t>diciembre</w:t>
      </w:r>
      <w:r w:rsidR="00EB2C98" w:rsidRPr="000214BA">
        <w:rPr>
          <w:rFonts w:eastAsia="Verdana" w:cs="Verdana"/>
          <w:position w:val="-1"/>
          <w:sz w:val="20"/>
          <w:szCs w:val="20"/>
        </w:rPr>
        <w:t xml:space="preserve"> de 2017, </w:t>
      </w:r>
      <w:r w:rsidR="00F4682C">
        <w:rPr>
          <w:rFonts w:eastAsia="Verdana" w:cs="Verdana"/>
          <w:position w:val="-1"/>
          <w:sz w:val="20"/>
          <w:szCs w:val="20"/>
        </w:rPr>
        <w:t>e</w:t>
      </w:r>
      <w:r w:rsidR="00EB2C98">
        <w:rPr>
          <w:rFonts w:eastAsia="Verdana" w:cs="Verdana"/>
          <w:position w:val="-1"/>
          <w:sz w:val="20"/>
          <w:szCs w:val="20"/>
        </w:rPr>
        <w:t xml:space="preserve">l Estado presentó </w:t>
      </w:r>
      <w:r w:rsidR="00EB2C98" w:rsidRPr="000214BA">
        <w:rPr>
          <w:rFonts w:eastAsia="Verdana" w:cs="Verdana"/>
          <w:position w:val="-1"/>
          <w:sz w:val="20"/>
          <w:szCs w:val="20"/>
        </w:rPr>
        <w:t xml:space="preserve">observaciones sobre </w:t>
      </w:r>
      <w:r w:rsidR="00EB2C98">
        <w:rPr>
          <w:rFonts w:eastAsia="Verdana" w:cs="Verdana"/>
          <w:position w:val="-1"/>
          <w:sz w:val="20"/>
          <w:szCs w:val="20"/>
        </w:rPr>
        <w:t>el anexo presentado por las representantes</w:t>
      </w:r>
      <w:r w:rsidR="00EB2C98" w:rsidRPr="000214BA">
        <w:rPr>
          <w:rFonts w:eastAsia="Verdana" w:cs="Verdana"/>
          <w:position w:val="-1"/>
          <w:sz w:val="20"/>
          <w:szCs w:val="20"/>
        </w:rPr>
        <w:t>.</w:t>
      </w:r>
    </w:p>
    <w:p w14:paraId="2267DB32" w14:textId="77777777" w:rsidR="006C37C9" w:rsidRPr="0071582F" w:rsidRDefault="006C37C9" w:rsidP="00F3026E">
      <w:pPr>
        <w:autoSpaceDE w:val="0"/>
        <w:autoSpaceDN w:val="0"/>
        <w:rPr>
          <w:rFonts w:eastAsia="Batang"/>
          <w:sz w:val="20"/>
        </w:rPr>
      </w:pPr>
    </w:p>
    <w:p w14:paraId="0550D732" w14:textId="23D19C8C" w:rsidR="00C92904" w:rsidRPr="0071582F" w:rsidRDefault="00C92904" w:rsidP="00F3026E">
      <w:pPr>
        <w:numPr>
          <w:ilvl w:val="0"/>
          <w:numId w:val="2"/>
        </w:numPr>
        <w:tabs>
          <w:tab w:val="left" w:pos="567"/>
          <w:tab w:val="num" w:pos="12305"/>
        </w:tabs>
        <w:ind w:left="0" w:firstLine="0"/>
        <w:rPr>
          <w:rFonts w:eastAsia="Batang"/>
          <w:sz w:val="20"/>
        </w:rPr>
      </w:pPr>
      <w:r w:rsidRPr="0071582F">
        <w:rPr>
          <w:rFonts w:eastAsia="Batang"/>
          <w:i/>
          <w:sz w:val="20"/>
        </w:rPr>
        <w:t xml:space="preserve">Prueba para mejor resolver. – </w:t>
      </w:r>
      <w:r w:rsidR="00E41319">
        <w:rPr>
          <w:rFonts w:eastAsia="Batang"/>
          <w:sz w:val="20"/>
        </w:rPr>
        <w:t>El 2</w:t>
      </w:r>
      <w:r w:rsidR="004D7592">
        <w:rPr>
          <w:rFonts w:eastAsia="Batang"/>
          <w:sz w:val="20"/>
        </w:rPr>
        <w:t>7</w:t>
      </w:r>
      <w:r w:rsidR="00E41319">
        <w:rPr>
          <w:rFonts w:eastAsia="Batang"/>
          <w:sz w:val="20"/>
        </w:rPr>
        <w:t xml:space="preserve"> de noviembre de 2017</w:t>
      </w:r>
      <w:r w:rsidR="00C12427">
        <w:rPr>
          <w:rFonts w:eastAsia="Batang"/>
          <w:sz w:val="20"/>
        </w:rPr>
        <w:t xml:space="preserve"> y 26 de enero de 2018</w:t>
      </w:r>
      <w:r w:rsidR="00E41319">
        <w:rPr>
          <w:rFonts w:eastAsia="Batang"/>
          <w:sz w:val="20"/>
        </w:rPr>
        <w:t xml:space="preserve"> se solicitó al Estado prueba para mejor resolver. </w:t>
      </w:r>
      <w:r w:rsidR="00E41319" w:rsidRPr="00E41319">
        <w:rPr>
          <w:rFonts w:eastAsia="Batang"/>
          <w:sz w:val="20"/>
        </w:rPr>
        <w:t xml:space="preserve">El </w:t>
      </w:r>
      <w:r w:rsidR="00E41319">
        <w:rPr>
          <w:rFonts w:eastAsia="Batang"/>
          <w:sz w:val="20"/>
        </w:rPr>
        <w:t xml:space="preserve">22 de diciembre de 2017 </w:t>
      </w:r>
      <w:r w:rsidR="00C12427">
        <w:rPr>
          <w:rFonts w:eastAsia="Batang"/>
          <w:sz w:val="20"/>
        </w:rPr>
        <w:t xml:space="preserve">y 12 de febrero de 2018 </w:t>
      </w:r>
      <w:r w:rsidR="004D67BE">
        <w:rPr>
          <w:rFonts w:eastAsia="Batang"/>
          <w:sz w:val="20"/>
        </w:rPr>
        <w:t>e</w:t>
      </w:r>
      <w:r w:rsidR="004D7592">
        <w:rPr>
          <w:rFonts w:eastAsia="Batang"/>
          <w:sz w:val="20"/>
        </w:rPr>
        <w:t>l E</w:t>
      </w:r>
      <w:r w:rsidR="00E41319">
        <w:rPr>
          <w:rFonts w:eastAsia="Batang"/>
          <w:sz w:val="20"/>
        </w:rPr>
        <w:t>stado</w:t>
      </w:r>
      <w:r w:rsidR="00E41319" w:rsidRPr="00E41319">
        <w:rPr>
          <w:rFonts w:eastAsia="Batang"/>
          <w:sz w:val="20"/>
        </w:rPr>
        <w:t xml:space="preserve"> remiti</w:t>
      </w:r>
      <w:r w:rsidR="00E41319">
        <w:rPr>
          <w:rFonts w:eastAsia="Batang"/>
          <w:sz w:val="20"/>
        </w:rPr>
        <w:t>ó</w:t>
      </w:r>
      <w:r w:rsidR="00E41319" w:rsidRPr="00E41319">
        <w:rPr>
          <w:rFonts w:eastAsia="Batang"/>
          <w:sz w:val="20"/>
        </w:rPr>
        <w:t xml:space="preserve"> la información solicitada.</w:t>
      </w:r>
    </w:p>
    <w:p w14:paraId="095C5E54" w14:textId="77777777" w:rsidR="006C37C9" w:rsidRPr="0071582F" w:rsidRDefault="006C37C9" w:rsidP="00F3026E">
      <w:pPr>
        <w:tabs>
          <w:tab w:val="left" w:pos="567"/>
          <w:tab w:val="left" w:pos="1134"/>
          <w:tab w:val="num" w:pos="6042"/>
        </w:tabs>
        <w:autoSpaceDE w:val="0"/>
        <w:autoSpaceDN w:val="0"/>
        <w:rPr>
          <w:rFonts w:eastAsia="Calibri" w:cs="Verdana"/>
          <w:snapToGrid w:val="0"/>
          <w:sz w:val="20"/>
          <w:szCs w:val="20"/>
          <w:lang w:eastAsia="es-ES"/>
        </w:rPr>
      </w:pPr>
    </w:p>
    <w:p w14:paraId="379B62BB" w14:textId="5172D5BB" w:rsidR="004D67BE" w:rsidRPr="000214BA" w:rsidRDefault="006C37C9" w:rsidP="00F3026E">
      <w:pPr>
        <w:numPr>
          <w:ilvl w:val="0"/>
          <w:numId w:val="2"/>
        </w:numPr>
        <w:tabs>
          <w:tab w:val="left" w:pos="567"/>
          <w:tab w:val="num" w:pos="12305"/>
        </w:tabs>
        <w:ind w:left="0" w:firstLine="0"/>
        <w:rPr>
          <w:rFonts w:eastAsia="Verdana" w:cs="Verdana"/>
          <w:position w:val="-1"/>
          <w:sz w:val="20"/>
          <w:szCs w:val="20"/>
        </w:rPr>
      </w:pPr>
      <w:r w:rsidRPr="0071582F">
        <w:rPr>
          <w:rFonts w:cs="Verdana"/>
          <w:i/>
          <w:snapToGrid w:val="0"/>
          <w:sz w:val="20"/>
          <w:szCs w:val="20"/>
          <w:lang w:eastAsia="es-ES"/>
        </w:rPr>
        <w:t>Erogaciones en aplicación del Fondo de Asistencia.</w:t>
      </w:r>
      <w:r w:rsidRPr="0071582F">
        <w:rPr>
          <w:rFonts w:cs="Verdana"/>
          <w:snapToGrid w:val="0"/>
          <w:sz w:val="20"/>
          <w:szCs w:val="20"/>
          <w:lang w:eastAsia="es-ES"/>
        </w:rPr>
        <w:t xml:space="preserve"> </w:t>
      </w:r>
      <w:r w:rsidRPr="0071582F">
        <w:rPr>
          <w:rFonts w:cs="Verdana"/>
          <w:iCs/>
          <w:snapToGrid w:val="0"/>
          <w:sz w:val="20"/>
          <w:szCs w:val="20"/>
          <w:lang w:eastAsia="es-ES"/>
        </w:rPr>
        <w:t>–</w:t>
      </w:r>
      <w:r w:rsidR="004D67BE" w:rsidRPr="004D67BE">
        <w:rPr>
          <w:rFonts w:eastAsia="Calibri"/>
          <w:sz w:val="20"/>
          <w:szCs w:val="20"/>
          <w:lang w:val="es-ES_tradnl" w:eastAsia="en-US"/>
        </w:rPr>
        <w:t xml:space="preserve"> </w:t>
      </w:r>
      <w:r w:rsidR="004D67BE" w:rsidRPr="000214BA">
        <w:rPr>
          <w:rFonts w:eastAsia="Verdana" w:cs="Verdana"/>
          <w:position w:val="-1"/>
          <w:sz w:val="20"/>
          <w:szCs w:val="20"/>
        </w:rPr>
        <w:t xml:space="preserve">El </w:t>
      </w:r>
      <w:r w:rsidR="00C12427" w:rsidRPr="00B1523A">
        <w:rPr>
          <w:rFonts w:eastAsia="Verdana" w:cs="Verdana"/>
          <w:position w:val="-1"/>
          <w:sz w:val="20"/>
          <w:szCs w:val="20"/>
        </w:rPr>
        <w:t>26 de enero de 2018</w:t>
      </w:r>
      <w:r w:rsidR="004D67BE" w:rsidRPr="000214BA">
        <w:rPr>
          <w:rFonts w:eastAsia="Verdana" w:cs="Verdana"/>
          <w:position w:val="-1"/>
          <w:sz w:val="20"/>
          <w:szCs w:val="20"/>
        </w:rPr>
        <w:t xml:space="preserve"> la Secretaría, siguiendo instrucciones del Presidente de la Corte, remitió información al Estado sobre las erogaciones efectuadas en aplicación del Fondo de Asistencia en el presente caso y, según lo dispuesto en el artículo 5 del Reglamento de la Corte sobre el Funcionamiento del referido Fondo, le otorgó un plazo para presentar las observaciones que estimara pertinentes. El Estado presentó observaciones el </w:t>
      </w:r>
      <w:r w:rsidR="00C12427">
        <w:rPr>
          <w:rFonts w:eastAsia="Verdana" w:cs="Verdana"/>
          <w:position w:val="-1"/>
          <w:sz w:val="20"/>
          <w:szCs w:val="20"/>
        </w:rPr>
        <w:t>2</w:t>
      </w:r>
      <w:r w:rsidR="008D1152">
        <w:rPr>
          <w:rFonts w:eastAsia="Verdana" w:cs="Verdana"/>
          <w:position w:val="-1"/>
          <w:sz w:val="20"/>
          <w:szCs w:val="20"/>
        </w:rPr>
        <w:t xml:space="preserve"> de febrero de 2018</w:t>
      </w:r>
      <w:r w:rsidR="004D67BE" w:rsidRPr="000214BA">
        <w:rPr>
          <w:rFonts w:eastAsia="Verdana" w:cs="Verdana"/>
          <w:position w:val="-1"/>
          <w:sz w:val="20"/>
          <w:szCs w:val="20"/>
        </w:rPr>
        <w:t>.</w:t>
      </w:r>
    </w:p>
    <w:p w14:paraId="5F276BD6" w14:textId="77777777" w:rsidR="006C37C9" w:rsidRPr="0071582F" w:rsidRDefault="006C37C9" w:rsidP="00F3026E">
      <w:pPr>
        <w:tabs>
          <w:tab w:val="left" w:pos="567"/>
          <w:tab w:val="left" w:pos="1134"/>
          <w:tab w:val="num" w:pos="6042"/>
        </w:tabs>
        <w:autoSpaceDE w:val="0"/>
        <w:autoSpaceDN w:val="0"/>
        <w:rPr>
          <w:rFonts w:eastAsia="Calibri" w:cs="Verdana"/>
          <w:snapToGrid w:val="0"/>
          <w:sz w:val="20"/>
          <w:szCs w:val="20"/>
          <w:lang w:eastAsia="es-ES"/>
        </w:rPr>
      </w:pPr>
    </w:p>
    <w:p w14:paraId="0660CAA9" w14:textId="2FB5BB89" w:rsidR="006C37C9" w:rsidRPr="00C27894" w:rsidRDefault="006C37C9" w:rsidP="00C27894">
      <w:pPr>
        <w:numPr>
          <w:ilvl w:val="0"/>
          <w:numId w:val="2"/>
        </w:numPr>
        <w:tabs>
          <w:tab w:val="left" w:pos="567"/>
          <w:tab w:val="num" w:pos="12305"/>
        </w:tabs>
        <w:ind w:left="0" w:firstLine="0"/>
        <w:rPr>
          <w:rFonts w:eastAsia="Verdana" w:cs="Verdana"/>
          <w:sz w:val="20"/>
          <w:szCs w:val="20"/>
        </w:rPr>
      </w:pPr>
      <w:r w:rsidRPr="0071582F">
        <w:rPr>
          <w:rFonts w:cs="Verdana"/>
          <w:i/>
          <w:snapToGrid w:val="0"/>
          <w:sz w:val="20"/>
          <w:szCs w:val="20"/>
          <w:lang w:eastAsia="es-ES"/>
        </w:rPr>
        <w:t>Deliberación</w:t>
      </w:r>
      <w:r w:rsidRPr="0071582F">
        <w:rPr>
          <w:rFonts w:cs="Verdana"/>
          <w:i/>
          <w:iCs/>
          <w:snapToGrid w:val="0"/>
          <w:sz w:val="20"/>
          <w:szCs w:val="20"/>
          <w:lang w:eastAsia="es-ES"/>
        </w:rPr>
        <w:t xml:space="preserve"> del presente caso. -</w:t>
      </w:r>
      <w:r w:rsidR="004D67BE">
        <w:rPr>
          <w:rFonts w:cs="Verdana"/>
          <w:i/>
          <w:iCs/>
          <w:snapToGrid w:val="0"/>
          <w:sz w:val="20"/>
          <w:szCs w:val="20"/>
          <w:lang w:eastAsia="es-ES"/>
        </w:rPr>
        <w:t xml:space="preserve"> </w:t>
      </w:r>
      <w:r w:rsidR="004D67BE" w:rsidRPr="000214BA">
        <w:rPr>
          <w:rFonts w:cs="Verdana"/>
          <w:iCs/>
          <w:snapToGrid w:val="0"/>
          <w:sz w:val="20"/>
          <w:szCs w:val="20"/>
          <w:lang w:val="es-ES_tradnl" w:eastAsia="es-ES"/>
        </w:rPr>
        <w:t xml:space="preserve">La Corte inició la deliberación de la presente Sentencia el </w:t>
      </w:r>
      <w:r w:rsidR="00C12427">
        <w:rPr>
          <w:rFonts w:cs="Verdana"/>
          <w:iCs/>
          <w:snapToGrid w:val="0"/>
          <w:sz w:val="20"/>
          <w:szCs w:val="20"/>
          <w:lang w:val="es-ES_tradnl" w:eastAsia="es-ES"/>
        </w:rPr>
        <w:t>5 de marzo</w:t>
      </w:r>
      <w:r w:rsidR="00094BE6">
        <w:rPr>
          <w:rFonts w:cs="Verdana"/>
          <w:iCs/>
          <w:snapToGrid w:val="0"/>
          <w:sz w:val="20"/>
          <w:szCs w:val="20"/>
          <w:lang w:val="es-ES_tradnl" w:eastAsia="es-ES"/>
        </w:rPr>
        <w:t xml:space="preserve"> de 2018. </w:t>
      </w:r>
    </w:p>
    <w:p w14:paraId="4A4B67AC" w14:textId="77777777" w:rsidR="006C37C9" w:rsidRPr="0071582F" w:rsidRDefault="006C37C9" w:rsidP="006B2A4D">
      <w:pPr>
        <w:pStyle w:val="Title"/>
      </w:pPr>
      <w:bookmarkStart w:id="26" w:name="_Toc470180034"/>
      <w:bookmarkStart w:id="27" w:name="_Toc513644442"/>
      <w:r w:rsidRPr="0071582F">
        <w:t>III</w:t>
      </w:r>
      <w:r w:rsidRPr="0071582F">
        <w:br/>
        <w:t>COMPETENCIA</w:t>
      </w:r>
      <w:bookmarkEnd w:id="26"/>
      <w:bookmarkEnd w:id="27"/>
    </w:p>
    <w:p w14:paraId="49D506C1" w14:textId="77777777" w:rsidR="006C37C9" w:rsidRPr="0071582F" w:rsidRDefault="006C37C9" w:rsidP="00F3026E"/>
    <w:p w14:paraId="0C70E8B7" w14:textId="77777777" w:rsidR="00342270" w:rsidRDefault="00FB4EEF" w:rsidP="00F3026E">
      <w:pPr>
        <w:numPr>
          <w:ilvl w:val="0"/>
          <w:numId w:val="2"/>
        </w:numPr>
        <w:tabs>
          <w:tab w:val="left" w:pos="567"/>
          <w:tab w:val="num" w:pos="12305"/>
        </w:tabs>
        <w:ind w:left="0" w:firstLine="0"/>
        <w:rPr>
          <w:sz w:val="20"/>
          <w:lang w:val="es-ES"/>
        </w:rPr>
      </w:pPr>
      <w:r w:rsidRPr="00FB4EEF">
        <w:rPr>
          <w:sz w:val="20"/>
          <w:lang w:val="es-ES"/>
        </w:rPr>
        <w:t xml:space="preserve">La Corte es competente para conocer del presente caso, en los términos del artículo 62.3 de la Convención, en razón de que Chile es Estado Parte de la Convención desde el 21 de agosto de 1990 y reconoció la competencia contenciosa de la Corte en esa misma fecha. </w:t>
      </w:r>
    </w:p>
    <w:p w14:paraId="629C7CB6" w14:textId="77777777" w:rsidR="00542AD4" w:rsidRDefault="00542AD4" w:rsidP="00C27894">
      <w:pPr>
        <w:tabs>
          <w:tab w:val="left" w:pos="567"/>
        </w:tabs>
        <w:rPr>
          <w:sz w:val="20"/>
          <w:lang w:val="es-ES"/>
        </w:rPr>
      </w:pPr>
    </w:p>
    <w:p w14:paraId="28692FDB" w14:textId="77777777" w:rsidR="00542AD4" w:rsidRDefault="00542AD4" w:rsidP="00542AD4">
      <w:pPr>
        <w:pStyle w:val="Title"/>
      </w:pPr>
      <w:bookmarkStart w:id="28" w:name="_Toc513644443"/>
      <w:r>
        <w:t>I</w:t>
      </w:r>
      <w:r w:rsidRPr="0001748B">
        <w:t>V</w:t>
      </w:r>
      <w:r w:rsidRPr="0001748B">
        <w:br/>
      </w:r>
      <w:r w:rsidRPr="00C27894">
        <w:t>RECONOCIMIENTO PARCIAL DE RESPONSABILIDAD INTERNACIONAL DEL ESTADO</w:t>
      </w:r>
      <w:bookmarkEnd w:id="28"/>
    </w:p>
    <w:p w14:paraId="665DA0F3" w14:textId="77777777" w:rsidR="00542AD4" w:rsidRPr="00F3026E" w:rsidRDefault="00542AD4" w:rsidP="00542AD4">
      <w:pPr>
        <w:rPr>
          <w:sz w:val="20"/>
          <w:szCs w:val="20"/>
        </w:rPr>
      </w:pPr>
    </w:p>
    <w:p w14:paraId="30F4738E" w14:textId="77777777" w:rsidR="00542AD4" w:rsidRPr="00225E59" w:rsidRDefault="00542AD4" w:rsidP="002726E0">
      <w:pPr>
        <w:pStyle w:val="Heading2"/>
        <w:numPr>
          <w:ilvl w:val="0"/>
          <w:numId w:val="9"/>
        </w:numPr>
      </w:pPr>
      <w:bookmarkStart w:id="29" w:name="_Toc513644444"/>
      <w:r>
        <w:t xml:space="preserve">Posiciones respecto del </w:t>
      </w:r>
      <w:r w:rsidRPr="00225E59">
        <w:t>Reconocimiento Parcial de responsabilidad del Estado</w:t>
      </w:r>
      <w:bookmarkEnd w:id="29"/>
      <w:r w:rsidRPr="00225E59">
        <w:t xml:space="preserve"> </w:t>
      </w:r>
    </w:p>
    <w:p w14:paraId="2D01C9EE" w14:textId="77777777" w:rsidR="00542AD4" w:rsidRPr="0001748B" w:rsidRDefault="00542AD4" w:rsidP="00542AD4">
      <w:pPr>
        <w:autoSpaceDE w:val="0"/>
        <w:autoSpaceDN w:val="0"/>
        <w:rPr>
          <w:rFonts w:eastAsia="Calibri" w:cs="Verdana"/>
          <w:snapToGrid w:val="0"/>
          <w:sz w:val="20"/>
          <w:szCs w:val="20"/>
          <w:lang w:eastAsia="es-ES"/>
        </w:rPr>
      </w:pPr>
    </w:p>
    <w:p w14:paraId="38AC83E8" w14:textId="0745116A" w:rsidR="00542AD4" w:rsidRPr="000214BA" w:rsidRDefault="00542AD4" w:rsidP="00542AD4">
      <w:pPr>
        <w:numPr>
          <w:ilvl w:val="0"/>
          <w:numId w:val="2"/>
        </w:numPr>
        <w:tabs>
          <w:tab w:val="left" w:pos="567"/>
          <w:tab w:val="num" w:pos="12305"/>
        </w:tabs>
        <w:ind w:left="0" w:firstLine="0"/>
        <w:rPr>
          <w:rFonts w:eastAsia="Batang"/>
          <w:sz w:val="20"/>
          <w:szCs w:val="20"/>
          <w:lang w:eastAsia="en-US"/>
        </w:rPr>
      </w:pPr>
      <w:r w:rsidRPr="0001748B">
        <w:rPr>
          <w:rFonts w:eastAsia="Batang"/>
          <w:sz w:val="20"/>
          <w:szCs w:val="20"/>
          <w:lang w:eastAsia="en-US"/>
        </w:rPr>
        <w:t xml:space="preserve">El </w:t>
      </w:r>
      <w:r w:rsidRPr="0001748B">
        <w:rPr>
          <w:rFonts w:eastAsia="Batang"/>
          <w:b/>
          <w:i/>
          <w:sz w:val="20"/>
          <w:szCs w:val="20"/>
          <w:lang w:eastAsia="en-US"/>
        </w:rPr>
        <w:t>Estado</w:t>
      </w:r>
      <w:r w:rsidRPr="0001748B">
        <w:rPr>
          <w:rFonts w:eastAsia="Batang"/>
          <w:sz w:val="20"/>
          <w:szCs w:val="20"/>
          <w:lang w:eastAsia="en-US"/>
        </w:rPr>
        <w:t xml:space="preserve"> </w:t>
      </w:r>
      <w:r>
        <w:rPr>
          <w:rFonts w:eastAsia="Batang"/>
          <w:sz w:val="20"/>
          <w:szCs w:val="20"/>
          <w:lang w:eastAsia="en-US"/>
        </w:rPr>
        <w:t>reconoció su responsabilidad internacional por la</w:t>
      </w:r>
      <w:r w:rsidRPr="004B73A1">
        <w:rPr>
          <w:rFonts w:eastAsia="Batang"/>
          <w:sz w:val="20"/>
          <w:szCs w:val="20"/>
          <w:lang w:eastAsia="en-US"/>
        </w:rPr>
        <w:t xml:space="preserve"> </w:t>
      </w:r>
      <w:r>
        <w:rPr>
          <w:rFonts w:eastAsia="Batang"/>
          <w:sz w:val="20"/>
          <w:szCs w:val="20"/>
          <w:lang w:eastAsia="en-US"/>
        </w:rPr>
        <w:t>“</w:t>
      </w:r>
      <w:r w:rsidRPr="004B73A1">
        <w:rPr>
          <w:rFonts w:eastAsia="Batang"/>
          <w:sz w:val="20"/>
          <w:szCs w:val="20"/>
          <w:lang w:eastAsia="en-US"/>
        </w:rPr>
        <w:t>afectación</w:t>
      </w:r>
      <w:r>
        <w:rPr>
          <w:rFonts w:eastAsia="Batang"/>
          <w:sz w:val="20"/>
          <w:szCs w:val="20"/>
          <w:lang w:eastAsia="en-US"/>
        </w:rPr>
        <w:t xml:space="preserve"> al derecho a la integridad </w:t>
      </w:r>
      <w:proofErr w:type="gramStart"/>
      <w:r>
        <w:rPr>
          <w:rFonts w:eastAsia="Batang"/>
          <w:sz w:val="20"/>
          <w:szCs w:val="20"/>
          <w:lang w:eastAsia="en-US"/>
        </w:rPr>
        <w:t>personal[</w:t>
      </w:r>
      <w:proofErr w:type="gramEnd"/>
      <w:r>
        <w:rPr>
          <w:rFonts w:eastAsia="Batang"/>
          <w:sz w:val="20"/>
          <w:szCs w:val="20"/>
          <w:lang w:eastAsia="en-US"/>
        </w:rPr>
        <w:t xml:space="preserve">, del] </w:t>
      </w:r>
      <w:r w:rsidRPr="004B73A1">
        <w:rPr>
          <w:rFonts w:eastAsia="Batang"/>
          <w:sz w:val="20"/>
          <w:szCs w:val="20"/>
          <w:lang w:eastAsia="en-US"/>
        </w:rPr>
        <w:t>artículo</w:t>
      </w:r>
      <w:r>
        <w:rPr>
          <w:rFonts w:eastAsia="Batang"/>
          <w:sz w:val="20"/>
          <w:szCs w:val="20"/>
          <w:lang w:eastAsia="en-US"/>
        </w:rPr>
        <w:t xml:space="preserve"> 5 [de la Convección Americana]</w:t>
      </w:r>
      <w:r w:rsidRPr="004B73A1">
        <w:rPr>
          <w:rFonts w:eastAsia="Batang"/>
          <w:sz w:val="20"/>
          <w:szCs w:val="20"/>
          <w:lang w:eastAsia="en-US"/>
        </w:rPr>
        <w:t xml:space="preserve">, integridad corporal[, del] </w:t>
      </w:r>
      <w:r w:rsidRPr="004B73A1">
        <w:rPr>
          <w:rFonts w:eastAsia="Batang"/>
          <w:sz w:val="20"/>
          <w:szCs w:val="20"/>
          <w:lang w:eastAsia="en-US"/>
        </w:rPr>
        <w:lastRenderedPageBreak/>
        <w:t>artículo 5 [</w:t>
      </w:r>
      <w:r>
        <w:rPr>
          <w:rFonts w:eastAsia="Batang"/>
          <w:sz w:val="20"/>
          <w:szCs w:val="20"/>
          <w:lang w:eastAsia="en-US"/>
        </w:rPr>
        <w:t>del mismo instrumento</w:t>
      </w:r>
      <w:r w:rsidRPr="004B73A1">
        <w:rPr>
          <w:rFonts w:eastAsia="Batang"/>
          <w:sz w:val="20"/>
          <w:szCs w:val="20"/>
          <w:lang w:eastAsia="en-US"/>
        </w:rPr>
        <w:t>]</w:t>
      </w:r>
      <w:r>
        <w:rPr>
          <w:rFonts w:eastAsia="Batang"/>
          <w:sz w:val="20"/>
          <w:szCs w:val="20"/>
          <w:lang w:eastAsia="en-US"/>
        </w:rPr>
        <w:t xml:space="preserve"> y el derecho a la salud, en relación al artículo 1.1 de la [Convención] en perjuicio del [señor] Vinicio Poblete”. </w:t>
      </w:r>
      <w:r w:rsidRPr="004B73A1">
        <w:rPr>
          <w:rFonts w:eastAsia="Batang"/>
          <w:sz w:val="20"/>
          <w:szCs w:val="20"/>
          <w:lang w:eastAsia="en-US"/>
        </w:rPr>
        <w:t xml:space="preserve">Sin embargo, el derecho a la vida del señor Vinicio Poblete, consagrado en el artículo 4 de la Convención, no fue reconocido por el Estado. Además, el Estado reconoció </w:t>
      </w:r>
      <w:r>
        <w:rPr>
          <w:rFonts w:eastAsia="Batang"/>
          <w:sz w:val="20"/>
          <w:szCs w:val="20"/>
          <w:lang w:eastAsia="en-US"/>
        </w:rPr>
        <w:t>“</w:t>
      </w:r>
      <w:r w:rsidRPr="004B73A1">
        <w:rPr>
          <w:rFonts w:eastAsia="Batang"/>
          <w:sz w:val="20"/>
          <w:szCs w:val="20"/>
          <w:lang w:eastAsia="en-US"/>
        </w:rPr>
        <w:t xml:space="preserve">la vulneración del derecho </w:t>
      </w:r>
      <w:r>
        <w:rPr>
          <w:rFonts w:eastAsia="Batang"/>
          <w:sz w:val="20"/>
          <w:szCs w:val="20"/>
          <w:lang w:eastAsia="en-US"/>
        </w:rPr>
        <w:t>al</w:t>
      </w:r>
      <w:r w:rsidRPr="004B73A1">
        <w:rPr>
          <w:rFonts w:eastAsia="Batang"/>
          <w:sz w:val="20"/>
          <w:szCs w:val="20"/>
          <w:lang w:eastAsia="en-US"/>
        </w:rPr>
        <w:t xml:space="preserve"> acceso a la información en materia de salud, establecido </w:t>
      </w:r>
      <w:r>
        <w:rPr>
          <w:rFonts w:eastAsia="Batang"/>
          <w:sz w:val="20"/>
          <w:szCs w:val="20"/>
          <w:lang w:eastAsia="en-US"/>
        </w:rPr>
        <w:t>[</w:t>
      </w:r>
      <w:r w:rsidRPr="004B73A1">
        <w:rPr>
          <w:rFonts w:eastAsia="Batang"/>
          <w:sz w:val="20"/>
          <w:szCs w:val="20"/>
          <w:lang w:eastAsia="en-US"/>
        </w:rPr>
        <w:t>en el artículo 13 de la Convención</w:t>
      </w:r>
      <w:r>
        <w:rPr>
          <w:rFonts w:eastAsia="Batang"/>
          <w:sz w:val="20"/>
          <w:szCs w:val="20"/>
          <w:lang w:eastAsia="en-US"/>
        </w:rPr>
        <w:t>]</w:t>
      </w:r>
      <w:r w:rsidRPr="004B73A1">
        <w:rPr>
          <w:rFonts w:eastAsia="Batang"/>
          <w:sz w:val="20"/>
          <w:szCs w:val="20"/>
          <w:lang w:eastAsia="en-US"/>
        </w:rPr>
        <w:t xml:space="preserve">, </w:t>
      </w:r>
      <w:r>
        <w:rPr>
          <w:rFonts w:eastAsia="Batang"/>
          <w:sz w:val="20"/>
          <w:szCs w:val="20"/>
          <w:lang w:eastAsia="en-US"/>
        </w:rPr>
        <w:t>en conexión con los derechos a la vida, integridad personal y salud</w:t>
      </w:r>
      <w:r w:rsidRPr="00AF53B6">
        <w:rPr>
          <w:rFonts w:eastAsia="Batang"/>
          <w:sz w:val="20"/>
          <w:szCs w:val="20"/>
          <w:lang w:eastAsia="en-US"/>
        </w:rPr>
        <w:t xml:space="preserve">, </w:t>
      </w:r>
      <w:r>
        <w:rPr>
          <w:rFonts w:eastAsia="Batang"/>
          <w:sz w:val="20"/>
          <w:szCs w:val="20"/>
          <w:lang w:eastAsia="en-US"/>
        </w:rPr>
        <w:t>[</w:t>
      </w:r>
      <w:r w:rsidRPr="00AF53B6">
        <w:rPr>
          <w:rFonts w:eastAsia="Batang"/>
          <w:sz w:val="20"/>
          <w:szCs w:val="20"/>
          <w:lang w:eastAsia="en-US"/>
        </w:rPr>
        <w:t>previstos en los artículos 4 y 5 de la Convención Americana</w:t>
      </w:r>
      <w:r>
        <w:rPr>
          <w:rFonts w:eastAsia="Batang"/>
          <w:sz w:val="20"/>
          <w:szCs w:val="20"/>
          <w:lang w:eastAsia="en-US"/>
        </w:rPr>
        <w:t>]</w:t>
      </w:r>
      <w:r w:rsidRPr="00AF53B6">
        <w:rPr>
          <w:rFonts w:eastAsia="Batang"/>
          <w:sz w:val="20"/>
          <w:szCs w:val="20"/>
          <w:lang w:eastAsia="en-US"/>
        </w:rPr>
        <w:t>, en relación con las obligaciones establecidas en los artículos 1.1 y 2 del mismo instrumento, en perjuicio de</w:t>
      </w:r>
      <w:r>
        <w:rPr>
          <w:rFonts w:eastAsia="Batang"/>
          <w:sz w:val="20"/>
          <w:szCs w:val="20"/>
          <w:lang w:eastAsia="en-US"/>
        </w:rPr>
        <w:t>l señor</w:t>
      </w:r>
      <w:r w:rsidRPr="00AF53B6">
        <w:rPr>
          <w:rFonts w:eastAsia="Batang"/>
          <w:sz w:val="20"/>
          <w:szCs w:val="20"/>
          <w:lang w:eastAsia="en-US"/>
        </w:rPr>
        <w:t xml:space="preserve"> Vinicio Antonio Poblete Vilches y sus familiares</w:t>
      </w:r>
      <w:r>
        <w:rPr>
          <w:rFonts w:eastAsia="Batang"/>
          <w:sz w:val="20"/>
          <w:szCs w:val="20"/>
          <w:lang w:eastAsia="en-US"/>
        </w:rPr>
        <w:t>”</w:t>
      </w:r>
      <w:r w:rsidRPr="00AF53B6">
        <w:rPr>
          <w:rFonts w:eastAsia="Batang"/>
          <w:sz w:val="20"/>
          <w:szCs w:val="20"/>
          <w:lang w:eastAsia="en-US"/>
        </w:rPr>
        <w:t xml:space="preserve">. </w:t>
      </w:r>
      <w:r>
        <w:rPr>
          <w:rFonts w:eastAsia="Batang"/>
          <w:sz w:val="20"/>
          <w:szCs w:val="20"/>
          <w:lang w:eastAsia="en-US"/>
        </w:rPr>
        <w:t>Asimismo,</w:t>
      </w:r>
      <w:r w:rsidRPr="00AF53B6">
        <w:rPr>
          <w:rFonts w:eastAsia="Batang"/>
          <w:sz w:val="20"/>
          <w:szCs w:val="20"/>
          <w:lang w:eastAsia="en-US"/>
        </w:rPr>
        <w:t xml:space="preserve"> reconoció </w:t>
      </w:r>
      <w:r w:rsidRPr="00AF53B6">
        <w:rPr>
          <w:rFonts w:eastAsia="Batang"/>
          <w:sz w:val="20"/>
          <w:lang w:eastAsia="en-US"/>
        </w:rPr>
        <w:t>en los términos previstos en los artículos 11 y 7 de la Convención Americana, la violación del derecho a la dignidad y autodeterminación del señor Vinicio Poblete Vilches</w:t>
      </w:r>
      <w:r>
        <w:rPr>
          <w:rFonts w:eastAsia="Batang"/>
          <w:sz w:val="20"/>
          <w:lang w:eastAsia="en-US"/>
        </w:rPr>
        <w:t>, pero no respecto de sus familiares</w:t>
      </w:r>
      <w:r w:rsidRPr="00AF53B6">
        <w:rPr>
          <w:rFonts w:eastAsia="Batang"/>
          <w:sz w:val="20"/>
          <w:lang w:eastAsia="en-US"/>
        </w:rPr>
        <w:t xml:space="preserve">. </w:t>
      </w:r>
      <w:r w:rsidRPr="00AF53B6">
        <w:rPr>
          <w:sz w:val="20"/>
          <w:szCs w:val="20"/>
        </w:rPr>
        <w:t xml:space="preserve">Por último, </w:t>
      </w:r>
      <w:r w:rsidRPr="00AF53B6">
        <w:rPr>
          <w:sz w:val="20"/>
          <w:szCs w:val="20"/>
          <w:lang w:val="es-ES"/>
        </w:rPr>
        <w:t>conforme a lo establecido en los artículos 8 y 25 de la C</w:t>
      </w:r>
      <w:r>
        <w:rPr>
          <w:sz w:val="20"/>
          <w:szCs w:val="20"/>
          <w:lang w:val="es-ES"/>
        </w:rPr>
        <w:t>onvención Americana,</w:t>
      </w:r>
      <w:r w:rsidRPr="00AF53B6">
        <w:rPr>
          <w:b/>
          <w:bCs/>
          <w:sz w:val="20"/>
          <w:szCs w:val="20"/>
          <w:lang w:val="es-ES"/>
        </w:rPr>
        <w:t xml:space="preserve"> </w:t>
      </w:r>
      <w:r w:rsidRPr="00AF53B6">
        <w:rPr>
          <w:bCs/>
          <w:sz w:val="20"/>
          <w:szCs w:val="20"/>
          <w:lang w:val="es-ES"/>
        </w:rPr>
        <w:t xml:space="preserve">el Estado </w:t>
      </w:r>
      <w:r w:rsidRPr="00AF53B6">
        <w:rPr>
          <w:sz w:val="20"/>
          <w:szCs w:val="20"/>
          <w:lang w:val="es-ES"/>
        </w:rPr>
        <w:t>reconoció responsabilidad en lo referente al incumplimiento de la obligación de desarrollar su actuación jurisdiccional dentro de un plazo razonable</w:t>
      </w:r>
      <w:r>
        <w:rPr>
          <w:sz w:val="20"/>
          <w:szCs w:val="20"/>
          <w:lang w:val="es-ES"/>
        </w:rPr>
        <w:t>, pero no respecto de la debida diligencia</w:t>
      </w:r>
      <w:r w:rsidRPr="00AF53B6">
        <w:rPr>
          <w:sz w:val="20"/>
          <w:szCs w:val="20"/>
          <w:lang w:val="es-ES"/>
        </w:rPr>
        <w:t>.</w:t>
      </w:r>
    </w:p>
    <w:p w14:paraId="4D4D29F5" w14:textId="77777777" w:rsidR="00542AD4" w:rsidRDefault="00542AD4" w:rsidP="00542AD4">
      <w:pPr>
        <w:tabs>
          <w:tab w:val="left" w:pos="567"/>
        </w:tabs>
        <w:rPr>
          <w:sz w:val="20"/>
          <w:szCs w:val="20"/>
          <w:lang w:val="es-ES"/>
        </w:rPr>
      </w:pPr>
    </w:p>
    <w:p w14:paraId="244F6B35" w14:textId="77777777" w:rsidR="00542AD4" w:rsidRDefault="00542AD4" w:rsidP="00542AD4">
      <w:pPr>
        <w:numPr>
          <w:ilvl w:val="0"/>
          <w:numId w:val="2"/>
        </w:numPr>
        <w:tabs>
          <w:tab w:val="left" w:pos="567"/>
          <w:tab w:val="num" w:pos="12305"/>
        </w:tabs>
        <w:ind w:left="0" w:firstLine="0"/>
        <w:rPr>
          <w:sz w:val="20"/>
          <w:szCs w:val="20"/>
          <w:lang w:val="es-ES"/>
        </w:rPr>
      </w:pPr>
      <w:r>
        <w:rPr>
          <w:sz w:val="20"/>
          <w:szCs w:val="20"/>
          <w:lang w:val="es-ES"/>
        </w:rPr>
        <w:t>El Estado consideró que los hechos que violaron los derechos del señor Poblete Vilches fueron los siguientes:</w:t>
      </w:r>
    </w:p>
    <w:p w14:paraId="15D08382" w14:textId="77777777" w:rsidR="00542AD4" w:rsidRPr="00DA4185" w:rsidRDefault="00542AD4" w:rsidP="00542AD4">
      <w:pPr>
        <w:tabs>
          <w:tab w:val="left" w:pos="567"/>
        </w:tabs>
        <w:rPr>
          <w:sz w:val="20"/>
          <w:szCs w:val="20"/>
          <w:lang w:val="es-ES"/>
        </w:rPr>
      </w:pPr>
    </w:p>
    <w:p w14:paraId="7B51CEFD" w14:textId="77777777" w:rsidR="00542AD4" w:rsidRDefault="00542AD4" w:rsidP="00542AD4">
      <w:pPr>
        <w:ind w:left="720" w:right="720"/>
        <w:rPr>
          <w:sz w:val="18"/>
          <w:szCs w:val="18"/>
          <w:lang w:val="es-ES" w:eastAsia="en-US"/>
        </w:rPr>
      </w:pPr>
      <w:r w:rsidRPr="000214BA">
        <w:rPr>
          <w:sz w:val="18"/>
          <w:szCs w:val="18"/>
          <w:lang w:val="es-ES" w:eastAsia="en-US"/>
        </w:rPr>
        <w:t xml:space="preserve">[L]a decisión de alta médica del Señor Vinicio Poblete [Vilches] constituyó un obstáculo en el acceso a condiciones que le </w:t>
      </w:r>
      <w:proofErr w:type="gramStart"/>
      <w:r w:rsidRPr="000214BA">
        <w:rPr>
          <w:sz w:val="18"/>
          <w:szCs w:val="18"/>
          <w:lang w:val="es-ES" w:eastAsia="en-US"/>
        </w:rPr>
        <w:t>garantiza[</w:t>
      </w:r>
      <w:proofErr w:type="spellStart"/>
      <w:proofErr w:type="gramEnd"/>
      <w:r w:rsidRPr="000214BA">
        <w:rPr>
          <w:sz w:val="18"/>
          <w:szCs w:val="18"/>
          <w:lang w:val="es-ES" w:eastAsia="en-US"/>
        </w:rPr>
        <w:t>ran</w:t>
      </w:r>
      <w:proofErr w:type="spellEnd"/>
      <w:r w:rsidRPr="000214BA">
        <w:rPr>
          <w:sz w:val="18"/>
          <w:szCs w:val="18"/>
          <w:lang w:val="es-ES" w:eastAsia="en-US"/>
        </w:rPr>
        <w:t xml:space="preserve">] su derecho a la integridad corporal y, además </w:t>
      </w:r>
      <w:r w:rsidRPr="00B1523A">
        <w:rPr>
          <w:sz w:val="18"/>
          <w:szCs w:val="18"/>
          <w:lang w:val="es-ES" w:eastAsia="en-US"/>
        </w:rPr>
        <w:t>a su salud</w:t>
      </w:r>
      <w:r w:rsidRPr="000214BA">
        <w:rPr>
          <w:sz w:val="18"/>
          <w:szCs w:val="18"/>
          <w:lang w:val="es-ES" w:eastAsia="en-US"/>
        </w:rPr>
        <w:t xml:space="preserve">. En efecto, esto fue así dado que el alta tuvo lugar aún </w:t>
      </w:r>
      <w:proofErr w:type="spellStart"/>
      <w:r w:rsidRPr="000214BA">
        <w:rPr>
          <w:sz w:val="18"/>
          <w:szCs w:val="18"/>
          <w:lang w:val="es-ES" w:eastAsia="en-US"/>
        </w:rPr>
        <w:t>cu</w:t>
      </w:r>
      <w:proofErr w:type="spellEnd"/>
      <w:r w:rsidRPr="000214BA">
        <w:rPr>
          <w:sz w:val="18"/>
          <w:szCs w:val="18"/>
          <w:lang w:val="es-ES" w:eastAsia="en-US"/>
        </w:rPr>
        <w:t>[a]</w:t>
      </w:r>
      <w:proofErr w:type="spellStart"/>
      <w:r w:rsidRPr="000214BA">
        <w:rPr>
          <w:sz w:val="18"/>
          <w:szCs w:val="18"/>
          <w:lang w:val="es-ES" w:eastAsia="en-US"/>
        </w:rPr>
        <w:t>ndo</w:t>
      </w:r>
      <w:proofErr w:type="spellEnd"/>
      <w:r w:rsidRPr="000214BA">
        <w:rPr>
          <w:sz w:val="18"/>
          <w:szCs w:val="18"/>
          <w:lang w:val="es-ES" w:eastAsia="en-US"/>
        </w:rPr>
        <w:t xml:space="preserve"> la información que constaba se </w:t>
      </w:r>
      <w:proofErr w:type="spellStart"/>
      <w:r w:rsidRPr="000214BA">
        <w:rPr>
          <w:sz w:val="18"/>
          <w:szCs w:val="18"/>
          <w:lang w:val="es-ES" w:eastAsia="en-US"/>
        </w:rPr>
        <w:t>desprend</w:t>
      </w:r>
      <w:proofErr w:type="spellEnd"/>
      <w:r w:rsidRPr="000214BA">
        <w:rPr>
          <w:sz w:val="18"/>
          <w:szCs w:val="18"/>
          <w:lang w:val="es-ES" w:eastAsia="en-US"/>
        </w:rPr>
        <w:t xml:space="preserve"> [</w:t>
      </w:r>
      <w:proofErr w:type="spellStart"/>
      <w:r w:rsidRPr="000214BA">
        <w:rPr>
          <w:sz w:val="18"/>
          <w:szCs w:val="18"/>
          <w:lang w:val="es-ES" w:eastAsia="en-US"/>
        </w:rPr>
        <w:t>ió</w:t>
      </w:r>
      <w:proofErr w:type="spellEnd"/>
      <w:r w:rsidRPr="000214BA">
        <w:rPr>
          <w:sz w:val="18"/>
          <w:szCs w:val="18"/>
          <w:lang w:val="es-ES" w:eastAsia="en-US"/>
        </w:rPr>
        <w:t xml:space="preserve">] que no era una medida pertinente. A lo anterior, se suma el hecho de que cuando </w:t>
      </w:r>
      <w:proofErr w:type="spellStart"/>
      <w:r w:rsidRPr="000214BA">
        <w:rPr>
          <w:sz w:val="18"/>
          <w:szCs w:val="18"/>
          <w:lang w:val="es-ES" w:eastAsia="en-US"/>
        </w:rPr>
        <w:t>el</w:t>
      </w:r>
      <w:proofErr w:type="spellEnd"/>
      <w:r w:rsidRPr="000214BA">
        <w:rPr>
          <w:sz w:val="18"/>
          <w:szCs w:val="18"/>
          <w:lang w:val="es-ES" w:eastAsia="en-US"/>
        </w:rPr>
        <w:t xml:space="preserve"> [señor] Vinicio Poblete reingresó al Hospital, no fue tratado en la Unidad de Cuidados Intensivos (UCI), a pesar que la misma ficha médica indicaba que era la Unidad adecuada para su debido tratamiento en razón de los síntomas que presentaba.</w:t>
      </w:r>
    </w:p>
    <w:p w14:paraId="0C7ECC08" w14:textId="77777777" w:rsidR="00542AD4" w:rsidRPr="000214BA" w:rsidRDefault="00542AD4" w:rsidP="00542AD4">
      <w:pPr>
        <w:ind w:left="720" w:right="720"/>
        <w:rPr>
          <w:sz w:val="18"/>
          <w:szCs w:val="18"/>
          <w:lang w:val="es-ES" w:eastAsia="en-US"/>
        </w:rPr>
      </w:pPr>
    </w:p>
    <w:p w14:paraId="7765F5A4" w14:textId="1645FA88" w:rsidR="00542AD4" w:rsidRDefault="00542AD4" w:rsidP="00542AD4">
      <w:pPr>
        <w:ind w:left="720" w:right="720"/>
        <w:rPr>
          <w:b/>
          <w:sz w:val="18"/>
          <w:szCs w:val="18"/>
          <w:lang w:val="es-ES" w:eastAsia="en-US"/>
        </w:rPr>
      </w:pPr>
      <w:r w:rsidRPr="000214BA">
        <w:rPr>
          <w:sz w:val="18"/>
          <w:szCs w:val="18"/>
          <w:lang w:val="es-ES" w:eastAsia="en-US"/>
        </w:rPr>
        <w:t xml:space="preserve">[E]l Estado de Chile </w:t>
      </w:r>
      <w:proofErr w:type="spellStart"/>
      <w:proofErr w:type="gramStart"/>
      <w:r w:rsidRPr="00C27894">
        <w:rPr>
          <w:sz w:val="18"/>
          <w:szCs w:val="18"/>
          <w:lang w:val="es-ES" w:eastAsia="en-US"/>
        </w:rPr>
        <w:t>entend</w:t>
      </w:r>
      <w:proofErr w:type="spellEnd"/>
      <w:r w:rsidRPr="00C27894">
        <w:rPr>
          <w:sz w:val="18"/>
          <w:szCs w:val="18"/>
          <w:lang w:val="es-ES" w:eastAsia="en-US"/>
        </w:rPr>
        <w:t>[</w:t>
      </w:r>
      <w:proofErr w:type="spellStart"/>
      <w:proofErr w:type="gramEnd"/>
      <w:r w:rsidR="004D2BDB" w:rsidRPr="00C27894">
        <w:rPr>
          <w:sz w:val="18"/>
          <w:szCs w:val="18"/>
          <w:lang w:val="es-ES" w:eastAsia="en-US"/>
        </w:rPr>
        <w:t>i</w:t>
      </w:r>
      <w:r w:rsidRPr="00C27894">
        <w:rPr>
          <w:sz w:val="18"/>
          <w:szCs w:val="18"/>
          <w:lang w:val="es-ES" w:eastAsia="en-US"/>
        </w:rPr>
        <w:t>ó</w:t>
      </w:r>
      <w:proofErr w:type="spellEnd"/>
      <w:r w:rsidRPr="00C27894">
        <w:rPr>
          <w:sz w:val="18"/>
          <w:szCs w:val="18"/>
          <w:lang w:val="es-ES" w:eastAsia="en-US"/>
        </w:rPr>
        <w:t>]</w:t>
      </w:r>
      <w:r w:rsidRPr="000214BA">
        <w:rPr>
          <w:sz w:val="18"/>
          <w:szCs w:val="18"/>
          <w:lang w:val="es-ES" w:eastAsia="en-US"/>
        </w:rPr>
        <w:t xml:space="preserve"> que, dada las circunstancias fácticas del presente caso, en especial la hospitalización en el Hospital </w:t>
      </w:r>
      <w:proofErr w:type="spellStart"/>
      <w:r w:rsidRPr="000214BA">
        <w:rPr>
          <w:sz w:val="18"/>
          <w:szCs w:val="18"/>
          <w:lang w:val="es-ES" w:eastAsia="en-US"/>
        </w:rPr>
        <w:t>Sótero</w:t>
      </w:r>
      <w:proofErr w:type="spellEnd"/>
      <w:r w:rsidRPr="000214BA">
        <w:rPr>
          <w:sz w:val="18"/>
          <w:szCs w:val="18"/>
          <w:lang w:val="es-ES" w:eastAsia="en-US"/>
        </w:rPr>
        <w:t xml:space="preserve"> del R[í]o, en una unidad de cuidado distinta de la recomendada en la ficha clínica, debido a la ausencia de camas y la falta de diligencias por parte del Estado para gestionar su traslado a otro centro de salud, </w:t>
      </w:r>
      <w:proofErr w:type="spellStart"/>
      <w:r w:rsidRPr="000214BA">
        <w:rPr>
          <w:sz w:val="18"/>
          <w:szCs w:val="18"/>
          <w:lang w:val="es-ES" w:eastAsia="en-US"/>
        </w:rPr>
        <w:t>implic</w:t>
      </w:r>
      <w:proofErr w:type="spellEnd"/>
      <w:r w:rsidRPr="000214BA">
        <w:rPr>
          <w:sz w:val="18"/>
          <w:szCs w:val="18"/>
          <w:lang w:val="es-ES" w:eastAsia="en-US"/>
        </w:rPr>
        <w:t>[</w:t>
      </w:r>
      <w:proofErr w:type="spellStart"/>
      <w:r w:rsidRPr="000214BA">
        <w:rPr>
          <w:sz w:val="18"/>
          <w:szCs w:val="18"/>
          <w:lang w:val="es-ES" w:eastAsia="en-US"/>
        </w:rPr>
        <w:t>ó</w:t>
      </w:r>
      <w:proofErr w:type="spellEnd"/>
      <w:r w:rsidRPr="000214BA">
        <w:rPr>
          <w:sz w:val="18"/>
          <w:szCs w:val="18"/>
          <w:lang w:val="es-ES" w:eastAsia="en-US"/>
        </w:rPr>
        <w:t xml:space="preserve">] vulneraciones al derecho a la integridad corporal en </w:t>
      </w:r>
      <w:r w:rsidRPr="00B1523A">
        <w:rPr>
          <w:sz w:val="18"/>
          <w:szCs w:val="18"/>
          <w:lang w:val="es-ES" w:eastAsia="en-US"/>
        </w:rPr>
        <w:t>relación al derecho a la salud</w:t>
      </w:r>
      <w:r w:rsidR="00C12427">
        <w:rPr>
          <w:sz w:val="18"/>
          <w:szCs w:val="18"/>
          <w:lang w:val="es-ES" w:eastAsia="en-US"/>
        </w:rPr>
        <w:t>.</w:t>
      </w:r>
    </w:p>
    <w:p w14:paraId="1D8D9143" w14:textId="77777777" w:rsidR="00542AD4" w:rsidRPr="000214BA" w:rsidRDefault="00542AD4" w:rsidP="00542AD4">
      <w:pPr>
        <w:ind w:left="720" w:right="720"/>
        <w:rPr>
          <w:b/>
          <w:sz w:val="18"/>
          <w:szCs w:val="18"/>
          <w:lang w:val="es-ES" w:eastAsia="en-US"/>
        </w:rPr>
      </w:pPr>
    </w:p>
    <w:p w14:paraId="5B0A7468" w14:textId="47C324ED" w:rsidR="00542AD4" w:rsidRPr="00E41031" w:rsidRDefault="00542AD4" w:rsidP="00542AD4">
      <w:pPr>
        <w:numPr>
          <w:ilvl w:val="0"/>
          <w:numId w:val="2"/>
        </w:numPr>
        <w:tabs>
          <w:tab w:val="left" w:pos="567"/>
        </w:tabs>
        <w:ind w:left="0" w:firstLine="0"/>
        <w:rPr>
          <w:rFonts w:eastAsia="Batang"/>
          <w:sz w:val="20"/>
          <w:szCs w:val="20"/>
          <w:lang w:eastAsia="en-US"/>
        </w:rPr>
      </w:pPr>
      <w:r w:rsidRPr="00E41031">
        <w:rPr>
          <w:rFonts w:eastAsia="Batang"/>
          <w:sz w:val="20"/>
          <w:szCs w:val="20"/>
          <w:lang w:eastAsia="en-US"/>
        </w:rPr>
        <w:t>El Estado también reconoció los siguientes hechos</w:t>
      </w:r>
      <w:r>
        <w:rPr>
          <w:rFonts w:eastAsia="Batang"/>
          <w:sz w:val="20"/>
          <w:szCs w:val="20"/>
          <w:lang w:eastAsia="en-US"/>
        </w:rPr>
        <w:t xml:space="preserve"> ante la Corte</w:t>
      </w:r>
      <w:r w:rsidRPr="00E41031">
        <w:rPr>
          <w:rFonts w:eastAsia="Batang"/>
          <w:sz w:val="20"/>
          <w:szCs w:val="20"/>
          <w:lang w:eastAsia="en-US"/>
        </w:rPr>
        <w:t>: “i) la presunta víctima se encontraba inconsciente al momento en que se decidiera su intervención quirúrgica y por ello, no estaba en condiciones de consentir ningún tipo de procedimiento; ii) los familiares no fueron debidamente informados del procedimiento que se le realizaría a la presunta víctima; iii) la única referencia a la existencia de un supuesto consentimiento por parte de la familia se encuentra en el expediente clínico, el cual a su vez, plantea dudas sobre la manera en que fue obtenido y su autenticidad; iv) de la historia clínica no resulta información o registro alguno que permita entender que el supuesto consentimiento informado fue brindado de acuerdo a los requisitos establecidos por el derecho internacional</w:t>
      </w:r>
      <w:r w:rsidR="008D1152">
        <w:rPr>
          <w:rFonts w:eastAsia="Batang"/>
          <w:sz w:val="20"/>
          <w:szCs w:val="20"/>
          <w:lang w:eastAsia="en-US"/>
        </w:rPr>
        <w:t>,</w:t>
      </w:r>
      <w:r w:rsidRPr="00E41031">
        <w:rPr>
          <w:rFonts w:eastAsia="Batang"/>
          <w:sz w:val="20"/>
          <w:szCs w:val="20"/>
          <w:lang w:eastAsia="en-US"/>
        </w:rPr>
        <w:t xml:space="preserve"> y v) en el expediente médico existen dudas sobre si los familiares comprendieron la situación en la que se encontraba l</w:t>
      </w:r>
      <w:r>
        <w:rPr>
          <w:rFonts w:eastAsia="Batang"/>
          <w:sz w:val="20"/>
          <w:szCs w:val="20"/>
          <w:lang w:eastAsia="en-US"/>
        </w:rPr>
        <w:t xml:space="preserve">a presunta víctima”. Respecto de las actuaciones de las autoridades judiciales, el Estado chileno reconoció que no fueron llevadas a cabo en un plazo razonable. </w:t>
      </w:r>
    </w:p>
    <w:p w14:paraId="3B20950B" w14:textId="77777777" w:rsidR="00542AD4" w:rsidRPr="00E41031" w:rsidRDefault="00542AD4" w:rsidP="00542AD4">
      <w:pPr>
        <w:autoSpaceDE w:val="0"/>
        <w:autoSpaceDN w:val="0"/>
        <w:rPr>
          <w:rFonts w:eastAsia="Batang"/>
          <w:sz w:val="20"/>
          <w:lang w:val="es-ES" w:eastAsia="en-US"/>
        </w:rPr>
      </w:pPr>
    </w:p>
    <w:p w14:paraId="7E5F9D84" w14:textId="246C7396" w:rsidR="005A65DF" w:rsidRDefault="00542AD4" w:rsidP="00B1523A">
      <w:pPr>
        <w:numPr>
          <w:ilvl w:val="0"/>
          <w:numId w:val="2"/>
        </w:numPr>
        <w:tabs>
          <w:tab w:val="left" w:pos="567"/>
          <w:tab w:val="num" w:pos="12305"/>
        </w:tabs>
        <w:autoSpaceDE w:val="0"/>
        <w:autoSpaceDN w:val="0"/>
        <w:ind w:left="0" w:firstLine="0"/>
        <w:rPr>
          <w:rFonts w:eastAsia="Calibri" w:cs="Verdana"/>
          <w:snapToGrid w:val="0"/>
          <w:sz w:val="20"/>
          <w:szCs w:val="20"/>
          <w:lang w:eastAsia="es-ES"/>
        </w:rPr>
      </w:pPr>
      <w:r w:rsidRPr="005A65DF">
        <w:rPr>
          <w:rFonts w:eastAsia="Calibri" w:cs="Verdana"/>
          <w:snapToGrid w:val="0"/>
          <w:sz w:val="20"/>
          <w:szCs w:val="20"/>
          <w:lang w:eastAsia="es-ES"/>
        </w:rPr>
        <w:t xml:space="preserve">Respecto a las reparaciones, el Estado no reconoció las reparaciones solicitadas por las </w:t>
      </w:r>
      <w:r w:rsidR="009A7BFF" w:rsidRPr="007143B1">
        <w:rPr>
          <w:rFonts w:eastAsia="Calibri" w:cs="Verdana"/>
          <w:snapToGrid w:val="0"/>
          <w:sz w:val="20"/>
          <w:szCs w:val="20"/>
          <w:lang w:eastAsia="es-ES"/>
        </w:rPr>
        <w:t>presunta</w:t>
      </w:r>
      <w:r w:rsidR="009A7BFF" w:rsidRPr="00A86D37">
        <w:rPr>
          <w:rFonts w:eastAsia="Calibri" w:cs="Verdana"/>
          <w:snapToGrid w:val="0"/>
          <w:sz w:val="20"/>
          <w:szCs w:val="20"/>
          <w:lang w:eastAsia="es-ES"/>
        </w:rPr>
        <w:t xml:space="preserve">s </w:t>
      </w:r>
      <w:r w:rsidRPr="00A82826">
        <w:rPr>
          <w:rFonts w:eastAsia="Calibri" w:cs="Verdana"/>
          <w:snapToGrid w:val="0"/>
          <w:sz w:val="20"/>
          <w:szCs w:val="20"/>
          <w:lang w:eastAsia="es-ES"/>
        </w:rPr>
        <w:t xml:space="preserve">víctimas, ya que consideró que las reparaciones estaban relacionadas con la violación al derecho a la vida. </w:t>
      </w:r>
      <w:r w:rsidRPr="00874307">
        <w:rPr>
          <w:rFonts w:eastAsia="Calibri" w:cs="Verdana"/>
          <w:snapToGrid w:val="0"/>
          <w:sz w:val="20"/>
          <w:szCs w:val="20"/>
          <w:lang w:eastAsia="es-ES"/>
        </w:rPr>
        <w:t>Sin embargo, el Estado solicitó a la Corte que a efectos de determinar las reparaciones que en estos aspectos sean procedentes, se to</w:t>
      </w:r>
      <w:r w:rsidRPr="007F108A">
        <w:rPr>
          <w:rFonts w:eastAsia="Calibri" w:cs="Verdana"/>
          <w:snapToGrid w:val="0"/>
          <w:sz w:val="20"/>
          <w:szCs w:val="20"/>
          <w:lang w:eastAsia="es-ES"/>
        </w:rPr>
        <w:t xml:space="preserve">men en consideración los planteamientos del Estado, prescindiendo de aquellos factores y consideraciones que no tienen relación con la comisión de un ilícito internacional o que carecen nexo causal entre la vulneración y el daño a reparar. </w:t>
      </w:r>
    </w:p>
    <w:p w14:paraId="3D3FB3A3" w14:textId="77777777" w:rsidR="00542AD4" w:rsidRPr="005A65DF" w:rsidRDefault="00542AD4" w:rsidP="00B1523A">
      <w:pPr>
        <w:tabs>
          <w:tab w:val="left" w:pos="567"/>
        </w:tabs>
        <w:autoSpaceDE w:val="0"/>
        <w:autoSpaceDN w:val="0"/>
        <w:rPr>
          <w:rFonts w:eastAsia="Calibri" w:cs="Verdana"/>
          <w:snapToGrid w:val="0"/>
          <w:sz w:val="20"/>
          <w:szCs w:val="20"/>
          <w:lang w:eastAsia="es-ES"/>
        </w:rPr>
      </w:pPr>
    </w:p>
    <w:p w14:paraId="4FDB498F" w14:textId="2FF849C6" w:rsidR="00542AD4" w:rsidRPr="00D935C5" w:rsidRDefault="00542AD4" w:rsidP="00542AD4">
      <w:pPr>
        <w:numPr>
          <w:ilvl w:val="0"/>
          <w:numId w:val="2"/>
        </w:numPr>
        <w:tabs>
          <w:tab w:val="left" w:pos="567"/>
          <w:tab w:val="num" w:pos="12305"/>
        </w:tabs>
        <w:ind w:left="0" w:firstLine="0"/>
        <w:rPr>
          <w:rFonts w:eastAsia="Batang"/>
          <w:sz w:val="20"/>
          <w:szCs w:val="20"/>
          <w:lang w:eastAsia="en-US"/>
        </w:rPr>
      </w:pPr>
      <w:r>
        <w:rPr>
          <w:rFonts w:eastAsia="Batang"/>
          <w:sz w:val="20"/>
          <w:szCs w:val="20"/>
          <w:lang w:eastAsia="en-US"/>
        </w:rPr>
        <w:t>En sus alegatos finales escritos, el Estado señaló que los puntos sobre los cuales no reconoce haber incurrido en responsabilidad internacional son que: “i) [l]</w:t>
      </w:r>
      <w:r w:rsidRPr="00F153BF">
        <w:rPr>
          <w:rFonts w:eastAsia="Batang"/>
          <w:sz w:val="20"/>
          <w:szCs w:val="20"/>
          <w:lang w:eastAsia="en-US"/>
        </w:rPr>
        <w:t xml:space="preserve">os tribunales chilenos </w:t>
      </w:r>
      <w:r w:rsidRPr="00F153BF">
        <w:rPr>
          <w:rFonts w:eastAsia="Batang"/>
          <w:sz w:val="20"/>
          <w:szCs w:val="20"/>
          <w:lang w:eastAsia="en-US"/>
        </w:rPr>
        <w:lastRenderedPageBreak/>
        <w:t>llevaron a cabo una investigación sustantiva sobre los hechos</w:t>
      </w:r>
      <w:r>
        <w:rPr>
          <w:rFonts w:eastAsia="Batang"/>
          <w:sz w:val="20"/>
          <w:szCs w:val="20"/>
          <w:lang w:eastAsia="en-US"/>
        </w:rPr>
        <w:t xml:space="preserve"> </w:t>
      </w:r>
      <w:r w:rsidRPr="00F153BF">
        <w:rPr>
          <w:rFonts w:eastAsia="Batang"/>
          <w:sz w:val="20"/>
          <w:szCs w:val="20"/>
          <w:lang w:eastAsia="en-US"/>
        </w:rPr>
        <w:t>que dan lugar a esta causa, cumpliendo con el estándar internacional de debida</w:t>
      </w:r>
      <w:r>
        <w:rPr>
          <w:rFonts w:eastAsia="Batang"/>
          <w:sz w:val="20"/>
          <w:szCs w:val="20"/>
          <w:lang w:eastAsia="en-US"/>
        </w:rPr>
        <w:t xml:space="preserve"> </w:t>
      </w:r>
      <w:r w:rsidRPr="00F153BF">
        <w:rPr>
          <w:rFonts w:eastAsia="Batang"/>
          <w:sz w:val="20"/>
          <w:szCs w:val="20"/>
          <w:lang w:eastAsia="en-US"/>
        </w:rPr>
        <w:t>diligencia;</w:t>
      </w:r>
      <w:r>
        <w:rPr>
          <w:rFonts w:eastAsia="Batang"/>
          <w:sz w:val="20"/>
          <w:szCs w:val="20"/>
          <w:lang w:eastAsia="en-US"/>
        </w:rPr>
        <w:t xml:space="preserve"> ii) [d]</w:t>
      </w:r>
      <w:r w:rsidRPr="00F153BF">
        <w:rPr>
          <w:rFonts w:eastAsia="Batang"/>
          <w:sz w:val="20"/>
          <w:szCs w:val="20"/>
          <w:lang w:eastAsia="en-US"/>
        </w:rPr>
        <w:t>e los hechos de la causa no se puede identificar, de acuerdo a los estándares fijados</w:t>
      </w:r>
      <w:r>
        <w:rPr>
          <w:rFonts w:eastAsia="Batang"/>
          <w:sz w:val="20"/>
          <w:szCs w:val="20"/>
          <w:lang w:eastAsia="en-US"/>
        </w:rPr>
        <w:t xml:space="preserve"> </w:t>
      </w:r>
      <w:r w:rsidRPr="00F153BF">
        <w:rPr>
          <w:rFonts w:eastAsia="Batang"/>
          <w:sz w:val="20"/>
          <w:szCs w:val="20"/>
          <w:lang w:eastAsia="en-US"/>
        </w:rPr>
        <w:t>por esta misma Corte, vulneración al derecho a ser juzgado por un tribunal imparcial,</w:t>
      </w:r>
      <w:r>
        <w:rPr>
          <w:rFonts w:eastAsia="Batang"/>
          <w:sz w:val="20"/>
          <w:szCs w:val="20"/>
          <w:lang w:eastAsia="en-US"/>
        </w:rPr>
        <w:t xml:space="preserve"> </w:t>
      </w:r>
      <w:r w:rsidRPr="00F153BF">
        <w:rPr>
          <w:rFonts w:eastAsia="Batang"/>
          <w:sz w:val="20"/>
          <w:szCs w:val="20"/>
          <w:lang w:eastAsia="en-US"/>
        </w:rPr>
        <w:t>ya sea en su variante subjetiva como objetiva;</w:t>
      </w:r>
      <w:r>
        <w:rPr>
          <w:rFonts w:eastAsia="Batang"/>
          <w:sz w:val="20"/>
          <w:szCs w:val="20"/>
          <w:lang w:eastAsia="en-US"/>
        </w:rPr>
        <w:t xml:space="preserve"> iii) [n]</w:t>
      </w:r>
      <w:r w:rsidRPr="00F153BF">
        <w:rPr>
          <w:rFonts w:eastAsia="Batang"/>
          <w:sz w:val="20"/>
          <w:szCs w:val="20"/>
          <w:lang w:eastAsia="en-US"/>
        </w:rPr>
        <w:t xml:space="preserve">o se puede imputar el fallecimiento del </w:t>
      </w:r>
      <w:r>
        <w:rPr>
          <w:rFonts w:eastAsia="Batang"/>
          <w:sz w:val="20"/>
          <w:szCs w:val="20"/>
          <w:lang w:eastAsia="en-US"/>
        </w:rPr>
        <w:t>señor</w:t>
      </w:r>
      <w:r w:rsidRPr="00F153BF">
        <w:rPr>
          <w:rFonts w:eastAsia="Batang"/>
          <w:sz w:val="20"/>
          <w:szCs w:val="20"/>
          <w:lang w:eastAsia="en-US"/>
        </w:rPr>
        <w:t xml:space="preserve"> Poblete Vilches al Estado de Chile, por</w:t>
      </w:r>
      <w:r>
        <w:rPr>
          <w:rFonts w:eastAsia="Batang"/>
          <w:sz w:val="20"/>
          <w:szCs w:val="20"/>
          <w:lang w:eastAsia="en-US"/>
        </w:rPr>
        <w:t xml:space="preserve"> </w:t>
      </w:r>
      <w:r w:rsidRPr="00F153BF">
        <w:rPr>
          <w:rFonts w:eastAsia="Batang"/>
          <w:sz w:val="20"/>
          <w:szCs w:val="20"/>
          <w:lang w:eastAsia="en-US"/>
        </w:rPr>
        <w:t>cuanto su muerte es atribu</w:t>
      </w:r>
      <w:r>
        <w:rPr>
          <w:rFonts w:eastAsia="Batang"/>
          <w:sz w:val="20"/>
          <w:szCs w:val="20"/>
          <w:lang w:eastAsia="en-US"/>
        </w:rPr>
        <w:t>ible a su grave estado de salud; iv) [q]</w:t>
      </w:r>
      <w:proofErr w:type="spellStart"/>
      <w:r w:rsidRPr="00F153BF">
        <w:rPr>
          <w:rFonts w:eastAsia="Batang"/>
          <w:sz w:val="20"/>
          <w:szCs w:val="20"/>
          <w:lang w:eastAsia="en-US"/>
        </w:rPr>
        <w:t>ue</w:t>
      </w:r>
      <w:proofErr w:type="spellEnd"/>
      <w:r w:rsidRPr="00F153BF">
        <w:rPr>
          <w:rFonts w:eastAsia="Batang"/>
          <w:sz w:val="20"/>
          <w:szCs w:val="20"/>
          <w:lang w:eastAsia="en-US"/>
        </w:rPr>
        <w:t xml:space="preserve"> Chile, a la luz del artículo 26 de la Convención, sí ha adoptado diversas medidas</w:t>
      </w:r>
      <w:r>
        <w:rPr>
          <w:rFonts w:eastAsia="Batang"/>
          <w:sz w:val="20"/>
          <w:szCs w:val="20"/>
          <w:lang w:eastAsia="en-US"/>
        </w:rPr>
        <w:t xml:space="preserve"> </w:t>
      </w:r>
      <w:r w:rsidRPr="00F153BF">
        <w:rPr>
          <w:rFonts w:eastAsia="Batang"/>
          <w:sz w:val="20"/>
          <w:szCs w:val="20"/>
          <w:lang w:eastAsia="en-US"/>
        </w:rPr>
        <w:t>para garantizar el desarrollo progresivo de los derechos económicos, sociales y</w:t>
      </w:r>
      <w:r>
        <w:rPr>
          <w:rFonts w:eastAsia="Batang"/>
          <w:sz w:val="20"/>
          <w:szCs w:val="20"/>
          <w:lang w:eastAsia="en-US"/>
        </w:rPr>
        <w:t xml:space="preserve"> </w:t>
      </w:r>
      <w:r w:rsidRPr="00F153BF">
        <w:rPr>
          <w:rFonts w:eastAsia="Batang"/>
          <w:sz w:val="20"/>
          <w:szCs w:val="20"/>
          <w:lang w:eastAsia="en-US"/>
        </w:rPr>
        <w:t>culturales, en</w:t>
      </w:r>
      <w:r>
        <w:rPr>
          <w:rFonts w:eastAsia="Batang"/>
          <w:sz w:val="20"/>
          <w:szCs w:val="20"/>
          <w:lang w:eastAsia="en-US"/>
        </w:rPr>
        <w:t>tre ellos el derecho a la salud; v) [r]</w:t>
      </w:r>
      <w:proofErr w:type="spellStart"/>
      <w:r w:rsidRPr="00F153BF">
        <w:rPr>
          <w:rFonts w:eastAsia="Batang"/>
          <w:sz w:val="20"/>
          <w:szCs w:val="20"/>
          <w:lang w:eastAsia="en-US"/>
        </w:rPr>
        <w:t>especto</w:t>
      </w:r>
      <w:proofErr w:type="spellEnd"/>
      <w:r w:rsidRPr="00F153BF">
        <w:rPr>
          <w:rFonts w:eastAsia="Batang"/>
          <w:sz w:val="20"/>
          <w:szCs w:val="20"/>
          <w:lang w:eastAsia="en-US"/>
        </w:rPr>
        <w:t xml:space="preserve"> a los familiares, el Estado no es responsable internacionalmente ni por la</w:t>
      </w:r>
      <w:r>
        <w:rPr>
          <w:rFonts w:eastAsia="Batang"/>
          <w:sz w:val="20"/>
          <w:szCs w:val="20"/>
          <w:lang w:eastAsia="en-US"/>
        </w:rPr>
        <w:t xml:space="preserve"> </w:t>
      </w:r>
      <w:r w:rsidRPr="00F153BF">
        <w:rPr>
          <w:rFonts w:eastAsia="Batang"/>
          <w:sz w:val="20"/>
          <w:szCs w:val="20"/>
          <w:lang w:eastAsia="en-US"/>
        </w:rPr>
        <w:t>supuesta vulneración a su integridad personal ni al derecho a la dignidad y</w:t>
      </w:r>
      <w:r>
        <w:rPr>
          <w:rFonts w:eastAsia="Batang"/>
          <w:sz w:val="20"/>
          <w:szCs w:val="20"/>
          <w:lang w:eastAsia="en-US"/>
        </w:rPr>
        <w:t xml:space="preserve"> </w:t>
      </w:r>
      <w:r w:rsidRPr="00F153BF">
        <w:rPr>
          <w:rFonts w:eastAsia="Batang"/>
          <w:sz w:val="20"/>
          <w:szCs w:val="20"/>
          <w:lang w:eastAsia="en-US"/>
        </w:rPr>
        <w:t>autodeterminación en relación al derecho a tomar decisiones libres en materia de</w:t>
      </w:r>
      <w:r>
        <w:rPr>
          <w:rFonts w:eastAsia="Batang"/>
          <w:sz w:val="20"/>
          <w:szCs w:val="20"/>
          <w:lang w:eastAsia="en-US"/>
        </w:rPr>
        <w:t xml:space="preserve"> </w:t>
      </w:r>
      <w:r w:rsidRPr="00F153BF">
        <w:rPr>
          <w:rFonts w:eastAsia="Batang"/>
          <w:sz w:val="20"/>
          <w:szCs w:val="20"/>
          <w:lang w:eastAsia="en-US"/>
        </w:rPr>
        <w:t>salud en referencia al derecho al consentimiento informado</w:t>
      </w:r>
      <w:r>
        <w:rPr>
          <w:rFonts w:eastAsia="Batang"/>
          <w:sz w:val="20"/>
          <w:szCs w:val="20"/>
          <w:lang w:eastAsia="en-US"/>
        </w:rPr>
        <w:t>”</w:t>
      </w:r>
      <w:r w:rsidRPr="00F153BF">
        <w:rPr>
          <w:rFonts w:eastAsia="Batang"/>
          <w:sz w:val="20"/>
          <w:szCs w:val="20"/>
          <w:lang w:eastAsia="en-US"/>
        </w:rPr>
        <w:t>.</w:t>
      </w:r>
      <w:r>
        <w:rPr>
          <w:rFonts w:eastAsia="Batang"/>
          <w:sz w:val="20"/>
          <w:szCs w:val="20"/>
          <w:lang w:eastAsia="en-US"/>
        </w:rPr>
        <w:t xml:space="preserve"> </w:t>
      </w:r>
    </w:p>
    <w:p w14:paraId="2AA1C885" w14:textId="77777777" w:rsidR="00542AD4" w:rsidRPr="0001748B" w:rsidRDefault="00542AD4" w:rsidP="00542AD4">
      <w:pPr>
        <w:autoSpaceDE w:val="0"/>
        <w:autoSpaceDN w:val="0"/>
        <w:rPr>
          <w:rFonts w:eastAsia="Batang"/>
          <w:sz w:val="20"/>
          <w:lang w:eastAsia="en-US"/>
        </w:rPr>
      </w:pPr>
    </w:p>
    <w:p w14:paraId="1B965A6E" w14:textId="3400C97A" w:rsidR="00542AD4" w:rsidRPr="009B5F5A" w:rsidRDefault="00542AD4" w:rsidP="00542AD4">
      <w:pPr>
        <w:numPr>
          <w:ilvl w:val="0"/>
          <w:numId w:val="2"/>
        </w:numPr>
        <w:tabs>
          <w:tab w:val="left" w:pos="567"/>
          <w:tab w:val="num" w:pos="1569"/>
          <w:tab w:val="num" w:pos="12305"/>
        </w:tabs>
        <w:ind w:left="0" w:firstLine="0"/>
        <w:rPr>
          <w:rFonts w:eastAsia="Calibri" w:cs="Verdana"/>
          <w:snapToGrid w:val="0"/>
          <w:sz w:val="20"/>
          <w:szCs w:val="20"/>
          <w:lang w:eastAsia="es-ES"/>
        </w:rPr>
      </w:pPr>
      <w:r w:rsidRPr="0001748B">
        <w:rPr>
          <w:rFonts w:eastAsia="Calibri" w:cs="Verdana"/>
          <w:snapToGrid w:val="0"/>
          <w:sz w:val="20"/>
          <w:szCs w:val="20"/>
          <w:lang w:eastAsia="es-ES"/>
        </w:rPr>
        <w:t xml:space="preserve">La </w:t>
      </w:r>
      <w:r w:rsidRPr="0001748B">
        <w:rPr>
          <w:rFonts w:eastAsia="Calibri" w:cs="Verdana"/>
          <w:b/>
          <w:i/>
          <w:snapToGrid w:val="0"/>
          <w:sz w:val="20"/>
          <w:szCs w:val="20"/>
          <w:lang w:eastAsia="es-ES"/>
        </w:rPr>
        <w:t>Comisión</w:t>
      </w:r>
      <w:r w:rsidRPr="0001748B">
        <w:rPr>
          <w:rFonts w:eastAsia="Calibri" w:cs="Verdana"/>
          <w:snapToGrid w:val="0"/>
          <w:sz w:val="20"/>
          <w:szCs w:val="20"/>
          <w:lang w:eastAsia="es-ES"/>
        </w:rPr>
        <w:t xml:space="preserve"> </w:t>
      </w:r>
      <w:r>
        <w:rPr>
          <w:rFonts w:eastAsia="Calibri" w:cs="Verdana"/>
          <w:snapToGrid w:val="0"/>
          <w:sz w:val="20"/>
          <w:szCs w:val="20"/>
          <w:lang w:eastAsia="es-ES"/>
        </w:rPr>
        <w:t xml:space="preserve">valoró positivamente </w:t>
      </w:r>
      <w:r w:rsidRPr="0001748B">
        <w:rPr>
          <w:rFonts w:eastAsia="Calibri" w:cs="Verdana"/>
          <w:snapToGrid w:val="0"/>
          <w:sz w:val="20"/>
          <w:szCs w:val="20"/>
          <w:lang w:eastAsia="es-ES"/>
        </w:rPr>
        <w:t xml:space="preserve">el reconocimiento de responsabilidad formulado por el Estado de </w:t>
      </w:r>
      <w:r>
        <w:rPr>
          <w:rFonts w:eastAsia="Calibri" w:cs="Verdana"/>
          <w:snapToGrid w:val="0"/>
          <w:sz w:val="20"/>
          <w:szCs w:val="20"/>
          <w:lang w:eastAsia="es-ES"/>
        </w:rPr>
        <w:t>Chile</w:t>
      </w:r>
      <w:r w:rsidRPr="0001748B">
        <w:rPr>
          <w:rFonts w:eastAsia="Calibri" w:cs="Verdana"/>
          <w:snapToGrid w:val="0"/>
          <w:sz w:val="20"/>
          <w:szCs w:val="20"/>
          <w:lang w:eastAsia="es-ES"/>
        </w:rPr>
        <w:t xml:space="preserve">, en relación con: i) </w:t>
      </w:r>
      <w:r>
        <w:rPr>
          <w:rFonts w:eastAsia="Calibri" w:cs="Verdana"/>
          <w:snapToGrid w:val="0"/>
          <w:sz w:val="20"/>
          <w:szCs w:val="20"/>
          <w:lang w:eastAsia="es-ES"/>
        </w:rPr>
        <w:t>los hechos relativos al alta médica y la falta de atención médica adecuada durante el reingreso al hospital</w:t>
      </w:r>
      <w:r w:rsidRPr="0001748B">
        <w:rPr>
          <w:rFonts w:eastAsia="Calibri" w:cs="Verdana"/>
          <w:snapToGrid w:val="0"/>
          <w:sz w:val="20"/>
          <w:szCs w:val="20"/>
          <w:lang w:eastAsia="es-ES"/>
        </w:rPr>
        <w:t xml:space="preserve">; ii) la violación de los derechos </w:t>
      </w:r>
      <w:r>
        <w:rPr>
          <w:rFonts w:eastAsia="Calibri" w:cs="Verdana"/>
          <w:snapToGrid w:val="0"/>
          <w:sz w:val="20"/>
          <w:szCs w:val="20"/>
          <w:lang w:eastAsia="es-ES"/>
        </w:rPr>
        <w:t>de acceso a la información en materia de salud</w:t>
      </w:r>
      <w:r w:rsidRPr="0001748B">
        <w:rPr>
          <w:rFonts w:eastAsia="Calibri" w:cs="Verdana"/>
          <w:snapToGrid w:val="0"/>
          <w:sz w:val="20"/>
          <w:szCs w:val="20"/>
          <w:lang w:eastAsia="es-ES"/>
        </w:rPr>
        <w:t xml:space="preserve">, </w:t>
      </w:r>
      <w:r>
        <w:rPr>
          <w:rFonts w:eastAsia="Calibri" w:cs="Verdana"/>
          <w:snapToGrid w:val="0"/>
          <w:sz w:val="20"/>
          <w:szCs w:val="20"/>
          <w:lang w:eastAsia="es-ES"/>
        </w:rPr>
        <w:t>en relación con</w:t>
      </w:r>
      <w:r w:rsidRPr="0001748B">
        <w:rPr>
          <w:rFonts w:eastAsia="Calibri" w:cs="Verdana"/>
          <w:snapToGrid w:val="0"/>
          <w:sz w:val="20"/>
          <w:szCs w:val="20"/>
          <w:lang w:eastAsia="es-ES"/>
        </w:rPr>
        <w:t xml:space="preserve"> los artículos </w:t>
      </w:r>
      <w:r>
        <w:rPr>
          <w:rFonts w:eastAsia="Calibri" w:cs="Verdana"/>
          <w:snapToGrid w:val="0"/>
          <w:sz w:val="20"/>
          <w:szCs w:val="20"/>
          <w:lang w:eastAsia="es-ES"/>
        </w:rPr>
        <w:t>4, 5</w:t>
      </w:r>
      <w:r w:rsidRPr="0001748B">
        <w:rPr>
          <w:rFonts w:eastAsia="Calibri" w:cs="Verdana"/>
          <w:snapToGrid w:val="0"/>
          <w:sz w:val="20"/>
          <w:szCs w:val="20"/>
          <w:lang w:eastAsia="es-ES"/>
        </w:rPr>
        <w:t xml:space="preserve"> y </w:t>
      </w:r>
      <w:r>
        <w:rPr>
          <w:rFonts w:eastAsia="Calibri" w:cs="Verdana"/>
          <w:snapToGrid w:val="0"/>
          <w:sz w:val="20"/>
          <w:szCs w:val="20"/>
          <w:lang w:eastAsia="es-ES"/>
        </w:rPr>
        <w:t>13</w:t>
      </w:r>
      <w:r w:rsidRPr="0001748B">
        <w:rPr>
          <w:rFonts w:eastAsia="Calibri" w:cs="Verdana"/>
          <w:snapToGrid w:val="0"/>
          <w:sz w:val="20"/>
          <w:szCs w:val="20"/>
          <w:lang w:eastAsia="es-ES"/>
        </w:rPr>
        <w:t xml:space="preserve"> de la Convención Americana</w:t>
      </w:r>
      <w:r>
        <w:rPr>
          <w:rFonts w:eastAsia="Calibri" w:cs="Verdana"/>
          <w:snapToGrid w:val="0"/>
          <w:sz w:val="20"/>
          <w:szCs w:val="20"/>
          <w:lang w:eastAsia="es-ES"/>
        </w:rPr>
        <w:t xml:space="preserve"> y las obligaciones establecidas en los artículos 1.1 y 2 de dicho instrumento</w:t>
      </w:r>
      <w:r w:rsidRPr="0001748B">
        <w:rPr>
          <w:rFonts w:eastAsia="Calibri" w:cs="Verdana"/>
          <w:snapToGrid w:val="0"/>
          <w:sz w:val="20"/>
          <w:szCs w:val="20"/>
          <w:lang w:eastAsia="es-ES"/>
        </w:rPr>
        <w:t xml:space="preserve">, </w:t>
      </w:r>
      <w:r>
        <w:rPr>
          <w:rFonts w:eastAsia="Calibri" w:cs="Verdana"/>
          <w:snapToGrid w:val="0"/>
          <w:sz w:val="20"/>
          <w:szCs w:val="20"/>
          <w:lang w:eastAsia="es-ES"/>
        </w:rPr>
        <w:t xml:space="preserve">en perjuicio del señor Vinicio Poblete Vilches y sus familiares, así como los hechos vinculados a dicha afectación. </w:t>
      </w:r>
    </w:p>
    <w:p w14:paraId="7217E5B4" w14:textId="77777777" w:rsidR="00542AD4" w:rsidRPr="009B5F5A" w:rsidRDefault="00542AD4" w:rsidP="00542AD4">
      <w:pPr>
        <w:tabs>
          <w:tab w:val="left" w:pos="567"/>
        </w:tabs>
        <w:rPr>
          <w:rFonts w:eastAsia="Calibri" w:cs="Verdana"/>
          <w:snapToGrid w:val="0"/>
          <w:sz w:val="20"/>
          <w:szCs w:val="20"/>
          <w:lang w:eastAsia="es-ES"/>
        </w:rPr>
      </w:pPr>
    </w:p>
    <w:p w14:paraId="19D42FFE" w14:textId="4F1BE63F" w:rsidR="00542AD4" w:rsidRPr="009B5F5A" w:rsidRDefault="00542AD4" w:rsidP="00542AD4">
      <w:pPr>
        <w:numPr>
          <w:ilvl w:val="0"/>
          <w:numId w:val="2"/>
        </w:numPr>
        <w:tabs>
          <w:tab w:val="left" w:pos="567"/>
          <w:tab w:val="num" w:pos="1569"/>
          <w:tab w:val="num" w:pos="12305"/>
        </w:tabs>
        <w:ind w:left="0" w:firstLine="0"/>
        <w:rPr>
          <w:rFonts w:eastAsia="Calibri" w:cs="Verdana"/>
          <w:snapToGrid w:val="0"/>
          <w:sz w:val="20"/>
          <w:szCs w:val="20"/>
          <w:lang w:eastAsia="es-ES"/>
        </w:rPr>
      </w:pPr>
      <w:r>
        <w:rPr>
          <w:rFonts w:eastAsia="Calibri" w:cs="Verdana"/>
          <w:snapToGrid w:val="0"/>
          <w:sz w:val="20"/>
          <w:szCs w:val="20"/>
          <w:lang w:eastAsia="es-ES"/>
        </w:rPr>
        <w:t xml:space="preserve">Sin embargo, la Comisión consideró que se mantiene controversia respecto de las violaciones a los familiares del </w:t>
      </w:r>
      <w:r w:rsidRPr="008359D7">
        <w:rPr>
          <w:rFonts w:eastAsia="Calibri" w:cs="Verdana"/>
          <w:snapToGrid w:val="0"/>
          <w:sz w:val="20"/>
          <w:szCs w:val="20"/>
          <w:lang w:val="es-ES" w:eastAsia="es-ES"/>
        </w:rPr>
        <w:t>señor Poblete Vilches conforme a los artículos 8, 25 y 5 de la C</w:t>
      </w:r>
      <w:r>
        <w:rPr>
          <w:rFonts w:eastAsia="Calibri" w:cs="Verdana"/>
          <w:snapToGrid w:val="0"/>
          <w:sz w:val="20"/>
          <w:szCs w:val="20"/>
          <w:lang w:val="es-ES" w:eastAsia="es-ES"/>
        </w:rPr>
        <w:t>onvención Americana, en lo relativo a la denegación de justicia</w:t>
      </w:r>
      <w:r w:rsidRPr="008359D7">
        <w:rPr>
          <w:rFonts w:eastAsia="Calibri" w:cs="Verdana"/>
          <w:snapToGrid w:val="0"/>
          <w:sz w:val="20"/>
          <w:szCs w:val="20"/>
          <w:lang w:val="es-ES" w:eastAsia="es-ES"/>
        </w:rPr>
        <w:t xml:space="preserve">. </w:t>
      </w:r>
      <w:r>
        <w:rPr>
          <w:rFonts w:eastAsia="Calibri" w:cs="Verdana"/>
          <w:snapToGrid w:val="0"/>
          <w:sz w:val="20"/>
          <w:szCs w:val="20"/>
          <w:lang w:val="es-ES" w:eastAsia="es-ES"/>
        </w:rPr>
        <w:t>Respecto de</w:t>
      </w:r>
      <w:r w:rsidRPr="008359D7">
        <w:rPr>
          <w:rFonts w:eastAsia="Calibri" w:cs="Verdana"/>
          <w:snapToGrid w:val="0"/>
          <w:sz w:val="20"/>
          <w:szCs w:val="20"/>
          <w:lang w:val="es-ES" w:eastAsia="es-ES"/>
        </w:rPr>
        <w:t xml:space="preserve"> la violación del artículo 4 de la C</w:t>
      </w:r>
      <w:r>
        <w:rPr>
          <w:rFonts w:eastAsia="Calibri" w:cs="Verdana"/>
          <w:snapToGrid w:val="0"/>
          <w:sz w:val="20"/>
          <w:szCs w:val="20"/>
          <w:lang w:val="es-ES" w:eastAsia="es-ES"/>
        </w:rPr>
        <w:t>onvención Americana</w:t>
      </w:r>
      <w:r w:rsidRPr="008359D7">
        <w:rPr>
          <w:rFonts w:eastAsia="Calibri" w:cs="Verdana"/>
          <w:snapToGrid w:val="0"/>
          <w:sz w:val="20"/>
          <w:szCs w:val="20"/>
          <w:lang w:val="es-ES" w:eastAsia="es-ES"/>
        </w:rPr>
        <w:t>, la Comisión consideró que “se desprende que subsistirá la controversia respecto de partes importantes del Informe de Fondo y que no estarían cubiertas por el reconocimiento del Estado”. Además</w:t>
      </w:r>
      <w:r w:rsidR="005A65DF">
        <w:rPr>
          <w:rFonts w:eastAsia="Calibri" w:cs="Verdana"/>
          <w:snapToGrid w:val="0"/>
          <w:sz w:val="20"/>
          <w:szCs w:val="20"/>
          <w:lang w:val="es-ES" w:eastAsia="es-ES"/>
        </w:rPr>
        <w:t>,</w:t>
      </w:r>
      <w:r w:rsidRPr="008359D7">
        <w:rPr>
          <w:rFonts w:eastAsia="Calibri" w:cs="Verdana"/>
          <w:snapToGrid w:val="0"/>
          <w:sz w:val="20"/>
          <w:szCs w:val="20"/>
          <w:lang w:val="es-ES" w:eastAsia="es-ES"/>
        </w:rPr>
        <w:t xml:space="preserve"> “la Comisión </w:t>
      </w:r>
      <w:proofErr w:type="spellStart"/>
      <w:r w:rsidRPr="008359D7">
        <w:rPr>
          <w:rFonts w:eastAsia="Calibri" w:cs="Verdana"/>
          <w:snapToGrid w:val="0"/>
          <w:sz w:val="20"/>
          <w:szCs w:val="20"/>
          <w:lang w:val="es-ES" w:eastAsia="es-ES"/>
        </w:rPr>
        <w:t>consider</w:t>
      </w:r>
      <w:proofErr w:type="spellEnd"/>
      <w:r w:rsidRPr="008359D7">
        <w:rPr>
          <w:rFonts w:eastAsia="Calibri" w:cs="Verdana"/>
          <w:snapToGrid w:val="0"/>
          <w:sz w:val="20"/>
          <w:szCs w:val="20"/>
          <w:lang w:val="es-ES" w:eastAsia="es-ES"/>
        </w:rPr>
        <w:t>[</w:t>
      </w:r>
      <w:proofErr w:type="spellStart"/>
      <w:r w:rsidRPr="008359D7">
        <w:rPr>
          <w:rFonts w:eastAsia="Calibri" w:cs="Verdana"/>
          <w:snapToGrid w:val="0"/>
          <w:sz w:val="20"/>
          <w:szCs w:val="20"/>
          <w:lang w:val="es-ES" w:eastAsia="es-ES"/>
        </w:rPr>
        <w:t>ó</w:t>
      </w:r>
      <w:proofErr w:type="spellEnd"/>
      <w:r w:rsidRPr="008359D7">
        <w:rPr>
          <w:rFonts w:eastAsia="Calibri" w:cs="Verdana"/>
          <w:snapToGrid w:val="0"/>
          <w:sz w:val="20"/>
          <w:szCs w:val="20"/>
          <w:lang w:val="es-ES" w:eastAsia="es-ES"/>
        </w:rPr>
        <w:t>] que la Corte debe realizar la determinación de hechos correspondientes, establecer las consecuencias jurídicas de los mismos y las reparaciones respectivas, de acuerdo con la gravedad y naturaleza de las violaciones ocurridas en este caso”.</w:t>
      </w:r>
      <w:r>
        <w:rPr>
          <w:rFonts w:eastAsia="Calibri" w:cs="Verdana"/>
          <w:snapToGrid w:val="0"/>
          <w:sz w:val="20"/>
          <w:szCs w:val="20"/>
          <w:lang w:val="es-ES" w:eastAsia="es-ES"/>
        </w:rPr>
        <w:t xml:space="preserve"> </w:t>
      </w:r>
      <w:r>
        <w:rPr>
          <w:rFonts w:eastAsia="Calibri" w:cs="Verdana"/>
          <w:snapToGrid w:val="0"/>
          <w:sz w:val="20"/>
          <w:szCs w:val="20"/>
          <w:lang w:eastAsia="es-ES"/>
        </w:rPr>
        <w:t>Por otra parte, la Comisión indicó en sus alegatos finales que es pertinente tener en cuenta la relación de interdependencia e indivisibilidad entre los derechos civiles y políticos y los derechos económicos, sociales y culturales, y el impacto que tienen tanto en el derecho a la vida como en la integridad personal y la prestación inadecuada de los servicios de salud.</w:t>
      </w:r>
    </w:p>
    <w:p w14:paraId="7C41D1A7" w14:textId="77777777" w:rsidR="00542AD4" w:rsidRPr="009B5F5A" w:rsidRDefault="00542AD4" w:rsidP="00542AD4">
      <w:pPr>
        <w:tabs>
          <w:tab w:val="left" w:pos="567"/>
        </w:tabs>
        <w:rPr>
          <w:rFonts w:eastAsia="Calibri" w:cs="Verdana"/>
          <w:snapToGrid w:val="0"/>
          <w:sz w:val="20"/>
          <w:szCs w:val="20"/>
          <w:lang w:eastAsia="es-ES"/>
        </w:rPr>
      </w:pPr>
    </w:p>
    <w:p w14:paraId="0414DE38" w14:textId="7C5CEFBA" w:rsidR="00542AD4" w:rsidRPr="009B5F5A" w:rsidRDefault="00542AD4" w:rsidP="00542AD4">
      <w:pPr>
        <w:numPr>
          <w:ilvl w:val="0"/>
          <w:numId w:val="2"/>
        </w:numPr>
        <w:tabs>
          <w:tab w:val="left" w:pos="567"/>
          <w:tab w:val="num" w:pos="1569"/>
          <w:tab w:val="num" w:pos="12305"/>
        </w:tabs>
        <w:ind w:left="0" w:firstLine="0"/>
        <w:rPr>
          <w:rFonts w:eastAsia="Calibri" w:cs="Verdana"/>
          <w:snapToGrid w:val="0"/>
          <w:sz w:val="20"/>
          <w:szCs w:val="20"/>
          <w:lang w:eastAsia="es-ES"/>
        </w:rPr>
      </w:pPr>
      <w:r w:rsidRPr="004E6AED">
        <w:rPr>
          <w:rFonts w:eastAsia="Calibri" w:cs="Verdana"/>
          <w:snapToGrid w:val="0"/>
          <w:sz w:val="20"/>
          <w:szCs w:val="20"/>
          <w:lang w:eastAsia="es-ES"/>
        </w:rPr>
        <w:t xml:space="preserve">La </w:t>
      </w:r>
      <w:r>
        <w:rPr>
          <w:rFonts w:eastAsia="Calibri" w:cs="Verdana"/>
          <w:snapToGrid w:val="0"/>
          <w:sz w:val="20"/>
          <w:szCs w:val="20"/>
          <w:lang w:eastAsia="es-ES"/>
        </w:rPr>
        <w:t xml:space="preserve">Comisión resaltó que un aspecto fundamental del análisis permanece en controversia, </w:t>
      </w:r>
      <w:r w:rsidRPr="004E6AED">
        <w:rPr>
          <w:rFonts w:eastAsia="Calibri" w:cs="Verdana"/>
          <w:snapToGrid w:val="0"/>
          <w:sz w:val="20"/>
          <w:szCs w:val="20"/>
          <w:lang w:eastAsia="es-ES"/>
        </w:rPr>
        <w:t xml:space="preserve">específicamente </w:t>
      </w:r>
      <w:r w:rsidRPr="004E6AED">
        <w:rPr>
          <w:rFonts w:eastAsia="Calibri" w:cs="Verdana"/>
          <w:snapToGrid w:val="0"/>
          <w:sz w:val="20"/>
          <w:szCs w:val="20"/>
          <w:lang w:val="es-ES" w:eastAsia="es-ES"/>
        </w:rPr>
        <w:t>la falta de adopción de medidas adecuadas por parte del personal médico de un Hospital Público chileno indistintamente de cuál hubiese sido el impacto final que dichas medidas tuvieran en la salud del señor Poblete Vilches y sus posibilidades de sobrevivir</w:t>
      </w:r>
      <w:r>
        <w:rPr>
          <w:rFonts w:eastAsia="Calibri" w:cs="Verdana"/>
          <w:snapToGrid w:val="0"/>
          <w:sz w:val="20"/>
          <w:szCs w:val="20"/>
          <w:lang w:val="es-ES" w:eastAsia="es-ES"/>
        </w:rPr>
        <w:t xml:space="preserve">. </w:t>
      </w:r>
      <w:r w:rsidRPr="009B5F5A">
        <w:rPr>
          <w:rFonts w:eastAsia="Calibri" w:cs="Verdana"/>
          <w:snapToGrid w:val="0"/>
          <w:sz w:val="20"/>
          <w:szCs w:val="20"/>
          <w:lang w:val="es-ES" w:eastAsia="es-ES"/>
        </w:rPr>
        <w:t xml:space="preserve">Por otra parte, la Comisión destacó la posible inconsistencia en algunos aspectos del reconocimiento, como el hecho de que el Estado reconoció la violación del derecho a la integridad personal, pero al referirse a los mismos hechos a la luz del derecho a la vida, pareciera efectuar valoraciones diferentes sobre ellos cuanto la respuesta estatal fue adecuada o no. Por último, la Comisión solicitó analizar el alcance del reconocimiento, en cuanto al derecho al consentimiento informado y los artículos 4, 5 y 13 de la Convención, ya que en el </w:t>
      </w:r>
      <w:r>
        <w:rPr>
          <w:rFonts w:eastAsia="Calibri" w:cs="Verdana"/>
          <w:snapToGrid w:val="0"/>
          <w:sz w:val="20"/>
          <w:szCs w:val="20"/>
          <w:lang w:val="es-ES" w:eastAsia="es-ES"/>
        </w:rPr>
        <w:t>I</w:t>
      </w:r>
      <w:r w:rsidRPr="009B5F5A">
        <w:rPr>
          <w:rFonts w:eastAsia="Calibri" w:cs="Verdana"/>
          <w:snapToGrid w:val="0"/>
          <w:sz w:val="20"/>
          <w:szCs w:val="20"/>
          <w:lang w:val="es-ES" w:eastAsia="es-ES"/>
        </w:rPr>
        <w:t xml:space="preserve">nforme de </w:t>
      </w:r>
      <w:r>
        <w:rPr>
          <w:rFonts w:eastAsia="Calibri" w:cs="Verdana"/>
          <w:snapToGrid w:val="0"/>
          <w:sz w:val="20"/>
          <w:szCs w:val="20"/>
          <w:lang w:val="es-ES" w:eastAsia="es-ES"/>
        </w:rPr>
        <w:t>F</w:t>
      </w:r>
      <w:r w:rsidRPr="009B5F5A">
        <w:rPr>
          <w:rFonts w:eastAsia="Calibri" w:cs="Verdana"/>
          <w:snapToGrid w:val="0"/>
          <w:sz w:val="20"/>
          <w:szCs w:val="20"/>
          <w:lang w:val="es-ES" w:eastAsia="es-ES"/>
        </w:rPr>
        <w:t>ondo se analizaron también “respecto a la falta de adopción de medidas adecuadas por parte del personal médico para garantizar el acceso a la información tanto al señor Poblete Vilches como a sus familiares”.</w:t>
      </w:r>
    </w:p>
    <w:p w14:paraId="2F9DC90F" w14:textId="77777777" w:rsidR="00542AD4" w:rsidRPr="00C54437" w:rsidRDefault="00542AD4" w:rsidP="00542AD4">
      <w:pPr>
        <w:tabs>
          <w:tab w:val="left" w:pos="567"/>
          <w:tab w:val="num" w:pos="12305"/>
        </w:tabs>
        <w:autoSpaceDE w:val="0"/>
        <w:autoSpaceDN w:val="0"/>
        <w:rPr>
          <w:rFonts w:eastAsia="Calibri" w:cs="Verdana"/>
          <w:snapToGrid w:val="0"/>
          <w:sz w:val="20"/>
          <w:szCs w:val="20"/>
          <w:lang w:eastAsia="es-ES"/>
        </w:rPr>
      </w:pPr>
    </w:p>
    <w:p w14:paraId="53371F90" w14:textId="42C00BBC" w:rsidR="00542AD4" w:rsidRPr="009E4E49" w:rsidRDefault="00542AD4" w:rsidP="00542AD4">
      <w:pPr>
        <w:numPr>
          <w:ilvl w:val="0"/>
          <w:numId w:val="2"/>
        </w:numPr>
        <w:tabs>
          <w:tab w:val="left" w:pos="567"/>
          <w:tab w:val="num" w:pos="1569"/>
          <w:tab w:val="num" w:pos="12305"/>
        </w:tabs>
        <w:autoSpaceDE w:val="0"/>
        <w:autoSpaceDN w:val="0"/>
        <w:ind w:left="0" w:firstLine="0"/>
        <w:rPr>
          <w:rFonts w:eastAsia="Calibri" w:cs="Verdana"/>
          <w:i/>
          <w:snapToGrid w:val="0"/>
          <w:sz w:val="20"/>
          <w:szCs w:val="20"/>
          <w:lang w:eastAsia="es-ES"/>
        </w:rPr>
      </w:pPr>
      <w:r w:rsidRPr="00235BA3">
        <w:rPr>
          <w:rFonts w:eastAsia="Calibri" w:cs="Verdana"/>
          <w:snapToGrid w:val="0"/>
          <w:sz w:val="20"/>
          <w:szCs w:val="20"/>
          <w:lang w:eastAsia="es-ES"/>
        </w:rPr>
        <w:t xml:space="preserve">Las </w:t>
      </w:r>
      <w:r w:rsidRPr="00235BA3">
        <w:rPr>
          <w:rFonts w:eastAsia="Calibri" w:cs="Verdana"/>
          <w:b/>
          <w:i/>
          <w:snapToGrid w:val="0"/>
          <w:sz w:val="20"/>
          <w:szCs w:val="20"/>
          <w:lang w:eastAsia="es-ES"/>
        </w:rPr>
        <w:t>representantes</w:t>
      </w:r>
      <w:r w:rsidRPr="00235BA3">
        <w:rPr>
          <w:rFonts w:eastAsia="Calibri" w:cs="Verdana"/>
          <w:snapToGrid w:val="0"/>
          <w:sz w:val="20"/>
          <w:szCs w:val="20"/>
          <w:lang w:eastAsia="es-ES"/>
        </w:rPr>
        <w:t xml:space="preserve"> también valoraron positivamente el reconocimiento parcial del Estado chileno respecto de la violación al derecho a la integridad personal y derecho a la salud</w:t>
      </w:r>
      <w:r>
        <w:rPr>
          <w:rFonts w:eastAsia="Calibri" w:cs="Verdana"/>
          <w:snapToGrid w:val="0"/>
          <w:sz w:val="20"/>
          <w:szCs w:val="20"/>
          <w:lang w:eastAsia="es-ES"/>
        </w:rPr>
        <w:t xml:space="preserve"> del señor Poblete Vilches</w:t>
      </w:r>
      <w:r w:rsidRPr="00235BA3">
        <w:rPr>
          <w:rFonts w:eastAsia="Calibri" w:cs="Verdana"/>
          <w:snapToGrid w:val="0"/>
          <w:sz w:val="20"/>
          <w:szCs w:val="20"/>
          <w:lang w:eastAsia="es-ES"/>
        </w:rPr>
        <w:t>, en relación con el artículo 1.1 de la Convención</w:t>
      </w:r>
      <w:r>
        <w:rPr>
          <w:rFonts w:eastAsia="Calibri" w:cs="Verdana"/>
          <w:snapToGrid w:val="0"/>
          <w:sz w:val="20"/>
          <w:szCs w:val="20"/>
          <w:lang w:eastAsia="es-ES"/>
        </w:rPr>
        <w:t>;</w:t>
      </w:r>
      <w:r w:rsidRPr="00235BA3">
        <w:rPr>
          <w:rFonts w:eastAsia="Calibri" w:cs="Verdana"/>
          <w:snapToGrid w:val="0"/>
          <w:sz w:val="20"/>
          <w:szCs w:val="20"/>
          <w:lang w:eastAsia="es-ES"/>
        </w:rPr>
        <w:t xml:space="preserve"> el derecho de acceso a la información en materia de salud en perjuicio del señor Poblete Vilches y su familia</w:t>
      </w:r>
      <w:r>
        <w:rPr>
          <w:rFonts w:eastAsia="Calibri" w:cs="Verdana"/>
          <w:snapToGrid w:val="0"/>
          <w:sz w:val="20"/>
          <w:szCs w:val="20"/>
          <w:lang w:eastAsia="es-ES"/>
        </w:rPr>
        <w:t>, y los artículos 11 y 7 de la Convención en perjuicio del señor Poblete Vilches</w:t>
      </w:r>
      <w:r w:rsidRPr="00235BA3">
        <w:rPr>
          <w:rFonts w:eastAsia="Calibri" w:cs="Verdana"/>
          <w:snapToGrid w:val="0"/>
          <w:sz w:val="20"/>
          <w:szCs w:val="20"/>
          <w:lang w:eastAsia="es-ES"/>
        </w:rPr>
        <w:t xml:space="preserve">. </w:t>
      </w:r>
      <w:r w:rsidRPr="00235BA3">
        <w:rPr>
          <w:sz w:val="20"/>
          <w:szCs w:val="20"/>
          <w:lang w:val="es-ES" w:eastAsia="en-US"/>
        </w:rPr>
        <w:t xml:space="preserve">En cuanto a los </w:t>
      </w:r>
      <w:r w:rsidRPr="00235BA3">
        <w:rPr>
          <w:sz w:val="20"/>
          <w:szCs w:val="20"/>
          <w:lang w:val="es-ES" w:eastAsia="en-US"/>
        </w:rPr>
        <w:lastRenderedPageBreak/>
        <w:t>artículos 8.1 y 25 en relación con el 1.1 de la C</w:t>
      </w:r>
      <w:r>
        <w:rPr>
          <w:sz w:val="20"/>
          <w:szCs w:val="20"/>
          <w:lang w:val="es-ES" w:eastAsia="en-US"/>
        </w:rPr>
        <w:t>onvención Americana</w:t>
      </w:r>
      <w:r w:rsidRPr="00235BA3">
        <w:rPr>
          <w:sz w:val="20"/>
          <w:szCs w:val="20"/>
          <w:lang w:val="es-ES" w:eastAsia="en-US"/>
        </w:rPr>
        <w:t xml:space="preserve">, las representantes </w:t>
      </w:r>
      <w:r>
        <w:rPr>
          <w:sz w:val="20"/>
          <w:szCs w:val="20"/>
          <w:lang w:val="es-ES" w:eastAsia="en-US"/>
        </w:rPr>
        <w:t>indicaron</w:t>
      </w:r>
      <w:r w:rsidRPr="00235BA3">
        <w:rPr>
          <w:sz w:val="20"/>
          <w:szCs w:val="20"/>
          <w:lang w:val="es-ES" w:eastAsia="en-US"/>
        </w:rPr>
        <w:t xml:space="preserve"> que el Estado negó su responsabilidad a la afectación al derecho a la debida diligencia y al derecho a un tribunal imparcial, pero aceptó responsabilidad en cuanto a que el caso no se llevó en un plazo razonable.</w:t>
      </w:r>
      <w:r>
        <w:rPr>
          <w:sz w:val="20"/>
          <w:szCs w:val="20"/>
          <w:lang w:val="es-ES" w:eastAsia="en-US"/>
        </w:rPr>
        <w:t xml:space="preserve"> Además, l</w:t>
      </w:r>
      <w:r w:rsidRPr="009E4E49">
        <w:rPr>
          <w:sz w:val="20"/>
          <w:szCs w:val="20"/>
          <w:lang w:val="es-ES" w:eastAsia="en-US"/>
        </w:rPr>
        <w:t>as representantes notaron que en la contestación del Estado en el capítulo de consideraciones finales, sólo se menciona la afectación al derecho a la integridad personal y al derecho al consentimiento informado en perjuicio del señor Poblete Vilches; pero no menciona las violaciones al derecho a la dignidad y autodeterminación, el derecho a tomar decisiones libres ni el derecho a un plazo razonable, todos reconocidos anteriormente en diferentes partes del escrito.</w:t>
      </w:r>
      <w:r>
        <w:rPr>
          <w:sz w:val="20"/>
          <w:szCs w:val="20"/>
          <w:lang w:val="es-ES" w:eastAsia="en-US"/>
        </w:rPr>
        <w:t xml:space="preserve"> Por lo que las representantes señalaron que subsisten varios hechos que no fueron reconocidos por el Estado y existen discrepancias respecto de la significación jurídica de los hechos reconocidos, como ejemplo de esto</w:t>
      </w:r>
      <w:r w:rsidRPr="009E4E49">
        <w:rPr>
          <w:sz w:val="20"/>
          <w:szCs w:val="20"/>
          <w:lang w:val="es-ES" w:eastAsia="en-US"/>
        </w:rPr>
        <w:t xml:space="preserve"> </w:t>
      </w:r>
      <w:r>
        <w:rPr>
          <w:sz w:val="20"/>
          <w:szCs w:val="20"/>
          <w:lang w:val="es-ES" w:eastAsia="en-US"/>
        </w:rPr>
        <w:t>“</w:t>
      </w:r>
      <w:r w:rsidRPr="009E4E49">
        <w:rPr>
          <w:sz w:val="20"/>
          <w:szCs w:val="20"/>
          <w:lang w:val="es-ES" w:eastAsia="en-US"/>
        </w:rPr>
        <w:t>la enorme diferencia existente entre las partes respecto del significado jurídico de los hechos que afectaron la integridad personal y la salud del señor Vinicio Antonio Poblete Vilches, a los que el Estado ha vinculado solamente con la violación del art</w:t>
      </w:r>
      <w:r>
        <w:rPr>
          <w:sz w:val="20"/>
          <w:szCs w:val="20"/>
          <w:lang w:val="es-ES" w:eastAsia="en-US"/>
        </w:rPr>
        <w:t>[</w:t>
      </w:r>
      <w:proofErr w:type="spellStart"/>
      <w:r>
        <w:rPr>
          <w:sz w:val="20"/>
          <w:szCs w:val="20"/>
          <w:lang w:val="es-ES" w:eastAsia="en-US"/>
        </w:rPr>
        <w:t>ículo</w:t>
      </w:r>
      <w:proofErr w:type="spellEnd"/>
      <w:r>
        <w:rPr>
          <w:sz w:val="20"/>
          <w:szCs w:val="20"/>
          <w:lang w:val="es-ES" w:eastAsia="en-US"/>
        </w:rPr>
        <w:t>]</w:t>
      </w:r>
      <w:r w:rsidRPr="009E4E49">
        <w:rPr>
          <w:sz w:val="20"/>
          <w:szCs w:val="20"/>
          <w:lang w:val="es-ES" w:eastAsia="en-US"/>
        </w:rPr>
        <w:t xml:space="preserve"> 5 de la C</w:t>
      </w:r>
      <w:r>
        <w:rPr>
          <w:sz w:val="20"/>
          <w:szCs w:val="20"/>
          <w:lang w:val="es-ES" w:eastAsia="en-US"/>
        </w:rPr>
        <w:t>[</w:t>
      </w:r>
      <w:proofErr w:type="spellStart"/>
      <w:r>
        <w:rPr>
          <w:sz w:val="20"/>
          <w:szCs w:val="20"/>
          <w:lang w:val="es-ES" w:eastAsia="en-US"/>
        </w:rPr>
        <w:t>onvención</w:t>
      </w:r>
      <w:proofErr w:type="spellEnd"/>
      <w:r>
        <w:rPr>
          <w:sz w:val="20"/>
          <w:szCs w:val="20"/>
          <w:lang w:val="es-ES" w:eastAsia="en-US"/>
        </w:rPr>
        <w:t>]</w:t>
      </w:r>
      <w:r w:rsidRPr="009E4E49">
        <w:rPr>
          <w:sz w:val="20"/>
          <w:szCs w:val="20"/>
          <w:lang w:val="es-ES" w:eastAsia="en-US"/>
        </w:rPr>
        <w:t xml:space="preserve"> y esta pa</w:t>
      </w:r>
      <w:r w:rsidR="00C133E5">
        <w:rPr>
          <w:sz w:val="20"/>
          <w:szCs w:val="20"/>
          <w:lang w:val="es-ES" w:eastAsia="en-US"/>
        </w:rPr>
        <w:t>rte por el contrario, ent</w:t>
      </w:r>
      <w:r w:rsidRPr="009E4E49">
        <w:rPr>
          <w:sz w:val="20"/>
          <w:szCs w:val="20"/>
          <w:lang w:val="es-ES" w:eastAsia="en-US"/>
        </w:rPr>
        <w:t>e</w:t>
      </w:r>
      <w:r w:rsidR="00C133E5">
        <w:rPr>
          <w:sz w:val="20"/>
          <w:szCs w:val="20"/>
          <w:lang w:val="es-ES" w:eastAsia="en-US"/>
        </w:rPr>
        <w:t>[</w:t>
      </w:r>
      <w:proofErr w:type="spellStart"/>
      <w:r w:rsidRPr="009E4E49">
        <w:rPr>
          <w:sz w:val="20"/>
          <w:szCs w:val="20"/>
          <w:lang w:val="es-ES" w:eastAsia="en-US"/>
        </w:rPr>
        <w:t>nd</w:t>
      </w:r>
      <w:r w:rsidR="00C133E5">
        <w:rPr>
          <w:sz w:val="20"/>
          <w:szCs w:val="20"/>
          <w:lang w:val="es-ES" w:eastAsia="en-US"/>
        </w:rPr>
        <w:t>ió</w:t>
      </w:r>
      <w:proofErr w:type="spellEnd"/>
      <w:r w:rsidR="00C133E5">
        <w:rPr>
          <w:sz w:val="20"/>
          <w:szCs w:val="20"/>
          <w:lang w:val="es-ES" w:eastAsia="en-US"/>
        </w:rPr>
        <w:t>]</w:t>
      </w:r>
      <w:r w:rsidRPr="009E4E49">
        <w:rPr>
          <w:sz w:val="20"/>
          <w:szCs w:val="20"/>
          <w:lang w:val="es-ES" w:eastAsia="en-US"/>
        </w:rPr>
        <w:t xml:space="preserve"> que más allá de la violación del art</w:t>
      </w:r>
      <w:r>
        <w:rPr>
          <w:sz w:val="20"/>
          <w:szCs w:val="20"/>
          <w:lang w:val="es-ES" w:eastAsia="en-US"/>
        </w:rPr>
        <w:t>[</w:t>
      </w:r>
      <w:proofErr w:type="spellStart"/>
      <w:r>
        <w:rPr>
          <w:sz w:val="20"/>
          <w:szCs w:val="20"/>
          <w:lang w:val="es-ES" w:eastAsia="en-US"/>
        </w:rPr>
        <w:t>ículo</w:t>
      </w:r>
      <w:proofErr w:type="spellEnd"/>
      <w:r>
        <w:rPr>
          <w:sz w:val="20"/>
          <w:szCs w:val="20"/>
          <w:lang w:val="es-ES" w:eastAsia="en-US"/>
        </w:rPr>
        <w:t>]</w:t>
      </w:r>
      <w:r w:rsidRPr="009E4E49">
        <w:rPr>
          <w:sz w:val="20"/>
          <w:szCs w:val="20"/>
          <w:lang w:val="es-ES" w:eastAsia="en-US"/>
        </w:rPr>
        <w:t xml:space="preserve"> 5, los hechos también</w:t>
      </w:r>
      <w:r>
        <w:rPr>
          <w:sz w:val="20"/>
          <w:szCs w:val="20"/>
          <w:lang w:val="es-ES" w:eastAsia="en-US"/>
        </w:rPr>
        <w:t xml:space="preserve"> resultaron violatorios del art[</w:t>
      </w:r>
      <w:proofErr w:type="spellStart"/>
      <w:r>
        <w:rPr>
          <w:sz w:val="20"/>
          <w:szCs w:val="20"/>
          <w:lang w:val="es-ES" w:eastAsia="en-US"/>
        </w:rPr>
        <w:t>ículo</w:t>
      </w:r>
      <w:proofErr w:type="spellEnd"/>
      <w:r>
        <w:rPr>
          <w:sz w:val="20"/>
          <w:szCs w:val="20"/>
          <w:lang w:val="es-ES" w:eastAsia="en-US"/>
        </w:rPr>
        <w:t xml:space="preserve">] 4, </w:t>
      </w:r>
      <w:r w:rsidRPr="009E4E49">
        <w:rPr>
          <w:sz w:val="20"/>
          <w:szCs w:val="20"/>
          <w:lang w:val="es-ES" w:eastAsia="en-US"/>
        </w:rPr>
        <w:t>derecho a la v</w:t>
      </w:r>
      <w:r>
        <w:rPr>
          <w:sz w:val="20"/>
          <w:szCs w:val="20"/>
          <w:lang w:val="es-ES" w:eastAsia="en-US"/>
        </w:rPr>
        <w:t>ida,</w:t>
      </w:r>
      <w:r w:rsidRPr="009E4E49">
        <w:rPr>
          <w:sz w:val="20"/>
          <w:szCs w:val="20"/>
          <w:lang w:val="es-ES" w:eastAsia="en-US"/>
        </w:rPr>
        <w:t xml:space="preserve"> y adicionalmente importaron la violación autónoma del derecho a la salud y a la seguridad social reconocidos en el art</w:t>
      </w:r>
      <w:r>
        <w:rPr>
          <w:sz w:val="20"/>
          <w:szCs w:val="20"/>
          <w:lang w:val="es-ES" w:eastAsia="en-US"/>
        </w:rPr>
        <w:t>[</w:t>
      </w:r>
      <w:proofErr w:type="spellStart"/>
      <w:r>
        <w:rPr>
          <w:sz w:val="20"/>
          <w:szCs w:val="20"/>
          <w:lang w:val="es-ES" w:eastAsia="en-US"/>
        </w:rPr>
        <w:t>ículo</w:t>
      </w:r>
      <w:proofErr w:type="spellEnd"/>
      <w:r>
        <w:rPr>
          <w:sz w:val="20"/>
          <w:szCs w:val="20"/>
          <w:lang w:val="es-ES" w:eastAsia="en-US"/>
        </w:rPr>
        <w:t>]</w:t>
      </w:r>
      <w:r w:rsidRPr="009E4E49">
        <w:rPr>
          <w:sz w:val="20"/>
          <w:szCs w:val="20"/>
          <w:lang w:val="es-ES" w:eastAsia="en-US"/>
        </w:rPr>
        <w:t xml:space="preserve"> 26 de la</w:t>
      </w:r>
      <w:r>
        <w:rPr>
          <w:sz w:val="20"/>
          <w:szCs w:val="20"/>
          <w:lang w:val="es-ES" w:eastAsia="en-US"/>
        </w:rPr>
        <w:t xml:space="preserve"> [Convención]”. </w:t>
      </w:r>
    </w:p>
    <w:p w14:paraId="04C2AC5C" w14:textId="77777777" w:rsidR="00542AD4" w:rsidRPr="00235BA3" w:rsidRDefault="00542AD4" w:rsidP="00542AD4">
      <w:pPr>
        <w:tabs>
          <w:tab w:val="left" w:pos="567"/>
          <w:tab w:val="num" w:pos="12305"/>
        </w:tabs>
        <w:autoSpaceDE w:val="0"/>
        <w:autoSpaceDN w:val="0"/>
        <w:rPr>
          <w:rFonts w:eastAsia="Calibri" w:cs="Verdana"/>
          <w:i/>
          <w:snapToGrid w:val="0"/>
          <w:sz w:val="20"/>
          <w:szCs w:val="20"/>
          <w:lang w:eastAsia="es-ES"/>
        </w:rPr>
      </w:pPr>
    </w:p>
    <w:p w14:paraId="3B5AFF1E" w14:textId="77777777" w:rsidR="00542AD4" w:rsidRPr="00225E59" w:rsidRDefault="00542AD4" w:rsidP="002726E0">
      <w:pPr>
        <w:pStyle w:val="Heading2"/>
        <w:numPr>
          <w:ilvl w:val="0"/>
          <w:numId w:val="9"/>
        </w:numPr>
      </w:pPr>
      <w:bookmarkStart w:id="30" w:name="_Toc513644445"/>
      <w:r w:rsidRPr="00225E59">
        <w:t>Consideraciones de la Corte</w:t>
      </w:r>
      <w:bookmarkEnd w:id="30"/>
    </w:p>
    <w:p w14:paraId="2CF9F67E" w14:textId="77777777" w:rsidR="00542AD4" w:rsidRPr="0001748B" w:rsidRDefault="00542AD4" w:rsidP="00542AD4">
      <w:pPr>
        <w:autoSpaceDE w:val="0"/>
        <w:autoSpaceDN w:val="0"/>
        <w:rPr>
          <w:rFonts w:eastAsia="Batang"/>
          <w:sz w:val="20"/>
          <w:lang w:eastAsia="en-US"/>
        </w:rPr>
      </w:pPr>
    </w:p>
    <w:p w14:paraId="0C721C63" w14:textId="77777777" w:rsidR="00542AD4" w:rsidRPr="008D5A60" w:rsidRDefault="00542AD4" w:rsidP="00542AD4">
      <w:pPr>
        <w:numPr>
          <w:ilvl w:val="0"/>
          <w:numId w:val="2"/>
        </w:numPr>
        <w:tabs>
          <w:tab w:val="left" w:pos="567"/>
          <w:tab w:val="num" w:pos="1569"/>
          <w:tab w:val="num" w:pos="12305"/>
        </w:tabs>
        <w:autoSpaceDE w:val="0"/>
        <w:autoSpaceDN w:val="0"/>
        <w:ind w:left="0" w:firstLine="0"/>
        <w:rPr>
          <w:rFonts w:eastAsia="Calibri" w:cs="Verdana"/>
          <w:snapToGrid w:val="0"/>
          <w:sz w:val="20"/>
          <w:szCs w:val="20"/>
          <w:lang w:eastAsia="es-ES"/>
        </w:rPr>
      </w:pPr>
      <w:r w:rsidRPr="008D5A60">
        <w:rPr>
          <w:rFonts w:eastAsia="Calibri" w:cs="Verdana"/>
          <w:snapToGrid w:val="0"/>
          <w:sz w:val="20"/>
          <w:szCs w:val="20"/>
          <w:lang w:eastAsia="es-ES"/>
        </w:rPr>
        <w:t>En este sentido, el Tribunal estima que el reconocimiento parcial de responsabilidad efectuado por el Estado constituye una contribución positiva al desarrollo de este proceso y a la vigencia de los principios que inspiran la Convención Americana</w:t>
      </w:r>
      <w:r w:rsidRPr="002A64C9">
        <w:rPr>
          <w:rStyle w:val="FootnoteReference"/>
          <w:rFonts w:eastAsia="Calibri" w:cs="Verdana"/>
          <w:snapToGrid w:val="0"/>
          <w:sz w:val="22"/>
          <w:lang w:eastAsia="es-ES"/>
        </w:rPr>
        <w:footnoteReference w:id="11"/>
      </w:r>
      <w:r w:rsidRPr="008D5A60">
        <w:rPr>
          <w:rFonts w:eastAsia="Calibri" w:cs="Verdana"/>
          <w:snapToGrid w:val="0"/>
          <w:sz w:val="20"/>
          <w:szCs w:val="20"/>
          <w:lang w:eastAsia="es-ES"/>
        </w:rPr>
        <w:t>. Asimismo, la Corte considera, como en otros casos</w:t>
      </w:r>
      <w:r w:rsidRPr="008D5A60">
        <w:rPr>
          <w:rStyle w:val="FootnoteReference"/>
          <w:rFonts w:eastAsia="Calibri" w:cs="Verdana"/>
          <w:snapToGrid w:val="0"/>
          <w:sz w:val="22"/>
          <w:lang w:eastAsia="es-ES"/>
        </w:rPr>
        <w:footnoteReference w:id="12"/>
      </w:r>
      <w:r w:rsidRPr="008D5A60">
        <w:rPr>
          <w:rFonts w:eastAsia="Calibri" w:cs="Verdana"/>
          <w:snapToGrid w:val="0"/>
          <w:sz w:val="20"/>
          <w:szCs w:val="20"/>
          <w:lang w:eastAsia="es-ES"/>
        </w:rPr>
        <w:t>, que tal reconocimiento produce plenos efectos jurídicos en el presente caso.</w:t>
      </w:r>
    </w:p>
    <w:p w14:paraId="10B7C8ED" w14:textId="77777777" w:rsidR="00542AD4" w:rsidRPr="0001748B" w:rsidRDefault="00542AD4" w:rsidP="00542AD4">
      <w:pPr>
        <w:autoSpaceDE w:val="0"/>
        <w:autoSpaceDN w:val="0"/>
        <w:rPr>
          <w:rFonts w:eastAsia="Calibri" w:cs="Verdana"/>
          <w:snapToGrid w:val="0"/>
          <w:sz w:val="20"/>
          <w:szCs w:val="20"/>
          <w:lang w:eastAsia="es-ES"/>
        </w:rPr>
      </w:pPr>
    </w:p>
    <w:p w14:paraId="75A3E018" w14:textId="06571C66" w:rsidR="00542AD4" w:rsidRPr="007C02F1" w:rsidRDefault="00542AD4" w:rsidP="00542AD4">
      <w:pPr>
        <w:numPr>
          <w:ilvl w:val="0"/>
          <w:numId w:val="2"/>
        </w:numPr>
        <w:tabs>
          <w:tab w:val="left" w:pos="567"/>
          <w:tab w:val="num" w:pos="1569"/>
          <w:tab w:val="num" w:pos="12305"/>
        </w:tabs>
        <w:ind w:left="0" w:firstLine="0"/>
        <w:rPr>
          <w:rFonts w:eastAsia="Times" w:cs="Verdana"/>
          <w:snapToGrid w:val="0"/>
          <w:sz w:val="20"/>
          <w:szCs w:val="20"/>
          <w:lang w:eastAsia="es-ES"/>
        </w:rPr>
      </w:pPr>
      <w:r w:rsidRPr="0001748B">
        <w:rPr>
          <w:rFonts w:eastAsia="Calibri" w:cs="Verdana"/>
          <w:snapToGrid w:val="0"/>
          <w:sz w:val="20"/>
          <w:szCs w:val="20"/>
          <w:lang w:eastAsia="es-ES"/>
        </w:rPr>
        <w:t>Sin perjuicio de lo anterior, de conformidad con los artículos 62</w:t>
      </w:r>
      <w:r w:rsidRPr="0001748B">
        <w:rPr>
          <w:rFonts w:eastAsia="Calibri" w:cs="Verdana"/>
          <w:snapToGrid w:val="0"/>
          <w:sz w:val="20"/>
          <w:szCs w:val="20"/>
          <w:vertAlign w:val="superscript"/>
          <w:lang w:eastAsia="es-ES"/>
        </w:rPr>
        <w:footnoteReference w:id="13"/>
      </w:r>
      <w:r w:rsidRPr="0001748B">
        <w:rPr>
          <w:rFonts w:eastAsia="Calibri" w:cs="Verdana"/>
          <w:snapToGrid w:val="0"/>
          <w:sz w:val="20"/>
          <w:szCs w:val="20"/>
          <w:lang w:eastAsia="es-ES"/>
        </w:rPr>
        <w:t xml:space="preserve"> y 64</w:t>
      </w:r>
      <w:r w:rsidRPr="0001748B">
        <w:rPr>
          <w:rFonts w:eastAsia="Calibri" w:cs="Verdana"/>
          <w:snapToGrid w:val="0"/>
          <w:sz w:val="20"/>
          <w:szCs w:val="20"/>
          <w:vertAlign w:val="superscript"/>
          <w:lang w:eastAsia="es-ES"/>
        </w:rPr>
        <w:footnoteReference w:id="14"/>
      </w:r>
      <w:r w:rsidRPr="0001748B">
        <w:rPr>
          <w:rFonts w:eastAsia="Calibri" w:cs="Verdana"/>
          <w:snapToGrid w:val="0"/>
          <w:sz w:val="20"/>
          <w:szCs w:val="20"/>
          <w:lang w:eastAsia="es-ES"/>
        </w:rPr>
        <w:t xml:space="preserve"> del Reglamento</w:t>
      </w:r>
      <w:r w:rsidR="00C133E5">
        <w:rPr>
          <w:rFonts w:eastAsia="Calibri" w:cs="Verdana"/>
          <w:snapToGrid w:val="0"/>
          <w:sz w:val="20"/>
          <w:szCs w:val="20"/>
          <w:lang w:eastAsia="es-ES"/>
        </w:rPr>
        <w:t>, así como</w:t>
      </w:r>
      <w:r w:rsidRPr="0001748B">
        <w:rPr>
          <w:rFonts w:eastAsia="Calibri" w:cs="Verdana"/>
          <w:snapToGrid w:val="0"/>
          <w:sz w:val="20"/>
          <w:szCs w:val="20"/>
          <w:lang w:eastAsia="es-ES"/>
        </w:rPr>
        <w:t xml:space="preserve"> en ejercicio de sus poderes de tutela judicial internacional de derechos humanos, cuestión de orden público internacional que trasciende la voluntad de las partes, incumbe al Tribunal velar porque los actos de allanamiento resulten aceptables para los fines que busca cumplir el sistema interamericano. En esta tarea no se limita únicamente a tomar nota del reconocimiento efectuado por el Estado, o a verificar las condiciones formales de los mencionados actos, sino que los debe confrontar con la naturaleza y gravedad de las violaciones alegadas, las exigencias e interés de la justicia, las circunstancias particulares del caso concreto y la actitud y posición de las partes</w:t>
      </w:r>
      <w:r w:rsidRPr="0001748B">
        <w:rPr>
          <w:rFonts w:eastAsia="Calibri" w:cs="Verdana"/>
          <w:snapToGrid w:val="0"/>
          <w:sz w:val="20"/>
          <w:szCs w:val="20"/>
          <w:vertAlign w:val="superscript"/>
          <w:lang w:eastAsia="es-ES"/>
        </w:rPr>
        <w:footnoteReference w:id="15"/>
      </w:r>
      <w:r w:rsidRPr="0001748B">
        <w:rPr>
          <w:rFonts w:eastAsia="Calibri" w:cs="Verdana"/>
          <w:snapToGrid w:val="0"/>
          <w:sz w:val="20"/>
          <w:szCs w:val="20"/>
          <w:lang w:eastAsia="es-ES"/>
        </w:rPr>
        <w:t>, de manera tal que pueda precisar, en cuanto sea posible y en el ejercicio de su competencia, la verdad de lo acontecido</w:t>
      </w:r>
      <w:r w:rsidRPr="0001748B">
        <w:rPr>
          <w:rFonts w:eastAsia="Calibri" w:cs="Verdana"/>
          <w:snapToGrid w:val="0"/>
          <w:sz w:val="20"/>
          <w:szCs w:val="20"/>
          <w:vertAlign w:val="superscript"/>
          <w:lang w:eastAsia="es-ES"/>
        </w:rPr>
        <w:footnoteReference w:id="16"/>
      </w:r>
      <w:r w:rsidRPr="0001748B">
        <w:rPr>
          <w:rFonts w:eastAsia="Calibri" w:cs="Verdana"/>
          <w:snapToGrid w:val="0"/>
          <w:sz w:val="20"/>
          <w:szCs w:val="20"/>
          <w:lang w:eastAsia="es-ES"/>
        </w:rPr>
        <w:t xml:space="preserve">. En tal </w:t>
      </w:r>
      <w:r w:rsidRPr="0001748B">
        <w:rPr>
          <w:rFonts w:eastAsia="Calibri" w:cs="Verdana"/>
          <w:snapToGrid w:val="0"/>
          <w:sz w:val="20"/>
          <w:szCs w:val="20"/>
          <w:lang w:eastAsia="es-ES"/>
        </w:rPr>
        <w:lastRenderedPageBreak/>
        <w:t>sentido, el reconocimiento no puede tener por consecuencia limitar, directa o indirectamente, el ejercicio de las facultades de la Corte de conocer el caso que le ha sido sometido</w:t>
      </w:r>
      <w:r w:rsidRPr="0001748B">
        <w:rPr>
          <w:rFonts w:eastAsia="Calibri" w:cs="Verdana"/>
          <w:snapToGrid w:val="0"/>
          <w:sz w:val="20"/>
          <w:szCs w:val="20"/>
          <w:vertAlign w:val="superscript"/>
          <w:lang w:eastAsia="es-ES"/>
        </w:rPr>
        <w:footnoteReference w:id="17"/>
      </w:r>
      <w:r w:rsidRPr="0001748B">
        <w:rPr>
          <w:rFonts w:eastAsia="Calibri" w:cs="Verdana"/>
          <w:snapToGrid w:val="0"/>
          <w:sz w:val="20"/>
          <w:szCs w:val="20"/>
          <w:lang w:eastAsia="es-ES"/>
        </w:rPr>
        <w:t xml:space="preserve"> y decidir si, al respecto, hubo violación de un derecho o libertad protegidos en la Convención</w:t>
      </w:r>
      <w:r w:rsidRPr="0001748B">
        <w:rPr>
          <w:rFonts w:eastAsia="Calibri" w:cs="Verdana"/>
          <w:snapToGrid w:val="0"/>
          <w:sz w:val="20"/>
          <w:szCs w:val="20"/>
          <w:vertAlign w:val="superscript"/>
          <w:lang w:eastAsia="es-ES"/>
        </w:rPr>
        <w:footnoteReference w:id="18"/>
      </w:r>
      <w:r w:rsidRPr="0001748B">
        <w:rPr>
          <w:rFonts w:eastAsia="Calibri" w:cs="Verdana"/>
          <w:snapToGrid w:val="0"/>
          <w:sz w:val="20"/>
          <w:szCs w:val="20"/>
          <w:lang w:eastAsia="es-ES"/>
        </w:rPr>
        <w:t xml:space="preserve">. </w:t>
      </w:r>
      <w:r w:rsidRPr="0001748B">
        <w:rPr>
          <w:rFonts w:eastAsia="Times" w:cs="Verdana"/>
          <w:snapToGrid w:val="0"/>
          <w:sz w:val="20"/>
          <w:szCs w:val="20"/>
          <w:lang w:eastAsia="es-ES"/>
        </w:rPr>
        <w:t>Para estos efectos, el Tribunal analiza la situación planteada en cada caso concreto</w:t>
      </w:r>
      <w:r w:rsidRPr="0001748B">
        <w:rPr>
          <w:rFonts w:eastAsia="Calibri" w:cs="Verdana"/>
          <w:snapToGrid w:val="0"/>
          <w:color w:val="000000"/>
          <w:sz w:val="20"/>
          <w:szCs w:val="20"/>
          <w:vertAlign w:val="superscript"/>
          <w:lang w:eastAsia="es-ES"/>
        </w:rPr>
        <w:footnoteReference w:id="19"/>
      </w:r>
      <w:r w:rsidRPr="0001748B">
        <w:rPr>
          <w:rFonts w:eastAsia="Times" w:cs="Verdana"/>
          <w:snapToGrid w:val="0"/>
          <w:sz w:val="20"/>
          <w:szCs w:val="20"/>
          <w:lang w:eastAsia="es-ES"/>
        </w:rPr>
        <w:t>.</w:t>
      </w:r>
    </w:p>
    <w:p w14:paraId="2AD8FB2C" w14:textId="77777777" w:rsidR="00542AD4" w:rsidRPr="007C02F1" w:rsidRDefault="00542AD4" w:rsidP="00542AD4">
      <w:pPr>
        <w:autoSpaceDE w:val="0"/>
        <w:autoSpaceDN w:val="0"/>
        <w:rPr>
          <w:rFonts w:eastAsia="Calibri" w:cs="Verdana"/>
          <w:snapToGrid w:val="0"/>
          <w:sz w:val="20"/>
          <w:szCs w:val="20"/>
          <w:lang w:eastAsia="es-ES"/>
        </w:rPr>
      </w:pPr>
    </w:p>
    <w:p w14:paraId="6128839A" w14:textId="67CCB640" w:rsidR="00542AD4" w:rsidRPr="00164C05" w:rsidRDefault="00542AD4" w:rsidP="00542AD4">
      <w:pPr>
        <w:pStyle w:val="Heading3"/>
        <w:rPr>
          <w:b/>
        </w:rPr>
      </w:pPr>
      <w:bookmarkStart w:id="31" w:name="_Toc513644446"/>
      <w:r w:rsidRPr="00164C05">
        <w:rPr>
          <w:b/>
        </w:rPr>
        <w:t>1</w:t>
      </w:r>
      <w:r w:rsidR="00386E16">
        <w:rPr>
          <w:b/>
        </w:rPr>
        <w:t>.</w:t>
      </w:r>
      <w:r w:rsidRPr="00164C05">
        <w:rPr>
          <w:b/>
        </w:rPr>
        <w:t xml:space="preserve"> </w:t>
      </w:r>
      <w:r w:rsidRPr="00164C05">
        <w:rPr>
          <w:b/>
        </w:rPr>
        <w:tab/>
        <w:t>En cuanto a los hechos</w:t>
      </w:r>
      <w:bookmarkEnd w:id="31"/>
    </w:p>
    <w:p w14:paraId="6A4D82C2" w14:textId="77777777" w:rsidR="00542AD4" w:rsidRPr="007C02F1" w:rsidRDefault="00542AD4" w:rsidP="00542AD4">
      <w:pPr>
        <w:autoSpaceDE w:val="0"/>
        <w:autoSpaceDN w:val="0"/>
        <w:ind w:left="708"/>
        <w:rPr>
          <w:rFonts w:eastAsia="Calibri" w:cs="Verdana"/>
          <w:snapToGrid w:val="0"/>
          <w:sz w:val="20"/>
          <w:szCs w:val="20"/>
          <w:lang w:eastAsia="es-ES"/>
        </w:rPr>
      </w:pPr>
    </w:p>
    <w:p w14:paraId="3A9E482F" w14:textId="6EBCD0DD" w:rsidR="00542AD4" w:rsidRPr="0001748B" w:rsidRDefault="00542AD4" w:rsidP="00542AD4">
      <w:pPr>
        <w:numPr>
          <w:ilvl w:val="0"/>
          <w:numId w:val="2"/>
        </w:numPr>
        <w:tabs>
          <w:tab w:val="left" w:pos="567"/>
          <w:tab w:val="num" w:pos="1569"/>
          <w:tab w:val="num" w:pos="12305"/>
        </w:tabs>
        <w:ind w:left="0" w:firstLine="0"/>
        <w:rPr>
          <w:rFonts w:eastAsia="Calibri" w:cs="Verdana"/>
          <w:bCs/>
          <w:snapToGrid w:val="0"/>
          <w:sz w:val="20"/>
          <w:szCs w:val="20"/>
          <w:lang w:eastAsia="es-ES"/>
        </w:rPr>
      </w:pPr>
      <w:r w:rsidRPr="007C02F1">
        <w:rPr>
          <w:rFonts w:eastAsia="Calibri" w:cs="Verdana"/>
          <w:snapToGrid w:val="0"/>
          <w:sz w:val="20"/>
          <w:szCs w:val="20"/>
          <w:lang w:eastAsia="es-ES"/>
        </w:rPr>
        <w:t xml:space="preserve">En el presente caso, el Estado planteó </w:t>
      </w:r>
      <w:r w:rsidRPr="0001748B">
        <w:rPr>
          <w:rFonts w:eastAsia="Calibri" w:cs="Verdana"/>
          <w:snapToGrid w:val="0"/>
          <w:sz w:val="20"/>
          <w:szCs w:val="20"/>
          <w:lang w:eastAsia="es-ES"/>
        </w:rPr>
        <w:t>su reconocimiento parcial de responsabilidad en torno a l</w:t>
      </w:r>
      <w:r>
        <w:rPr>
          <w:rFonts w:eastAsia="Calibri" w:cs="Verdana"/>
          <w:snapToGrid w:val="0"/>
          <w:sz w:val="20"/>
          <w:szCs w:val="20"/>
          <w:lang w:eastAsia="es-ES"/>
        </w:rPr>
        <w:t xml:space="preserve">os hechos referentes a: i) la decisión de alta médica; ii) el reingreso al Hospital del señor Poblete Vilches y la falta de diligencia del Estado durante su hospitalización, relacionada con las medidas que se debieron haber tomados para hacerle frente a su situación, </w:t>
      </w:r>
      <w:r w:rsidRPr="00B1523A">
        <w:rPr>
          <w:rFonts w:eastAsia="Calibri" w:cs="Verdana"/>
          <w:snapToGrid w:val="0"/>
          <w:sz w:val="20"/>
          <w:szCs w:val="20"/>
          <w:lang w:eastAsia="es-ES"/>
        </w:rPr>
        <w:t xml:space="preserve">la </w:t>
      </w:r>
      <w:r w:rsidR="00E32C7B" w:rsidRPr="00B1523A">
        <w:rPr>
          <w:rFonts w:eastAsia="Calibri" w:cs="Verdana"/>
          <w:snapToGrid w:val="0"/>
          <w:sz w:val="20"/>
          <w:szCs w:val="20"/>
          <w:lang w:eastAsia="es-ES"/>
        </w:rPr>
        <w:t xml:space="preserve">falta </w:t>
      </w:r>
      <w:r w:rsidRPr="005A65DF">
        <w:rPr>
          <w:rFonts w:eastAsia="Calibri" w:cs="Verdana"/>
          <w:snapToGrid w:val="0"/>
          <w:sz w:val="20"/>
          <w:szCs w:val="20"/>
          <w:lang w:eastAsia="es-ES"/>
        </w:rPr>
        <w:t xml:space="preserve">de camas </w:t>
      </w:r>
      <w:r w:rsidR="00E32C7B" w:rsidRPr="00B1523A">
        <w:rPr>
          <w:rFonts w:eastAsia="Calibri" w:cs="Verdana"/>
          <w:snapToGrid w:val="0"/>
          <w:sz w:val="20"/>
          <w:szCs w:val="20"/>
          <w:lang w:eastAsia="es-ES"/>
        </w:rPr>
        <w:t>disponibles</w:t>
      </w:r>
      <w:r w:rsidR="00E32C7B">
        <w:rPr>
          <w:rFonts w:eastAsia="Calibri" w:cs="Verdana"/>
          <w:snapToGrid w:val="0"/>
          <w:sz w:val="20"/>
          <w:szCs w:val="20"/>
          <w:lang w:eastAsia="es-ES"/>
        </w:rPr>
        <w:t xml:space="preserve"> </w:t>
      </w:r>
      <w:r>
        <w:rPr>
          <w:rFonts w:eastAsia="Calibri" w:cs="Verdana"/>
          <w:snapToGrid w:val="0"/>
          <w:sz w:val="20"/>
          <w:szCs w:val="20"/>
          <w:lang w:eastAsia="es-ES"/>
        </w:rPr>
        <w:t xml:space="preserve">en el hospital y el hecho de que el señor Poblete Vilches no fue trasladado a otro Hospital; iii) las falencias relativas al consentimiento informado en relación con la intervención quirúrgica realizada al señor Poblete Vilches, y iv) que las actuaciones de autoridades judiciales </w:t>
      </w:r>
      <w:r>
        <w:rPr>
          <w:rFonts w:eastAsia="Batang"/>
          <w:sz w:val="20"/>
          <w:szCs w:val="20"/>
          <w:lang w:eastAsia="en-US"/>
        </w:rPr>
        <w:t>no fueron llevadas a cabo en un plazo razonable</w:t>
      </w:r>
      <w:r>
        <w:rPr>
          <w:rFonts w:eastAsia="Calibri" w:cs="Verdana"/>
          <w:snapToGrid w:val="0"/>
          <w:sz w:val="20"/>
          <w:szCs w:val="20"/>
          <w:lang w:eastAsia="es-ES"/>
        </w:rPr>
        <w:t xml:space="preserve">. </w:t>
      </w:r>
    </w:p>
    <w:p w14:paraId="654408A4" w14:textId="77777777" w:rsidR="00542AD4" w:rsidRPr="0001748B" w:rsidRDefault="00542AD4" w:rsidP="00542AD4">
      <w:pPr>
        <w:tabs>
          <w:tab w:val="left" w:pos="567"/>
        </w:tabs>
        <w:rPr>
          <w:rFonts w:eastAsia="Calibri" w:cs="Verdana"/>
          <w:bCs/>
          <w:snapToGrid w:val="0"/>
          <w:sz w:val="20"/>
          <w:szCs w:val="20"/>
          <w:lang w:eastAsia="es-ES"/>
        </w:rPr>
      </w:pPr>
    </w:p>
    <w:p w14:paraId="7E0C660C" w14:textId="77777777" w:rsidR="00542AD4" w:rsidRPr="0001748B" w:rsidRDefault="00542AD4" w:rsidP="00542AD4">
      <w:pPr>
        <w:numPr>
          <w:ilvl w:val="0"/>
          <w:numId w:val="2"/>
        </w:numPr>
        <w:tabs>
          <w:tab w:val="left" w:pos="567"/>
          <w:tab w:val="num" w:pos="1569"/>
          <w:tab w:val="num" w:pos="12305"/>
        </w:tabs>
        <w:ind w:left="0" w:firstLine="0"/>
        <w:rPr>
          <w:rFonts w:eastAsia="Calibri" w:cs="Verdana"/>
          <w:bCs/>
          <w:snapToGrid w:val="0"/>
          <w:sz w:val="20"/>
          <w:szCs w:val="20"/>
          <w:lang w:eastAsia="es-ES"/>
        </w:rPr>
      </w:pPr>
      <w:r w:rsidRPr="0001748B">
        <w:rPr>
          <w:rFonts w:eastAsia="Calibri" w:cs="Verdana"/>
          <w:bCs/>
          <w:snapToGrid w:val="0"/>
          <w:sz w:val="20"/>
          <w:szCs w:val="20"/>
          <w:lang w:eastAsia="es-ES"/>
        </w:rPr>
        <w:t>En</w:t>
      </w:r>
      <w:r>
        <w:rPr>
          <w:rFonts w:eastAsia="Calibri" w:cs="Verdana"/>
          <w:bCs/>
          <w:snapToGrid w:val="0"/>
          <w:sz w:val="20"/>
          <w:szCs w:val="20"/>
          <w:lang w:eastAsia="es-ES"/>
        </w:rPr>
        <w:t xml:space="preserve"> particular, la Corte nota que subsisten</w:t>
      </w:r>
      <w:r w:rsidRPr="0001748B">
        <w:rPr>
          <w:rFonts w:eastAsia="Calibri" w:cs="Verdana"/>
          <w:bCs/>
          <w:snapToGrid w:val="0"/>
          <w:sz w:val="20"/>
          <w:szCs w:val="20"/>
          <w:lang w:eastAsia="es-ES"/>
        </w:rPr>
        <w:t xml:space="preserve"> </w:t>
      </w:r>
      <w:r>
        <w:rPr>
          <w:rFonts w:eastAsia="Calibri" w:cs="Verdana"/>
          <w:bCs/>
          <w:snapToGrid w:val="0"/>
          <w:sz w:val="20"/>
          <w:szCs w:val="20"/>
          <w:lang w:eastAsia="es-ES"/>
        </w:rPr>
        <w:t>algunas</w:t>
      </w:r>
      <w:r w:rsidRPr="0001748B">
        <w:rPr>
          <w:rFonts w:eastAsia="Calibri" w:cs="Verdana"/>
          <w:bCs/>
          <w:snapToGrid w:val="0"/>
          <w:sz w:val="20"/>
          <w:szCs w:val="20"/>
          <w:lang w:eastAsia="es-ES"/>
        </w:rPr>
        <w:t xml:space="preserve"> controversia</w:t>
      </w:r>
      <w:r>
        <w:rPr>
          <w:rFonts w:eastAsia="Calibri" w:cs="Verdana"/>
          <w:bCs/>
          <w:snapToGrid w:val="0"/>
          <w:sz w:val="20"/>
          <w:szCs w:val="20"/>
          <w:lang w:eastAsia="es-ES"/>
        </w:rPr>
        <w:t>s</w:t>
      </w:r>
      <w:r w:rsidRPr="0001748B">
        <w:rPr>
          <w:rFonts w:eastAsia="Calibri" w:cs="Verdana"/>
          <w:bCs/>
          <w:snapToGrid w:val="0"/>
          <w:sz w:val="20"/>
          <w:szCs w:val="20"/>
          <w:lang w:eastAsia="es-ES"/>
        </w:rPr>
        <w:t xml:space="preserve"> respecto </w:t>
      </w:r>
      <w:r>
        <w:rPr>
          <w:rFonts w:eastAsia="Calibri" w:cs="Verdana"/>
          <w:bCs/>
          <w:snapToGrid w:val="0"/>
          <w:sz w:val="20"/>
          <w:szCs w:val="20"/>
          <w:lang w:eastAsia="es-ES"/>
        </w:rPr>
        <w:t xml:space="preserve">de algunos hechos no reconocidos por el Estado, específicamente los hechos relacionados con las actuaciones del personal médico y su impacto en la salud del señor Poblete Vilches, especialmente la relación con su muerte, la obtención del consentimiento para la práctica de la intervención quirúrgica y el tratamiento del personal médico a los familiares. Por lo que la Corte considera oportuno realizar un análisis de los hechos controvertidos en los hechos probados de la presente Sentencia en el Capítulo VI. </w:t>
      </w:r>
    </w:p>
    <w:p w14:paraId="3CB3DED5" w14:textId="77777777" w:rsidR="00542AD4" w:rsidRPr="00B71F3F" w:rsidRDefault="00542AD4" w:rsidP="00542AD4">
      <w:pPr>
        <w:autoSpaceDE w:val="0"/>
        <w:autoSpaceDN w:val="0"/>
        <w:rPr>
          <w:rFonts w:eastAsia="Calibri" w:cs="Verdana"/>
          <w:bCs/>
          <w:snapToGrid w:val="0"/>
          <w:sz w:val="20"/>
          <w:szCs w:val="20"/>
          <w:lang w:eastAsia="es-ES"/>
        </w:rPr>
      </w:pPr>
    </w:p>
    <w:p w14:paraId="5B78709D" w14:textId="18ED3F1C" w:rsidR="00542AD4" w:rsidRPr="00164C05" w:rsidRDefault="00542AD4" w:rsidP="00542AD4">
      <w:pPr>
        <w:pStyle w:val="Heading3"/>
        <w:rPr>
          <w:b/>
        </w:rPr>
      </w:pPr>
      <w:bookmarkStart w:id="32" w:name="_Toc513644447"/>
      <w:r w:rsidRPr="00164C05">
        <w:rPr>
          <w:b/>
        </w:rPr>
        <w:t>2</w:t>
      </w:r>
      <w:r w:rsidR="00386E16">
        <w:rPr>
          <w:b/>
        </w:rPr>
        <w:t>.</w:t>
      </w:r>
      <w:r w:rsidRPr="00164C05">
        <w:rPr>
          <w:b/>
        </w:rPr>
        <w:t xml:space="preserve"> </w:t>
      </w:r>
      <w:r w:rsidRPr="00164C05">
        <w:rPr>
          <w:b/>
        </w:rPr>
        <w:tab/>
        <w:t>En cuanto a las pretensiones de derecho</w:t>
      </w:r>
      <w:bookmarkEnd w:id="32"/>
    </w:p>
    <w:p w14:paraId="36850BB4" w14:textId="77777777" w:rsidR="00542AD4" w:rsidRPr="004D1125" w:rsidRDefault="00542AD4" w:rsidP="00542AD4">
      <w:pPr>
        <w:tabs>
          <w:tab w:val="left" w:pos="567"/>
        </w:tabs>
        <w:rPr>
          <w:rFonts w:eastAsia="Calibri" w:cs="Verdana"/>
          <w:snapToGrid w:val="0"/>
          <w:sz w:val="20"/>
          <w:szCs w:val="20"/>
          <w:lang w:eastAsia="es-ES"/>
        </w:rPr>
      </w:pPr>
    </w:p>
    <w:p w14:paraId="291EDBF9" w14:textId="62E1AF15" w:rsidR="00542AD4" w:rsidRPr="0046233B" w:rsidRDefault="00542AD4" w:rsidP="00542AD4">
      <w:pPr>
        <w:numPr>
          <w:ilvl w:val="0"/>
          <w:numId w:val="2"/>
        </w:numPr>
        <w:tabs>
          <w:tab w:val="left" w:pos="567"/>
          <w:tab w:val="num" w:pos="1569"/>
          <w:tab w:val="num" w:pos="12305"/>
        </w:tabs>
        <w:ind w:left="0" w:firstLine="0"/>
        <w:rPr>
          <w:rFonts w:eastAsia="Calibri" w:cs="Verdana"/>
          <w:snapToGrid w:val="0"/>
          <w:sz w:val="20"/>
          <w:szCs w:val="20"/>
          <w:lang w:eastAsia="es-ES"/>
        </w:rPr>
      </w:pPr>
      <w:r>
        <w:rPr>
          <w:rFonts w:eastAsia="Calibri" w:cs="Verdana"/>
          <w:snapToGrid w:val="0"/>
          <w:sz w:val="20"/>
          <w:szCs w:val="20"/>
          <w:lang w:eastAsia="es-ES"/>
        </w:rPr>
        <w:t>La Corte constata que el Estado reconoció su responsabilidad internacional por la violación al artículo 13 en conexión con los artículos 4 y 5 de la Convención Americana y</w:t>
      </w:r>
      <w:r w:rsidRPr="00BF1289">
        <w:rPr>
          <w:rFonts w:eastAsia="Batang"/>
          <w:sz w:val="20"/>
          <w:szCs w:val="20"/>
          <w:lang w:eastAsia="en-US"/>
        </w:rPr>
        <w:t xml:space="preserve"> </w:t>
      </w:r>
      <w:r w:rsidRPr="00AF53B6">
        <w:rPr>
          <w:rFonts w:eastAsia="Batang"/>
          <w:sz w:val="20"/>
          <w:szCs w:val="20"/>
          <w:lang w:eastAsia="en-US"/>
        </w:rPr>
        <w:t>en relación con las obligaciones establecidas en los artículos 1.1 y 2 del mismo instrumento</w:t>
      </w:r>
      <w:r>
        <w:rPr>
          <w:rFonts w:eastAsia="Calibri" w:cs="Verdana"/>
          <w:snapToGrid w:val="0"/>
          <w:sz w:val="20"/>
          <w:szCs w:val="20"/>
          <w:lang w:eastAsia="es-ES"/>
        </w:rPr>
        <w:t xml:space="preserve">, en perjuicio del señor Poblete Vilches y de su familia. Además consideró que se vulneraron los artículos 5, 7 y 11 de la Convención en perjuicio del señor Poblete Vilches. Por último, reconoció que hubo una violación a los artículos 8 y 25, al haber una infracción al </w:t>
      </w:r>
      <w:r w:rsidRPr="00B1523A">
        <w:rPr>
          <w:rFonts w:eastAsia="Calibri" w:cs="Verdana"/>
          <w:snapToGrid w:val="0"/>
          <w:sz w:val="20"/>
          <w:szCs w:val="20"/>
          <w:lang w:eastAsia="es-ES"/>
        </w:rPr>
        <w:t>p</w:t>
      </w:r>
      <w:r w:rsidR="00E32C7B" w:rsidRPr="00B1523A">
        <w:rPr>
          <w:rFonts w:eastAsia="Calibri" w:cs="Verdana"/>
          <w:snapToGrid w:val="0"/>
          <w:sz w:val="20"/>
          <w:szCs w:val="20"/>
          <w:lang w:eastAsia="es-ES"/>
        </w:rPr>
        <w:t>l</w:t>
      </w:r>
      <w:r w:rsidRPr="00B1523A">
        <w:rPr>
          <w:rFonts w:eastAsia="Calibri" w:cs="Verdana"/>
          <w:snapToGrid w:val="0"/>
          <w:sz w:val="20"/>
          <w:szCs w:val="20"/>
          <w:lang w:eastAsia="es-ES"/>
        </w:rPr>
        <w:t>azo</w:t>
      </w:r>
      <w:r>
        <w:rPr>
          <w:rFonts w:eastAsia="Calibri" w:cs="Verdana"/>
          <w:snapToGrid w:val="0"/>
          <w:sz w:val="20"/>
          <w:szCs w:val="20"/>
          <w:lang w:eastAsia="es-ES"/>
        </w:rPr>
        <w:t xml:space="preserve"> razonable por parte de las autoridades chilenas. </w:t>
      </w:r>
    </w:p>
    <w:p w14:paraId="1FE9A24C" w14:textId="77777777" w:rsidR="00542AD4" w:rsidRDefault="00542AD4" w:rsidP="00542AD4">
      <w:pPr>
        <w:tabs>
          <w:tab w:val="left" w:pos="567"/>
        </w:tabs>
        <w:rPr>
          <w:rFonts w:eastAsia="Calibri" w:cs="Verdana"/>
          <w:snapToGrid w:val="0"/>
          <w:sz w:val="20"/>
          <w:szCs w:val="20"/>
          <w:lang w:eastAsia="es-ES"/>
        </w:rPr>
      </w:pPr>
      <w:r>
        <w:rPr>
          <w:rFonts w:eastAsia="Calibri" w:cs="Verdana"/>
          <w:snapToGrid w:val="0"/>
          <w:sz w:val="20"/>
          <w:szCs w:val="20"/>
          <w:lang w:eastAsia="es-ES"/>
        </w:rPr>
        <w:t xml:space="preserve"> </w:t>
      </w:r>
    </w:p>
    <w:p w14:paraId="6103F1FC" w14:textId="77777777" w:rsidR="00542AD4" w:rsidRPr="0001748B" w:rsidRDefault="00542AD4" w:rsidP="00542AD4">
      <w:pPr>
        <w:numPr>
          <w:ilvl w:val="0"/>
          <w:numId w:val="2"/>
        </w:numPr>
        <w:tabs>
          <w:tab w:val="left" w:pos="567"/>
          <w:tab w:val="num" w:pos="1569"/>
          <w:tab w:val="num" w:pos="12305"/>
        </w:tabs>
        <w:ind w:left="0" w:firstLine="0"/>
        <w:rPr>
          <w:rFonts w:eastAsia="Calibri" w:cs="Verdana"/>
          <w:snapToGrid w:val="0"/>
          <w:sz w:val="20"/>
          <w:szCs w:val="20"/>
          <w:lang w:eastAsia="es-ES"/>
        </w:rPr>
      </w:pPr>
      <w:r w:rsidRPr="004D1125">
        <w:rPr>
          <w:rFonts w:eastAsia="Calibri" w:cs="Verdana"/>
          <w:snapToGrid w:val="0"/>
          <w:sz w:val="20"/>
          <w:szCs w:val="20"/>
          <w:lang w:eastAsia="es-ES"/>
        </w:rPr>
        <w:t xml:space="preserve">En lo que se refiere a los alcances de la responsabilidad </w:t>
      </w:r>
      <w:r w:rsidRPr="0001748B">
        <w:rPr>
          <w:rFonts w:eastAsia="Calibri" w:cs="Verdana"/>
          <w:snapToGrid w:val="0"/>
          <w:sz w:val="20"/>
          <w:szCs w:val="20"/>
          <w:lang w:eastAsia="es-ES"/>
        </w:rPr>
        <w:t>del Estado por la violación de</w:t>
      </w:r>
      <w:r>
        <w:rPr>
          <w:rFonts w:eastAsia="Calibri" w:cs="Verdana"/>
          <w:snapToGrid w:val="0"/>
          <w:sz w:val="20"/>
          <w:szCs w:val="20"/>
          <w:lang w:eastAsia="es-ES"/>
        </w:rPr>
        <w:t xml:space="preserve"> los</w:t>
      </w:r>
      <w:r w:rsidRPr="0001748B">
        <w:rPr>
          <w:rFonts w:eastAsia="Calibri" w:cs="Verdana"/>
          <w:snapToGrid w:val="0"/>
          <w:sz w:val="20"/>
          <w:szCs w:val="20"/>
          <w:lang w:eastAsia="es-ES"/>
        </w:rPr>
        <w:t xml:space="preserve"> artículo</w:t>
      </w:r>
      <w:r>
        <w:rPr>
          <w:rFonts w:eastAsia="Calibri" w:cs="Verdana"/>
          <w:snapToGrid w:val="0"/>
          <w:sz w:val="20"/>
          <w:szCs w:val="20"/>
          <w:lang w:eastAsia="es-ES"/>
        </w:rPr>
        <w:t>s</w:t>
      </w:r>
      <w:r w:rsidRPr="0001748B">
        <w:rPr>
          <w:rFonts w:eastAsia="Calibri" w:cs="Verdana"/>
          <w:snapToGrid w:val="0"/>
          <w:sz w:val="20"/>
          <w:szCs w:val="20"/>
          <w:lang w:eastAsia="es-ES"/>
        </w:rPr>
        <w:t xml:space="preserve"> </w:t>
      </w:r>
      <w:r>
        <w:rPr>
          <w:rFonts w:eastAsia="Calibri" w:cs="Verdana"/>
          <w:snapToGrid w:val="0"/>
          <w:sz w:val="20"/>
          <w:szCs w:val="20"/>
          <w:lang w:eastAsia="es-ES"/>
        </w:rPr>
        <w:t>5, 7 y 11 de la Convención, el Estado se refirió únicamente a la vulneración del señor Poblete Vilches pero no de sus familiares. Además, el Estado no reconoció responsabilidad por los artículos 4 y 26 de la Convención. Respecto de los artículos 8 y 25</w:t>
      </w:r>
      <w:r w:rsidRPr="0001748B">
        <w:rPr>
          <w:rFonts w:eastAsia="Calibri" w:cs="Verdana"/>
          <w:snapToGrid w:val="0"/>
          <w:sz w:val="20"/>
          <w:szCs w:val="20"/>
          <w:lang w:eastAsia="es-ES"/>
        </w:rPr>
        <w:t xml:space="preserve"> de la Convención</w:t>
      </w:r>
      <w:r>
        <w:rPr>
          <w:rFonts w:eastAsia="Calibri" w:cs="Verdana"/>
          <w:snapToGrid w:val="0"/>
          <w:sz w:val="20"/>
          <w:szCs w:val="20"/>
          <w:lang w:eastAsia="es-ES"/>
        </w:rPr>
        <w:t xml:space="preserve"> Americana, la Corte nota</w:t>
      </w:r>
      <w:r w:rsidRPr="0001748B">
        <w:rPr>
          <w:rFonts w:eastAsia="Calibri" w:cs="Verdana"/>
          <w:snapToGrid w:val="0"/>
          <w:sz w:val="20"/>
          <w:szCs w:val="20"/>
          <w:lang w:eastAsia="es-ES"/>
        </w:rPr>
        <w:t xml:space="preserve"> que, al reconocer su responsabilidad</w:t>
      </w:r>
      <w:r w:rsidRPr="00AD6FD8">
        <w:rPr>
          <w:rFonts w:eastAsia="Calibri" w:cs="Verdana"/>
          <w:snapToGrid w:val="0"/>
          <w:sz w:val="20"/>
          <w:szCs w:val="20"/>
          <w:lang w:eastAsia="es-ES"/>
        </w:rPr>
        <w:t>, el Estado se centró en el hecho de que</w:t>
      </w:r>
      <w:r w:rsidRPr="0001748B">
        <w:rPr>
          <w:rFonts w:eastAsia="Calibri" w:cs="Verdana"/>
          <w:snapToGrid w:val="0"/>
          <w:sz w:val="20"/>
          <w:szCs w:val="20"/>
          <w:lang w:eastAsia="es-ES"/>
        </w:rPr>
        <w:t xml:space="preserve"> las </w:t>
      </w:r>
      <w:r>
        <w:rPr>
          <w:rFonts w:eastAsia="Calibri" w:cs="Verdana"/>
          <w:snapToGrid w:val="0"/>
          <w:sz w:val="20"/>
          <w:szCs w:val="20"/>
          <w:lang w:eastAsia="es-ES"/>
        </w:rPr>
        <w:t xml:space="preserve">actuaciones de </w:t>
      </w:r>
      <w:r w:rsidRPr="0001748B">
        <w:rPr>
          <w:rFonts w:eastAsia="Calibri" w:cs="Verdana"/>
          <w:snapToGrid w:val="0"/>
          <w:sz w:val="20"/>
          <w:szCs w:val="20"/>
          <w:lang w:eastAsia="es-ES"/>
        </w:rPr>
        <w:t xml:space="preserve">autoridades </w:t>
      </w:r>
      <w:r>
        <w:rPr>
          <w:rFonts w:eastAsia="Calibri" w:cs="Verdana"/>
          <w:snapToGrid w:val="0"/>
          <w:sz w:val="20"/>
          <w:szCs w:val="20"/>
          <w:lang w:eastAsia="es-ES"/>
        </w:rPr>
        <w:t xml:space="preserve">judiciales no fueron realizadas en un plazo razonable pero </w:t>
      </w:r>
      <w:r w:rsidRPr="00CE407E">
        <w:rPr>
          <w:rFonts w:eastAsia="Calibri" w:cs="Verdana"/>
          <w:snapToGrid w:val="0"/>
          <w:sz w:val="20"/>
          <w:szCs w:val="20"/>
          <w:lang w:val="es-ES" w:eastAsia="es-ES"/>
        </w:rPr>
        <w:t xml:space="preserve">negó su responsabilidad </w:t>
      </w:r>
      <w:r>
        <w:rPr>
          <w:rFonts w:eastAsia="Calibri" w:cs="Verdana"/>
          <w:snapToGrid w:val="0"/>
          <w:sz w:val="20"/>
          <w:szCs w:val="20"/>
          <w:lang w:val="es-ES" w:eastAsia="es-ES"/>
        </w:rPr>
        <w:t>por</w:t>
      </w:r>
      <w:r w:rsidRPr="00CE407E">
        <w:rPr>
          <w:rFonts w:eastAsia="Calibri" w:cs="Verdana"/>
          <w:snapToGrid w:val="0"/>
          <w:sz w:val="20"/>
          <w:szCs w:val="20"/>
          <w:lang w:val="es-ES" w:eastAsia="es-ES"/>
        </w:rPr>
        <w:t xml:space="preserve"> la afectación al derecho a la debida diligencia y al derecho a un tribunal imparcial</w:t>
      </w:r>
      <w:r>
        <w:rPr>
          <w:rFonts w:eastAsia="Calibri" w:cs="Verdana"/>
          <w:snapToGrid w:val="0"/>
          <w:sz w:val="20"/>
          <w:szCs w:val="20"/>
          <w:lang w:val="es-ES" w:eastAsia="es-ES"/>
        </w:rPr>
        <w:t xml:space="preserve">. </w:t>
      </w:r>
    </w:p>
    <w:p w14:paraId="6F67291C" w14:textId="77777777" w:rsidR="00542AD4" w:rsidRPr="0001748B" w:rsidRDefault="00542AD4" w:rsidP="00542AD4">
      <w:pPr>
        <w:autoSpaceDE w:val="0"/>
        <w:autoSpaceDN w:val="0"/>
        <w:rPr>
          <w:rFonts w:eastAsia="Batang"/>
          <w:bCs/>
          <w:sz w:val="20"/>
          <w:lang w:eastAsia="en-US"/>
        </w:rPr>
      </w:pPr>
    </w:p>
    <w:p w14:paraId="63A10BD5" w14:textId="77777777" w:rsidR="00542AD4" w:rsidRPr="000409C6" w:rsidRDefault="00542AD4" w:rsidP="00542AD4">
      <w:pPr>
        <w:numPr>
          <w:ilvl w:val="0"/>
          <w:numId w:val="2"/>
        </w:numPr>
        <w:tabs>
          <w:tab w:val="left" w:pos="567"/>
          <w:tab w:val="num" w:pos="1569"/>
          <w:tab w:val="num" w:pos="12305"/>
        </w:tabs>
        <w:ind w:left="0" w:firstLine="0"/>
        <w:rPr>
          <w:rFonts w:eastAsia="Calibri" w:cs="Verdana"/>
          <w:snapToGrid w:val="0"/>
          <w:sz w:val="20"/>
          <w:szCs w:val="20"/>
          <w:lang w:eastAsia="es-ES"/>
        </w:rPr>
      </w:pPr>
      <w:r>
        <w:rPr>
          <w:rFonts w:eastAsia="Batang"/>
          <w:sz w:val="20"/>
          <w:lang w:eastAsia="en-US"/>
        </w:rPr>
        <w:t xml:space="preserve">Por último, </w:t>
      </w:r>
      <w:r w:rsidRPr="000409C6">
        <w:rPr>
          <w:rFonts w:eastAsia="Calibri" w:cs="Verdana"/>
          <w:snapToGrid w:val="0"/>
          <w:sz w:val="20"/>
          <w:szCs w:val="20"/>
          <w:lang w:eastAsia="es-ES"/>
        </w:rPr>
        <w:t xml:space="preserve">teniendo en cuenta las violaciones reconocidas por el Estado, así como las observaciones de las representantes y de la Comisión, la Corte considera que este reconocimiento del Estado constituye un allanamiento parcial a las pretensiones de derecho de </w:t>
      </w:r>
      <w:r w:rsidRPr="000409C6">
        <w:rPr>
          <w:rFonts w:eastAsia="Calibri" w:cs="Verdana"/>
          <w:snapToGrid w:val="0"/>
          <w:sz w:val="20"/>
          <w:szCs w:val="20"/>
          <w:lang w:eastAsia="es-ES"/>
        </w:rPr>
        <w:lastRenderedPageBreak/>
        <w:t>la Comisión y de las representantes.</w:t>
      </w:r>
      <w:r>
        <w:rPr>
          <w:rFonts w:eastAsia="Calibri" w:cs="Verdana"/>
          <w:snapToGrid w:val="0"/>
          <w:sz w:val="20"/>
          <w:szCs w:val="20"/>
          <w:lang w:eastAsia="es-ES"/>
        </w:rPr>
        <w:t xml:space="preserve"> Sin perjuicio de lo anterior y al subsistir controversias al respecto, el Tribunal considera oportuno hacer algunas consideraciones respecto de tales derechos en el Capítulo VII de la Sentencia.</w:t>
      </w:r>
    </w:p>
    <w:p w14:paraId="344FE38A" w14:textId="77777777" w:rsidR="00542AD4" w:rsidRPr="00A4189F" w:rsidRDefault="00542AD4" w:rsidP="00542AD4">
      <w:pPr>
        <w:autoSpaceDE w:val="0"/>
        <w:autoSpaceDN w:val="0"/>
        <w:rPr>
          <w:rFonts w:eastAsia="Batang"/>
          <w:bCs/>
          <w:sz w:val="20"/>
          <w:lang w:eastAsia="en-US"/>
        </w:rPr>
      </w:pPr>
    </w:p>
    <w:p w14:paraId="77D8F3F4" w14:textId="5D7EF437" w:rsidR="00542AD4" w:rsidRPr="00164C05" w:rsidRDefault="00542AD4" w:rsidP="00542AD4">
      <w:pPr>
        <w:pStyle w:val="Heading3"/>
        <w:rPr>
          <w:b/>
        </w:rPr>
      </w:pPr>
      <w:bookmarkStart w:id="33" w:name="_Toc513644448"/>
      <w:r w:rsidRPr="00164C05">
        <w:rPr>
          <w:b/>
        </w:rPr>
        <w:t>3</w:t>
      </w:r>
      <w:r w:rsidR="00386E16">
        <w:rPr>
          <w:b/>
        </w:rPr>
        <w:t>.</w:t>
      </w:r>
      <w:r w:rsidRPr="00164C05">
        <w:rPr>
          <w:b/>
        </w:rPr>
        <w:t xml:space="preserve"> </w:t>
      </w:r>
      <w:r w:rsidRPr="00164C05">
        <w:rPr>
          <w:b/>
        </w:rPr>
        <w:tab/>
        <w:t>En cuanto a las reparaciones</w:t>
      </w:r>
      <w:bookmarkEnd w:id="33"/>
    </w:p>
    <w:p w14:paraId="5913DB23" w14:textId="77777777" w:rsidR="00542AD4" w:rsidRPr="00A4189F" w:rsidRDefault="00542AD4" w:rsidP="00542AD4">
      <w:pPr>
        <w:autoSpaceDE w:val="0"/>
        <w:autoSpaceDN w:val="0"/>
        <w:rPr>
          <w:rFonts w:eastAsia="Batang"/>
          <w:bCs/>
          <w:sz w:val="20"/>
          <w:lang w:eastAsia="en-US"/>
        </w:rPr>
      </w:pPr>
    </w:p>
    <w:p w14:paraId="69CAC586" w14:textId="4DC4F94C" w:rsidR="00542AD4" w:rsidRPr="0048663A" w:rsidRDefault="00542AD4" w:rsidP="00542AD4">
      <w:pPr>
        <w:numPr>
          <w:ilvl w:val="0"/>
          <w:numId w:val="2"/>
        </w:numPr>
        <w:tabs>
          <w:tab w:val="left" w:pos="567"/>
          <w:tab w:val="num" w:pos="1569"/>
          <w:tab w:val="num" w:pos="12305"/>
        </w:tabs>
        <w:ind w:left="0" w:firstLine="0"/>
        <w:rPr>
          <w:rFonts w:eastAsia="Batang"/>
          <w:sz w:val="20"/>
          <w:szCs w:val="20"/>
          <w:lang w:eastAsia="en-US"/>
        </w:rPr>
      </w:pPr>
      <w:r w:rsidRPr="0048663A">
        <w:rPr>
          <w:rFonts w:eastAsia="Batang"/>
          <w:sz w:val="20"/>
          <w:lang w:eastAsia="en-US"/>
        </w:rPr>
        <w:t xml:space="preserve">En lo que se refiere a las medidas de reparación, la Corte constata que el Estado </w:t>
      </w:r>
      <w:r>
        <w:rPr>
          <w:rFonts w:eastAsia="Batang"/>
          <w:sz w:val="20"/>
          <w:lang w:eastAsia="en-US"/>
        </w:rPr>
        <w:t xml:space="preserve">no reconoció las medidas solicitadas por las defensoras interamericanas. </w:t>
      </w:r>
      <w:r w:rsidRPr="0048663A">
        <w:rPr>
          <w:rFonts w:eastAsia="Batang"/>
          <w:sz w:val="20"/>
          <w:lang w:eastAsia="en-US"/>
        </w:rPr>
        <w:t xml:space="preserve">Por lo tanto, </w:t>
      </w:r>
      <w:r w:rsidRPr="0048663A">
        <w:rPr>
          <w:rFonts w:eastAsia="Batang"/>
          <w:bCs/>
          <w:sz w:val="20"/>
          <w:lang w:eastAsia="en-US"/>
        </w:rPr>
        <w:t xml:space="preserve">en el capítulo </w:t>
      </w:r>
      <w:r>
        <w:rPr>
          <w:rFonts w:eastAsia="Batang"/>
          <w:bCs/>
          <w:sz w:val="20"/>
          <w:lang w:eastAsia="en-US"/>
        </w:rPr>
        <w:t>VIII,</w:t>
      </w:r>
      <w:r w:rsidRPr="0048663A">
        <w:rPr>
          <w:rFonts w:eastAsia="Batang"/>
          <w:sz w:val="20"/>
          <w:lang w:eastAsia="en-US"/>
        </w:rPr>
        <w:t xml:space="preserve"> el Tribunal resolverá lo conducente en torno a las reparaciones</w:t>
      </w:r>
      <w:r w:rsidRPr="0048663A">
        <w:rPr>
          <w:rFonts w:eastAsia="Batang"/>
          <w:bCs/>
          <w:sz w:val="20"/>
          <w:lang w:eastAsia="en-US"/>
        </w:rPr>
        <w:t xml:space="preserve"> solicitadas por la Comisión y las representantes</w:t>
      </w:r>
      <w:r>
        <w:rPr>
          <w:rFonts w:eastAsia="Batang"/>
          <w:bCs/>
          <w:sz w:val="20"/>
          <w:lang w:eastAsia="en-US"/>
        </w:rPr>
        <w:t xml:space="preserve"> y analizará la existencia del nexo causal entre las violaciones declaradas y los daños </w:t>
      </w:r>
      <w:r w:rsidR="00C133E5">
        <w:rPr>
          <w:rFonts w:eastAsia="Batang"/>
          <w:bCs/>
          <w:sz w:val="20"/>
          <w:lang w:eastAsia="en-US"/>
        </w:rPr>
        <w:t>y medidas alegada</w:t>
      </w:r>
      <w:r>
        <w:rPr>
          <w:rFonts w:eastAsia="Batang"/>
          <w:bCs/>
          <w:sz w:val="20"/>
          <w:lang w:eastAsia="en-US"/>
        </w:rPr>
        <w:t xml:space="preserve">s por las </w:t>
      </w:r>
      <w:r w:rsidR="00C133E5">
        <w:rPr>
          <w:rFonts w:eastAsia="Batang"/>
          <w:bCs/>
          <w:sz w:val="20"/>
          <w:lang w:eastAsia="en-US"/>
        </w:rPr>
        <w:t>partes</w:t>
      </w:r>
      <w:r w:rsidRPr="0048663A">
        <w:rPr>
          <w:rFonts w:eastAsia="Batang"/>
          <w:bCs/>
          <w:sz w:val="20"/>
          <w:lang w:eastAsia="en-US"/>
        </w:rPr>
        <w:t>.</w:t>
      </w:r>
    </w:p>
    <w:p w14:paraId="23089088" w14:textId="77777777" w:rsidR="00542AD4" w:rsidRPr="00580B71" w:rsidRDefault="00542AD4" w:rsidP="00542AD4">
      <w:pPr>
        <w:autoSpaceDE w:val="0"/>
        <w:autoSpaceDN w:val="0"/>
        <w:rPr>
          <w:rFonts w:eastAsia="Calibri" w:cs="Verdana"/>
          <w:snapToGrid w:val="0"/>
          <w:sz w:val="20"/>
          <w:szCs w:val="20"/>
          <w:lang w:eastAsia="es-ES"/>
        </w:rPr>
      </w:pPr>
    </w:p>
    <w:p w14:paraId="1A9D65A2" w14:textId="117A53E2" w:rsidR="00542AD4" w:rsidRPr="00164C05" w:rsidRDefault="00542AD4" w:rsidP="00542AD4">
      <w:pPr>
        <w:pStyle w:val="Heading3"/>
        <w:rPr>
          <w:b/>
        </w:rPr>
      </w:pPr>
      <w:bookmarkStart w:id="34" w:name="_Toc513644449"/>
      <w:r w:rsidRPr="00164C05">
        <w:rPr>
          <w:b/>
        </w:rPr>
        <w:t>4</w:t>
      </w:r>
      <w:r w:rsidR="00386E16">
        <w:rPr>
          <w:b/>
        </w:rPr>
        <w:t>.</w:t>
      </w:r>
      <w:r w:rsidRPr="00164C05">
        <w:rPr>
          <w:b/>
        </w:rPr>
        <w:t xml:space="preserve"> </w:t>
      </w:r>
      <w:r w:rsidRPr="00164C05">
        <w:rPr>
          <w:b/>
        </w:rPr>
        <w:tab/>
        <w:t>Valoración del alcance del reconocimiento parcial de responsabilidad</w:t>
      </w:r>
      <w:bookmarkEnd w:id="34"/>
    </w:p>
    <w:p w14:paraId="2350C27B" w14:textId="77777777" w:rsidR="00542AD4" w:rsidRPr="0001748B" w:rsidRDefault="00542AD4" w:rsidP="00542AD4">
      <w:pPr>
        <w:autoSpaceDE w:val="0"/>
        <w:autoSpaceDN w:val="0"/>
        <w:rPr>
          <w:rFonts w:eastAsia="Batang"/>
          <w:sz w:val="20"/>
          <w:lang w:eastAsia="en-US"/>
        </w:rPr>
      </w:pPr>
    </w:p>
    <w:p w14:paraId="6C41BF39" w14:textId="5A9FF8D7" w:rsidR="00542AD4" w:rsidRPr="0001748B" w:rsidRDefault="00542AD4" w:rsidP="00542AD4">
      <w:pPr>
        <w:numPr>
          <w:ilvl w:val="0"/>
          <w:numId w:val="2"/>
        </w:numPr>
        <w:tabs>
          <w:tab w:val="left" w:pos="567"/>
          <w:tab w:val="num" w:pos="1569"/>
          <w:tab w:val="num" w:pos="12305"/>
        </w:tabs>
        <w:ind w:left="0" w:firstLine="0"/>
        <w:rPr>
          <w:rFonts w:eastAsia="Calibri" w:cs="Verdana"/>
          <w:bCs/>
          <w:snapToGrid w:val="0"/>
          <w:sz w:val="20"/>
          <w:szCs w:val="20"/>
          <w:lang w:eastAsia="es-ES"/>
        </w:rPr>
      </w:pPr>
      <w:r w:rsidRPr="0001748B">
        <w:rPr>
          <w:rFonts w:eastAsia="Calibri" w:cs="Verdana"/>
          <w:snapToGrid w:val="0"/>
          <w:sz w:val="20"/>
          <w:szCs w:val="20"/>
          <w:lang w:eastAsia="es-ES"/>
        </w:rPr>
        <w:t>En virtud de lo anterior y de las atribuciones que le incumben como órgano internacional de protección de los derechos humanos, la Corte estima necesario, en atención a las particularidades de los hechos sucedidos en el presente caso</w:t>
      </w:r>
      <w:r w:rsidRPr="0001748B">
        <w:rPr>
          <w:rFonts w:eastAsia="Calibri" w:cs="Verdana"/>
          <w:bCs/>
          <w:snapToGrid w:val="0"/>
          <w:sz w:val="20"/>
          <w:szCs w:val="20"/>
          <w:lang w:eastAsia="es-ES"/>
        </w:rPr>
        <w:t xml:space="preserve"> y</w:t>
      </w:r>
      <w:r w:rsidRPr="0001748B">
        <w:rPr>
          <w:rFonts w:eastAsia="Calibri" w:cs="Verdana"/>
          <w:snapToGrid w:val="0"/>
          <w:sz w:val="20"/>
          <w:szCs w:val="20"/>
          <w:lang w:eastAsia="es-ES"/>
        </w:rPr>
        <w:t xml:space="preserve"> a la forma como se ha desarrollado la </w:t>
      </w:r>
      <w:r>
        <w:rPr>
          <w:rFonts w:eastAsia="Calibri" w:cs="Verdana"/>
          <w:snapToGrid w:val="0"/>
          <w:sz w:val="20"/>
          <w:szCs w:val="20"/>
          <w:lang w:eastAsia="es-ES"/>
        </w:rPr>
        <w:t>controversia, dictar una S</w:t>
      </w:r>
      <w:r w:rsidRPr="0001748B">
        <w:rPr>
          <w:rFonts w:eastAsia="Calibri" w:cs="Verdana"/>
          <w:snapToGrid w:val="0"/>
          <w:sz w:val="20"/>
          <w:szCs w:val="20"/>
          <w:lang w:eastAsia="es-ES"/>
        </w:rPr>
        <w:t xml:space="preserve">entencia en la cual se determinen los hechos ocurridos de acuerdo a la prueba recabada en el proceso ante este Tribunal, que se repitan hechos similares y a satisfacer, en suma, los fines de la jurisdicción </w:t>
      </w:r>
      <w:r w:rsidR="00BB4919" w:rsidRPr="0001748B">
        <w:rPr>
          <w:rFonts w:eastAsia="Calibri" w:cs="Times"/>
          <w:snapToGrid w:val="0"/>
          <w:sz w:val="20"/>
          <w:szCs w:val="20"/>
          <w:lang w:eastAsia="es-ES"/>
        </w:rPr>
        <w:t>toda</w:t>
      </w:r>
      <w:r w:rsidR="00BB4919" w:rsidRPr="0001748B">
        <w:rPr>
          <w:rFonts w:eastAsia="Calibri" w:cs="Verdana"/>
          <w:snapToGrid w:val="0"/>
          <w:sz w:val="20"/>
          <w:szCs w:val="20"/>
          <w:lang w:eastAsia="es-ES"/>
        </w:rPr>
        <w:t xml:space="preserve"> vez que ello contribuye a la reparación de los familiares del señor </w:t>
      </w:r>
      <w:r w:rsidR="00BB4919">
        <w:rPr>
          <w:rFonts w:eastAsia="Calibri" w:cs="Verdana"/>
          <w:snapToGrid w:val="0"/>
          <w:sz w:val="20"/>
          <w:szCs w:val="20"/>
          <w:lang w:eastAsia="es-ES"/>
        </w:rPr>
        <w:t>Poblete Vilches</w:t>
      </w:r>
      <w:r w:rsidR="00BB4919" w:rsidRPr="0001748B">
        <w:rPr>
          <w:rFonts w:eastAsia="Calibri" w:cs="Verdana"/>
          <w:snapToGrid w:val="0"/>
          <w:sz w:val="20"/>
          <w:szCs w:val="20"/>
          <w:lang w:eastAsia="es-ES"/>
        </w:rPr>
        <w:t xml:space="preserve">, a evitar </w:t>
      </w:r>
      <w:r w:rsidRPr="0001748B">
        <w:rPr>
          <w:rFonts w:eastAsia="Calibri" w:cs="Verdana"/>
          <w:snapToGrid w:val="0"/>
          <w:sz w:val="20"/>
          <w:szCs w:val="20"/>
          <w:lang w:eastAsia="es-ES"/>
        </w:rPr>
        <w:t>interamericana sobre derechos humanos</w:t>
      </w:r>
      <w:r>
        <w:rPr>
          <w:rStyle w:val="FootnoteReference"/>
          <w:rFonts w:eastAsia="Calibri" w:cs="Verdana"/>
          <w:snapToGrid w:val="0"/>
          <w:sz w:val="20"/>
          <w:szCs w:val="20"/>
          <w:lang w:eastAsia="es-ES"/>
        </w:rPr>
        <w:footnoteReference w:id="20"/>
      </w:r>
      <w:r w:rsidRPr="0001748B">
        <w:rPr>
          <w:rFonts w:eastAsia="Calibri" w:cs="Verdana"/>
          <w:snapToGrid w:val="0"/>
          <w:sz w:val="20"/>
          <w:szCs w:val="20"/>
          <w:lang w:eastAsia="es-ES"/>
        </w:rPr>
        <w:t>.</w:t>
      </w:r>
    </w:p>
    <w:p w14:paraId="3151E60B" w14:textId="77777777" w:rsidR="00542AD4" w:rsidRPr="0001748B" w:rsidRDefault="00542AD4" w:rsidP="00542AD4">
      <w:pPr>
        <w:autoSpaceDE w:val="0"/>
        <w:autoSpaceDN w:val="0"/>
        <w:rPr>
          <w:rFonts w:eastAsia="Calibri" w:cs="Verdana"/>
          <w:snapToGrid w:val="0"/>
          <w:sz w:val="20"/>
          <w:szCs w:val="20"/>
          <w:lang w:eastAsia="es-ES"/>
        </w:rPr>
      </w:pPr>
    </w:p>
    <w:p w14:paraId="2DF302E6" w14:textId="77777777" w:rsidR="00342270" w:rsidRPr="00C27894" w:rsidRDefault="00542AD4" w:rsidP="00C27894">
      <w:pPr>
        <w:numPr>
          <w:ilvl w:val="0"/>
          <w:numId w:val="2"/>
        </w:numPr>
        <w:tabs>
          <w:tab w:val="left" w:pos="567"/>
          <w:tab w:val="num" w:pos="1569"/>
          <w:tab w:val="num" w:pos="12305"/>
        </w:tabs>
        <w:ind w:left="0" w:firstLine="0"/>
        <w:rPr>
          <w:sz w:val="20"/>
        </w:rPr>
      </w:pPr>
      <w:r w:rsidRPr="0001748B">
        <w:rPr>
          <w:rFonts w:eastAsia="Calibri" w:cs="Verdana"/>
          <w:snapToGrid w:val="0"/>
          <w:sz w:val="20"/>
          <w:szCs w:val="20"/>
          <w:lang w:eastAsia="es-ES"/>
        </w:rPr>
        <w:t xml:space="preserve">De igual forma y </w:t>
      </w:r>
      <w:r w:rsidRPr="0001748B">
        <w:rPr>
          <w:rFonts w:eastAsia="Batang"/>
          <w:sz w:val="20"/>
          <w:lang w:eastAsia="en-US"/>
        </w:rPr>
        <w:t xml:space="preserve">en aras de asegurar una mejor comprensión de la responsabilidad internacional estatal en el presente caso y del nexo causal entre las violaciones establecidas y las reparaciones que se ordenarán, la Corte estima pertinente precisar </w:t>
      </w:r>
      <w:r>
        <w:rPr>
          <w:rFonts w:eastAsia="Batang"/>
          <w:sz w:val="20"/>
          <w:lang w:eastAsia="en-US"/>
        </w:rPr>
        <w:t xml:space="preserve">el alcance y clasificación de </w:t>
      </w:r>
      <w:r w:rsidRPr="0001748B">
        <w:rPr>
          <w:rFonts w:eastAsia="Batang"/>
          <w:sz w:val="20"/>
          <w:lang w:eastAsia="en-US"/>
        </w:rPr>
        <w:t>las violaciones a los derechos humanos que</w:t>
      </w:r>
      <w:r>
        <w:rPr>
          <w:rFonts w:eastAsia="Batang"/>
          <w:sz w:val="20"/>
          <w:lang w:eastAsia="en-US"/>
        </w:rPr>
        <w:t xml:space="preserve"> acontecieron en el presente caso</w:t>
      </w:r>
      <w:r>
        <w:rPr>
          <w:rStyle w:val="FootnoteReference"/>
          <w:rFonts w:eastAsia="Batang"/>
          <w:sz w:val="20"/>
          <w:lang w:eastAsia="en-US"/>
        </w:rPr>
        <w:footnoteReference w:id="21"/>
      </w:r>
      <w:r w:rsidRPr="0001748B">
        <w:rPr>
          <w:rFonts w:eastAsia="Batang"/>
          <w:sz w:val="20"/>
          <w:lang w:eastAsia="en-US"/>
        </w:rPr>
        <w:t>.</w:t>
      </w:r>
    </w:p>
    <w:p w14:paraId="5EC2EF4B" w14:textId="77777777" w:rsidR="00342270" w:rsidRPr="00342270" w:rsidRDefault="00342270" w:rsidP="00342270">
      <w:pPr>
        <w:tabs>
          <w:tab w:val="left" w:pos="720"/>
        </w:tabs>
        <w:ind w:right="-90"/>
        <w:rPr>
          <w:sz w:val="20"/>
          <w:lang w:val="es-ES"/>
        </w:rPr>
      </w:pPr>
    </w:p>
    <w:p w14:paraId="776303DB" w14:textId="77777777" w:rsidR="007A1A14" w:rsidRDefault="007A1A14" w:rsidP="006B2A4D">
      <w:pPr>
        <w:pStyle w:val="Title"/>
      </w:pPr>
      <w:bookmarkStart w:id="35" w:name="_Toc375517114"/>
      <w:bookmarkStart w:id="36" w:name="_Toc459158102"/>
      <w:bookmarkStart w:id="37" w:name="_Toc470180046"/>
      <w:bookmarkStart w:id="38" w:name="_Toc513644450"/>
      <w:r w:rsidRPr="0071582F">
        <w:t>V</w:t>
      </w:r>
      <w:r w:rsidRPr="0071582F">
        <w:br/>
        <w:t>PRUEBA</w:t>
      </w:r>
      <w:bookmarkEnd w:id="35"/>
      <w:bookmarkEnd w:id="36"/>
      <w:bookmarkEnd w:id="37"/>
      <w:bookmarkEnd w:id="38"/>
    </w:p>
    <w:p w14:paraId="2C97F32D" w14:textId="77777777" w:rsidR="00F3026E" w:rsidRPr="00F3026E" w:rsidRDefault="00F3026E" w:rsidP="00F3026E">
      <w:pPr>
        <w:rPr>
          <w:sz w:val="20"/>
          <w:szCs w:val="20"/>
        </w:rPr>
      </w:pPr>
    </w:p>
    <w:p w14:paraId="5C58E089" w14:textId="77777777" w:rsidR="007A1A14" w:rsidRPr="0071582F" w:rsidRDefault="007A1A14" w:rsidP="00C27894">
      <w:pPr>
        <w:pStyle w:val="Heading2"/>
        <w:numPr>
          <w:ilvl w:val="0"/>
          <w:numId w:val="21"/>
        </w:numPr>
      </w:pPr>
      <w:bookmarkStart w:id="39" w:name="_Toc375517115"/>
      <w:bookmarkStart w:id="40" w:name="_Toc459158103"/>
      <w:bookmarkStart w:id="41" w:name="_Toc470180047"/>
      <w:bookmarkStart w:id="42" w:name="_Toc513644451"/>
      <w:r w:rsidRPr="0071582F">
        <w:t>Prueba documental, testimonial y pericial</w:t>
      </w:r>
      <w:bookmarkEnd w:id="39"/>
      <w:bookmarkEnd w:id="40"/>
      <w:bookmarkEnd w:id="41"/>
      <w:bookmarkEnd w:id="42"/>
    </w:p>
    <w:p w14:paraId="58AAC3C8" w14:textId="77777777" w:rsidR="007A1A14" w:rsidRPr="0071582F" w:rsidRDefault="007A1A14" w:rsidP="00F3026E">
      <w:pPr>
        <w:tabs>
          <w:tab w:val="left" w:pos="567"/>
        </w:tabs>
        <w:autoSpaceDE w:val="0"/>
        <w:autoSpaceDN w:val="0"/>
        <w:rPr>
          <w:rFonts w:cs="Verdana"/>
          <w:sz w:val="20"/>
          <w:szCs w:val="20"/>
          <w:lang w:eastAsia="en-US"/>
        </w:rPr>
      </w:pPr>
    </w:p>
    <w:p w14:paraId="2A25AB98" w14:textId="0B8F2848" w:rsidR="00D96547" w:rsidRPr="00C133E5" w:rsidRDefault="007A1A14" w:rsidP="006B458C">
      <w:pPr>
        <w:numPr>
          <w:ilvl w:val="0"/>
          <w:numId w:val="2"/>
        </w:numPr>
        <w:tabs>
          <w:tab w:val="left" w:pos="567"/>
          <w:tab w:val="num" w:pos="1569"/>
          <w:tab w:val="num" w:pos="12305"/>
        </w:tabs>
        <w:ind w:left="0" w:firstLine="0"/>
        <w:rPr>
          <w:sz w:val="22"/>
          <w:szCs w:val="22"/>
        </w:rPr>
      </w:pPr>
      <w:r w:rsidRPr="00D96547">
        <w:rPr>
          <w:sz w:val="20"/>
          <w:szCs w:val="20"/>
        </w:rPr>
        <w:t>La Corte recibió diversos documentos presentados como prueba por el Estado, la</w:t>
      </w:r>
      <w:r w:rsidR="00310187" w:rsidRPr="00D96547">
        <w:rPr>
          <w:sz w:val="20"/>
          <w:szCs w:val="20"/>
        </w:rPr>
        <w:t>s</w:t>
      </w:r>
      <w:r w:rsidRPr="00D96547">
        <w:rPr>
          <w:sz w:val="20"/>
          <w:szCs w:val="20"/>
        </w:rPr>
        <w:t xml:space="preserve"> representante</w:t>
      </w:r>
      <w:r w:rsidR="00310187" w:rsidRPr="00D96547">
        <w:rPr>
          <w:sz w:val="20"/>
          <w:szCs w:val="20"/>
        </w:rPr>
        <w:t>s</w:t>
      </w:r>
      <w:r w:rsidRPr="00D96547">
        <w:rPr>
          <w:sz w:val="20"/>
          <w:szCs w:val="20"/>
        </w:rPr>
        <w:t xml:space="preserve"> y la Comisión Interamericana, adjuntos a sus escritos principales y de alegatos finales (</w:t>
      </w:r>
      <w:r w:rsidR="00062586" w:rsidRPr="00062586">
        <w:rPr>
          <w:i/>
          <w:sz w:val="20"/>
          <w:szCs w:val="20"/>
        </w:rPr>
        <w:t>supra</w:t>
      </w:r>
      <w:r w:rsidRPr="00D96547">
        <w:rPr>
          <w:sz w:val="20"/>
          <w:szCs w:val="20"/>
        </w:rPr>
        <w:t xml:space="preserve"> </w:t>
      </w:r>
      <w:proofErr w:type="spellStart"/>
      <w:r w:rsidRPr="00D96547">
        <w:rPr>
          <w:sz w:val="20"/>
          <w:szCs w:val="20"/>
        </w:rPr>
        <w:t>párrs</w:t>
      </w:r>
      <w:proofErr w:type="spellEnd"/>
      <w:r w:rsidRPr="00D96547">
        <w:rPr>
          <w:sz w:val="20"/>
          <w:szCs w:val="20"/>
        </w:rPr>
        <w:t xml:space="preserve">. </w:t>
      </w:r>
      <w:r w:rsidR="005A65DF">
        <w:rPr>
          <w:sz w:val="20"/>
          <w:szCs w:val="20"/>
        </w:rPr>
        <w:t>5 a 13</w:t>
      </w:r>
      <w:r w:rsidRPr="00D96547">
        <w:rPr>
          <w:sz w:val="20"/>
          <w:szCs w:val="20"/>
        </w:rPr>
        <w:t>). Asimismo, la Corte recibió las declaraciones rendidas ante fedatario público (</w:t>
      </w:r>
      <w:r w:rsidRPr="00D96547">
        <w:rPr>
          <w:i/>
          <w:iCs/>
          <w:sz w:val="20"/>
          <w:szCs w:val="20"/>
        </w:rPr>
        <w:t>a</w:t>
      </w:r>
      <w:r w:rsidR="009D01BA" w:rsidRPr="00D96547">
        <w:rPr>
          <w:i/>
          <w:iCs/>
          <w:sz w:val="20"/>
          <w:szCs w:val="20"/>
        </w:rPr>
        <w:t>f</w:t>
      </w:r>
      <w:r w:rsidRPr="00D96547">
        <w:rPr>
          <w:i/>
          <w:iCs/>
          <w:sz w:val="20"/>
          <w:szCs w:val="20"/>
        </w:rPr>
        <w:t>fidávit</w:t>
      </w:r>
      <w:r w:rsidRPr="00D96547">
        <w:rPr>
          <w:sz w:val="20"/>
          <w:szCs w:val="20"/>
        </w:rPr>
        <w:t xml:space="preserve">) </w:t>
      </w:r>
      <w:r w:rsidR="00310187" w:rsidRPr="00D96547">
        <w:rPr>
          <w:sz w:val="20"/>
          <w:szCs w:val="20"/>
        </w:rPr>
        <w:t>de</w:t>
      </w:r>
      <w:r w:rsidRPr="00D96547">
        <w:rPr>
          <w:sz w:val="20"/>
          <w:szCs w:val="20"/>
        </w:rPr>
        <w:t xml:space="preserve"> </w:t>
      </w:r>
      <w:proofErr w:type="spellStart"/>
      <w:r w:rsidR="00310187" w:rsidRPr="00D96547">
        <w:rPr>
          <w:sz w:val="20"/>
          <w:szCs w:val="20"/>
        </w:rPr>
        <w:t>Cesia</w:t>
      </w:r>
      <w:proofErr w:type="spellEnd"/>
      <w:r w:rsidR="00310187" w:rsidRPr="00D96547">
        <w:rPr>
          <w:sz w:val="20"/>
          <w:szCs w:val="20"/>
        </w:rPr>
        <w:t xml:space="preserve"> Leila Poblete Tapia, Alejandra Marcela Fuentes Poblete y Sandra </w:t>
      </w:r>
      <w:proofErr w:type="spellStart"/>
      <w:r w:rsidR="00310187" w:rsidRPr="00D96547">
        <w:rPr>
          <w:sz w:val="20"/>
          <w:szCs w:val="20"/>
        </w:rPr>
        <w:t>Momtufar</w:t>
      </w:r>
      <w:proofErr w:type="spellEnd"/>
      <w:r w:rsidR="00310187" w:rsidRPr="00D96547">
        <w:rPr>
          <w:sz w:val="20"/>
          <w:szCs w:val="20"/>
        </w:rPr>
        <w:t xml:space="preserve"> Castillo, propuestas por las defensoras interamericanas y Patricia Isabel Navarrete y Osvaldo Salgado Zepeda, propuestos por el Estado</w:t>
      </w:r>
      <w:r w:rsidRPr="00D96547">
        <w:rPr>
          <w:sz w:val="20"/>
          <w:szCs w:val="20"/>
        </w:rPr>
        <w:t>. De igual for</w:t>
      </w:r>
      <w:r w:rsidR="00310187" w:rsidRPr="00D96547">
        <w:rPr>
          <w:sz w:val="20"/>
          <w:szCs w:val="20"/>
        </w:rPr>
        <w:t>ma, recibió los dictámenes de los perito</w:t>
      </w:r>
      <w:r w:rsidRPr="00D96547">
        <w:rPr>
          <w:sz w:val="20"/>
          <w:szCs w:val="20"/>
        </w:rPr>
        <w:t xml:space="preserve">s </w:t>
      </w:r>
      <w:r w:rsidR="00310187" w:rsidRPr="00D96547">
        <w:rPr>
          <w:sz w:val="20"/>
          <w:szCs w:val="20"/>
        </w:rPr>
        <w:t xml:space="preserve">Fernando </w:t>
      </w:r>
      <w:proofErr w:type="spellStart"/>
      <w:r w:rsidR="00310187" w:rsidRPr="00D96547">
        <w:rPr>
          <w:sz w:val="20"/>
          <w:szCs w:val="20"/>
        </w:rPr>
        <w:t>Mussa</w:t>
      </w:r>
      <w:proofErr w:type="spellEnd"/>
      <w:r w:rsidR="00310187" w:rsidRPr="00D96547">
        <w:rPr>
          <w:sz w:val="20"/>
          <w:szCs w:val="20"/>
        </w:rPr>
        <w:t xml:space="preserve"> </w:t>
      </w:r>
      <w:proofErr w:type="spellStart"/>
      <w:r w:rsidR="00310187" w:rsidRPr="00D96547">
        <w:rPr>
          <w:sz w:val="20"/>
          <w:szCs w:val="20"/>
        </w:rPr>
        <w:t>Abujamra</w:t>
      </w:r>
      <w:proofErr w:type="spellEnd"/>
      <w:r w:rsidR="00310187" w:rsidRPr="00D96547">
        <w:rPr>
          <w:sz w:val="20"/>
          <w:szCs w:val="20"/>
        </w:rPr>
        <w:t xml:space="preserve"> </w:t>
      </w:r>
      <w:proofErr w:type="spellStart"/>
      <w:r w:rsidR="00310187" w:rsidRPr="00D96547">
        <w:rPr>
          <w:sz w:val="20"/>
          <w:szCs w:val="20"/>
        </w:rPr>
        <w:t>Aith</w:t>
      </w:r>
      <w:proofErr w:type="spellEnd"/>
      <w:r w:rsidR="00310187" w:rsidRPr="00D96547">
        <w:rPr>
          <w:sz w:val="20"/>
          <w:szCs w:val="20"/>
        </w:rPr>
        <w:t xml:space="preserve"> y Hernán Víctor </w:t>
      </w:r>
      <w:proofErr w:type="spellStart"/>
      <w:r w:rsidR="00310187" w:rsidRPr="00D96547">
        <w:rPr>
          <w:sz w:val="20"/>
          <w:szCs w:val="20"/>
        </w:rPr>
        <w:t>Gullco</w:t>
      </w:r>
      <w:proofErr w:type="spellEnd"/>
      <w:r w:rsidR="00310187" w:rsidRPr="00D96547">
        <w:rPr>
          <w:sz w:val="20"/>
          <w:szCs w:val="20"/>
        </w:rPr>
        <w:t>, propuestos por las defensoras interamericanas y Claudio Fuentes, propuesto por el Estado</w:t>
      </w:r>
      <w:r w:rsidRPr="00D96547">
        <w:rPr>
          <w:sz w:val="20"/>
          <w:szCs w:val="20"/>
        </w:rPr>
        <w:t xml:space="preserve">. En cuanto a la prueba rendida en audiencia pública, la Corte recibió las declaraciones de la presunta víctima </w:t>
      </w:r>
      <w:r w:rsidR="00342270" w:rsidRPr="00D96547">
        <w:rPr>
          <w:rFonts w:cs="Arial"/>
          <w:iCs/>
          <w:sz w:val="20"/>
          <w:szCs w:val="20"/>
        </w:rPr>
        <w:t>Vinicio Marco Antonio Poblete Tapia</w:t>
      </w:r>
      <w:r w:rsidRPr="00D96547">
        <w:rPr>
          <w:rFonts w:cs="Arial"/>
          <w:iCs/>
          <w:sz w:val="20"/>
          <w:szCs w:val="20"/>
        </w:rPr>
        <w:t xml:space="preserve"> y del testigo </w:t>
      </w:r>
      <w:r w:rsidR="00342270" w:rsidRPr="00D96547">
        <w:rPr>
          <w:rFonts w:cs="Arial"/>
          <w:iCs/>
          <w:sz w:val="20"/>
          <w:szCs w:val="20"/>
        </w:rPr>
        <w:t xml:space="preserve">Rodrigo Avendaño </w:t>
      </w:r>
      <w:proofErr w:type="spellStart"/>
      <w:r w:rsidR="00342270" w:rsidRPr="00D96547">
        <w:rPr>
          <w:rFonts w:cs="Arial"/>
          <w:iCs/>
          <w:sz w:val="20"/>
          <w:szCs w:val="20"/>
        </w:rPr>
        <w:t>Brandeis</w:t>
      </w:r>
      <w:proofErr w:type="spellEnd"/>
      <w:r w:rsidRPr="00D96547">
        <w:rPr>
          <w:rFonts w:cs="Arial"/>
          <w:iCs/>
          <w:sz w:val="20"/>
          <w:szCs w:val="20"/>
        </w:rPr>
        <w:t xml:space="preserve">, </w:t>
      </w:r>
      <w:r w:rsidR="00342270" w:rsidRPr="00D96547">
        <w:rPr>
          <w:rFonts w:cs="Arial"/>
          <w:iCs/>
          <w:sz w:val="20"/>
          <w:szCs w:val="20"/>
        </w:rPr>
        <w:t xml:space="preserve">propuesto por el Estado; </w:t>
      </w:r>
      <w:r w:rsidRPr="00D96547">
        <w:rPr>
          <w:rFonts w:cs="Arial"/>
          <w:iCs/>
          <w:sz w:val="20"/>
          <w:szCs w:val="20"/>
        </w:rPr>
        <w:t xml:space="preserve">así como de los peritos </w:t>
      </w:r>
      <w:r w:rsidR="00342270" w:rsidRPr="00D96547">
        <w:rPr>
          <w:rFonts w:cs="Arial"/>
          <w:iCs/>
          <w:sz w:val="20"/>
          <w:szCs w:val="20"/>
        </w:rPr>
        <w:t xml:space="preserve">Alicia Ely </w:t>
      </w:r>
      <w:proofErr w:type="spellStart"/>
      <w:r w:rsidR="00342270" w:rsidRPr="00D96547">
        <w:rPr>
          <w:rFonts w:cs="Arial"/>
          <w:iCs/>
          <w:sz w:val="20"/>
          <w:szCs w:val="20"/>
        </w:rPr>
        <w:t>Yemin</w:t>
      </w:r>
      <w:proofErr w:type="spellEnd"/>
      <w:r w:rsidR="00342270" w:rsidRPr="00D96547">
        <w:rPr>
          <w:rFonts w:cs="Arial"/>
          <w:iCs/>
          <w:sz w:val="20"/>
          <w:szCs w:val="20"/>
        </w:rPr>
        <w:t>, propuesta por la Comisión</w:t>
      </w:r>
      <w:r w:rsidRPr="00D96547">
        <w:rPr>
          <w:rFonts w:cs="Arial"/>
          <w:iCs/>
          <w:sz w:val="20"/>
          <w:szCs w:val="20"/>
        </w:rPr>
        <w:t xml:space="preserve"> y </w:t>
      </w:r>
      <w:r w:rsidR="00342270" w:rsidRPr="00D96547">
        <w:rPr>
          <w:rFonts w:cs="Arial"/>
          <w:iCs/>
          <w:sz w:val="20"/>
          <w:szCs w:val="20"/>
        </w:rPr>
        <w:t>Javier Alejandro Santos, propuesto por las defensoras interamericanas</w:t>
      </w:r>
      <w:r w:rsidRPr="00D96547">
        <w:rPr>
          <w:sz w:val="20"/>
          <w:szCs w:val="20"/>
        </w:rPr>
        <w:t>.</w:t>
      </w:r>
      <w:r w:rsidR="00342270" w:rsidRPr="00D96547">
        <w:rPr>
          <w:sz w:val="20"/>
          <w:szCs w:val="20"/>
        </w:rPr>
        <w:t xml:space="preserve"> </w:t>
      </w:r>
      <w:r w:rsidR="009A7BFF" w:rsidRPr="00D96547">
        <w:rPr>
          <w:sz w:val="20"/>
          <w:szCs w:val="20"/>
        </w:rPr>
        <w:t xml:space="preserve">Por otra parte, </w:t>
      </w:r>
      <w:r w:rsidR="002A5452" w:rsidRPr="006B458C">
        <w:rPr>
          <w:sz w:val="20"/>
          <w:szCs w:val="20"/>
        </w:rPr>
        <w:t>de conformidad con el artículo 59. b) del Reglamento</w:t>
      </w:r>
      <w:r w:rsidR="002A5452">
        <w:rPr>
          <w:sz w:val="20"/>
          <w:szCs w:val="20"/>
        </w:rPr>
        <w:t>,</w:t>
      </w:r>
      <w:r w:rsidR="002A5452" w:rsidRPr="006B458C">
        <w:rPr>
          <w:sz w:val="20"/>
          <w:szCs w:val="20"/>
        </w:rPr>
        <w:t xml:space="preserve"> </w:t>
      </w:r>
      <w:r w:rsidR="009A7BFF" w:rsidRPr="00D96547">
        <w:rPr>
          <w:sz w:val="20"/>
          <w:szCs w:val="20"/>
        </w:rPr>
        <w:t xml:space="preserve">la Corte </w:t>
      </w:r>
      <w:r w:rsidR="00D96547" w:rsidRPr="00D96547">
        <w:rPr>
          <w:sz w:val="20"/>
          <w:szCs w:val="20"/>
        </w:rPr>
        <w:t>solicitó</w:t>
      </w:r>
      <w:r w:rsidR="009A7BFF" w:rsidRPr="00D96547">
        <w:rPr>
          <w:sz w:val="20"/>
          <w:szCs w:val="20"/>
        </w:rPr>
        <w:t xml:space="preserve"> como prueba para mejor resolver “</w:t>
      </w:r>
      <w:r w:rsidR="009A7BFF" w:rsidRPr="0059117C">
        <w:rPr>
          <w:sz w:val="20"/>
          <w:szCs w:val="20"/>
        </w:rPr>
        <w:t>el Oficio No. 02609 de la Dirección del Servicio Metropolitano Sur Oriente dirigido al Ministerio de Salud de Chile</w:t>
      </w:r>
      <w:r w:rsidR="009A7BFF" w:rsidRPr="00D96547">
        <w:rPr>
          <w:sz w:val="20"/>
          <w:szCs w:val="20"/>
        </w:rPr>
        <w:t xml:space="preserve">” </w:t>
      </w:r>
      <w:r w:rsidR="00D92C77" w:rsidRPr="00D96547">
        <w:rPr>
          <w:sz w:val="20"/>
          <w:szCs w:val="20"/>
        </w:rPr>
        <w:t>y la “Resolución de la Suprema Corte de Justicia de 14 de agosto de 2014”</w:t>
      </w:r>
      <w:r w:rsidR="007D1C3E">
        <w:rPr>
          <w:sz w:val="20"/>
          <w:szCs w:val="20"/>
        </w:rPr>
        <w:t xml:space="preserve">. El Estado </w:t>
      </w:r>
      <w:r w:rsidR="007D1C3E">
        <w:rPr>
          <w:sz w:val="20"/>
          <w:szCs w:val="20"/>
        </w:rPr>
        <w:lastRenderedPageBreak/>
        <w:t>presentó dicha documentación mediante comunicación de</w:t>
      </w:r>
      <w:r w:rsidR="002A75B3">
        <w:rPr>
          <w:sz w:val="20"/>
          <w:szCs w:val="20"/>
        </w:rPr>
        <w:t xml:space="preserve"> 22 de diciembre de 2017 y de </w:t>
      </w:r>
      <w:r w:rsidR="002A75B3" w:rsidRPr="00C133E5">
        <w:rPr>
          <w:sz w:val="20"/>
          <w:szCs w:val="20"/>
        </w:rPr>
        <w:t>13</w:t>
      </w:r>
      <w:r w:rsidR="007D1C3E" w:rsidRPr="00C133E5">
        <w:rPr>
          <w:sz w:val="20"/>
          <w:szCs w:val="20"/>
        </w:rPr>
        <w:t xml:space="preserve"> de febrero de 2018</w:t>
      </w:r>
      <w:r w:rsidR="002A5452" w:rsidRPr="00C133E5">
        <w:rPr>
          <w:rStyle w:val="FootnoteReference"/>
          <w:sz w:val="20"/>
          <w:szCs w:val="20"/>
        </w:rPr>
        <w:footnoteReference w:id="22"/>
      </w:r>
      <w:r w:rsidR="002A5452" w:rsidRPr="00C133E5">
        <w:rPr>
          <w:sz w:val="20"/>
          <w:szCs w:val="20"/>
        </w:rPr>
        <w:t xml:space="preserve">, la cual fue transmitida a las </w:t>
      </w:r>
      <w:r w:rsidR="00226E9B" w:rsidRPr="00C133E5">
        <w:rPr>
          <w:sz w:val="20"/>
          <w:szCs w:val="20"/>
        </w:rPr>
        <w:t>representantes</w:t>
      </w:r>
      <w:r w:rsidR="002A5452" w:rsidRPr="00C133E5">
        <w:rPr>
          <w:sz w:val="20"/>
          <w:szCs w:val="20"/>
        </w:rPr>
        <w:t xml:space="preserve"> y</w:t>
      </w:r>
      <w:r w:rsidR="00226E9B" w:rsidRPr="00C133E5">
        <w:rPr>
          <w:sz w:val="20"/>
          <w:szCs w:val="20"/>
        </w:rPr>
        <w:t xml:space="preserve"> a</w:t>
      </w:r>
      <w:r w:rsidR="002A5452" w:rsidRPr="00C133E5">
        <w:rPr>
          <w:sz w:val="20"/>
          <w:szCs w:val="20"/>
        </w:rPr>
        <w:t xml:space="preserve"> la Comisión.</w:t>
      </w:r>
    </w:p>
    <w:p w14:paraId="0234BB31" w14:textId="77777777" w:rsidR="007A1A14" w:rsidRPr="00D96547" w:rsidRDefault="007A1A14" w:rsidP="00F3026E">
      <w:pPr>
        <w:autoSpaceDE w:val="0"/>
        <w:autoSpaceDN w:val="0"/>
        <w:rPr>
          <w:sz w:val="20"/>
          <w:szCs w:val="20"/>
        </w:rPr>
      </w:pPr>
    </w:p>
    <w:p w14:paraId="195A88C3" w14:textId="7A96DE07" w:rsidR="007A1A14" w:rsidRDefault="007A1A14" w:rsidP="002C6D1C">
      <w:pPr>
        <w:pStyle w:val="Heading2"/>
      </w:pPr>
      <w:bookmarkStart w:id="43" w:name="_Toc375517116"/>
      <w:bookmarkStart w:id="44" w:name="_Toc459158104"/>
      <w:bookmarkStart w:id="45" w:name="_Toc470180048"/>
      <w:bookmarkStart w:id="46" w:name="_Toc513644452"/>
      <w:r w:rsidRPr="0071582F">
        <w:t>Admisión de la prueba</w:t>
      </w:r>
      <w:bookmarkEnd w:id="43"/>
      <w:bookmarkEnd w:id="44"/>
      <w:bookmarkEnd w:id="45"/>
      <w:bookmarkEnd w:id="46"/>
    </w:p>
    <w:p w14:paraId="192DF556" w14:textId="77777777" w:rsidR="002C6D1C" w:rsidRPr="002C6D1C" w:rsidRDefault="002C6D1C" w:rsidP="002C6D1C"/>
    <w:p w14:paraId="413D6DB7" w14:textId="77777777" w:rsidR="007A1A14" w:rsidRPr="002C11BA" w:rsidRDefault="003700C4" w:rsidP="00B73DC6">
      <w:pPr>
        <w:numPr>
          <w:ilvl w:val="0"/>
          <w:numId w:val="2"/>
        </w:numPr>
        <w:tabs>
          <w:tab w:val="left" w:pos="567"/>
          <w:tab w:val="num" w:pos="12305"/>
        </w:tabs>
        <w:ind w:left="0" w:firstLine="0"/>
        <w:rPr>
          <w:sz w:val="20"/>
          <w:szCs w:val="20"/>
        </w:rPr>
      </w:pPr>
      <w:r>
        <w:rPr>
          <w:sz w:val="20"/>
          <w:szCs w:val="20"/>
        </w:rPr>
        <w:t>El</w:t>
      </w:r>
      <w:r w:rsidR="007A1A14" w:rsidRPr="0071582F">
        <w:rPr>
          <w:sz w:val="20"/>
          <w:szCs w:val="20"/>
        </w:rPr>
        <w:t xml:space="preserve"> Tribunal admite el valor probatorio de aquellos documentos presentados en la debida oportunidad procesal por las partes y la Comisión que no fueron controvertidos ni objetados, y cuya autenticidad no fue puesta en duda</w:t>
      </w:r>
      <w:r w:rsidR="007A1A14" w:rsidRPr="0071582F">
        <w:rPr>
          <w:sz w:val="20"/>
          <w:szCs w:val="20"/>
          <w:vertAlign w:val="superscript"/>
        </w:rPr>
        <w:footnoteReference w:id="23"/>
      </w:r>
      <w:r w:rsidR="007A1A14" w:rsidRPr="0071582F">
        <w:rPr>
          <w:sz w:val="20"/>
          <w:szCs w:val="20"/>
        </w:rPr>
        <w:t>.</w:t>
      </w:r>
      <w:r w:rsidR="00C56E9D">
        <w:rPr>
          <w:sz w:val="20"/>
          <w:szCs w:val="20"/>
        </w:rPr>
        <w:t xml:space="preserve"> </w:t>
      </w:r>
      <w:r w:rsidR="00C56E9D" w:rsidRPr="0071582F">
        <w:rPr>
          <w:sz w:val="20"/>
          <w:szCs w:val="20"/>
        </w:rPr>
        <w:t>La Corte estima pertinente admitir las declaraciones y dictámenes rendidos en audiencia pública y mediante declaraciones ante fedatario público, en cuanto se ajusten al objeto definido por el Presidente en la Resolución que ordenó recibirlos</w:t>
      </w:r>
      <w:r w:rsidR="00C56E9D" w:rsidRPr="0071582F">
        <w:rPr>
          <w:sz w:val="20"/>
          <w:szCs w:val="20"/>
          <w:vertAlign w:val="superscript"/>
        </w:rPr>
        <w:footnoteReference w:id="24"/>
      </w:r>
      <w:r w:rsidR="00C56E9D" w:rsidRPr="0071582F">
        <w:rPr>
          <w:sz w:val="20"/>
          <w:szCs w:val="20"/>
        </w:rPr>
        <w:t xml:space="preserve"> y al objeto del presente caso.</w:t>
      </w:r>
    </w:p>
    <w:p w14:paraId="6CA6ED41" w14:textId="77777777" w:rsidR="007A1A14" w:rsidRPr="0071582F" w:rsidRDefault="007A1A14" w:rsidP="00F3026E">
      <w:pPr>
        <w:autoSpaceDE w:val="0"/>
        <w:autoSpaceDN w:val="0"/>
        <w:rPr>
          <w:sz w:val="20"/>
          <w:szCs w:val="20"/>
        </w:rPr>
      </w:pPr>
    </w:p>
    <w:p w14:paraId="5AE8C668" w14:textId="77777777" w:rsidR="007A1A14" w:rsidRDefault="007A1A14" w:rsidP="00F3026E">
      <w:pPr>
        <w:numPr>
          <w:ilvl w:val="0"/>
          <w:numId w:val="2"/>
        </w:numPr>
        <w:tabs>
          <w:tab w:val="left" w:pos="567"/>
          <w:tab w:val="num" w:pos="12305"/>
        </w:tabs>
        <w:ind w:left="0" w:firstLine="0"/>
        <w:rPr>
          <w:sz w:val="20"/>
          <w:szCs w:val="20"/>
          <w:lang w:eastAsia="es-ES"/>
        </w:rPr>
      </w:pPr>
      <w:r w:rsidRPr="0071582F">
        <w:rPr>
          <w:sz w:val="20"/>
          <w:szCs w:val="20"/>
        </w:rPr>
        <w:t>Ahora</w:t>
      </w:r>
      <w:r w:rsidRPr="0071582F">
        <w:rPr>
          <w:sz w:val="20"/>
          <w:szCs w:val="20"/>
          <w:lang w:eastAsia="es-ES"/>
        </w:rPr>
        <w:t xml:space="preserve"> bien, en lo que se refiere a la oportunidad procesal para la presentación de prueba documental, de conformidad con el artículo 57.2 del Reglamento, ésta debe ser presentada, en general, junto con los escritos de sometimiento del caso, de solicitudes y argumentos o de contestación, según corresponda. La Corte recuerda que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r w:rsidRPr="0071582F">
        <w:rPr>
          <w:sz w:val="20"/>
          <w:szCs w:val="20"/>
          <w:vertAlign w:val="superscript"/>
          <w:lang w:eastAsia="es-ES"/>
        </w:rPr>
        <w:footnoteReference w:id="25"/>
      </w:r>
      <w:r w:rsidRPr="0071582F">
        <w:rPr>
          <w:sz w:val="20"/>
          <w:szCs w:val="20"/>
          <w:lang w:eastAsia="es-ES"/>
        </w:rPr>
        <w:t>.</w:t>
      </w:r>
    </w:p>
    <w:p w14:paraId="2F105DEC" w14:textId="77777777" w:rsidR="00B05B1D" w:rsidRDefault="00B05B1D" w:rsidP="00F3026E">
      <w:pPr>
        <w:tabs>
          <w:tab w:val="left" w:pos="567"/>
        </w:tabs>
        <w:rPr>
          <w:sz w:val="20"/>
          <w:szCs w:val="20"/>
          <w:lang w:eastAsia="es-ES"/>
        </w:rPr>
      </w:pPr>
    </w:p>
    <w:p w14:paraId="21EFEDEB" w14:textId="37F60058" w:rsidR="00B05B1D" w:rsidRPr="00B05B1D" w:rsidRDefault="00F4682C" w:rsidP="00F3026E">
      <w:pPr>
        <w:numPr>
          <w:ilvl w:val="0"/>
          <w:numId w:val="2"/>
        </w:numPr>
        <w:tabs>
          <w:tab w:val="left" w:pos="567"/>
          <w:tab w:val="num" w:pos="12305"/>
        </w:tabs>
        <w:ind w:left="0" w:firstLine="0"/>
        <w:rPr>
          <w:sz w:val="20"/>
          <w:szCs w:val="20"/>
          <w:lang w:eastAsia="es-ES"/>
        </w:rPr>
      </w:pPr>
      <w:r>
        <w:rPr>
          <w:sz w:val="20"/>
          <w:szCs w:val="20"/>
          <w:lang w:eastAsia="es-ES"/>
        </w:rPr>
        <w:t>Mediante</w:t>
      </w:r>
      <w:r w:rsidRPr="00B05B1D">
        <w:rPr>
          <w:sz w:val="20"/>
          <w:szCs w:val="20"/>
          <w:lang w:eastAsia="es-ES"/>
        </w:rPr>
        <w:t xml:space="preserve"> </w:t>
      </w:r>
      <w:r w:rsidR="00A30348">
        <w:rPr>
          <w:sz w:val="20"/>
          <w:szCs w:val="20"/>
          <w:lang w:eastAsia="es-ES"/>
        </w:rPr>
        <w:t>comunicación de 24 de octubre de 2017</w:t>
      </w:r>
      <w:r w:rsidR="00B05B1D" w:rsidRPr="00B05B1D">
        <w:rPr>
          <w:sz w:val="20"/>
          <w:szCs w:val="20"/>
          <w:lang w:eastAsia="es-ES"/>
        </w:rPr>
        <w:t xml:space="preserve">, </w:t>
      </w:r>
      <w:r w:rsidR="00A30348">
        <w:rPr>
          <w:sz w:val="20"/>
          <w:szCs w:val="20"/>
          <w:lang w:eastAsia="es-ES"/>
        </w:rPr>
        <w:t xml:space="preserve">la perita Alicia Ely </w:t>
      </w:r>
      <w:proofErr w:type="spellStart"/>
      <w:r w:rsidR="00A30348">
        <w:rPr>
          <w:sz w:val="20"/>
          <w:szCs w:val="20"/>
          <w:lang w:eastAsia="es-ES"/>
        </w:rPr>
        <w:t>Yemin</w:t>
      </w:r>
      <w:proofErr w:type="spellEnd"/>
      <w:r w:rsidR="00B05B1D" w:rsidRPr="00B05B1D">
        <w:rPr>
          <w:sz w:val="20"/>
          <w:szCs w:val="20"/>
          <w:lang w:eastAsia="es-ES"/>
        </w:rPr>
        <w:t xml:space="preserve"> presentó </w:t>
      </w:r>
      <w:r w:rsidR="00CA683F">
        <w:rPr>
          <w:sz w:val="20"/>
          <w:szCs w:val="20"/>
          <w:lang w:eastAsia="es-ES"/>
        </w:rPr>
        <w:t xml:space="preserve">un documento correspondiente a </w:t>
      </w:r>
      <w:r w:rsidR="00A30348">
        <w:rPr>
          <w:sz w:val="20"/>
          <w:szCs w:val="20"/>
          <w:lang w:eastAsia="es-ES"/>
        </w:rPr>
        <w:t>información complementaria a su declaración pericial</w:t>
      </w:r>
      <w:r w:rsidR="00B05B1D" w:rsidRPr="00B05B1D">
        <w:rPr>
          <w:sz w:val="20"/>
          <w:szCs w:val="20"/>
          <w:lang w:eastAsia="es-ES"/>
        </w:rPr>
        <w:t xml:space="preserve">. </w:t>
      </w:r>
      <w:r w:rsidR="004D67BE">
        <w:rPr>
          <w:sz w:val="20"/>
          <w:szCs w:val="20"/>
          <w:lang w:eastAsia="es-ES"/>
        </w:rPr>
        <w:t>Dicho documento</w:t>
      </w:r>
      <w:r w:rsidR="00B05B1D" w:rsidRPr="00B05B1D">
        <w:rPr>
          <w:sz w:val="20"/>
          <w:szCs w:val="20"/>
          <w:lang w:eastAsia="es-ES"/>
        </w:rPr>
        <w:t xml:space="preserve"> quedó incorporado al trámite y resulta pertinente para la resolución del presente caso</w:t>
      </w:r>
      <w:r w:rsidR="001C2FCF">
        <w:rPr>
          <w:rStyle w:val="FootnoteReference"/>
          <w:sz w:val="20"/>
          <w:szCs w:val="20"/>
          <w:lang w:eastAsia="es-ES"/>
        </w:rPr>
        <w:footnoteReference w:id="26"/>
      </w:r>
      <w:r w:rsidR="004D67BE">
        <w:rPr>
          <w:sz w:val="20"/>
          <w:szCs w:val="20"/>
          <w:lang w:eastAsia="es-ES"/>
        </w:rPr>
        <w:t>, mismo que no fue objetado por el Estado</w:t>
      </w:r>
      <w:r w:rsidR="00B05B1D" w:rsidRPr="00B05B1D">
        <w:rPr>
          <w:sz w:val="20"/>
          <w:szCs w:val="20"/>
          <w:lang w:eastAsia="es-ES"/>
        </w:rPr>
        <w:t xml:space="preserve">. </w:t>
      </w:r>
    </w:p>
    <w:p w14:paraId="283F13FC" w14:textId="77777777" w:rsidR="00A05606" w:rsidRPr="00A05606" w:rsidRDefault="00A05606" w:rsidP="00F3026E">
      <w:pPr>
        <w:tabs>
          <w:tab w:val="left" w:pos="567"/>
        </w:tabs>
        <w:ind w:right="-90"/>
        <w:rPr>
          <w:sz w:val="20"/>
          <w:szCs w:val="20"/>
        </w:rPr>
      </w:pPr>
    </w:p>
    <w:p w14:paraId="16EE70D5" w14:textId="3486ACE1" w:rsidR="007A1A14" w:rsidRPr="0071582F" w:rsidRDefault="00D941A0" w:rsidP="00C27894">
      <w:pPr>
        <w:numPr>
          <w:ilvl w:val="0"/>
          <w:numId w:val="2"/>
        </w:numPr>
        <w:tabs>
          <w:tab w:val="left" w:pos="567"/>
          <w:tab w:val="num" w:pos="12305"/>
        </w:tabs>
        <w:ind w:left="0" w:firstLine="0"/>
      </w:pPr>
      <w:r>
        <w:rPr>
          <w:rFonts w:cs="Verdana"/>
          <w:sz w:val="20"/>
          <w:szCs w:val="20"/>
        </w:rPr>
        <w:t>El 20 de noviembre de 2017 las representantes remitieron, junto a sus alegatos finales escritos, un</w:t>
      </w:r>
      <w:r>
        <w:rPr>
          <w:sz w:val="20"/>
          <w:szCs w:val="20"/>
        </w:rPr>
        <w:t xml:space="preserve"> anexo referente a una factura por concepto de honorarios del perito Fernando </w:t>
      </w:r>
      <w:proofErr w:type="spellStart"/>
      <w:r>
        <w:rPr>
          <w:sz w:val="20"/>
          <w:szCs w:val="20"/>
        </w:rPr>
        <w:t>Mussa</w:t>
      </w:r>
      <w:proofErr w:type="spellEnd"/>
      <w:r>
        <w:rPr>
          <w:sz w:val="20"/>
          <w:szCs w:val="20"/>
        </w:rPr>
        <w:t xml:space="preserve"> </w:t>
      </w:r>
      <w:proofErr w:type="spellStart"/>
      <w:r>
        <w:rPr>
          <w:sz w:val="20"/>
          <w:szCs w:val="20"/>
        </w:rPr>
        <w:t>Abujamra</w:t>
      </w:r>
      <w:proofErr w:type="spellEnd"/>
      <w:r>
        <w:rPr>
          <w:sz w:val="20"/>
          <w:szCs w:val="20"/>
        </w:rPr>
        <w:t xml:space="preserve"> </w:t>
      </w:r>
      <w:proofErr w:type="spellStart"/>
      <w:r>
        <w:rPr>
          <w:sz w:val="20"/>
          <w:szCs w:val="20"/>
        </w:rPr>
        <w:t>Aith</w:t>
      </w:r>
      <w:proofErr w:type="spellEnd"/>
      <w:r w:rsidR="007A1A14" w:rsidRPr="0071582F">
        <w:rPr>
          <w:sz w:val="20"/>
          <w:szCs w:val="20"/>
        </w:rPr>
        <w:t xml:space="preserve">. </w:t>
      </w:r>
      <w:r>
        <w:rPr>
          <w:sz w:val="20"/>
          <w:szCs w:val="20"/>
        </w:rPr>
        <w:t>Al respecto, mediante comunicación de 4 de diciembre de 2017, el Estado presentó sus observaciones al anexo correspondiente y señaló que dicho anexo se remitió de forma extemporánea</w:t>
      </w:r>
      <w:r w:rsidR="00D50AE7">
        <w:rPr>
          <w:sz w:val="20"/>
          <w:szCs w:val="20"/>
        </w:rPr>
        <w:t>,</w:t>
      </w:r>
      <w:r>
        <w:rPr>
          <w:sz w:val="20"/>
          <w:szCs w:val="20"/>
        </w:rPr>
        <w:t xml:space="preserve"> al no haber sido presentado junto con los restantes gastos que pudo haber incurrido la contraparte y además dicho documento no podría ser reconocido ya que carece de los elementos esenciales para ser incorporado como factura válida para el fondo de asistencia a víctimas</w:t>
      </w:r>
      <w:r w:rsidR="00D50AE7">
        <w:rPr>
          <w:sz w:val="20"/>
          <w:szCs w:val="20"/>
        </w:rPr>
        <w:t xml:space="preserve">. </w:t>
      </w:r>
      <w:r w:rsidR="008B3AF7">
        <w:rPr>
          <w:sz w:val="20"/>
          <w:szCs w:val="20"/>
        </w:rPr>
        <w:t>Al respecto, la Corte observa que</w:t>
      </w:r>
      <w:r w:rsidR="00F4682C">
        <w:rPr>
          <w:sz w:val="20"/>
          <w:szCs w:val="20"/>
        </w:rPr>
        <w:t>, pese a las prórrogas concedidas,</w:t>
      </w:r>
      <w:r w:rsidR="008B3AF7">
        <w:rPr>
          <w:sz w:val="20"/>
          <w:szCs w:val="20"/>
        </w:rPr>
        <w:t xml:space="preserve"> las representantes no presentaron la factura original solicitada por la Corte el 12 de diciembre de 2017</w:t>
      </w:r>
      <w:r w:rsidR="004408F1">
        <w:rPr>
          <w:sz w:val="20"/>
          <w:szCs w:val="20"/>
        </w:rPr>
        <w:t xml:space="preserve"> con el fin de subsanar los defectos de dicha documentación</w:t>
      </w:r>
      <w:r w:rsidR="00F4682C">
        <w:rPr>
          <w:sz w:val="20"/>
          <w:szCs w:val="20"/>
        </w:rPr>
        <w:t>,</w:t>
      </w:r>
      <w:r w:rsidR="008B3AF7">
        <w:rPr>
          <w:sz w:val="20"/>
          <w:szCs w:val="20"/>
        </w:rPr>
        <w:t xml:space="preserve"> por lo que </w:t>
      </w:r>
      <w:r w:rsidR="00920CDE">
        <w:rPr>
          <w:sz w:val="20"/>
          <w:szCs w:val="20"/>
        </w:rPr>
        <w:t xml:space="preserve">dicha documentación </w:t>
      </w:r>
      <w:r w:rsidR="008F36CB" w:rsidRPr="00B1523A">
        <w:rPr>
          <w:sz w:val="20"/>
          <w:szCs w:val="20"/>
        </w:rPr>
        <w:t>relativa al recibo de cobro</w:t>
      </w:r>
      <w:r w:rsidR="008F36CB" w:rsidRPr="00AB1E03">
        <w:rPr>
          <w:b/>
          <w:sz w:val="20"/>
          <w:szCs w:val="20"/>
        </w:rPr>
        <w:t xml:space="preserve"> </w:t>
      </w:r>
      <w:r w:rsidR="00920CDE">
        <w:rPr>
          <w:sz w:val="20"/>
          <w:szCs w:val="20"/>
        </w:rPr>
        <w:t>es inadmisible</w:t>
      </w:r>
      <w:r w:rsidR="008B3AF7">
        <w:rPr>
          <w:sz w:val="20"/>
          <w:szCs w:val="20"/>
        </w:rPr>
        <w:t xml:space="preserve">.   </w:t>
      </w:r>
    </w:p>
    <w:p w14:paraId="546B5D64" w14:textId="77777777" w:rsidR="007A1A14" w:rsidRPr="0071582F" w:rsidRDefault="007A1A14" w:rsidP="00F3026E">
      <w:pPr>
        <w:pStyle w:val="ListParagraph"/>
        <w:ind w:left="0"/>
        <w:rPr>
          <w:rFonts w:cs="Verdana"/>
          <w:sz w:val="20"/>
          <w:szCs w:val="20"/>
          <w:lang w:eastAsia="es-MX"/>
        </w:rPr>
      </w:pPr>
    </w:p>
    <w:p w14:paraId="35EAA024" w14:textId="77777777" w:rsidR="007A1A14" w:rsidRPr="000D4A1F" w:rsidRDefault="000D4A1F" w:rsidP="002726E0">
      <w:pPr>
        <w:pStyle w:val="Heading2"/>
      </w:pPr>
      <w:bookmarkStart w:id="47" w:name="_Toc405857807"/>
      <w:bookmarkStart w:id="48" w:name="_Toc423107375"/>
      <w:bookmarkStart w:id="49" w:name="_Toc438113881"/>
      <w:bookmarkStart w:id="50" w:name="_Toc459158107"/>
      <w:bookmarkStart w:id="51" w:name="_Toc470180051"/>
      <w:r>
        <w:t xml:space="preserve"> </w:t>
      </w:r>
      <w:bookmarkStart w:id="52" w:name="_Toc513644453"/>
      <w:r w:rsidR="007A1A14" w:rsidRPr="000D4A1F">
        <w:t>Valoración de la prueba</w:t>
      </w:r>
      <w:bookmarkEnd w:id="47"/>
      <w:bookmarkEnd w:id="48"/>
      <w:bookmarkEnd w:id="49"/>
      <w:bookmarkEnd w:id="50"/>
      <w:bookmarkEnd w:id="51"/>
      <w:bookmarkEnd w:id="52"/>
    </w:p>
    <w:p w14:paraId="050E649E" w14:textId="77777777" w:rsidR="007A1A14" w:rsidRPr="0071582F" w:rsidRDefault="007A1A14" w:rsidP="00F3026E">
      <w:pPr>
        <w:rPr>
          <w:sz w:val="20"/>
          <w:szCs w:val="20"/>
          <w:lang w:eastAsia="es-MX"/>
        </w:rPr>
      </w:pPr>
      <w:bookmarkStart w:id="53" w:name="_Ref402038868"/>
    </w:p>
    <w:p w14:paraId="1436A538" w14:textId="77777777" w:rsidR="007A1A14" w:rsidRPr="00244879" w:rsidRDefault="007A1A14" w:rsidP="00F3026E">
      <w:pPr>
        <w:numPr>
          <w:ilvl w:val="0"/>
          <w:numId w:val="2"/>
        </w:numPr>
        <w:tabs>
          <w:tab w:val="left" w:pos="567"/>
          <w:tab w:val="num" w:pos="12305"/>
        </w:tabs>
        <w:ind w:left="0" w:firstLine="0"/>
        <w:rPr>
          <w:rFonts w:cs="Verdana"/>
          <w:sz w:val="20"/>
          <w:szCs w:val="20"/>
          <w:lang w:eastAsia="es-MX"/>
        </w:rPr>
      </w:pPr>
      <w:r w:rsidRPr="0071582F">
        <w:rPr>
          <w:rFonts w:cs="Verdana"/>
          <w:sz w:val="20"/>
          <w:szCs w:val="20"/>
          <w:lang w:eastAsia="es-MX"/>
        </w:rPr>
        <w:t xml:space="preserve">Con base en su jurisprudencia constante respecto de la prueba y su apreciación, la Corte examinará y valorará los elementos probatorios documentales remitidos por las partes y la </w:t>
      </w:r>
      <w:r w:rsidRPr="0071582F">
        <w:rPr>
          <w:rFonts w:cs="Verdana"/>
          <w:sz w:val="20"/>
          <w:szCs w:val="20"/>
          <w:lang w:eastAsia="es-MX"/>
        </w:rPr>
        <w:lastRenderedPageBreak/>
        <w:t>Comisión que fueron incorporados por este Tribunal, así como las declaraciones y dictámenes periciales, al establecer los hechos del caso y pronunciarse sobre el fondo. Para ello se sujeta a los principios de la sana crítica, dentro del marco normativo correspondiente, teniendo en cuenta el conjunto del acervo probatorio y lo alegado en la causa</w:t>
      </w:r>
      <w:r w:rsidRPr="0071582F">
        <w:rPr>
          <w:rFonts w:cs="Verdana"/>
          <w:sz w:val="20"/>
          <w:szCs w:val="20"/>
          <w:vertAlign w:val="superscript"/>
          <w:lang w:eastAsia="es-MX"/>
        </w:rPr>
        <w:footnoteReference w:id="27"/>
      </w:r>
      <w:r w:rsidRPr="0071582F">
        <w:rPr>
          <w:rFonts w:cs="Verdana"/>
          <w:sz w:val="20"/>
          <w:szCs w:val="20"/>
          <w:lang w:eastAsia="es-MX"/>
        </w:rPr>
        <w:t>.</w:t>
      </w:r>
      <w:bookmarkStart w:id="54" w:name="_Ref402038884"/>
      <w:bookmarkEnd w:id="53"/>
      <w:r w:rsidR="00244879">
        <w:rPr>
          <w:rFonts w:cs="Verdana"/>
          <w:sz w:val="20"/>
          <w:szCs w:val="20"/>
          <w:lang w:eastAsia="es-MX"/>
        </w:rPr>
        <w:t xml:space="preserve"> </w:t>
      </w:r>
      <w:r w:rsidRPr="00244879">
        <w:rPr>
          <w:rFonts w:cs="Verdana"/>
          <w:sz w:val="20"/>
          <w:szCs w:val="20"/>
          <w:lang w:eastAsia="es-MX"/>
        </w:rPr>
        <w:t>Finalmente, conforme a la jurisprudencia de este Tribunal, la Corte recuerda que las declaraciones rendidas por las presuntas víctimas no pueden ser valoradas aisladamente sino dentro del conjunto de las pruebas del proceso, en la medida en que pueden proporcionar mayor información sobre las presuntas violaciones y sus consecuencias</w:t>
      </w:r>
      <w:r w:rsidRPr="0071582F">
        <w:rPr>
          <w:rFonts w:cs="Verdana"/>
          <w:sz w:val="20"/>
          <w:szCs w:val="20"/>
          <w:vertAlign w:val="superscript"/>
          <w:lang w:eastAsia="es-MX"/>
        </w:rPr>
        <w:footnoteReference w:id="28"/>
      </w:r>
      <w:r w:rsidRPr="00244879">
        <w:rPr>
          <w:rFonts w:cs="Verdana"/>
          <w:sz w:val="20"/>
          <w:szCs w:val="20"/>
          <w:lang w:eastAsia="es-MX"/>
        </w:rPr>
        <w:t>.</w:t>
      </w:r>
      <w:bookmarkEnd w:id="54"/>
    </w:p>
    <w:p w14:paraId="0F6D0214" w14:textId="77777777" w:rsidR="004931B5" w:rsidRPr="0001748B" w:rsidRDefault="004931B5" w:rsidP="00F3026E">
      <w:pPr>
        <w:autoSpaceDE w:val="0"/>
        <w:autoSpaceDN w:val="0"/>
        <w:rPr>
          <w:rFonts w:eastAsia="Batang"/>
          <w:bCs/>
          <w:sz w:val="20"/>
          <w:lang w:eastAsia="en-US"/>
        </w:rPr>
      </w:pPr>
      <w:bookmarkStart w:id="55" w:name="_Ref405769497"/>
    </w:p>
    <w:p w14:paraId="63F57D99" w14:textId="77777777" w:rsidR="00F3026E" w:rsidRDefault="00F3026E" w:rsidP="006B2A4D">
      <w:pPr>
        <w:pStyle w:val="Title"/>
      </w:pPr>
      <w:bookmarkStart w:id="56" w:name="_Toc504484518"/>
      <w:bookmarkStart w:id="57" w:name="_Toc506807357"/>
      <w:bookmarkStart w:id="58" w:name="_Toc513643933"/>
      <w:bookmarkStart w:id="59" w:name="_Toc513644454"/>
      <w:bookmarkStart w:id="60" w:name="_Toc494123977"/>
      <w:bookmarkStart w:id="61" w:name="_Toc499050337"/>
      <w:bookmarkEnd w:id="55"/>
      <w:r>
        <w:t>VI</w:t>
      </w:r>
      <w:bookmarkEnd w:id="56"/>
      <w:bookmarkEnd w:id="57"/>
      <w:bookmarkEnd w:id="58"/>
      <w:bookmarkEnd w:id="59"/>
      <w:r>
        <w:t xml:space="preserve"> </w:t>
      </w:r>
    </w:p>
    <w:p w14:paraId="5BE04998" w14:textId="77777777" w:rsidR="000214BA" w:rsidRPr="00F3026E" w:rsidRDefault="000214BA" w:rsidP="006B2A4D">
      <w:pPr>
        <w:pStyle w:val="Title"/>
      </w:pPr>
      <w:bookmarkStart w:id="62" w:name="_Toc513644455"/>
      <w:r w:rsidRPr="00F3026E">
        <w:t>HECHOS</w:t>
      </w:r>
      <w:bookmarkEnd w:id="62"/>
    </w:p>
    <w:bookmarkEnd w:id="60"/>
    <w:bookmarkEnd w:id="61"/>
    <w:p w14:paraId="46744574" w14:textId="77777777" w:rsidR="000214BA" w:rsidRDefault="000214BA" w:rsidP="00F3026E">
      <w:pPr>
        <w:contextualSpacing/>
        <w:rPr>
          <w:rFonts w:eastAsia="Calibri"/>
          <w:sz w:val="20"/>
          <w:szCs w:val="20"/>
          <w:lang w:eastAsia="en-US"/>
        </w:rPr>
      </w:pPr>
    </w:p>
    <w:p w14:paraId="759948EE" w14:textId="4457F628" w:rsidR="00E22B60" w:rsidRPr="00E47EFA" w:rsidRDefault="00E22B60" w:rsidP="00E22B60">
      <w:pPr>
        <w:numPr>
          <w:ilvl w:val="0"/>
          <w:numId w:val="2"/>
        </w:numPr>
        <w:tabs>
          <w:tab w:val="left" w:pos="630"/>
          <w:tab w:val="left" w:pos="1530"/>
          <w:tab w:val="left" w:pos="1620"/>
        </w:tabs>
        <w:ind w:left="0" w:right="-360" w:firstLine="0"/>
        <w:rPr>
          <w:rFonts w:eastAsia="Calibri"/>
          <w:sz w:val="20"/>
          <w:szCs w:val="20"/>
        </w:rPr>
      </w:pPr>
      <w:r w:rsidRPr="00E47EFA">
        <w:rPr>
          <w:rFonts w:eastAsia="Calibri"/>
          <w:sz w:val="20"/>
          <w:szCs w:val="20"/>
        </w:rPr>
        <w:t>En este capítulo se establecerán los hechos del presente caso, con base en el marco fáctico sometido al conocimiento de la Corte por la Comisión, tomando en consideración el acervo probatorio del caso, lo alegado por l</w:t>
      </w:r>
      <w:r w:rsidR="005A65DF">
        <w:rPr>
          <w:rFonts w:eastAsia="Calibri"/>
          <w:sz w:val="20"/>
          <w:szCs w:val="20"/>
        </w:rPr>
        <w:t>a</w:t>
      </w:r>
      <w:r w:rsidRPr="00E47EFA">
        <w:rPr>
          <w:rFonts w:eastAsia="Calibri"/>
          <w:sz w:val="20"/>
          <w:szCs w:val="20"/>
        </w:rPr>
        <w:t>s representantes y el Estado, así como tomando en cuenta los hechos reconocidos por el Estado y demás que no han sido controvertidos por las partes</w:t>
      </w:r>
      <w:r w:rsidR="008F36CB">
        <w:rPr>
          <w:rFonts w:eastAsia="Calibri"/>
          <w:sz w:val="20"/>
          <w:szCs w:val="20"/>
        </w:rPr>
        <w:t xml:space="preserve"> (</w:t>
      </w:r>
      <w:r w:rsidR="008F36CB" w:rsidRPr="00AB1E03">
        <w:rPr>
          <w:rFonts w:eastAsia="Calibri"/>
          <w:i/>
          <w:sz w:val="20"/>
          <w:szCs w:val="20"/>
        </w:rPr>
        <w:t>supra</w:t>
      </w:r>
      <w:r w:rsidR="008F36CB">
        <w:rPr>
          <w:rFonts w:eastAsia="Calibri"/>
          <w:sz w:val="20"/>
          <w:szCs w:val="20"/>
        </w:rPr>
        <w:t xml:space="preserve"> </w:t>
      </w:r>
      <w:proofErr w:type="spellStart"/>
      <w:r w:rsidR="00BC48F3">
        <w:rPr>
          <w:rFonts w:eastAsia="Calibri"/>
          <w:sz w:val="20"/>
          <w:szCs w:val="20"/>
        </w:rPr>
        <w:t>párr</w:t>
      </w:r>
      <w:r w:rsidR="005A65DF">
        <w:rPr>
          <w:rFonts w:eastAsia="Calibri"/>
          <w:sz w:val="20"/>
          <w:szCs w:val="20"/>
        </w:rPr>
        <w:t>s</w:t>
      </w:r>
      <w:proofErr w:type="spellEnd"/>
      <w:r w:rsidR="00BC48F3">
        <w:rPr>
          <w:rFonts w:eastAsia="Calibri"/>
          <w:sz w:val="20"/>
          <w:szCs w:val="20"/>
        </w:rPr>
        <w:t xml:space="preserve">. </w:t>
      </w:r>
      <w:r w:rsidR="005A65DF">
        <w:rPr>
          <w:rFonts w:eastAsia="Calibri"/>
          <w:sz w:val="20"/>
          <w:szCs w:val="20"/>
        </w:rPr>
        <w:t>16 a 20</w:t>
      </w:r>
      <w:r w:rsidR="008F36CB">
        <w:rPr>
          <w:rFonts w:eastAsia="Calibri"/>
          <w:sz w:val="20"/>
          <w:szCs w:val="20"/>
        </w:rPr>
        <w:t>)</w:t>
      </w:r>
      <w:r w:rsidRPr="00E47EFA">
        <w:rPr>
          <w:rFonts w:eastAsia="Calibri"/>
          <w:sz w:val="20"/>
          <w:szCs w:val="20"/>
        </w:rPr>
        <w:t xml:space="preserve">. De esta forma, los mismos serán expuestos en los siguientes apartados: a) Sobre el señor Vinicio Antonio Poblete Vilches; b) Primer ingreso del Señor Vinicio Antonio Poblete Vilches al Hospital </w:t>
      </w:r>
      <w:proofErr w:type="spellStart"/>
      <w:r w:rsidRPr="00E47EFA">
        <w:rPr>
          <w:rFonts w:eastAsia="Calibri"/>
          <w:sz w:val="20"/>
          <w:szCs w:val="20"/>
        </w:rPr>
        <w:t>Sótero</w:t>
      </w:r>
      <w:proofErr w:type="spellEnd"/>
      <w:r w:rsidRPr="00E47EFA">
        <w:rPr>
          <w:rFonts w:eastAsia="Calibri"/>
          <w:sz w:val="20"/>
          <w:szCs w:val="20"/>
        </w:rPr>
        <w:t xml:space="preserve"> del Río; c) Segundo ingreso del Señor Vinicio Antonio Poblete Vilches al Hospital </w:t>
      </w:r>
      <w:proofErr w:type="spellStart"/>
      <w:r w:rsidRPr="00E47EFA">
        <w:rPr>
          <w:rFonts w:eastAsia="Calibri"/>
          <w:sz w:val="20"/>
          <w:szCs w:val="20"/>
        </w:rPr>
        <w:t>Sótero</w:t>
      </w:r>
      <w:proofErr w:type="spellEnd"/>
      <w:r w:rsidRPr="00E47EFA">
        <w:rPr>
          <w:rFonts w:eastAsia="Calibri"/>
          <w:sz w:val="20"/>
          <w:szCs w:val="20"/>
        </w:rPr>
        <w:t xml:space="preserve"> del Río, y d) Actuaciones de los familiares ante los órganos estatales.</w:t>
      </w:r>
    </w:p>
    <w:p w14:paraId="148FD1D8" w14:textId="77777777" w:rsidR="00E22B60" w:rsidRPr="00E47EFA" w:rsidRDefault="00E22B60" w:rsidP="00E22B60">
      <w:pPr>
        <w:tabs>
          <w:tab w:val="left" w:pos="630"/>
          <w:tab w:val="left" w:pos="810"/>
          <w:tab w:val="left" w:pos="1530"/>
          <w:tab w:val="left" w:pos="1620"/>
        </w:tabs>
        <w:ind w:right="-360" w:hanging="825"/>
        <w:contextualSpacing/>
        <w:rPr>
          <w:rFonts w:eastAsia="Calibri"/>
          <w:sz w:val="20"/>
          <w:szCs w:val="20"/>
        </w:rPr>
      </w:pPr>
    </w:p>
    <w:p w14:paraId="6C71F6DA" w14:textId="77777777" w:rsidR="00E22B60" w:rsidRPr="00C64243" w:rsidRDefault="00E22B60" w:rsidP="00E22B60">
      <w:pPr>
        <w:pStyle w:val="ListParagraph"/>
        <w:keepNext/>
        <w:keepLines/>
        <w:numPr>
          <w:ilvl w:val="0"/>
          <w:numId w:val="29"/>
        </w:numPr>
        <w:tabs>
          <w:tab w:val="left" w:pos="630"/>
          <w:tab w:val="left" w:pos="810"/>
          <w:tab w:val="left" w:pos="1530"/>
          <w:tab w:val="left" w:pos="1620"/>
        </w:tabs>
        <w:ind w:left="1080" w:right="-360"/>
        <w:contextualSpacing/>
        <w:outlineLvl w:val="1"/>
        <w:rPr>
          <w:rFonts w:eastAsia="MS Mincho"/>
          <w:b/>
          <w:i/>
          <w:sz w:val="20"/>
          <w:szCs w:val="26"/>
        </w:rPr>
      </w:pPr>
      <w:r w:rsidRPr="00C64243">
        <w:rPr>
          <w:rFonts w:eastAsia="MS Mincho"/>
          <w:b/>
          <w:i/>
          <w:sz w:val="20"/>
          <w:szCs w:val="26"/>
        </w:rPr>
        <w:t>Sobre el señor Vinicio Antonio Poblete Vilches</w:t>
      </w:r>
    </w:p>
    <w:p w14:paraId="6B17E98D" w14:textId="77777777" w:rsidR="00E22B60" w:rsidRPr="00E47EFA" w:rsidRDefault="00E22B60" w:rsidP="00E22B60">
      <w:pPr>
        <w:tabs>
          <w:tab w:val="left" w:pos="630"/>
          <w:tab w:val="left" w:pos="810"/>
          <w:tab w:val="left" w:pos="1530"/>
          <w:tab w:val="left" w:pos="1620"/>
        </w:tabs>
        <w:ind w:right="-360" w:hanging="825"/>
        <w:rPr>
          <w:rFonts w:eastAsia="Calibri"/>
          <w:sz w:val="20"/>
          <w:szCs w:val="20"/>
        </w:rPr>
      </w:pPr>
    </w:p>
    <w:p w14:paraId="0F67B6B1" w14:textId="77777777" w:rsidR="00E22B60" w:rsidRPr="00C64243" w:rsidRDefault="00E22B60" w:rsidP="00E22B60">
      <w:pPr>
        <w:numPr>
          <w:ilvl w:val="0"/>
          <w:numId w:val="2"/>
        </w:numPr>
        <w:tabs>
          <w:tab w:val="left" w:pos="630"/>
          <w:tab w:val="left" w:pos="900"/>
          <w:tab w:val="left" w:pos="1530"/>
          <w:tab w:val="left" w:pos="1620"/>
        </w:tabs>
        <w:ind w:left="0" w:right="-360" w:firstLine="0"/>
        <w:rPr>
          <w:rFonts w:eastAsia="Calibri"/>
          <w:b/>
          <w:i/>
          <w:sz w:val="20"/>
          <w:szCs w:val="20"/>
        </w:rPr>
      </w:pPr>
      <w:r w:rsidRPr="00E47EFA">
        <w:rPr>
          <w:rFonts w:eastAsia="Calibri"/>
          <w:sz w:val="20"/>
          <w:szCs w:val="20"/>
        </w:rPr>
        <w:t>El señor Poblete Vilches nació el 22 de mayo de 1924 y al momento de su muerte, el 7 de febrero de 2001, tenía 76 años</w:t>
      </w:r>
      <w:r w:rsidRPr="00E47EFA">
        <w:rPr>
          <w:rFonts w:eastAsia="Calibri"/>
          <w:sz w:val="20"/>
          <w:szCs w:val="20"/>
          <w:vertAlign w:val="superscript"/>
        </w:rPr>
        <w:footnoteReference w:id="29"/>
      </w:r>
      <w:r w:rsidRPr="00E47EFA">
        <w:rPr>
          <w:rFonts w:eastAsia="Calibri"/>
          <w:sz w:val="20"/>
          <w:szCs w:val="20"/>
        </w:rPr>
        <w:t xml:space="preserve">. El señor Poblete Vilches vivía junto con su esposa, Blanca Tapia Encina y sus tres hijos: </w:t>
      </w:r>
      <w:proofErr w:type="spellStart"/>
      <w:r w:rsidRPr="00E47EFA">
        <w:rPr>
          <w:rFonts w:eastAsia="Calibri"/>
          <w:sz w:val="20"/>
          <w:szCs w:val="20"/>
        </w:rPr>
        <w:t>Cesia</w:t>
      </w:r>
      <w:proofErr w:type="spellEnd"/>
      <w:r w:rsidRPr="00E47EFA">
        <w:rPr>
          <w:rFonts w:eastAsia="Calibri"/>
          <w:sz w:val="20"/>
          <w:szCs w:val="20"/>
        </w:rPr>
        <w:t xml:space="preserve"> Leila Siria Poblete Tapia, Vinicio Marco Antonio Poblete Tapia y Gonzalo Poblete Tapia</w:t>
      </w:r>
      <w:r w:rsidRPr="00E47EFA">
        <w:rPr>
          <w:rFonts w:eastAsia="Calibri"/>
          <w:sz w:val="20"/>
          <w:szCs w:val="20"/>
          <w:vertAlign w:val="superscript"/>
        </w:rPr>
        <w:footnoteReference w:id="30"/>
      </w:r>
      <w:r w:rsidRPr="00E47EFA">
        <w:rPr>
          <w:rFonts w:eastAsia="Calibri"/>
          <w:sz w:val="20"/>
          <w:szCs w:val="20"/>
        </w:rPr>
        <w:t>.</w:t>
      </w:r>
    </w:p>
    <w:p w14:paraId="18D87081" w14:textId="77777777" w:rsidR="00E22B60" w:rsidRDefault="00E22B60" w:rsidP="00E22B60">
      <w:pPr>
        <w:tabs>
          <w:tab w:val="left" w:pos="630"/>
          <w:tab w:val="left" w:pos="900"/>
          <w:tab w:val="left" w:pos="1530"/>
          <w:tab w:val="left" w:pos="1620"/>
        </w:tabs>
        <w:ind w:right="-360"/>
        <w:rPr>
          <w:rFonts w:eastAsia="Calibri"/>
          <w:sz w:val="20"/>
          <w:szCs w:val="20"/>
        </w:rPr>
      </w:pPr>
    </w:p>
    <w:p w14:paraId="4260D44A" w14:textId="77777777" w:rsidR="00CA76E0" w:rsidRPr="00E47EFA" w:rsidRDefault="00CA76E0" w:rsidP="00E22B60">
      <w:pPr>
        <w:tabs>
          <w:tab w:val="left" w:pos="630"/>
          <w:tab w:val="left" w:pos="900"/>
          <w:tab w:val="left" w:pos="1530"/>
          <w:tab w:val="left" w:pos="1620"/>
        </w:tabs>
        <w:ind w:right="-360"/>
        <w:rPr>
          <w:rFonts w:eastAsia="Calibri"/>
          <w:b/>
          <w:i/>
          <w:sz w:val="20"/>
          <w:szCs w:val="20"/>
        </w:rPr>
      </w:pPr>
    </w:p>
    <w:p w14:paraId="17BCE30B" w14:textId="77777777" w:rsidR="00E22B60" w:rsidRPr="00C64243" w:rsidRDefault="00E22B60" w:rsidP="00E22B60">
      <w:pPr>
        <w:pStyle w:val="ListParagraph"/>
        <w:keepNext/>
        <w:keepLines/>
        <w:numPr>
          <w:ilvl w:val="0"/>
          <w:numId w:val="29"/>
        </w:numPr>
        <w:tabs>
          <w:tab w:val="left" w:pos="630"/>
          <w:tab w:val="left" w:pos="810"/>
          <w:tab w:val="left" w:pos="1530"/>
          <w:tab w:val="left" w:pos="1620"/>
        </w:tabs>
        <w:ind w:left="1080" w:right="-360"/>
        <w:contextualSpacing/>
        <w:outlineLvl w:val="1"/>
        <w:rPr>
          <w:rFonts w:eastAsia="MS Mincho"/>
          <w:b/>
          <w:bCs/>
          <w:i/>
          <w:snapToGrid w:val="0"/>
          <w:sz w:val="20"/>
          <w:szCs w:val="28"/>
        </w:rPr>
      </w:pPr>
      <w:r w:rsidRPr="00C64243">
        <w:rPr>
          <w:rFonts w:eastAsia="MS Mincho"/>
          <w:b/>
          <w:i/>
          <w:sz w:val="20"/>
          <w:szCs w:val="26"/>
        </w:rPr>
        <w:t xml:space="preserve">Primer ingreso del señor Vinicio Antonio Poblete Vilches al </w:t>
      </w:r>
      <w:r>
        <w:rPr>
          <w:rFonts w:eastAsia="MS Mincho"/>
          <w:b/>
          <w:i/>
          <w:sz w:val="20"/>
          <w:szCs w:val="26"/>
        </w:rPr>
        <w:t>H</w:t>
      </w:r>
      <w:r w:rsidRPr="00C64243">
        <w:rPr>
          <w:rFonts w:eastAsia="MS Mincho"/>
          <w:b/>
          <w:i/>
          <w:sz w:val="20"/>
          <w:szCs w:val="26"/>
        </w:rPr>
        <w:t xml:space="preserve">ospital </w:t>
      </w:r>
      <w:proofErr w:type="spellStart"/>
      <w:r w:rsidRPr="00C64243">
        <w:rPr>
          <w:rFonts w:eastAsia="MS Mincho"/>
          <w:b/>
          <w:i/>
          <w:sz w:val="20"/>
          <w:szCs w:val="26"/>
        </w:rPr>
        <w:t>Sótero</w:t>
      </w:r>
      <w:proofErr w:type="spellEnd"/>
      <w:r w:rsidRPr="00C64243">
        <w:rPr>
          <w:rFonts w:eastAsia="MS Mincho"/>
          <w:b/>
          <w:i/>
          <w:sz w:val="20"/>
          <w:szCs w:val="26"/>
        </w:rPr>
        <w:t xml:space="preserve"> del Río</w:t>
      </w:r>
    </w:p>
    <w:p w14:paraId="445ECD66" w14:textId="77777777" w:rsidR="00E22B60" w:rsidRPr="00E47EFA" w:rsidRDefault="00E22B60" w:rsidP="00E22B60">
      <w:pPr>
        <w:tabs>
          <w:tab w:val="left" w:pos="630"/>
          <w:tab w:val="left" w:pos="810"/>
          <w:tab w:val="left" w:pos="1530"/>
          <w:tab w:val="left" w:pos="1620"/>
        </w:tabs>
        <w:ind w:right="-360" w:hanging="825"/>
        <w:contextualSpacing/>
        <w:rPr>
          <w:rFonts w:eastAsia="Calibri"/>
          <w:sz w:val="20"/>
          <w:szCs w:val="20"/>
        </w:rPr>
      </w:pPr>
    </w:p>
    <w:p w14:paraId="3767FDA7" w14:textId="02637F7B" w:rsidR="00E22B60" w:rsidRPr="00CA76E0" w:rsidRDefault="00E22B60" w:rsidP="00CA76E0">
      <w:pPr>
        <w:numPr>
          <w:ilvl w:val="0"/>
          <w:numId w:val="2"/>
        </w:numPr>
        <w:tabs>
          <w:tab w:val="left" w:pos="567"/>
          <w:tab w:val="left" w:pos="630"/>
          <w:tab w:val="left" w:pos="810"/>
          <w:tab w:val="left" w:pos="1530"/>
          <w:tab w:val="left" w:pos="1620"/>
        </w:tabs>
        <w:ind w:left="0" w:right="-360" w:firstLine="0"/>
        <w:rPr>
          <w:rFonts w:eastAsia="Calibri"/>
          <w:b/>
          <w:i/>
          <w:sz w:val="20"/>
          <w:szCs w:val="20"/>
        </w:rPr>
      </w:pPr>
      <w:r w:rsidRPr="00E47EFA">
        <w:rPr>
          <w:rFonts w:eastAsia="Calibri"/>
          <w:sz w:val="20"/>
          <w:szCs w:val="20"/>
        </w:rPr>
        <w:t xml:space="preserve">El 17 de enero de 2001 el señor Poblete Vilches ingresó al Hospital </w:t>
      </w:r>
      <w:proofErr w:type="spellStart"/>
      <w:r w:rsidRPr="00E47EFA">
        <w:rPr>
          <w:rFonts w:eastAsia="Calibri"/>
          <w:sz w:val="20"/>
          <w:szCs w:val="20"/>
        </w:rPr>
        <w:t>Sótero</w:t>
      </w:r>
      <w:proofErr w:type="spellEnd"/>
      <w:r w:rsidRPr="00E47EFA">
        <w:rPr>
          <w:rFonts w:eastAsia="Calibri"/>
          <w:sz w:val="20"/>
          <w:szCs w:val="20"/>
        </w:rPr>
        <w:t xml:space="preserve"> del Río a causa de una insuficiencia respiratoria grave</w:t>
      </w:r>
      <w:r w:rsidRPr="00E47EFA">
        <w:rPr>
          <w:rFonts w:eastAsia="Calibri"/>
          <w:sz w:val="20"/>
          <w:szCs w:val="20"/>
          <w:vertAlign w:val="superscript"/>
        </w:rPr>
        <w:footnoteReference w:id="31"/>
      </w:r>
      <w:r w:rsidRPr="00E47EFA">
        <w:rPr>
          <w:rFonts w:eastAsia="Calibri"/>
          <w:sz w:val="20"/>
          <w:szCs w:val="20"/>
        </w:rPr>
        <w:t xml:space="preserve">. De conformidad con un informe ministerial que hace alusión a </w:t>
      </w:r>
      <w:r w:rsidRPr="00E47EFA">
        <w:rPr>
          <w:rFonts w:eastAsia="Calibri"/>
          <w:sz w:val="20"/>
          <w:szCs w:val="20"/>
        </w:rPr>
        <w:lastRenderedPageBreak/>
        <w:t>la ficha clínica</w:t>
      </w:r>
      <w:r w:rsidRPr="00E47EFA">
        <w:rPr>
          <w:rFonts w:eastAsia="Calibri"/>
          <w:sz w:val="20"/>
          <w:szCs w:val="20"/>
          <w:vertAlign w:val="superscript"/>
        </w:rPr>
        <w:footnoteReference w:id="32"/>
      </w:r>
      <w:r w:rsidRPr="00E47EFA">
        <w:rPr>
          <w:rFonts w:eastAsia="Calibri"/>
          <w:sz w:val="20"/>
          <w:szCs w:val="20"/>
        </w:rPr>
        <w:t xml:space="preserve"> se precisó que “el [p]</w:t>
      </w:r>
      <w:proofErr w:type="spellStart"/>
      <w:r w:rsidRPr="00E47EFA">
        <w:rPr>
          <w:rFonts w:eastAsia="Calibri"/>
          <w:sz w:val="20"/>
          <w:szCs w:val="20"/>
        </w:rPr>
        <w:t>aciente</w:t>
      </w:r>
      <w:proofErr w:type="spellEnd"/>
      <w:r w:rsidRPr="00E47EFA">
        <w:rPr>
          <w:rFonts w:eastAsia="Calibri"/>
          <w:sz w:val="20"/>
          <w:szCs w:val="20"/>
        </w:rPr>
        <w:t xml:space="preserve"> ingres[</w:t>
      </w:r>
      <w:proofErr w:type="spellStart"/>
      <w:r w:rsidRPr="00E47EFA">
        <w:rPr>
          <w:rFonts w:eastAsia="Calibri"/>
          <w:sz w:val="20"/>
          <w:szCs w:val="20"/>
        </w:rPr>
        <w:t>ó</w:t>
      </w:r>
      <w:proofErr w:type="spellEnd"/>
      <w:r w:rsidRPr="00E47EFA">
        <w:rPr>
          <w:rFonts w:eastAsia="Calibri"/>
          <w:sz w:val="20"/>
          <w:szCs w:val="20"/>
        </w:rPr>
        <w:t xml:space="preserve">] en […] muy mal estado general, </w:t>
      </w:r>
      <w:proofErr w:type="spellStart"/>
      <w:r w:rsidRPr="00E47EFA">
        <w:rPr>
          <w:rFonts w:eastAsia="Calibri"/>
          <w:sz w:val="20"/>
          <w:szCs w:val="20"/>
        </w:rPr>
        <w:t>polipnéico</w:t>
      </w:r>
      <w:proofErr w:type="spellEnd"/>
      <w:r w:rsidRPr="00E47EFA">
        <w:rPr>
          <w:rFonts w:eastAsia="Calibri"/>
          <w:sz w:val="20"/>
          <w:szCs w:val="20"/>
        </w:rPr>
        <w:t xml:space="preserve">, con compromiso de conciencia. Diabetes en tratamiento, arritmia no precisada, tratada con </w:t>
      </w:r>
      <w:proofErr w:type="spellStart"/>
      <w:r w:rsidRPr="00E47EFA">
        <w:rPr>
          <w:rFonts w:eastAsia="Calibri"/>
          <w:sz w:val="20"/>
          <w:szCs w:val="20"/>
        </w:rPr>
        <w:t>Amiodarona</w:t>
      </w:r>
      <w:proofErr w:type="spellEnd"/>
      <w:r w:rsidRPr="00E47EFA">
        <w:rPr>
          <w:rFonts w:eastAsia="Calibri"/>
          <w:sz w:val="20"/>
          <w:szCs w:val="20"/>
        </w:rPr>
        <w:t xml:space="preserve">. En [tales] condiciones [fue] trasladado a la </w:t>
      </w:r>
      <w:r>
        <w:rPr>
          <w:rFonts w:eastAsia="Calibri"/>
          <w:sz w:val="20"/>
          <w:szCs w:val="20"/>
        </w:rPr>
        <w:t xml:space="preserve">[Unidad de Cuidados Intensivos (en adelante </w:t>
      </w:r>
      <w:r w:rsidRPr="00E47EFA">
        <w:rPr>
          <w:rFonts w:eastAsia="Calibri"/>
          <w:sz w:val="20"/>
          <w:szCs w:val="20"/>
        </w:rPr>
        <w:t>UCI</w:t>
      </w:r>
      <w:r>
        <w:rPr>
          <w:rFonts w:eastAsia="Calibri"/>
          <w:sz w:val="20"/>
          <w:szCs w:val="20"/>
        </w:rPr>
        <w:t>)]</w:t>
      </w:r>
      <w:r w:rsidRPr="00E47EFA">
        <w:rPr>
          <w:rFonts w:eastAsia="Calibri"/>
          <w:sz w:val="20"/>
          <w:szCs w:val="20"/>
        </w:rPr>
        <w:t xml:space="preserve">, donde se </w:t>
      </w:r>
      <w:proofErr w:type="spellStart"/>
      <w:proofErr w:type="gramStart"/>
      <w:r w:rsidRPr="00E47EFA">
        <w:rPr>
          <w:rFonts w:eastAsia="Calibri"/>
          <w:sz w:val="20"/>
          <w:szCs w:val="20"/>
        </w:rPr>
        <w:t>estabili</w:t>
      </w:r>
      <w:proofErr w:type="spellEnd"/>
      <w:r w:rsidRPr="00E47EFA">
        <w:rPr>
          <w:rFonts w:eastAsia="Calibri"/>
          <w:sz w:val="20"/>
          <w:szCs w:val="20"/>
        </w:rPr>
        <w:t>[</w:t>
      </w:r>
      <w:proofErr w:type="spellStart"/>
      <w:proofErr w:type="gramEnd"/>
      <w:r w:rsidRPr="00E47EFA">
        <w:rPr>
          <w:rFonts w:eastAsia="Calibri"/>
          <w:sz w:val="20"/>
          <w:szCs w:val="20"/>
        </w:rPr>
        <w:t>zó</w:t>
      </w:r>
      <w:proofErr w:type="spellEnd"/>
      <w:r w:rsidRPr="00E47EFA">
        <w:rPr>
          <w:rFonts w:eastAsia="Calibri"/>
          <w:sz w:val="20"/>
          <w:szCs w:val="20"/>
        </w:rPr>
        <w:t>] […], por lo que al cuarto día […] [fue] trasladado a Medicina”</w:t>
      </w:r>
      <w:r w:rsidRPr="00E47EFA">
        <w:rPr>
          <w:rFonts w:eastAsia="Calibri"/>
          <w:sz w:val="20"/>
          <w:szCs w:val="20"/>
          <w:vertAlign w:val="superscript"/>
        </w:rPr>
        <w:footnoteReference w:id="33"/>
      </w:r>
      <w:r w:rsidRPr="00E47EFA">
        <w:rPr>
          <w:rFonts w:eastAsia="Calibri"/>
          <w:sz w:val="20"/>
          <w:szCs w:val="20"/>
        </w:rPr>
        <w:t xml:space="preserve">. Estuvo durante cuatro días hospitalizado en la </w:t>
      </w:r>
      <w:r>
        <w:rPr>
          <w:rFonts w:eastAsia="Calibri"/>
          <w:sz w:val="20"/>
          <w:szCs w:val="20"/>
        </w:rPr>
        <w:t xml:space="preserve">UCI </w:t>
      </w:r>
      <w:r w:rsidRPr="00E47EFA">
        <w:rPr>
          <w:rFonts w:eastAsia="Calibri"/>
          <w:sz w:val="20"/>
          <w:szCs w:val="20"/>
        </w:rPr>
        <w:t>Médica. El 22 de enero de 2001</w:t>
      </w:r>
      <w:r w:rsidRPr="00CA76E0">
        <w:rPr>
          <w:rFonts w:eastAsia="Calibri"/>
          <w:sz w:val="20"/>
          <w:szCs w:val="20"/>
        </w:rPr>
        <w:t xml:space="preserve"> ingresó a la Unidad de Cuidados Intensivos Quirúrgica donde estuvo amarrado con cables de sonda y bajo efectos sedantes</w:t>
      </w:r>
      <w:r w:rsidRPr="00E47EFA">
        <w:rPr>
          <w:rFonts w:eastAsia="Calibri"/>
          <w:sz w:val="20"/>
          <w:szCs w:val="20"/>
          <w:vertAlign w:val="superscript"/>
        </w:rPr>
        <w:footnoteReference w:id="34"/>
      </w:r>
      <w:r w:rsidRPr="00CA76E0">
        <w:rPr>
          <w:rFonts w:eastAsia="Calibri"/>
          <w:sz w:val="20"/>
          <w:szCs w:val="20"/>
        </w:rPr>
        <w:t xml:space="preserve">. </w:t>
      </w:r>
    </w:p>
    <w:p w14:paraId="2B7AB25B" w14:textId="77777777" w:rsidR="00E22B60" w:rsidRPr="00E47EFA" w:rsidRDefault="00E22B60" w:rsidP="00E22B60">
      <w:pPr>
        <w:tabs>
          <w:tab w:val="left" w:pos="630"/>
          <w:tab w:val="left" w:pos="810"/>
          <w:tab w:val="left" w:pos="1530"/>
          <w:tab w:val="left" w:pos="1620"/>
        </w:tabs>
        <w:ind w:right="-360"/>
        <w:contextualSpacing/>
        <w:rPr>
          <w:rFonts w:eastAsia="Calibri"/>
          <w:b/>
          <w:sz w:val="20"/>
          <w:szCs w:val="20"/>
        </w:rPr>
      </w:pPr>
    </w:p>
    <w:p w14:paraId="1D1919DD" w14:textId="607F3DC8"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Al visitar a su familiar el 23 de enero de 2001, la médica María Chacón Fernández no les permitió verlo y según los familiares escucharon un quejido del señor Poblete Vilches para que “lo sacara[n] de ahí porque lo estaban matando”</w:t>
      </w:r>
      <w:r w:rsidRPr="00E47EFA">
        <w:rPr>
          <w:rFonts w:eastAsia="Calibri"/>
          <w:sz w:val="20"/>
          <w:szCs w:val="20"/>
          <w:vertAlign w:val="superscript"/>
        </w:rPr>
        <w:footnoteReference w:id="35"/>
      </w:r>
      <w:r w:rsidRPr="00E47EFA">
        <w:rPr>
          <w:rFonts w:eastAsia="Calibri"/>
          <w:sz w:val="20"/>
          <w:szCs w:val="20"/>
        </w:rPr>
        <w:t>. Además, declararon que la doctora Chacón les informó que el señor Poblete Vilches se encontraba en buen estado de salud y que lo llevarían al “pabellón” para hacerle una pequeña punción para ver si tenía líquido en el corazón pero no sería operado; a lo cual los familiares advirtieron que su padre padecía diabetes y que no podía ser intervenido quirúrgicamente</w:t>
      </w:r>
      <w:r w:rsidR="00E4673A">
        <w:rPr>
          <w:rStyle w:val="FootnoteReference"/>
          <w:rFonts w:eastAsia="Calibri"/>
          <w:sz w:val="20"/>
          <w:szCs w:val="20"/>
        </w:rPr>
        <w:footnoteReference w:id="36"/>
      </w:r>
      <w:r w:rsidRPr="00E47EFA">
        <w:rPr>
          <w:rFonts w:eastAsia="Calibri"/>
          <w:sz w:val="20"/>
          <w:szCs w:val="20"/>
        </w:rPr>
        <w:t xml:space="preserve">. </w:t>
      </w:r>
    </w:p>
    <w:p w14:paraId="6701EDBA" w14:textId="77777777" w:rsidR="00E22B60" w:rsidRPr="00E47EFA" w:rsidRDefault="00E22B60" w:rsidP="00E22B60">
      <w:pPr>
        <w:tabs>
          <w:tab w:val="left" w:pos="630"/>
          <w:tab w:val="left" w:pos="810"/>
          <w:tab w:val="left" w:pos="1530"/>
          <w:tab w:val="left" w:pos="1620"/>
        </w:tabs>
        <w:ind w:right="-360"/>
        <w:contextualSpacing/>
        <w:rPr>
          <w:rFonts w:eastAsia="Calibri"/>
          <w:b/>
          <w:i/>
          <w:sz w:val="20"/>
          <w:szCs w:val="20"/>
        </w:rPr>
      </w:pPr>
    </w:p>
    <w:p w14:paraId="5009EC7C" w14:textId="77777777" w:rsidR="00E22B60" w:rsidRPr="00C64243"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El día 26 de enero 2001 el señor Poblete Vilches entró “a pabellón”, y al salir los familiares pudieron observar que tenía en la cintura tres grandes heridas de las cuales salía un tubo de drenaje, además declararon que nunca se les solicitó autorización para someterlo a dicha cirugía</w:t>
      </w:r>
      <w:r w:rsidRPr="00E47EFA">
        <w:rPr>
          <w:rFonts w:eastAsia="Calibri"/>
          <w:sz w:val="20"/>
          <w:szCs w:val="20"/>
          <w:vertAlign w:val="superscript"/>
        </w:rPr>
        <w:footnoteReference w:id="37"/>
      </w:r>
      <w:r w:rsidRPr="00E47EFA">
        <w:rPr>
          <w:rFonts w:eastAsia="Calibri"/>
          <w:sz w:val="20"/>
          <w:szCs w:val="20"/>
        </w:rPr>
        <w:t>, siendo que se encontraba inconsciente</w:t>
      </w:r>
      <w:r>
        <w:rPr>
          <w:rStyle w:val="FootnoteReference"/>
          <w:rFonts w:eastAsia="Calibri"/>
          <w:sz w:val="20"/>
          <w:szCs w:val="20"/>
        </w:rPr>
        <w:footnoteReference w:id="38"/>
      </w:r>
      <w:r w:rsidRPr="00E47EFA">
        <w:rPr>
          <w:rFonts w:eastAsia="Calibri"/>
          <w:sz w:val="20"/>
          <w:szCs w:val="20"/>
        </w:rPr>
        <w:t>.</w:t>
      </w:r>
    </w:p>
    <w:p w14:paraId="27C22AD0" w14:textId="77777777" w:rsidR="00E22B60" w:rsidRPr="00E47EFA" w:rsidRDefault="00E22B60" w:rsidP="00E22B60">
      <w:pPr>
        <w:tabs>
          <w:tab w:val="left" w:pos="630"/>
          <w:tab w:val="left" w:pos="810"/>
          <w:tab w:val="left" w:pos="1530"/>
          <w:tab w:val="left" w:pos="1620"/>
        </w:tabs>
        <w:ind w:right="-360"/>
        <w:contextualSpacing/>
        <w:rPr>
          <w:rFonts w:eastAsia="Calibri"/>
          <w:b/>
          <w:i/>
          <w:sz w:val="20"/>
          <w:szCs w:val="20"/>
        </w:rPr>
      </w:pPr>
    </w:p>
    <w:p w14:paraId="5EF13844"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 xml:space="preserve">En el expediente médico de 26 de enero de 2001, </w:t>
      </w:r>
      <w:r>
        <w:rPr>
          <w:rFonts w:eastAsia="Calibri"/>
          <w:sz w:val="20"/>
          <w:szCs w:val="20"/>
        </w:rPr>
        <w:t>se encuentra</w:t>
      </w:r>
      <w:r w:rsidRPr="00E47EFA">
        <w:rPr>
          <w:rFonts w:eastAsia="Calibri"/>
          <w:sz w:val="20"/>
          <w:szCs w:val="20"/>
        </w:rPr>
        <w:t xml:space="preserve"> una leyenda manuscrita por “Margarita Tapia” que señala: </w:t>
      </w:r>
    </w:p>
    <w:p w14:paraId="67086636" w14:textId="77777777" w:rsidR="00E22B60" w:rsidRPr="00E47EFA" w:rsidRDefault="00E22B60" w:rsidP="00E22B60">
      <w:pPr>
        <w:tabs>
          <w:tab w:val="left" w:pos="630"/>
          <w:tab w:val="left" w:pos="810"/>
          <w:tab w:val="left" w:pos="1530"/>
          <w:tab w:val="left" w:pos="1620"/>
        </w:tabs>
        <w:ind w:right="-360"/>
        <w:contextualSpacing/>
        <w:rPr>
          <w:rFonts w:eastAsia="Calibri"/>
          <w:sz w:val="18"/>
          <w:szCs w:val="18"/>
        </w:rPr>
      </w:pPr>
    </w:p>
    <w:p w14:paraId="484619D5" w14:textId="77777777" w:rsidR="00E22B60" w:rsidRPr="00E47EFA" w:rsidRDefault="00E22B60" w:rsidP="00E22B60">
      <w:pPr>
        <w:tabs>
          <w:tab w:val="left" w:pos="630"/>
          <w:tab w:val="left" w:pos="810"/>
          <w:tab w:val="left" w:pos="1530"/>
          <w:tab w:val="left" w:pos="1620"/>
        </w:tabs>
        <w:ind w:left="540" w:right="360"/>
        <w:contextualSpacing/>
        <w:rPr>
          <w:rFonts w:eastAsia="Calibri"/>
          <w:b/>
          <w:i/>
          <w:sz w:val="18"/>
          <w:szCs w:val="18"/>
        </w:rPr>
      </w:pPr>
      <w:r w:rsidRPr="00E47EFA">
        <w:rPr>
          <w:rFonts w:eastAsia="Calibri"/>
          <w:sz w:val="18"/>
          <w:szCs w:val="18"/>
        </w:rPr>
        <w:tab/>
      </w:r>
      <w:r>
        <w:rPr>
          <w:rFonts w:eastAsia="Calibri"/>
          <w:sz w:val="18"/>
          <w:szCs w:val="18"/>
        </w:rPr>
        <w:t>“</w:t>
      </w:r>
      <w:r w:rsidRPr="00E47EFA">
        <w:rPr>
          <w:rFonts w:eastAsia="Calibri"/>
          <w:sz w:val="18"/>
          <w:szCs w:val="18"/>
        </w:rPr>
        <w:t xml:space="preserve">26.0120001 </w:t>
      </w:r>
      <w:r w:rsidRPr="00AA59CF">
        <w:rPr>
          <w:rFonts w:eastAsia="Calibri"/>
          <w:sz w:val="18"/>
          <w:szCs w:val="18"/>
        </w:rPr>
        <w:t xml:space="preserve">se me ha </w:t>
      </w:r>
      <w:proofErr w:type="spellStart"/>
      <w:r w:rsidRPr="00AA59CF">
        <w:rPr>
          <w:rFonts w:eastAsia="Calibri"/>
          <w:sz w:val="18"/>
          <w:szCs w:val="18"/>
        </w:rPr>
        <w:t>esplicado</w:t>
      </w:r>
      <w:proofErr w:type="spellEnd"/>
      <w:r w:rsidRPr="00AA59CF">
        <w:rPr>
          <w:rFonts w:eastAsia="Calibri"/>
          <w:sz w:val="18"/>
          <w:szCs w:val="18"/>
        </w:rPr>
        <w:t xml:space="preserve"> [sic] el procedimiento </w:t>
      </w:r>
      <w:proofErr w:type="spellStart"/>
      <w:r w:rsidRPr="00AA59CF">
        <w:rPr>
          <w:rFonts w:eastAsia="Calibri"/>
          <w:sz w:val="18"/>
          <w:szCs w:val="18"/>
        </w:rPr>
        <w:t>guirurjico</w:t>
      </w:r>
      <w:proofErr w:type="spellEnd"/>
      <w:r w:rsidRPr="00AA59CF">
        <w:rPr>
          <w:rFonts w:eastAsia="Calibri"/>
          <w:sz w:val="18"/>
          <w:szCs w:val="18"/>
        </w:rPr>
        <w:t xml:space="preserve"> [sic] que se realizará a mi padre y estoy de acuerdo que este se realice, se me ha </w:t>
      </w:r>
      <w:proofErr w:type="spellStart"/>
      <w:r w:rsidRPr="00AA59CF">
        <w:rPr>
          <w:rFonts w:eastAsia="Calibri"/>
          <w:sz w:val="18"/>
          <w:szCs w:val="18"/>
        </w:rPr>
        <w:t>esplicado</w:t>
      </w:r>
      <w:proofErr w:type="spellEnd"/>
      <w:r w:rsidRPr="00AA59CF">
        <w:rPr>
          <w:rFonts w:eastAsia="Calibri"/>
          <w:sz w:val="18"/>
          <w:szCs w:val="18"/>
        </w:rPr>
        <w:t xml:space="preserve"> [sic] y </w:t>
      </w:r>
      <w:proofErr w:type="spellStart"/>
      <w:r w:rsidRPr="00AA59CF">
        <w:rPr>
          <w:rFonts w:eastAsia="Calibri"/>
          <w:sz w:val="18"/>
          <w:szCs w:val="18"/>
        </w:rPr>
        <w:t>aceto</w:t>
      </w:r>
      <w:proofErr w:type="spellEnd"/>
      <w:r w:rsidRPr="00AA59CF">
        <w:rPr>
          <w:rFonts w:eastAsia="Calibri"/>
          <w:sz w:val="18"/>
          <w:szCs w:val="18"/>
        </w:rPr>
        <w:t xml:space="preserve"> [sic] los riesgos de la operación”</w:t>
      </w:r>
      <w:r w:rsidRPr="00E47EFA">
        <w:rPr>
          <w:rFonts w:eastAsia="Calibri"/>
          <w:sz w:val="18"/>
          <w:szCs w:val="18"/>
          <w:vertAlign w:val="superscript"/>
        </w:rPr>
        <w:footnoteReference w:id="39"/>
      </w:r>
      <w:r w:rsidRPr="00E47EFA">
        <w:rPr>
          <w:rFonts w:eastAsia="Calibri"/>
          <w:sz w:val="18"/>
          <w:szCs w:val="18"/>
        </w:rPr>
        <w:t xml:space="preserve">. </w:t>
      </w:r>
    </w:p>
    <w:p w14:paraId="4459CFA7"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44801A40"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Según el Informe Pericial Calígrafo de 26 de diciembre del 2016, se asentó que la firma en el expediente médico no correspondía al de la señora Blanca Margarita Tapia Encina</w:t>
      </w:r>
      <w:r w:rsidRPr="00E47EFA">
        <w:rPr>
          <w:rFonts w:eastAsia="Calibri"/>
          <w:sz w:val="20"/>
          <w:szCs w:val="20"/>
          <w:vertAlign w:val="superscript"/>
        </w:rPr>
        <w:footnoteReference w:id="40"/>
      </w:r>
      <w:r w:rsidRPr="00E47EFA">
        <w:rPr>
          <w:rFonts w:eastAsia="Calibri"/>
          <w:sz w:val="20"/>
          <w:szCs w:val="20"/>
        </w:rPr>
        <w:t>, quien además era su esposa y no su hija</w:t>
      </w:r>
      <w:r w:rsidRPr="00E47EFA">
        <w:rPr>
          <w:rFonts w:eastAsia="Calibri"/>
          <w:sz w:val="20"/>
          <w:szCs w:val="20"/>
          <w:vertAlign w:val="superscript"/>
        </w:rPr>
        <w:footnoteReference w:id="41"/>
      </w:r>
      <w:r w:rsidRPr="00E47EFA">
        <w:rPr>
          <w:rFonts w:eastAsia="Calibri"/>
          <w:sz w:val="20"/>
          <w:szCs w:val="20"/>
        </w:rPr>
        <w:t xml:space="preserve">. </w:t>
      </w:r>
    </w:p>
    <w:p w14:paraId="017BE843" w14:textId="77777777" w:rsidR="00E22B60" w:rsidRPr="00E47EFA" w:rsidRDefault="00E22B60" w:rsidP="00E22B60">
      <w:pPr>
        <w:tabs>
          <w:tab w:val="left" w:pos="630"/>
          <w:tab w:val="left" w:pos="810"/>
          <w:tab w:val="left" w:pos="1530"/>
          <w:tab w:val="left" w:pos="1620"/>
        </w:tabs>
        <w:ind w:right="-360"/>
        <w:contextualSpacing/>
        <w:rPr>
          <w:rFonts w:eastAsia="Calibri"/>
          <w:b/>
          <w:i/>
          <w:sz w:val="20"/>
          <w:szCs w:val="20"/>
        </w:rPr>
      </w:pPr>
    </w:p>
    <w:p w14:paraId="098A121C" w14:textId="6ED2640F"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 xml:space="preserve">El 2 de febrero de 2001 el señor Vinicio Poblete Tapia </w:t>
      </w:r>
      <w:r w:rsidR="00713D68">
        <w:rPr>
          <w:rFonts w:eastAsia="Calibri"/>
          <w:sz w:val="20"/>
          <w:szCs w:val="20"/>
        </w:rPr>
        <w:t>recibió una llamada del h</w:t>
      </w:r>
      <w:r w:rsidRPr="00E47EFA">
        <w:rPr>
          <w:rFonts w:eastAsia="Calibri"/>
          <w:sz w:val="20"/>
          <w:szCs w:val="20"/>
        </w:rPr>
        <w:t>ospital informándole que su padre ya se encontraba bien y debía volver a su entorno familiar. Al llegar al hospital a recoger a su padre, los familiares lo notaron en mal estado de salud e intentaron hablar con los médicos, pero nadie los atendió</w:t>
      </w:r>
      <w:r w:rsidRPr="00E47EFA">
        <w:rPr>
          <w:rStyle w:val="FootnoteReference"/>
          <w:rFonts w:eastAsia="Calibri"/>
          <w:sz w:val="20"/>
          <w:szCs w:val="20"/>
        </w:rPr>
        <w:footnoteReference w:id="42"/>
      </w:r>
      <w:r w:rsidRPr="00E47EFA">
        <w:rPr>
          <w:rFonts w:eastAsia="Calibri"/>
          <w:sz w:val="20"/>
          <w:szCs w:val="20"/>
        </w:rPr>
        <w:t xml:space="preserve">. </w:t>
      </w:r>
    </w:p>
    <w:p w14:paraId="10E55F64" w14:textId="77777777" w:rsidR="00E22B60" w:rsidRPr="00E47EFA" w:rsidRDefault="00E22B60" w:rsidP="00E22B60">
      <w:pPr>
        <w:tabs>
          <w:tab w:val="left" w:pos="630"/>
          <w:tab w:val="left" w:pos="810"/>
          <w:tab w:val="left" w:pos="1530"/>
          <w:tab w:val="left" w:pos="1620"/>
        </w:tabs>
        <w:ind w:right="-360"/>
        <w:contextualSpacing/>
        <w:rPr>
          <w:rFonts w:eastAsia="Calibri"/>
          <w:b/>
          <w:i/>
          <w:sz w:val="20"/>
          <w:szCs w:val="20"/>
        </w:rPr>
      </w:pPr>
    </w:p>
    <w:p w14:paraId="4A894C8B"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Por el mal estado de salud en el que el señor Poblete Vilches se encontraba los familiares decidieron contratar una ambulancia privada para su traslado pues, según describieron, no había ambulancias disponibles en el hospital</w:t>
      </w:r>
      <w:r w:rsidRPr="00E47EFA">
        <w:rPr>
          <w:rFonts w:eastAsia="Calibri"/>
          <w:sz w:val="20"/>
          <w:szCs w:val="20"/>
          <w:vertAlign w:val="superscript"/>
        </w:rPr>
        <w:footnoteReference w:id="43"/>
      </w:r>
      <w:r w:rsidRPr="00E47EFA">
        <w:rPr>
          <w:rFonts w:eastAsia="Calibri"/>
          <w:sz w:val="20"/>
          <w:szCs w:val="20"/>
        </w:rPr>
        <w:t xml:space="preserve">. </w:t>
      </w:r>
    </w:p>
    <w:p w14:paraId="104A3E16" w14:textId="77777777" w:rsidR="00E22B60" w:rsidRPr="00E47EFA" w:rsidRDefault="00E22B60" w:rsidP="00E22B60">
      <w:pPr>
        <w:tabs>
          <w:tab w:val="left" w:pos="567"/>
          <w:tab w:val="left" w:pos="630"/>
          <w:tab w:val="left" w:pos="810"/>
          <w:tab w:val="left" w:pos="1530"/>
          <w:tab w:val="left" w:pos="1620"/>
          <w:tab w:val="num" w:pos="12305"/>
        </w:tabs>
        <w:ind w:right="-360"/>
        <w:rPr>
          <w:rFonts w:eastAsia="Calibri"/>
          <w:b/>
          <w:i/>
          <w:sz w:val="20"/>
          <w:szCs w:val="20"/>
        </w:rPr>
      </w:pPr>
    </w:p>
    <w:p w14:paraId="0B3C9C1A"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El señor Poblete Vilches llegó a su casa ese mismo 2 de febrero de 2001 con una fiebre muy elevada, emanando pus de sus heridas, de las cuales sólo una estaba suturada</w:t>
      </w:r>
      <w:r w:rsidRPr="00E47EFA">
        <w:rPr>
          <w:rFonts w:eastAsia="Calibri"/>
          <w:sz w:val="20"/>
          <w:szCs w:val="20"/>
          <w:vertAlign w:val="superscript"/>
        </w:rPr>
        <w:footnoteReference w:id="44"/>
      </w:r>
      <w:r w:rsidRPr="00E47EFA">
        <w:rPr>
          <w:rFonts w:eastAsia="Calibri"/>
          <w:sz w:val="20"/>
          <w:szCs w:val="20"/>
        </w:rPr>
        <w:t>. Consecuentemente, el 5 de febrero de 2001 sus familiares llamaron a la doctora privada, Sandra Castillo Montufar, quien, luego de examinarlo, ordenó trasladarlo de inmediato al hospital, debido a que presentaba un cuadro febril complicado y diagnosticó “shock séptico, bronconeumonía bilateral, diabetes mellitus 2 [y] [p]</w:t>
      </w:r>
      <w:proofErr w:type="spellStart"/>
      <w:r w:rsidRPr="00E47EFA">
        <w:rPr>
          <w:rFonts w:eastAsia="Calibri"/>
          <w:sz w:val="20"/>
          <w:szCs w:val="20"/>
        </w:rPr>
        <w:t>ericarditis</w:t>
      </w:r>
      <w:proofErr w:type="spellEnd"/>
      <w:r w:rsidRPr="00E47EFA">
        <w:rPr>
          <w:rFonts w:eastAsia="Calibri"/>
          <w:sz w:val="20"/>
          <w:szCs w:val="20"/>
        </w:rPr>
        <w:t>”</w:t>
      </w:r>
      <w:r w:rsidRPr="00E47EFA">
        <w:rPr>
          <w:rFonts w:eastAsia="Calibri"/>
          <w:sz w:val="20"/>
          <w:szCs w:val="20"/>
          <w:vertAlign w:val="superscript"/>
        </w:rPr>
        <w:footnoteReference w:id="45"/>
      </w:r>
      <w:r w:rsidRPr="00E47EFA">
        <w:rPr>
          <w:rFonts w:eastAsia="Calibri"/>
          <w:sz w:val="20"/>
          <w:szCs w:val="20"/>
        </w:rPr>
        <w:t>.</w:t>
      </w:r>
    </w:p>
    <w:p w14:paraId="2F3D3736"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5A7BDB12" w14:textId="77777777" w:rsidR="00E22B60" w:rsidRPr="00E47EFA" w:rsidRDefault="00E22B60" w:rsidP="00E22B60">
      <w:pPr>
        <w:keepNext/>
        <w:keepLines/>
        <w:numPr>
          <w:ilvl w:val="0"/>
          <w:numId w:val="29"/>
        </w:numPr>
        <w:tabs>
          <w:tab w:val="left" w:pos="630"/>
          <w:tab w:val="left" w:pos="810"/>
          <w:tab w:val="left" w:pos="1530"/>
          <w:tab w:val="left" w:pos="1620"/>
        </w:tabs>
        <w:ind w:left="0" w:right="-360" w:firstLine="0"/>
        <w:outlineLvl w:val="1"/>
        <w:rPr>
          <w:rFonts w:eastAsia="MS Mincho"/>
          <w:b/>
          <w:i/>
          <w:snapToGrid w:val="0"/>
          <w:sz w:val="20"/>
          <w:szCs w:val="26"/>
        </w:rPr>
      </w:pPr>
      <w:r w:rsidRPr="00E47EFA">
        <w:rPr>
          <w:rFonts w:eastAsia="MS Mincho"/>
          <w:b/>
          <w:i/>
          <w:sz w:val="20"/>
          <w:szCs w:val="26"/>
        </w:rPr>
        <w:t>Segundo</w:t>
      </w:r>
      <w:r w:rsidRPr="00E47EFA">
        <w:rPr>
          <w:rFonts w:eastAsia="MS Mincho"/>
          <w:b/>
          <w:i/>
          <w:snapToGrid w:val="0"/>
          <w:sz w:val="20"/>
          <w:szCs w:val="26"/>
        </w:rPr>
        <w:t xml:space="preserve"> ingreso del señor Vinicio Antonio Poblete Vilches al hospital </w:t>
      </w:r>
      <w:proofErr w:type="spellStart"/>
      <w:r w:rsidRPr="00E47EFA">
        <w:rPr>
          <w:rFonts w:eastAsia="MS Mincho"/>
          <w:b/>
          <w:i/>
          <w:snapToGrid w:val="0"/>
          <w:sz w:val="20"/>
          <w:szCs w:val="26"/>
        </w:rPr>
        <w:t>Sótero</w:t>
      </w:r>
      <w:proofErr w:type="spellEnd"/>
      <w:r w:rsidRPr="00E47EFA">
        <w:rPr>
          <w:rFonts w:eastAsia="MS Mincho"/>
          <w:b/>
          <w:i/>
          <w:snapToGrid w:val="0"/>
          <w:sz w:val="20"/>
          <w:szCs w:val="26"/>
        </w:rPr>
        <w:t xml:space="preserve"> del Río.</w:t>
      </w:r>
    </w:p>
    <w:p w14:paraId="5C90342E"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232E9F1B" w14:textId="3954872B"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 xml:space="preserve">El 5 de febrero de 2001 el señor Poblete Vilches fue nuevamente ingresado al Hospital </w:t>
      </w:r>
      <w:proofErr w:type="spellStart"/>
      <w:r w:rsidRPr="00E47EFA">
        <w:rPr>
          <w:rFonts w:eastAsia="Calibri"/>
          <w:sz w:val="20"/>
          <w:szCs w:val="20"/>
        </w:rPr>
        <w:t>Sótero</w:t>
      </w:r>
      <w:proofErr w:type="spellEnd"/>
      <w:r w:rsidRPr="00E47EFA">
        <w:rPr>
          <w:rFonts w:eastAsia="Calibri"/>
          <w:sz w:val="20"/>
          <w:szCs w:val="20"/>
        </w:rPr>
        <w:t xml:space="preserve"> del Río en el Servicio de Urgencias donde, fueron informados por el doctor Luis Car</w:t>
      </w:r>
      <w:r w:rsidR="00674700">
        <w:rPr>
          <w:rFonts w:eastAsia="Calibri"/>
          <w:sz w:val="20"/>
          <w:szCs w:val="20"/>
        </w:rPr>
        <w:t>[</w:t>
      </w:r>
      <w:r w:rsidRPr="00E47EFA">
        <w:rPr>
          <w:rFonts w:eastAsia="Calibri"/>
          <w:sz w:val="20"/>
          <w:szCs w:val="20"/>
        </w:rPr>
        <w:t>v</w:t>
      </w:r>
      <w:r w:rsidR="00674700">
        <w:rPr>
          <w:rFonts w:eastAsia="Calibri"/>
          <w:sz w:val="20"/>
          <w:szCs w:val="20"/>
        </w:rPr>
        <w:t>]</w:t>
      </w:r>
      <w:proofErr w:type="spellStart"/>
      <w:r w:rsidRPr="00E47EFA">
        <w:rPr>
          <w:rFonts w:eastAsia="Calibri"/>
          <w:sz w:val="20"/>
          <w:szCs w:val="20"/>
        </w:rPr>
        <w:t>ajal</w:t>
      </w:r>
      <w:proofErr w:type="spellEnd"/>
      <w:r w:rsidRPr="00E47EFA">
        <w:rPr>
          <w:rFonts w:eastAsia="Calibri"/>
          <w:sz w:val="20"/>
          <w:szCs w:val="20"/>
        </w:rPr>
        <w:t xml:space="preserve"> Freire </w:t>
      </w:r>
      <w:r w:rsidRPr="00E47EFA">
        <w:rPr>
          <w:rFonts w:eastAsia="Calibri"/>
          <w:sz w:val="20"/>
          <w:szCs w:val="20"/>
        </w:rPr>
        <w:lastRenderedPageBreak/>
        <w:t>que el señor Poblete Vilches tenía una “simple bronconeumonía”</w:t>
      </w:r>
      <w:r w:rsidRPr="00E47EFA">
        <w:rPr>
          <w:rFonts w:eastAsia="Calibri"/>
          <w:sz w:val="20"/>
          <w:szCs w:val="20"/>
          <w:vertAlign w:val="superscript"/>
        </w:rPr>
        <w:footnoteReference w:id="46"/>
      </w:r>
      <w:r w:rsidRPr="00E47EFA">
        <w:rPr>
          <w:rFonts w:eastAsia="Calibri"/>
          <w:sz w:val="20"/>
          <w:szCs w:val="20"/>
        </w:rPr>
        <w:t>. De acuerdo con la ficha clínica de ingreso</w:t>
      </w:r>
      <w:r w:rsidRPr="00CA76E0">
        <w:rPr>
          <w:rFonts w:eastAsia="Calibri"/>
          <w:sz w:val="18"/>
          <w:szCs w:val="20"/>
          <w:vertAlign w:val="superscript"/>
        </w:rPr>
        <w:footnoteReference w:id="47"/>
      </w:r>
      <w:r w:rsidRPr="00CA76E0">
        <w:rPr>
          <w:rFonts w:eastAsia="Calibri"/>
          <w:sz w:val="20"/>
          <w:szCs w:val="20"/>
        </w:rPr>
        <w:t>,</w:t>
      </w:r>
      <w:r w:rsidRPr="00E47EFA">
        <w:rPr>
          <w:rFonts w:eastAsia="Calibri"/>
          <w:sz w:val="20"/>
          <w:szCs w:val="20"/>
        </w:rPr>
        <w:t xml:space="preserve"> se requería que el señor Poblete ingresara a la unidad de cuidados intensivos y apoyo de ventilador. A saber: </w:t>
      </w:r>
    </w:p>
    <w:p w14:paraId="4E9A92D8" w14:textId="77777777" w:rsidR="00E22B60" w:rsidRPr="00E47EFA" w:rsidRDefault="00E22B60" w:rsidP="00E22B60">
      <w:pPr>
        <w:tabs>
          <w:tab w:val="left" w:pos="567"/>
          <w:tab w:val="left" w:pos="630"/>
          <w:tab w:val="left" w:pos="810"/>
          <w:tab w:val="left" w:pos="1530"/>
          <w:tab w:val="left" w:pos="1620"/>
        </w:tabs>
        <w:ind w:right="-360"/>
        <w:rPr>
          <w:rFonts w:eastAsia="Calibri"/>
          <w:sz w:val="20"/>
          <w:szCs w:val="20"/>
        </w:rPr>
      </w:pPr>
    </w:p>
    <w:p w14:paraId="1B003F9D"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ab/>
      </w:r>
      <w:r>
        <w:rPr>
          <w:rFonts w:eastAsia="Calibri"/>
          <w:sz w:val="18"/>
          <w:szCs w:val="20"/>
          <w:lang w:val="es-ES_tradnl"/>
        </w:rPr>
        <w:t>“</w:t>
      </w:r>
      <w:r w:rsidRPr="00E47EFA">
        <w:rPr>
          <w:rFonts w:eastAsia="Calibri"/>
          <w:sz w:val="18"/>
          <w:szCs w:val="20"/>
          <w:lang w:val="es-ES_tradnl"/>
        </w:rPr>
        <w:t xml:space="preserve">[…] Plan: Paciente con indicación de UCI para apoyo ventilatorio. No hay disponibilidad en </w:t>
      </w:r>
      <w:r w:rsidRPr="00AB082C">
        <w:rPr>
          <w:rFonts w:eastAsia="Calibri"/>
          <w:sz w:val="18"/>
          <w:szCs w:val="20"/>
          <w:lang w:val="es-ES_tradnl"/>
        </w:rPr>
        <w:t xml:space="preserve">UCI o      </w:t>
      </w:r>
      <w:proofErr w:type="spellStart"/>
      <w:r w:rsidRPr="00AB082C">
        <w:rPr>
          <w:rFonts w:eastAsia="Calibri"/>
          <w:sz w:val="18"/>
          <w:szCs w:val="20"/>
          <w:lang w:val="es-ES_tradnl"/>
        </w:rPr>
        <w:t>Qx</w:t>
      </w:r>
      <w:proofErr w:type="spellEnd"/>
      <w:r w:rsidRPr="00AB082C">
        <w:rPr>
          <w:rFonts w:eastAsia="Calibri"/>
          <w:sz w:val="18"/>
          <w:szCs w:val="20"/>
          <w:lang w:val="es-ES_tradnl"/>
        </w:rPr>
        <w:t>. Se realizará manejo en intermedio a la espera de una cama de UCI.</w:t>
      </w:r>
      <w:r w:rsidRPr="00E47EFA">
        <w:rPr>
          <w:rFonts w:eastAsia="Calibri"/>
          <w:sz w:val="18"/>
          <w:szCs w:val="20"/>
          <w:lang w:val="es-ES_tradnl"/>
        </w:rPr>
        <w:t xml:space="preserve"> </w:t>
      </w:r>
    </w:p>
    <w:p w14:paraId="73952706"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ab/>
        <w:t>Dg. 1) Insuficiencia respiratoria aguda parcial.</w:t>
      </w:r>
    </w:p>
    <w:p w14:paraId="3C070BD6"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 xml:space="preserve">     </w:t>
      </w:r>
      <w:r>
        <w:rPr>
          <w:rFonts w:eastAsia="Calibri"/>
          <w:sz w:val="18"/>
          <w:szCs w:val="20"/>
          <w:lang w:val="es-ES_tradnl"/>
        </w:rPr>
        <w:t xml:space="preserve">  </w:t>
      </w:r>
      <w:r w:rsidRPr="00E47EFA">
        <w:rPr>
          <w:rFonts w:eastAsia="Calibri"/>
          <w:sz w:val="18"/>
          <w:szCs w:val="20"/>
          <w:lang w:val="es-ES_tradnl"/>
        </w:rPr>
        <w:t xml:space="preserve">2) Shock probablemente séptico. </w:t>
      </w:r>
    </w:p>
    <w:p w14:paraId="755DF7EA"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ab/>
        <w:t xml:space="preserve"> </w:t>
      </w:r>
      <w:r w:rsidRPr="00E47EFA">
        <w:rPr>
          <w:rFonts w:eastAsia="Calibri"/>
          <w:sz w:val="18"/>
          <w:szCs w:val="20"/>
          <w:lang w:val="es-ES_tradnl"/>
        </w:rPr>
        <w:tab/>
        <w:t xml:space="preserve">   Foco […] Neumonía intrahospitalaria. </w:t>
      </w:r>
    </w:p>
    <w:p w14:paraId="30FCD0C8"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 xml:space="preserve">      </w:t>
      </w:r>
      <w:r w:rsidRPr="00E47EFA">
        <w:rPr>
          <w:rFonts w:eastAsia="Calibri"/>
          <w:sz w:val="18"/>
          <w:szCs w:val="20"/>
          <w:lang w:val="es-ES_tradnl"/>
        </w:rPr>
        <w:tab/>
      </w:r>
      <w:r w:rsidRPr="00E47EFA">
        <w:rPr>
          <w:rFonts w:eastAsia="Calibri"/>
          <w:sz w:val="18"/>
          <w:szCs w:val="20"/>
          <w:lang w:val="es-ES_tradnl"/>
        </w:rPr>
        <w:tab/>
        <w:t>3) DM Tipo II descompensada</w:t>
      </w:r>
    </w:p>
    <w:p w14:paraId="6DE25D66"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ab/>
      </w:r>
      <w:r w:rsidRPr="00E47EFA">
        <w:rPr>
          <w:rFonts w:eastAsia="Calibri"/>
          <w:sz w:val="18"/>
          <w:szCs w:val="20"/>
          <w:lang w:val="es-ES_tradnl"/>
        </w:rPr>
        <w:tab/>
        <w:t xml:space="preserve"> 4) Insuficiencia renal ¿agudo?</w:t>
      </w:r>
    </w:p>
    <w:p w14:paraId="2025FC9B"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ab/>
      </w:r>
      <w:r w:rsidRPr="00E47EFA">
        <w:rPr>
          <w:rFonts w:eastAsia="Calibri"/>
          <w:sz w:val="18"/>
          <w:szCs w:val="20"/>
          <w:lang w:val="es-ES_tradnl"/>
        </w:rPr>
        <w:tab/>
        <w:t xml:space="preserve"> </w:t>
      </w:r>
      <w:r w:rsidRPr="00C64243">
        <w:rPr>
          <w:rFonts w:eastAsia="Calibri"/>
          <w:sz w:val="18"/>
          <w:szCs w:val="20"/>
          <w:lang w:val="es-ES_tradnl"/>
        </w:rPr>
        <w:t>5</w:t>
      </w:r>
      <w:r w:rsidRPr="00E47EFA">
        <w:rPr>
          <w:rFonts w:eastAsia="Calibri"/>
          <w:sz w:val="18"/>
          <w:szCs w:val="20"/>
          <w:lang w:val="es-ES_tradnl"/>
        </w:rPr>
        <w:t>) HTA</w:t>
      </w:r>
    </w:p>
    <w:p w14:paraId="6C588505"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ab/>
      </w:r>
      <w:r w:rsidRPr="00E47EFA">
        <w:rPr>
          <w:rFonts w:eastAsia="Calibri"/>
          <w:sz w:val="18"/>
          <w:szCs w:val="20"/>
          <w:lang w:val="es-ES_tradnl"/>
        </w:rPr>
        <w:tab/>
        <w:t xml:space="preserve"> 6) ICC</w:t>
      </w:r>
    </w:p>
    <w:p w14:paraId="1AF4124C"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ab/>
      </w:r>
      <w:r w:rsidRPr="00E47EFA">
        <w:rPr>
          <w:rFonts w:eastAsia="Calibri"/>
          <w:sz w:val="18"/>
          <w:szCs w:val="20"/>
          <w:lang w:val="es-ES_tradnl"/>
        </w:rPr>
        <w:tab/>
        <w:t xml:space="preserve"> 7) </w:t>
      </w:r>
      <w:proofErr w:type="spellStart"/>
      <w:r w:rsidRPr="00E47EFA">
        <w:rPr>
          <w:rFonts w:eastAsia="Calibri"/>
          <w:sz w:val="18"/>
          <w:szCs w:val="20"/>
          <w:lang w:val="es-ES_tradnl"/>
        </w:rPr>
        <w:t>ACx</w:t>
      </w:r>
      <w:proofErr w:type="spellEnd"/>
      <w:r w:rsidRPr="00E47EFA">
        <w:rPr>
          <w:rFonts w:eastAsia="Calibri"/>
          <w:sz w:val="18"/>
          <w:szCs w:val="20"/>
          <w:lang w:val="es-ES_tradnl"/>
        </w:rPr>
        <w:t xml:space="preserve"> FA</w:t>
      </w:r>
    </w:p>
    <w:p w14:paraId="206E9C4B"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ab/>
      </w:r>
      <w:r w:rsidRPr="00E47EFA">
        <w:rPr>
          <w:rFonts w:eastAsia="Calibri"/>
          <w:sz w:val="18"/>
          <w:szCs w:val="20"/>
          <w:lang w:val="es-ES_tradnl"/>
        </w:rPr>
        <w:tab/>
        <w:t xml:space="preserve"> 8) Cardiopatía coronaria</w:t>
      </w:r>
    </w:p>
    <w:p w14:paraId="4E6EA2F1" w14:textId="77777777" w:rsidR="00E22B60" w:rsidRPr="00E47EFA"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sidRPr="00E47EFA">
        <w:rPr>
          <w:rFonts w:eastAsia="Calibri"/>
          <w:sz w:val="18"/>
          <w:szCs w:val="20"/>
          <w:lang w:val="es-ES_tradnl"/>
        </w:rPr>
        <w:tab/>
      </w:r>
      <w:r w:rsidRPr="00E47EFA">
        <w:rPr>
          <w:rFonts w:eastAsia="Calibri"/>
          <w:sz w:val="18"/>
          <w:szCs w:val="20"/>
          <w:lang w:val="es-ES_tradnl"/>
        </w:rPr>
        <w:tab/>
        <w:t xml:space="preserve"> 9) </w:t>
      </w:r>
      <w:proofErr w:type="spellStart"/>
      <w:r w:rsidRPr="00E47EFA">
        <w:rPr>
          <w:rFonts w:eastAsia="Calibri"/>
          <w:sz w:val="18"/>
          <w:szCs w:val="20"/>
          <w:lang w:val="es-ES_tradnl"/>
        </w:rPr>
        <w:t>Hipercolemia</w:t>
      </w:r>
      <w:proofErr w:type="spellEnd"/>
    </w:p>
    <w:p w14:paraId="056DCC26" w14:textId="77777777" w:rsidR="00E22B60" w:rsidRPr="00C64243" w:rsidRDefault="00E22B60" w:rsidP="00E22B60">
      <w:pPr>
        <w:tabs>
          <w:tab w:val="left" w:pos="567"/>
          <w:tab w:val="left" w:pos="630"/>
          <w:tab w:val="left" w:pos="810"/>
          <w:tab w:val="left" w:pos="1530"/>
          <w:tab w:val="left" w:pos="1620"/>
        </w:tabs>
        <w:ind w:left="720" w:right="-360"/>
        <w:rPr>
          <w:rFonts w:eastAsia="Calibri"/>
          <w:sz w:val="18"/>
          <w:szCs w:val="20"/>
          <w:lang w:val="es-ES_tradnl"/>
        </w:rPr>
      </w:pPr>
      <w:r>
        <w:rPr>
          <w:rFonts w:eastAsia="Calibri"/>
          <w:sz w:val="18"/>
          <w:szCs w:val="20"/>
          <w:lang w:val="es-ES_tradnl"/>
        </w:rPr>
        <w:tab/>
        <w:t xml:space="preserve">          </w:t>
      </w:r>
      <w:r w:rsidRPr="00E47EFA">
        <w:rPr>
          <w:rFonts w:eastAsia="Calibri"/>
          <w:sz w:val="18"/>
          <w:szCs w:val="20"/>
          <w:lang w:val="es-ES_tradnl"/>
        </w:rPr>
        <w:t>10) Compromiso conciencia […]</w:t>
      </w:r>
      <w:r>
        <w:rPr>
          <w:rFonts w:eastAsia="Calibri"/>
          <w:sz w:val="18"/>
          <w:szCs w:val="20"/>
          <w:lang w:val="es-ES_tradnl"/>
        </w:rPr>
        <w:t>”</w:t>
      </w:r>
    </w:p>
    <w:p w14:paraId="603D840D"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32FFD40B"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Según las declaraciones de los familiares en el segundo ingreso sucedieron los siguientes hechos que el Estado no controvirtió:</w:t>
      </w:r>
    </w:p>
    <w:p w14:paraId="1B76845D"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2CC09983" w14:textId="7D8B39D0" w:rsidR="00E22B60" w:rsidRPr="00E47EFA" w:rsidRDefault="00E22B60" w:rsidP="00E22B60">
      <w:pPr>
        <w:numPr>
          <w:ilvl w:val="0"/>
          <w:numId w:val="8"/>
        </w:numPr>
        <w:tabs>
          <w:tab w:val="left" w:pos="810"/>
          <w:tab w:val="left" w:pos="1530"/>
          <w:tab w:val="left" w:pos="1620"/>
        </w:tabs>
        <w:ind w:right="-360"/>
        <w:contextualSpacing/>
        <w:rPr>
          <w:rFonts w:eastAsia="Calibri"/>
          <w:sz w:val="20"/>
          <w:szCs w:val="20"/>
        </w:rPr>
      </w:pPr>
      <w:r w:rsidRPr="00E47EFA">
        <w:rPr>
          <w:rFonts w:eastAsia="Calibri"/>
          <w:sz w:val="20"/>
          <w:szCs w:val="20"/>
        </w:rPr>
        <w:t xml:space="preserve">Vinicio Marco Antonio Poblete Tapia declaró que </w:t>
      </w:r>
      <w:r w:rsidR="00674700">
        <w:rPr>
          <w:rFonts w:eastAsia="Calibri"/>
          <w:sz w:val="20"/>
          <w:szCs w:val="20"/>
        </w:rPr>
        <w:t>el Dr. Gonzales</w:t>
      </w:r>
      <w:r w:rsidRPr="00E47EFA">
        <w:rPr>
          <w:rFonts w:eastAsia="Calibri"/>
          <w:sz w:val="20"/>
          <w:szCs w:val="20"/>
        </w:rPr>
        <w:t xml:space="preserve"> le informó que su padre necesitaba un respirador mecánico, ya que no había en las instalaciones de la UCI Quirúrgica pero sí en la UCI Médica</w:t>
      </w:r>
      <w:r w:rsidRPr="00E47EFA">
        <w:rPr>
          <w:rFonts w:eastAsia="Calibri"/>
          <w:sz w:val="20"/>
          <w:szCs w:val="20"/>
          <w:vertAlign w:val="superscript"/>
        </w:rPr>
        <w:footnoteReference w:id="48"/>
      </w:r>
      <w:r w:rsidRPr="00E47EFA">
        <w:rPr>
          <w:rFonts w:eastAsia="Calibri"/>
          <w:sz w:val="20"/>
          <w:szCs w:val="20"/>
        </w:rPr>
        <w:t xml:space="preserve">. </w:t>
      </w:r>
    </w:p>
    <w:p w14:paraId="73CDF321" w14:textId="77777777" w:rsidR="00E22B60" w:rsidRPr="00E47EFA" w:rsidRDefault="00E22B60" w:rsidP="00E22B60">
      <w:pPr>
        <w:tabs>
          <w:tab w:val="left" w:pos="810"/>
          <w:tab w:val="left" w:pos="1530"/>
          <w:tab w:val="left" w:pos="1620"/>
        </w:tabs>
        <w:ind w:left="720" w:right="-360" w:hanging="360"/>
        <w:contextualSpacing/>
        <w:rPr>
          <w:rFonts w:eastAsia="Calibri"/>
          <w:sz w:val="20"/>
          <w:szCs w:val="20"/>
        </w:rPr>
      </w:pPr>
    </w:p>
    <w:p w14:paraId="3EF53033" w14:textId="6135E63C" w:rsidR="00E22B60" w:rsidRPr="00E47EFA" w:rsidRDefault="00E22B60" w:rsidP="00E22B60">
      <w:pPr>
        <w:numPr>
          <w:ilvl w:val="0"/>
          <w:numId w:val="8"/>
        </w:numPr>
        <w:tabs>
          <w:tab w:val="left" w:pos="810"/>
          <w:tab w:val="left" w:pos="1530"/>
          <w:tab w:val="left" w:pos="1620"/>
        </w:tabs>
        <w:ind w:right="-360"/>
        <w:contextualSpacing/>
        <w:rPr>
          <w:rFonts w:eastAsia="Calibri"/>
          <w:sz w:val="20"/>
          <w:szCs w:val="20"/>
        </w:rPr>
      </w:pPr>
      <w:r w:rsidRPr="00E47EFA">
        <w:rPr>
          <w:rFonts w:eastAsia="Calibri"/>
          <w:sz w:val="20"/>
          <w:szCs w:val="20"/>
        </w:rPr>
        <w:t>Vinicio Poblete Tapia le preguntó a</w:t>
      </w:r>
      <w:r w:rsidR="00674700">
        <w:rPr>
          <w:rFonts w:eastAsia="Calibri"/>
          <w:sz w:val="20"/>
          <w:szCs w:val="20"/>
        </w:rPr>
        <w:t xml:space="preserve"> un</w:t>
      </w:r>
      <w:r w:rsidRPr="00E47EFA">
        <w:rPr>
          <w:rFonts w:eastAsia="Calibri"/>
          <w:sz w:val="20"/>
          <w:szCs w:val="20"/>
        </w:rPr>
        <w:t xml:space="preserve"> doctor sobre la disponibilidad de un respirador mecánico, pero éste le respondió que “no sacaban nada con ponérselo, ya que igual iba a durar unos siete días más”</w:t>
      </w:r>
      <w:r w:rsidRPr="00E47EFA">
        <w:rPr>
          <w:rFonts w:eastAsia="Calibri"/>
          <w:sz w:val="20"/>
          <w:szCs w:val="20"/>
          <w:vertAlign w:val="superscript"/>
        </w:rPr>
        <w:footnoteReference w:id="49"/>
      </w:r>
      <w:r w:rsidRPr="00E47EFA">
        <w:rPr>
          <w:rFonts w:eastAsia="Calibri"/>
          <w:sz w:val="20"/>
          <w:szCs w:val="20"/>
        </w:rPr>
        <w:t>.</w:t>
      </w:r>
    </w:p>
    <w:p w14:paraId="5F46EE11" w14:textId="77777777" w:rsidR="00E22B60" w:rsidRPr="00E47EFA" w:rsidRDefault="00E22B60" w:rsidP="00E22B60">
      <w:pPr>
        <w:tabs>
          <w:tab w:val="left" w:pos="810"/>
          <w:tab w:val="left" w:pos="1530"/>
          <w:tab w:val="left" w:pos="1620"/>
        </w:tabs>
        <w:ind w:left="720" w:right="-360" w:hanging="360"/>
        <w:contextualSpacing/>
        <w:rPr>
          <w:rFonts w:eastAsia="Calibri"/>
          <w:sz w:val="20"/>
          <w:szCs w:val="20"/>
        </w:rPr>
      </w:pPr>
    </w:p>
    <w:p w14:paraId="3F27DE57" w14:textId="77777777" w:rsidR="00E22B60" w:rsidRPr="00E47EFA" w:rsidRDefault="00E22B60" w:rsidP="00E22B60">
      <w:pPr>
        <w:numPr>
          <w:ilvl w:val="0"/>
          <w:numId w:val="8"/>
        </w:numPr>
        <w:tabs>
          <w:tab w:val="left" w:pos="810"/>
          <w:tab w:val="left" w:pos="1530"/>
          <w:tab w:val="left" w:pos="1620"/>
        </w:tabs>
        <w:ind w:right="-360"/>
        <w:contextualSpacing/>
        <w:rPr>
          <w:rFonts w:eastAsia="Calibri"/>
          <w:sz w:val="20"/>
          <w:szCs w:val="20"/>
        </w:rPr>
      </w:pPr>
      <w:proofErr w:type="spellStart"/>
      <w:r w:rsidRPr="00E47EFA">
        <w:rPr>
          <w:rFonts w:eastAsia="Calibri"/>
          <w:sz w:val="20"/>
          <w:szCs w:val="20"/>
        </w:rPr>
        <w:t>Cesia</w:t>
      </w:r>
      <w:proofErr w:type="spellEnd"/>
      <w:r w:rsidRPr="00E47EFA">
        <w:rPr>
          <w:rFonts w:eastAsia="Calibri"/>
          <w:sz w:val="20"/>
          <w:szCs w:val="20"/>
        </w:rPr>
        <w:t xml:space="preserve"> Leila Siria Poblete declaró que  su padre permaneció en su segundo ingreso en la UCI Quirúrgica y un médico le informó a su hermano, Vinicio, que necesitaba de un respirador mecánico, el cual no había en dichas instalaciones pero sí en la UCI Médica</w:t>
      </w:r>
      <w:r w:rsidRPr="00E47EFA">
        <w:rPr>
          <w:rFonts w:eastAsia="Calibri"/>
          <w:sz w:val="20"/>
          <w:szCs w:val="20"/>
          <w:vertAlign w:val="superscript"/>
        </w:rPr>
        <w:footnoteReference w:id="50"/>
      </w:r>
      <w:r w:rsidRPr="00E47EFA">
        <w:rPr>
          <w:rFonts w:eastAsia="Calibri"/>
          <w:sz w:val="20"/>
          <w:szCs w:val="20"/>
        </w:rPr>
        <w:t xml:space="preserve">. </w:t>
      </w:r>
    </w:p>
    <w:p w14:paraId="7789731D" w14:textId="77777777" w:rsidR="00E22B60" w:rsidRPr="00E47EFA" w:rsidRDefault="00E22B60" w:rsidP="00E22B60">
      <w:pPr>
        <w:tabs>
          <w:tab w:val="left" w:pos="810"/>
          <w:tab w:val="left" w:pos="1530"/>
          <w:tab w:val="left" w:pos="1620"/>
        </w:tabs>
        <w:ind w:left="720" w:right="-360" w:hanging="360"/>
        <w:contextualSpacing/>
        <w:rPr>
          <w:rFonts w:eastAsia="Calibri"/>
          <w:sz w:val="20"/>
          <w:szCs w:val="20"/>
        </w:rPr>
      </w:pPr>
    </w:p>
    <w:p w14:paraId="6F12129F" w14:textId="73647F56" w:rsidR="00E22B60" w:rsidRPr="00E47EFA" w:rsidRDefault="00E22B60" w:rsidP="00E22B60">
      <w:pPr>
        <w:numPr>
          <w:ilvl w:val="0"/>
          <w:numId w:val="8"/>
        </w:numPr>
        <w:tabs>
          <w:tab w:val="left" w:pos="810"/>
          <w:tab w:val="left" w:pos="1530"/>
          <w:tab w:val="left" w:pos="1620"/>
        </w:tabs>
        <w:ind w:right="-360"/>
        <w:rPr>
          <w:rFonts w:eastAsia="Calibri"/>
          <w:sz w:val="20"/>
          <w:szCs w:val="20"/>
        </w:rPr>
      </w:pPr>
      <w:proofErr w:type="spellStart"/>
      <w:r w:rsidRPr="00E47EFA">
        <w:rPr>
          <w:rFonts w:eastAsia="Calibri"/>
          <w:sz w:val="20"/>
          <w:szCs w:val="20"/>
        </w:rPr>
        <w:t>Cesia</w:t>
      </w:r>
      <w:proofErr w:type="spellEnd"/>
      <w:r w:rsidRPr="00E47EFA">
        <w:rPr>
          <w:rFonts w:eastAsia="Calibri"/>
          <w:sz w:val="20"/>
          <w:szCs w:val="20"/>
        </w:rPr>
        <w:t xml:space="preserve"> Leila Siria Poblete manifestó que su hermano Vinicio Marco</w:t>
      </w:r>
      <w:r w:rsidR="00126F91">
        <w:rPr>
          <w:rFonts w:eastAsia="Calibri"/>
          <w:sz w:val="20"/>
          <w:szCs w:val="20"/>
        </w:rPr>
        <w:t xml:space="preserve"> Poblete</w:t>
      </w:r>
      <w:r w:rsidRPr="00E47EFA">
        <w:rPr>
          <w:rFonts w:eastAsia="Calibri"/>
          <w:sz w:val="20"/>
          <w:szCs w:val="20"/>
        </w:rPr>
        <w:t xml:space="preserve"> llamó al hospital y la doctora que se encontraba a cargo de su padre le dijo a que lo habían subido a UCI Quirúrgica y no a la UCI Médica, porque no era posible que subieran a un viejo a la UCI Médica ya que había que darle esa posibilidad a alguien más joven</w:t>
      </w:r>
      <w:r w:rsidRPr="00E47EFA">
        <w:rPr>
          <w:rFonts w:eastAsia="Calibri"/>
          <w:sz w:val="20"/>
          <w:szCs w:val="20"/>
          <w:vertAlign w:val="superscript"/>
        </w:rPr>
        <w:footnoteReference w:id="51"/>
      </w:r>
      <w:r w:rsidRPr="00E47EFA">
        <w:rPr>
          <w:rFonts w:eastAsia="Calibri"/>
          <w:sz w:val="20"/>
          <w:szCs w:val="20"/>
        </w:rPr>
        <w:t>.</w:t>
      </w:r>
    </w:p>
    <w:p w14:paraId="23615DF7" w14:textId="77777777" w:rsidR="00E22B60" w:rsidRPr="00E47EFA" w:rsidRDefault="00E22B60" w:rsidP="00E22B60">
      <w:pPr>
        <w:tabs>
          <w:tab w:val="left" w:pos="810"/>
          <w:tab w:val="left" w:pos="1530"/>
          <w:tab w:val="left" w:pos="1620"/>
        </w:tabs>
        <w:ind w:left="720" w:right="-360" w:hanging="360"/>
        <w:rPr>
          <w:rFonts w:eastAsia="Calibri"/>
          <w:sz w:val="20"/>
          <w:szCs w:val="20"/>
        </w:rPr>
      </w:pPr>
    </w:p>
    <w:p w14:paraId="695E9E7A" w14:textId="66DE9A52" w:rsidR="00E22B60" w:rsidRPr="00E47EFA" w:rsidRDefault="00E22B60" w:rsidP="00E22B60">
      <w:pPr>
        <w:numPr>
          <w:ilvl w:val="0"/>
          <w:numId w:val="8"/>
        </w:numPr>
        <w:tabs>
          <w:tab w:val="left" w:pos="810"/>
          <w:tab w:val="left" w:pos="1530"/>
          <w:tab w:val="left" w:pos="1620"/>
        </w:tabs>
        <w:ind w:right="-360"/>
        <w:rPr>
          <w:rFonts w:eastAsia="Calibri"/>
          <w:sz w:val="20"/>
          <w:szCs w:val="20"/>
        </w:rPr>
      </w:pPr>
      <w:proofErr w:type="spellStart"/>
      <w:r w:rsidRPr="00E47EFA">
        <w:rPr>
          <w:rFonts w:eastAsia="Calibri"/>
          <w:sz w:val="20"/>
          <w:szCs w:val="20"/>
        </w:rPr>
        <w:t>Cesia</w:t>
      </w:r>
      <w:proofErr w:type="spellEnd"/>
      <w:r w:rsidRPr="00E47EFA">
        <w:rPr>
          <w:rFonts w:eastAsia="Calibri"/>
          <w:sz w:val="20"/>
          <w:szCs w:val="20"/>
        </w:rPr>
        <w:t xml:space="preserve"> Leila Siria Poblete agregó que su hermano Vinicio</w:t>
      </w:r>
      <w:r w:rsidR="00126F91">
        <w:rPr>
          <w:rFonts w:eastAsia="Calibri"/>
          <w:sz w:val="20"/>
          <w:szCs w:val="20"/>
        </w:rPr>
        <w:t xml:space="preserve"> Marco Poblete</w:t>
      </w:r>
      <w:r w:rsidRPr="00E47EFA">
        <w:rPr>
          <w:rFonts w:eastAsia="Calibri"/>
          <w:sz w:val="20"/>
          <w:szCs w:val="20"/>
        </w:rPr>
        <w:t xml:space="preserve"> se comunicó a la UCI Médica hablando con el subdirector Dr. Humberto </w:t>
      </w:r>
      <w:proofErr w:type="spellStart"/>
      <w:r w:rsidRPr="00E47EFA">
        <w:rPr>
          <w:rFonts w:eastAsia="Calibri"/>
          <w:sz w:val="20"/>
          <w:szCs w:val="20"/>
        </w:rPr>
        <w:t>Montecinos</w:t>
      </w:r>
      <w:proofErr w:type="spellEnd"/>
      <w:r w:rsidRPr="00E47EFA">
        <w:rPr>
          <w:rFonts w:eastAsia="Calibri"/>
          <w:sz w:val="20"/>
          <w:szCs w:val="20"/>
        </w:rPr>
        <w:t xml:space="preserve"> para pedirle que ayudaran a su padre y lo ingresaran a la UCI Médica en donde sí contaban con el respirador, a lo que el médico contestó “que él ya le había dado una oportunidad para estar en la UCI Médica la </w:t>
      </w:r>
      <w:r w:rsidRPr="00E47EFA">
        <w:rPr>
          <w:rFonts w:eastAsia="Calibri"/>
          <w:sz w:val="20"/>
          <w:szCs w:val="20"/>
        </w:rPr>
        <w:lastRenderedPageBreak/>
        <w:t>primera vez que había estado hospitalizado, por lo que no le darían una nueva [oportunidad]”</w:t>
      </w:r>
      <w:r w:rsidRPr="00E47EFA">
        <w:rPr>
          <w:rFonts w:eastAsia="Calibri"/>
          <w:sz w:val="20"/>
          <w:szCs w:val="20"/>
          <w:vertAlign w:val="superscript"/>
        </w:rPr>
        <w:footnoteReference w:id="52"/>
      </w:r>
      <w:r w:rsidRPr="00E47EFA">
        <w:rPr>
          <w:rFonts w:eastAsia="Calibri"/>
          <w:sz w:val="20"/>
          <w:szCs w:val="20"/>
        </w:rPr>
        <w:t>.</w:t>
      </w:r>
    </w:p>
    <w:p w14:paraId="6DF28EAD" w14:textId="77777777" w:rsidR="00E22B60" w:rsidRPr="00E47EFA" w:rsidRDefault="00E22B60" w:rsidP="00E22B60">
      <w:pPr>
        <w:tabs>
          <w:tab w:val="left" w:pos="810"/>
          <w:tab w:val="left" w:pos="1530"/>
          <w:tab w:val="left" w:pos="1620"/>
        </w:tabs>
        <w:ind w:left="720" w:right="-360" w:hanging="360"/>
        <w:rPr>
          <w:rFonts w:eastAsia="Calibri"/>
          <w:sz w:val="20"/>
          <w:szCs w:val="20"/>
        </w:rPr>
      </w:pPr>
    </w:p>
    <w:p w14:paraId="0D587352" w14:textId="77777777" w:rsidR="00E22B60" w:rsidRPr="00E47EFA" w:rsidRDefault="00E22B60" w:rsidP="00E22B60">
      <w:pPr>
        <w:numPr>
          <w:ilvl w:val="0"/>
          <w:numId w:val="8"/>
        </w:numPr>
        <w:tabs>
          <w:tab w:val="left" w:pos="810"/>
          <w:tab w:val="left" w:pos="1530"/>
          <w:tab w:val="left" w:pos="1620"/>
        </w:tabs>
        <w:ind w:right="-360"/>
        <w:contextualSpacing/>
        <w:rPr>
          <w:rFonts w:eastAsia="Calibri"/>
          <w:sz w:val="20"/>
          <w:szCs w:val="20"/>
        </w:rPr>
      </w:pPr>
      <w:proofErr w:type="spellStart"/>
      <w:r w:rsidRPr="00E47EFA">
        <w:rPr>
          <w:rFonts w:eastAsia="Calibri"/>
          <w:sz w:val="20"/>
          <w:szCs w:val="20"/>
        </w:rPr>
        <w:t>Cesia</w:t>
      </w:r>
      <w:proofErr w:type="spellEnd"/>
      <w:r w:rsidRPr="00E47EFA">
        <w:rPr>
          <w:rFonts w:eastAsia="Calibri"/>
          <w:sz w:val="20"/>
          <w:szCs w:val="20"/>
        </w:rPr>
        <w:t xml:space="preserve"> Leila Siria Poblete declaró que, al no tener dinero para comprar un respirador para su padre, su hermano Vinicio Marco Antonio llamó a los canales de televisión solicitando ayuda para conseguir uno. Posteriormente, un periodista les informó que habían conseguido uno y que esa información ya había sido comunicada al doctor Humberto </w:t>
      </w:r>
      <w:proofErr w:type="spellStart"/>
      <w:r w:rsidRPr="00E47EFA">
        <w:rPr>
          <w:rFonts w:eastAsia="Calibri"/>
          <w:sz w:val="20"/>
          <w:szCs w:val="20"/>
        </w:rPr>
        <w:t>Montecinos</w:t>
      </w:r>
      <w:proofErr w:type="spellEnd"/>
      <w:r w:rsidRPr="00E47EFA">
        <w:rPr>
          <w:rFonts w:eastAsia="Calibri"/>
          <w:sz w:val="20"/>
          <w:szCs w:val="20"/>
        </w:rPr>
        <w:t>, pero los familiares nunca supieron qué paso con ese ventilador mecánico</w:t>
      </w:r>
      <w:r w:rsidRPr="00E47EFA">
        <w:rPr>
          <w:rFonts w:eastAsia="Calibri"/>
          <w:sz w:val="20"/>
          <w:szCs w:val="20"/>
          <w:vertAlign w:val="superscript"/>
        </w:rPr>
        <w:footnoteReference w:id="53"/>
      </w:r>
      <w:r w:rsidRPr="00E47EFA">
        <w:rPr>
          <w:rFonts w:eastAsia="Calibri"/>
          <w:sz w:val="20"/>
          <w:szCs w:val="20"/>
        </w:rPr>
        <w:t>.</w:t>
      </w:r>
    </w:p>
    <w:p w14:paraId="154CB6A1"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3B070DEA"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En la ficha clínica de Vinicio Antonio Poblete Vilches de 7 de febrero de 2001, a las 12:10 horas, se indica sobre el momento en el que se le proporcionó la información a los familiares sobre el estado de salud del señor Poblete Vilches:</w:t>
      </w:r>
    </w:p>
    <w:p w14:paraId="18AD922B" w14:textId="77777777" w:rsidR="00E22B60" w:rsidRPr="00E47EFA" w:rsidRDefault="00E22B60" w:rsidP="00E22B60">
      <w:pPr>
        <w:tabs>
          <w:tab w:val="left" w:pos="630"/>
          <w:tab w:val="left" w:pos="810"/>
          <w:tab w:val="left" w:pos="1530"/>
          <w:tab w:val="left" w:pos="1620"/>
          <w:tab w:val="left" w:pos="3254"/>
        </w:tabs>
        <w:ind w:right="-360"/>
        <w:rPr>
          <w:rFonts w:eastAsia="Calibri"/>
          <w:sz w:val="20"/>
          <w:szCs w:val="20"/>
        </w:rPr>
      </w:pPr>
      <w:r w:rsidRPr="00E47EFA">
        <w:rPr>
          <w:rFonts w:eastAsia="Calibri"/>
          <w:sz w:val="20"/>
          <w:szCs w:val="20"/>
        </w:rPr>
        <w:tab/>
      </w:r>
    </w:p>
    <w:p w14:paraId="55CD2C06" w14:textId="77777777" w:rsidR="00E22B60" w:rsidRPr="00E47EFA" w:rsidRDefault="00E22B60" w:rsidP="00E22B60">
      <w:pPr>
        <w:tabs>
          <w:tab w:val="left" w:pos="630"/>
          <w:tab w:val="left" w:pos="810"/>
          <w:tab w:val="left" w:pos="1530"/>
          <w:tab w:val="left" w:pos="1620"/>
        </w:tabs>
        <w:ind w:left="540" w:right="360"/>
        <w:contextualSpacing/>
        <w:rPr>
          <w:rFonts w:eastAsia="Calibri"/>
          <w:sz w:val="18"/>
          <w:szCs w:val="18"/>
        </w:rPr>
      </w:pPr>
      <w:r w:rsidRPr="00E47EFA">
        <w:rPr>
          <w:rFonts w:eastAsia="Calibri"/>
          <w:sz w:val="18"/>
          <w:szCs w:val="18"/>
        </w:rPr>
        <w:tab/>
        <w:t>“[…] Se ha conversado la gravedad de la situación con familiares, también he conversado sobre la decisión de manejar en intermedio y no en UCI por la condición y pronóstico del paciente, junto a la carencia de camas de paciente crítico. La familia muestra conformidad pero tengo dudas sobre si entienden a cabalidad el pronóstico [y] la enfermedad actual del paciente”</w:t>
      </w:r>
      <w:r w:rsidRPr="00E47EFA">
        <w:rPr>
          <w:rFonts w:eastAsia="Calibri"/>
          <w:sz w:val="18"/>
          <w:szCs w:val="18"/>
          <w:vertAlign w:val="superscript"/>
        </w:rPr>
        <w:footnoteReference w:id="54"/>
      </w:r>
      <w:r w:rsidRPr="00E47EFA">
        <w:rPr>
          <w:rFonts w:eastAsia="Calibri"/>
          <w:sz w:val="18"/>
          <w:szCs w:val="18"/>
        </w:rPr>
        <w:t>.</w:t>
      </w:r>
    </w:p>
    <w:p w14:paraId="3B1EC90F"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271406FD"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 xml:space="preserve">Según oficio del Director del Complejo Asistencial </w:t>
      </w:r>
      <w:proofErr w:type="spellStart"/>
      <w:r w:rsidRPr="00E47EFA">
        <w:rPr>
          <w:rFonts w:eastAsia="Calibri"/>
          <w:sz w:val="20"/>
          <w:szCs w:val="20"/>
        </w:rPr>
        <w:t>Sótero</w:t>
      </w:r>
      <w:proofErr w:type="spellEnd"/>
      <w:r w:rsidRPr="00E47EFA">
        <w:rPr>
          <w:rFonts w:eastAsia="Calibri"/>
          <w:sz w:val="20"/>
          <w:szCs w:val="20"/>
        </w:rPr>
        <w:t xml:space="preserve"> del Rio, señala que </w:t>
      </w:r>
      <w:r w:rsidRPr="00E47EFA">
        <w:rPr>
          <w:sz w:val="20"/>
          <w:szCs w:val="20"/>
        </w:rPr>
        <w:t xml:space="preserve">“[…] Con fecha 6 de febrero de 2001, el paciente Vinicio Antonio Poblete Vilches, </w:t>
      </w:r>
      <w:proofErr w:type="spellStart"/>
      <w:r w:rsidRPr="00E47EFA">
        <w:rPr>
          <w:sz w:val="20"/>
          <w:szCs w:val="20"/>
        </w:rPr>
        <w:t>reingres</w:t>
      </w:r>
      <w:proofErr w:type="spellEnd"/>
      <w:r w:rsidRPr="00E47EFA">
        <w:rPr>
          <w:sz w:val="20"/>
          <w:szCs w:val="20"/>
        </w:rPr>
        <w:t>[</w:t>
      </w:r>
      <w:proofErr w:type="spellStart"/>
      <w:r w:rsidRPr="00E47EFA">
        <w:rPr>
          <w:sz w:val="20"/>
          <w:szCs w:val="20"/>
        </w:rPr>
        <w:t>ó</w:t>
      </w:r>
      <w:proofErr w:type="spellEnd"/>
      <w:r w:rsidRPr="00E47EFA">
        <w:rPr>
          <w:sz w:val="20"/>
          <w:szCs w:val="20"/>
        </w:rPr>
        <w:t>] a la Unidad de Emergencia Adulto de este Centro Asistencial, hospitalizándose con diagnóstico de cuadro neum</w:t>
      </w:r>
      <w:r w:rsidRPr="00E47EFA">
        <w:rPr>
          <w:rFonts w:cs="Arial"/>
          <w:sz w:val="20"/>
          <w:szCs w:val="20"/>
        </w:rPr>
        <w:t xml:space="preserve">ónico y falla renal </w:t>
      </w:r>
      <w:r w:rsidRPr="00E47EFA">
        <w:rPr>
          <w:sz w:val="20"/>
          <w:szCs w:val="20"/>
        </w:rPr>
        <w:t xml:space="preserve"> […] En esta Unidad el Dr. Humberto </w:t>
      </w:r>
      <w:proofErr w:type="spellStart"/>
      <w:r w:rsidRPr="00E47EFA">
        <w:rPr>
          <w:sz w:val="20"/>
          <w:szCs w:val="20"/>
        </w:rPr>
        <w:t>Montecinos</w:t>
      </w:r>
      <w:proofErr w:type="spellEnd"/>
      <w:r w:rsidRPr="00E47EFA">
        <w:rPr>
          <w:sz w:val="20"/>
          <w:szCs w:val="20"/>
        </w:rPr>
        <w:t xml:space="preserve"> </w:t>
      </w:r>
      <w:proofErr w:type="spellStart"/>
      <w:r w:rsidRPr="00E47EFA">
        <w:rPr>
          <w:sz w:val="20"/>
          <w:szCs w:val="20"/>
        </w:rPr>
        <w:t>Salucci</w:t>
      </w:r>
      <w:proofErr w:type="spellEnd"/>
      <w:r w:rsidRPr="00E47EFA">
        <w:rPr>
          <w:sz w:val="20"/>
          <w:szCs w:val="20"/>
        </w:rPr>
        <w:t xml:space="preserve">, en conjunto con el equipo médico a cargo, atendiendo a la clínica y los exámenes disponibles, concluyen que el paciente presenta una falla </w:t>
      </w:r>
      <w:proofErr w:type="spellStart"/>
      <w:r w:rsidRPr="00E47EFA">
        <w:rPr>
          <w:sz w:val="20"/>
          <w:szCs w:val="20"/>
        </w:rPr>
        <w:t>multiorgánica</w:t>
      </w:r>
      <w:proofErr w:type="spellEnd"/>
      <w:r w:rsidRPr="00E47EFA">
        <w:rPr>
          <w:sz w:val="20"/>
          <w:szCs w:val="20"/>
        </w:rPr>
        <w:t>, situación que es informada a la familia del paciente, así como el mal pronóstico. Producto de la reunión que el equipo m</w:t>
      </w:r>
      <w:r w:rsidRPr="00E47EFA">
        <w:rPr>
          <w:rFonts w:cs="Arial"/>
          <w:sz w:val="20"/>
          <w:szCs w:val="20"/>
        </w:rPr>
        <w:t xml:space="preserve">édico tuvo con los familiares </w:t>
      </w:r>
      <w:r w:rsidRPr="00E47EFA">
        <w:rPr>
          <w:sz w:val="20"/>
          <w:szCs w:val="20"/>
        </w:rPr>
        <w:t xml:space="preserve">[…] se </w:t>
      </w:r>
      <w:proofErr w:type="spellStart"/>
      <w:r w:rsidRPr="00E47EFA">
        <w:rPr>
          <w:sz w:val="20"/>
          <w:szCs w:val="20"/>
        </w:rPr>
        <w:t>tom</w:t>
      </w:r>
      <w:proofErr w:type="spellEnd"/>
      <w:r w:rsidRPr="00E47EFA">
        <w:rPr>
          <w:sz w:val="20"/>
          <w:szCs w:val="20"/>
        </w:rPr>
        <w:t>[</w:t>
      </w:r>
      <w:proofErr w:type="spellStart"/>
      <w:r w:rsidRPr="00E47EFA">
        <w:rPr>
          <w:sz w:val="20"/>
          <w:szCs w:val="20"/>
        </w:rPr>
        <w:t>ó</w:t>
      </w:r>
      <w:proofErr w:type="spellEnd"/>
      <w:r w:rsidRPr="00E47EFA">
        <w:rPr>
          <w:sz w:val="20"/>
          <w:szCs w:val="20"/>
        </w:rPr>
        <w:t>] la decisión de no conectar al paciente a ventilación mecánica, considerando que era una limitación de esfuerzo terapéutico”</w:t>
      </w:r>
      <w:r w:rsidRPr="00E47EFA">
        <w:rPr>
          <w:sz w:val="20"/>
          <w:szCs w:val="20"/>
          <w:vertAlign w:val="superscript"/>
        </w:rPr>
        <w:footnoteReference w:id="55"/>
      </w:r>
      <w:r w:rsidRPr="00E47EFA">
        <w:rPr>
          <w:sz w:val="20"/>
          <w:szCs w:val="20"/>
        </w:rPr>
        <w:t xml:space="preserve">.  </w:t>
      </w:r>
    </w:p>
    <w:p w14:paraId="465CD6C6"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72A852FA" w14:textId="77777777" w:rsidR="00E22B60" w:rsidRPr="00E47EFA" w:rsidRDefault="00E22B60" w:rsidP="00E22B60">
      <w:pPr>
        <w:tabs>
          <w:tab w:val="left" w:pos="567"/>
          <w:tab w:val="left" w:pos="630"/>
          <w:tab w:val="left" w:pos="810"/>
          <w:tab w:val="left" w:pos="1530"/>
          <w:tab w:val="left" w:pos="1620"/>
        </w:tabs>
        <w:autoSpaceDE w:val="0"/>
        <w:autoSpaceDN w:val="0"/>
        <w:ind w:left="1440" w:right="-360"/>
        <w:contextualSpacing/>
        <w:outlineLvl w:val="2"/>
        <w:rPr>
          <w:rFonts w:eastAsia="Calibri"/>
          <w:b/>
          <w:spacing w:val="-2"/>
          <w:sz w:val="20"/>
          <w:szCs w:val="20"/>
          <w:lang w:val="es-ES" w:eastAsia="x-none"/>
        </w:rPr>
      </w:pPr>
      <w:r w:rsidRPr="00E47EFA">
        <w:rPr>
          <w:rFonts w:eastAsia="Calibri"/>
          <w:b/>
          <w:i/>
          <w:spacing w:val="-2"/>
          <w:sz w:val="20"/>
          <w:szCs w:val="20"/>
          <w:lang w:val="es-ES" w:eastAsia="x-none"/>
        </w:rPr>
        <w:t>1.  Fallecimiento del señor Poblete Vilches</w:t>
      </w:r>
    </w:p>
    <w:p w14:paraId="3E8433FC"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70CB2B6D"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En el peritaje médico emitido por el Servicio Médico Legal del Gobierno de Chile efectuado el 8 de junio de 2006 se indicó lo siguiente sobre las últimas horas de vida del señor Poblete Vilches:</w:t>
      </w:r>
    </w:p>
    <w:p w14:paraId="3D4DEF7B"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71E91753" w14:textId="77777777" w:rsidR="00E22B60" w:rsidRPr="00E47EFA" w:rsidRDefault="00E22B60" w:rsidP="00E22B60">
      <w:pPr>
        <w:tabs>
          <w:tab w:val="left" w:pos="630"/>
          <w:tab w:val="left" w:pos="810"/>
          <w:tab w:val="left" w:pos="1530"/>
          <w:tab w:val="left" w:pos="1620"/>
        </w:tabs>
        <w:ind w:left="540" w:right="360"/>
        <w:contextualSpacing/>
        <w:rPr>
          <w:rFonts w:eastAsia="Calibri"/>
          <w:sz w:val="18"/>
          <w:szCs w:val="18"/>
        </w:rPr>
      </w:pPr>
      <w:r>
        <w:rPr>
          <w:rFonts w:eastAsia="Calibri"/>
          <w:sz w:val="18"/>
          <w:szCs w:val="18"/>
        </w:rPr>
        <w:t>“</w:t>
      </w:r>
      <w:r w:rsidRPr="00E47EFA">
        <w:rPr>
          <w:rFonts w:eastAsia="Calibri"/>
          <w:sz w:val="18"/>
          <w:szCs w:val="18"/>
        </w:rPr>
        <w:t xml:space="preserve">23:20: En falla </w:t>
      </w:r>
      <w:proofErr w:type="spellStart"/>
      <w:r w:rsidRPr="00E47EFA">
        <w:rPr>
          <w:rFonts w:eastAsia="Calibri"/>
          <w:sz w:val="18"/>
          <w:szCs w:val="18"/>
        </w:rPr>
        <w:t>multiorgánica</w:t>
      </w:r>
      <w:proofErr w:type="spellEnd"/>
      <w:r w:rsidRPr="00E47EFA">
        <w:rPr>
          <w:rFonts w:eastAsia="Calibri"/>
          <w:sz w:val="18"/>
          <w:szCs w:val="18"/>
        </w:rPr>
        <w:t xml:space="preserve"> y acidosis metabólica progresiva. Esto asociado a patología previa constituye un mal pronóstico. En </w:t>
      </w:r>
      <w:proofErr w:type="spellStart"/>
      <w:r w:rsidRPr="00E47EFA">
        <w:rPr>
          <w:rFonts w:eastAsia="Calibri"/>
          <w:sz w:val="18"/>
          <w:szCs w:val="18"/>
        </w:rPr>
        <w:t>Intercunsulta</w:t>
      </w:r>
      <w:proofErr w:type="spellEnd"/>
      <w:r w:rsidRPr="00E47EFA">
        <w:rPr>
          <w:rFonts w:eastAsia="Calibri"/>
          <w:sz w:val="18"/>
          <w:szCs w:val="18"/>
        </w:rPr>
        <w:t xml:space="preserve"> [</w:t>
      </w:r>
      <w:r w:rsidRPr="00C64243">
        <w:rPr>
          <w:rFonts w:eastAsia="Calibri"/>
          <w:i/>
          <w:sz w:val="18"/>
          <w:szCs w:val="18"/>
        </w:rPr>
        <w:t>sic</w:t>
      </w:r>
      <w:r w:rsidRPr="00E47EFA">
        <w:rPr>
          <w:rFonts w:eastAsia="Calibri"/>
          <w:sz w:val="18"/>
          <w:szCs w:val="18"/>
        </w:rPr>
        <w:t xml:space="preserve">], médico de UCI anota paciente con compromiso de conciencia tóxico asociado a deterioro cerebral previo. Se conversa con familiares sobre la gravedad del paciente y la necesidad, por falta de cama en UCI de </w:t>
      </w:r>
      <w:proofErr w:type="spellStart"/>
      <w:r w:rsidRPr="00E47EFA">
        <w:rPr>
          <w:rFonts w:eastAsia="Calibri"/>
          <w:sz w:val="18"/>
          <w:szCs w:val="18"/>
        </w:rPr>
        <w:t>continuer</w:t>
      </w:r>
      <w:proofErr w:type="spellEnd"/>
      <w:r w:rsidRPr="00E47EFA">
        <w:rPr>
          <w:rFonts w:eastAsia="Calibri"/>
          <w:sz w:val="18"/>
          <w:szCs w:val="18"/>
        </w:rPr>
        <w:t xml:space="preserve"> [</w:t>
      </w:r>
      <w:r w:rsidRPr="00C64243">
        <w:rPr>
          <w:rFonts w:eastAsia="Calibri"/>
          <w:i/>
          <w:sz w:val="18"/>
          <w:szCs w:val="18"/>
        </w:rPr>
        <w:t>sic</w:t>
      </w:r>
      <w:r w:rsidRPr="00E47EFA">
        <w:rPr>
          <w:rFonts w:eastAsia="Calibri"/>
          <w:sz w:val="18"/>
          <w:szCs w:val="18"/>
        </w:rPr>
        <w:t>] en Servicio Intermedio. Médico duda sobre si familiares comprenden a cabalidad la situación actual y pronóstico del paciente. 5:45 horas se constata fallecimiento […]</w:t>
      </w:r>
      <w:r>
        <w:rPr>
          <w:rFonts w:eastAsia="Calibri"/>
          <w:sz w:val="18"/>
          <w:szCs w:val="18"/>
        </w:rPr>
        <w:t>”</w:t>
      </w:r>
      <w:r w:rsidRPr="00E47EFA">
        <w:rPr>
          <w:rFonts w:eastAsia="Calibri"/>
          <w:sz w:val="18"/>
          <w:szCs w:val="18"/>
          <w:vertAlign w:val="superscript"/>
        </w:rPr>
        <w:footnoteReference w:id="56"/>
      </w:r>
      <w:r w:rsidRPr="00E47EFA">
        <w:rPr>
          <w:rFonts w:eastAsia="Calibri"/>
          <w:sz w:val="18"/>
          <w:szCs w:val="18"/>
        </w:rPr>
        <w:t>.</w:t>
      </w:r>
    </w:p>
    <w:p w14:paraId="1630BC99" w14:textId="77777777" w:rsidR="00E22B60" w:rsidRPr="00E47EFA" w:rsidRDefault="00E22B60" w:rsidP="00E22B60">
      <w:pPr>
        <w:tabs>
          <w:tab w:val="left" w:pos="630"/>
          <w:tab w:val="left" w:pos="810"/>
          <w:tab w:val="left" w:pos="1530"/>
          <w:tab w:val="left" w:pos="1620"/>
        </w:tabs>
        <w:ind w:right="-360"/>
        <w:contextualSpacing/>
        <w:rPr>
          <w:rFonts w:eastAsia="Calibri"/>
          <w:b/>
          <w:i/>
          <w:sz w:val="18"/>
          <w:szCs w:val="18"/>
        </w:rPr>
      </w:pPr>
    </w:p>
    <w:p w14:paraId="66BFED35"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lastRenderedPageBreak/>
        <w:t>Según el certificado de defunción el señor Vinicio Antonio Poblete Vilches falleció de un shock séptico y una bronconeumonía bilateral a las 5:40 horas del 7 de febrero de 2001</w:t>
      </w:r>
      <w:r w:rsidRPr="00E47EFA">
        <w:rPr>
          <w:rFonts w:eastAsia="Calibri"/>
          <w:sz w:val="18"/>
          <w:szCs w:val="18"/>
          <w:vertAlign w:val="superscript"/>
        </w:rPr>
        <w:footnoteReference w:id="57"/>
      </w:r>
      <w:r w:rsidRPr="00E47EFA">
        <w:rPr>
          <w:rFonts w:eastAsia="Calibri"/>
          <w:sz w:val="20"/>
          <w:szCs w:val="20"/>
        </w:rPr>
        <w:t xml:space="preserve">. </w:t>
      </w:r>
    </w:p>
    <w:p w14:paraId="6BFBE9DC" w14:textId="77777777" w:rsidR="00E22B60" w:rsidRPr="00E47EFA" w:rsidRDefault="00E22B60" w:rsidP="00E22B60">
      <w:pPr>
        <w:tabs>
          <w:tab w:val="left" w:pos="630"/>
          <w:tab w:val="left" w:pos="810"/>
          <w:tab w:val="left" w:pos="1530"/>
          <w:tab w:val="left" w:pos="1620"/>
        </w:tabs>
        <w:ind w:right="-360"/>
        <w:contextualSpacing/>
        <w:rPr>
          <w:rFonts w:eastAsia="Calibri"/>
          <w:b/>
          <w:i/>
          <w:sz w:val="20"/>
          <w:szCs w:val="20"/>
        </w:rPr>
      </w:pPr>
    </w:p>
    <w:p w14:paraId="3A47946F" w14:textId="6BCE676F"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No obstante, los familiares declararon que recibieron una llamada informándoles que su pariente había muerto de un paro card</w:t>
      </w:r>
      <w:r w:rsidR="00BB4DD1">
        <w:rPr>
          <w:rFonts w:eastAsia="Calibri"/>
          <w:sz w:val="20"/>
          <w:szCs w:val="20"/>
        </w:rPr>
        <w:t>í</w:t>
      </w:r>
      <w:r w:rsidRPr="00E47EFA">
        <w:rPr>
          <w:rFonts w:eastAsia="Calibri"/>
          <w:sz w:val="20"/>
          <w:szCs w:val="20"/>
        </w:rPr>
        <w:t>aco</w:t>
      </w:r>
      <w:r w:rsidRPr="00E47EFA">
        <w:rPr>
          <w:rFonts w:eastAsia="Calibri"/>
          <w:sz w:val="18"/>
          <w:szCs w:val="18"/>
          <w:vertAlign w:val="superscript"/>
        </w:rPr>
        <w:footnoteReference w:id="58"/>
      </w:r>
      <w:r w:rsidRPr="00E47EFA">
        <w:rPr>
          <w:rFonts w:eastAsia="Calibri"/>
          <w:sz w:val="20"/>
          <w:szCs w:val="20"/>
        </w:rPr>
        <w:t>. Además, el señor Poblete Tapia manifestó que al acudir al hospital fue informado de que su padre había muerto por una falla en el hígado</w:t>
      </w:r>
      <w:r w:rsidRPr="00E47EFA">
        <w:rPr>
          <w:rFonts w:eastAsia="Calibri"/>
          <w:sz w:val="18"/>
          <w:szCs w:val="18"/>
          <w:vertAlign w:val="superscript"/>
        </w:rPr>
        <w:footnoteReference w:id="59"/>
      </w:r>
      <w:r w:rsidRPr="00E47EFA">
        <w:rPr>
          <w:rFonts w:eastAsia="Calibri"/>
          <w:sz w:val="20"/>
          <w:szCs w:val="20"/>
        </w:rPr>
        <w:t xml:space="preserve">. Posteriormente, los familiares indicaron que al acudir por el cuerpo, vieron </w:t>
      </w:r>
      <w:r w:rsidR="008F36CB" w:rsidRPr="00B1523A">
        <w:rPr>
          <w:rFonts w:eastAsia="Calibri"/>
          <w:sz w:val="20"/>
          <w:szCs w:val="20"/>
        </w:rPr>
        <w:t>que</w:t>
      </w:r>
      <w:r w:rsidR="008F36CB">
        <w:rPr>
          <w:rFonts w:eastAsia="Calibri"/>
          <w:sz w:val="20"/>
          <w:szCs w:val="20"/>
        </w:rPr>
        <w:t xml:space="preserve"> </w:t>
      </w:r>
      <w:r w:rsidRPr="00E47EFA">
        <w:rPr>
          <w:rFonts w:eastAsia="Calibri"/>
          <w:sz w:val="20"/>
          <w:szCs w:val="20"/>
        </w:rPr>
        <w:t xml:space="preserve">el señor Poblete Vilches </w:t>
      </w:r>
      <w:r w:rsidR="008F36CB" w:rsidRPr="00B1523A">
        <w:rPr>
          <w:rFonts w:eastAsia="Calibri"/>
          <w:sz w:val="20"/>
          <w:szCs w:val="20"/>
        </w:rPr>
        <w:t>tenía</w:t>
      </w:r>
      <w:r w:rsidR="008F36CB" w:rsidRPr="00AB1E03">
        <w:rPr>
          <w:rFonts w:eastAsia="Calibri"/>
          <w:b/>
          <w:sz w:val="20"/>
          <w:szCs w:val="20"/>
        </w:rPr>
        <w:t xml:space="preserve"> </w:t>
      </w:r>
      <w:r w:rsidRPr="00E47EFA">
        <w:rPr>
          <w:rFonts w:eastAsia="Calibri"/>
          <w:sz w:val="20"/>
          <w:szCs w:val="20"/>
        </w:rPr>
        <w:t>una cinta en su pecho que mencionaba como causa de muerte “edema pulmonar”</w:t>
      </w:r>
      <w:r w:rsidRPr="00E47EFA">
        <w:rPr>
          <w:rFonts w:eastAsia="Calibri"/>
          <w:sz w:val="18"/>
          <w:szCs w:val="18"/>
          <w:vertAlign w:val="superscript"/>
        </w:rPr>
        <w:footnoteReference w:id="60"/>
      </w:r>
      <w:r w:rsidRPr="00E47EFA">
        <w:rPr>
          <w:rFonts w:eastAsia="Calibri"/>
          <w:sz w:val="20"/>
          <w:szCs w:val="20"/>
        </w:rPr>
        <w:t xml:space="preserve">. </w:t>
      </w:r>
    </w:p>
    <w:p w14:paraId="6716355F"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5A0A6F8D" w14:textId="0B30FFCF"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 xml:space="preserve">Consecuentemente, los familiares solicitaron al hospital la realización de una autopsia, pero el hospital se negó </w:t>
      </w:r>
      <w:r w:rsidR="007C786B">
        <w:rPr>
          <w:rFonts w:eastAsia="Calibri"/>
          <w:sz w:val="20"/>
          <w:szCs w:val="20"/>
        </w:rPr>
        <w:t xml:space="preserve">a </w:t>
      </w:r>
      <w:r w:rsidRPr="00E47EFA">
        <w:rPr>
          <w:rFonts w:eastAsia="Calibri"/>
          <w:sz w:val="20"/>
          <w:szCs w:val="20"/>
        </w:rPr>
        <w:t>hacerla</w:t>
      </w:r>
      <w:r w:rsidRPr="00C64243">
        <w:rPr>
          <w:rFonts w:eastAsia="Calibri"/>
          <w:sz w:val="20"/>
          <w:szCs w:val="20"/>
          <w:vertAlign w:val="superscript"/>
        </w:rPr>
        <w:footnoteReference w:id="61"/>
      </w:r>
      <w:r w:rsidRPr="00E47EFA">
        <w:rPr>
          <w:rFonts w:eastAsia="Calibri"/>
          <w:sz w:val="20"/>
          <w:szCs w:val="20"/>
        </w:rPr>
        <w:t xml:space="preserve">. </w:t>
      </w:r>
    </w:p>
    <w:p w14:paraId="5D665F98" w14:textId="77777777" w:rsidR="00E22B60" w:rsidRPr="00E47EFA" w:rsidRDefault="00E22B60" w:rsidP="00E22B60">
      <w:pPr>
        <w:tabs>
          <w:tab w:val="left" w:pos="630"/>
          <w:tab w:val="left" w:pos="810"/>
          <w:tab w:val="left" w:pos="1530"/>
          <w:tab w:val="left" w:pos="1620"/>
        </w:tabs>
        <w:ind w:right="-360"/>
        <w:contextualSpacing/>
        <w:rPr>
          <w:rFonts w:eastAsia="Calibri"/>
          <w:b/>
          <w:i/>
          <w:sz w:val="20"/>
          <w:szCs w:val="20"/>
        </w:rPr>
      </w:pPr>
    </w:p>
    <w:p w14:paraId="0D1671DB" w14:textId="0A962B41" w:rsidR="00E22B60" w:rsidRDefault="00E22B60" w:rsidP="002C6D1C">
      <w:pPr>
        <w:keepNext/>
        <w:keepLines/>
        <w:numPr>
          <w:ilvl w:val="0"/>
          <w:numId w:val="29"/>
        </w:numPr>
        <w:tabs>
          <w:tab w:val="left" w:pos="630"/>
          <w:tab w:val="left" w:pos="810"/>
          <w:tab w:val="left" w:pos="1530"/>
          <w:tab w:val="left" w:pos="1620"/>
        </w:tabs>
        <w:ind w:left="1080" w:right="-360"/>
        <w:outlineLvl w:val="1"/>
        <w:rPr>
          <w:rFonts w:eastAsia="MS Mincho"/>
          <w:b/>
          <w:i/>
          <w:snapToGrid w:val="0"/>
          <w:sz w:val="20"/>
          <w:szCs w:val="26"/>
        </w:rPr>
      </w:pPr>
      <w:r w:rsidRPr="00E47EFA">
        <w:rPr>
          <w:rFonts w:eastAsia="MS Mincho"/>
          <w:b/>
          <w:i/>
          <w:sz w:val="20"/>
          <w:szCs w:val="26"/>
        </w:rPr>
        <w:t>Actuaciones</w:t>
      </w:r>
      <w:r w:rsidRPr="00E47EFA">
        <w:rPr>
          <w:rFonts w:eastAsia="MS Mincho"/>
          <w:b/>
          <w:i/>
          <w:snapToGrid w:val="0"/>
          <w:sz w:val="20"/>
          <w:szCs w:val="26"/>
        </w:rPr>
        <w:t xml:space="preserve"> de los familiares ante los órganos estatales</w:t>
      </w:r>
    </w:p>
    <w:p w14:paraId="71FA28DD" w14:textId="77777777" w:rsidR="002C6D1C" w:rsidRPr="002C6D1C" w:rsidRDefault="002C6D1C" w:rsidP="002C6D1C">
      <w:pPr>
        <w:keepNext/>
        <w:keepLines/>
        <w:tabs>
          <w:tab w:val="left" w:pos="630"/>
          <w:tab w:val="left" w:pos="810"/>
          <w:tab w:val="left" w:pos="1530"/>
          <w:tab w:val="left" w:pos="1620"/>
        </w:tabs>
        <w:ind w:left="1080" w:right="-360"/>
        <w:outlineLvl w:val="1"/>
        <w:rPr>
          <w:rFonts w:eastAsia="MS Mincho"/>
          <w:b/>
          <w:i/>
          <w:snapToGrid w:val="0"/>
          <w:sz w:val="20"/>
          <w:szCs w:val="26"/>
        </w:rPr>
      </w:pPr>
    </w:p>
    <w:p w14:paraId="311A915C" w14:textId="77777777" w:rsidR="00E22B60" w:rsidRPr="00E47EFA" w:rsidRDefault="00E22B60" w:rsidP="00E22B60">
      <w:pPr>
        <w:tabs>
          <w:tab w:val="left" w:pos="567"/>
          <w:tab w:val="left" w:pos="630"/>
          <w:tab w:val="left" w:pos="810"/>
          <w:tab w:val="left" w:pos="1530"/>
          <w:tab w:val="left" w:pos="1620"/>
        </w:tabs>
        <w:autoSpaceDE w:val="0"/>
        <w:autoSpaceDN w:val="0"/>
        <w:ind w:left="1440" w:right="-360"/>
        <w:contextualSpacing/>
        <w:outlineLvl w:val="2"/>
        <w:rPr>
          <w:rFonts w:eastAsia="Calibri"/>
          <w:b/>
          <w:i/>
          <w:spacing w:val="-2"/>
          <w:sz w:val="20"/>
          <w:szCs w:val="20"/>
          <w:lang w:val="es-ES" w:eastAsia="x-none"/>
        </w:rPr>
      </w:pPr>
      <w:r w:rsidRPr="00E47EFA">
        <w:rPr>
          <w:rFonts w:eastAsia="Calibri"/>
          <w:b/>
          <w:i/>
          <w:spacing w:val="-2"/>
          <w:sz w:val="20"/>
          <w:szCs w:val="20"/>
          <w:lang w:val="es-ES" w:eastAsia="x-none"/>
        </w:rPr>
        <w:t>1. Querellas criminales</w:t>
      </w:r>
    </w:p>
    <w:p w14:paraId="6347561A"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42BF21ED" w14:textId="1BAE0EA1"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E47EFA">
        <w:rPr>
          <w:rFonts w:eastAsia="Calibri"/>
          <w:sz w:val="20"/>
          <w:szCs w:val="20"/>
        </w:rPr>
        <w:t xml:space="preserve">El 12 de noviembre de 2001 Blanca Margarita Tapia Encina y </w:t>
      </w:r>
      <w:proofErr w:type="spellStart"/>
      <w:r w:rsidRPr="00E47EFA">
        <w:rPr>
          <w:rFonts w:eastAsia="Calibri"/>
          <w:sz w:val="20"/>
          <w:szCs w:val="20"/>
        </w:rPr>
        <w:t>Cesia</w:t>
      </w:r>
      <w:proofErr w:type="spellEnd"/>
      <w:r w:rsidRPr="00E47EFA">
        <w:rPr>
          <w:rFonts w:eastAsia="Calibri"/>
          <w:sz w:val="20"/>
          <w:szCs w:val="20"/>
        </w:rPr>
        <w:t xml:space="preserve"> Leila Poblete Tapia presentaron querella criminal por el delito culposo de homicidio ante el Primer Juzgado de Letras de Puente Alto</w:t>
      </w:r>
      <w:r w:rsidRPr="00E47EFA">
        <w:rPr>
          <w:rFonts w:eastAsia="Calibri"/>
          <w:sz w:val="20"/>
          <w:szCs w:val="20"/>
          <w:vertAlign w:val="superscript"/>
        </w:rPr>
        <w:footnoteReference w:id="62"/>
      </w:r>
      <w:r w:rsidRPr="00E47EFA">
        <w:rPr>
          <w:rFonts w:eastAsia="Calibri"/>
          <w:sz w:val="20"/>
          <w:szCs w:val="20"/>
        </w:rPr>
        <w:t xml:space="preserve"> (en adelante “Primer Juzgado Civil”) en contra de “María </w:t>
      </w:r>
      <w:proofErr w:type="spellStart"/>
      <w:r w:rsidRPr="00E47EFA">
        <w:rPr>
          <w:rFonts w:eastAsia="Calibri"/>
          <w:sz w:val="20"/>
          <w:szCs w:val="20"/>
        </w:rPr>
        <w:t>Chacon</w:t>
      </w:r>
      <w:proofErr w:type="spellEnd"/>
      <w:r w:rsidRPr="00E47EFA">
        <w:rPr>
          <w:rFonts w:eastAsia="Calibri"/>
          <w:sz w:val="20"/>
          <w:szCs w:val="20"/>
        </w:rPr>
        <w:t xml:space="preserve"> Fernández, Ximena Echeverría </w:t>
      </w:r>
      <w:proofErr w:type="spellStart"/>
      <w:r w:rsidRPr="00E47EFA">
        <w:rPr>
          <w:rFonts w:eastAsia="Calibri"/>
          <w:sz w:val="20"/>
          <w:szCs w:val="20"/>
        </w:rPr>
        <w:t>Pezoa</w:t>
      </w:r>
      <w:proofErr w:type="spellEnd"/>
      <w:r w:rsidRPr="00E47EFA">
        <w:rPr>
          <w:rFonts w:eastAsia="Calibri"/>
          <w:sz w:val="20"/>
          <w:szCs w:val="20"/>
        </w:rPr>
        <w:t xml:space="preserve">, Luis Carvajal Freire, Erick o Marcelo Garrido, del Sr. </w:t>
      </w:r>
      <w:proofErr w:type="spellStart"/>
      <w:r w:rsidRPr="00E47EFA">
        <w:rPr>
          <w:rFonts w:eastAsia="Calibri"/>
          <w:sz w:val="20"/>
          <w:szCs w:val="20"/>
        </w:rPr>
        <w:t>Anuch</w:t>
      </w:r>
      <w:proofErr w:type="spellEnd"/>
      <w:r w:rsidRPr="00E47EFA">
        <w:rPr>
          <w:rFonts w:eastAsia="Calibri"/>
          <w:sz w:val="20"/>
          <w:szCs w:val="20"/>
        </w:rPr>
        <w:t xml:space="preserve"> y Sr. Montesinos en su calidad de médicos o becados del Hospital </w:t>
      </w:r>
      <w:proofErr w:type="spellStart"/>
      <w:r w:rsidRPr="00E47EFA">
        <w:rPr>
          <w:rFonts w:eastAsia="Calibri"/>
          <w:sz w:val="20"/>
          <w:szCs w:val="20"/>
        </w:rPr>
        <w:t>Sótero</w:t>
      </w:r>
      <w:proofErr w:type="spellEnd"/>
      <w:r w:rsidRPr="00E47EFA">
        <w:rPr>
          <w:rFonts w:eastAsia="Calibri"/>
          <w:sz w:val="20"/>
          <w:szCs w:val="20"/>
        </w:rPr>
        <w:t xml:space="preserve"> del Río […], que atendieron profesionalmente a [su] familiar don Vinicio Antonio Poblete Vilches, quienes con su actuar, en forma inexplicable y absolutamente negligente y culpable, trajo consigo el desenlace fatal[…]”</w:t>
      </w:r>
      <w:r w:rsidRPr="00E47EFA">
        <w:rPr>
          <w:rFonts w:eastAsia="Calibri"/>
          <w:sz w:val="20"/>
          <w:szCs w:val="20"/>
          <w:vertAlign w:val="superscript"/>
        </w:rPr>
        <w:footnoteReference w:id="63"/>
      </w:r>
      <w:r w:rsidRPr="00E47EFA">
        <w:rPr>
          <w:rFonts w:eastAsia="Calibri"/>
          <w:sz w:val="20"/>
          <w:szCs w:val="20"/>
        </w:rPr>
        <w:t>. En dicha denuncia</w:t>
      </w:r>
      <w:r>
        <w:rPr>
          <w:sz w:val="16"/>
          <w:szCs w:val="16"/>
        </w:rPr>
        <w:t xml:space="preserve">, </w:t>
      </w:r>
      <w:r>
        <w:rPr>
          <w:sz w:val="20"/>
          <w:szCs w:val="20"/>
        </w:rPr>
        <w:t xml:space="preserve">sustanciada bajo el </w:t>
      </w:r>
      <w:r w:rsidRPr="005A5DC5">
        <w:rPr>
          <w:rFonts w:eastAsia="Calibri"/>
          <w:sz w:val="20"/>
          <w:szCs w:val="20"/>
        </w:rPr>
        <w:t>Número de Rol 75.821-M</w:t>
      </w:r>
      <w:r>
        <w:rPr>
          <w:rFonts w:eastAsia="Calibri"/>
          <w:sz w:val="20"/>
          <w:szCs w:val="20"/>
        </w:rPr>
        <w:t>,</w:t>
      </w:r>
      <w:r w:rsidRPr="00E47EFA">
        <w:rPr>
          <w:rFonts w:eastAsia="Calibri"/>
          <w:sz w:val="20"/>
          <w:szCs w:val="20"/>
        </w:rPr>
        <w:t xml:space="preserve"> se solicitaron las siguientes diligencias: i) citar a declarar a los querellados y otros relacionados al asunto; ii) solicitar la ficha clínica del señor Poblete Vilches, y iii) decretar la exhumación del cadáver del señor Poblete Vilches, con la finalidad de realizar una autopsia</w:t>
      </w:r>
      <w:r w:rsidRPr="00E47EFA">
        <w:rPr>
          <w:rFonts w:eastAsia="Calibri"/>
          <w:sz w:val="20"/>
          <w:szCs w:val="20"/>
          <w:vertAlign w:val="superscript"/>
        </w:rPr>
        <w:footnoteReference w:id="64"/>
      </w:r>
      <w:r w:rsidRPr="00E47EFA">
        <w:rPr>
          <w:rFonts w:eastAsia="Calibri"/>
          <w:sz w:val="20"/>
          <w:szCs w:val="20"/>
        </w:rPr>
        <w:t>.</w:t>
      </w:r>
    </w:p>
    <w:p w14:paraId="39854BF4" w14:textId="77777777" w:rsidR="00E22B60" w:rsidRPr="00E47EFA" w:rsidRDefault="00E22B60" w:rsidP="00E22B60">
      <w:pPr>
        <w:tabs>
          <w:tab w:val="left" w:pos="630"/>
          <w:tab w:val="left" w:pos="810"/>
          <w:tab w:val="left" w:pos="1530"/>
          <w:tab w:val="left" w:pos="1620"/>
        </w:tabs>
        <w:ind w:right="-360"/>
        <w:contextualSpacing/>
        <w:rPr>
          <w:rFonts w:eastAsia="Calibri"/>
          <w:b/>
          <w:i/>
          <w:sz w:val="20"/>
          <w:szCs w:val="20"/>
        </w:rPr>
      </w:pPr>
    </w:p>
    <w:p w14:paraId="49BF94B9" w14:textId="7F7406A8"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 xml:space="preserve">El Primer Juzgado Civil, el 12 de noviembre de 2001, se declaró incompetente dado que “el delito denunciado […] tuvo su principio de ejecución el 17 de </w:t>
      </w:r>
      <w:r w:rsidR="00650CBF">
        <w:rPr>
          <w:rFonts w:eastAsia="Calibri"/>
          <w:sz w:val="20"/>
          <w:szCs w:val="20"/>
        </w:rPr>
        <w:t>[</w:t>
      </w:r>
      <w:r w:rsidRPr="00E47EFA">
        <w:rPr>
          <w:rFonts w:eastAsia="Calibri"/>
          <w:sz w:val="20"/>
          <w:szCs w:val="20"/>
        </w:rPr>
        <w:t>e</w:t>
      </w:r>
      <w:r w:rsidR="00650CBF">
        <w:rPr>
          <w:rFonts w:eastAsia="Calibri"/>
          <w:sz w:val="20"/>
          <w:szCs w:val="20"/>
        </w:rPr>
        <w:t>]</w:t>
      </w:r>
      <w:proofErr w:type="spellStart"/>
      <w:r w:rsidRPr="00E47EFA">
        <w:rPr>
          <w:rFonts w:eastAsia="Calibri"/>
          <w:sz w:val="20"/>
          <w:szCs w:val="20"/>
        </w:rPr>
        <w:t>nero</w:t>
      </w:r>
      <w:proofErr w:type="spellEnd"/>
      <w:r w:rsidRPr="00E47EFA">
        <w:rPr>
          <w:rFonts w:eastAsia="Calibri"/>
          <w:sz w:val="20"/>
          <w:szCs w:val="20"/>
        </w:rPr>
        <w:t xml:space="preserve"> de 2001, fecha en la cual se encontraba </w:t>
      </w:r>
      <w:r w:rsidR="00650CBF">
        <w:rPr>
          <w:rFonts w:eastAsia="Calibri"/>
          <w:sz w:val="20"/>
          <w:szCs w:val="20"/>
        </w:rPr>
        <w:t>d</w:t>
      </w:r>
      <w:r w:rsidRPr="00E47EFA">
        <w:rPr>
          <w:rFonts w:eastAsia="Calibri"/>
          <w:sz w:val="20"/>
          <w:szCs w:val="20"/>
        </w:rPr>
        <w:t>e turno el T</w:t>
      </w:r>
      <w:r w:rsidR="00650CBF">
        <w:rPr>
          <w:rFonts w:eastAsia="Calibri"/>
          <w:sz w:val="20"/>
          <w:szCs w:val="20"/>
        </w:rPr>
        <w:t>[</w:t>
      </w:r>
      <w:r w:rsidRPr="00E47EFA">
        <w:rPr>
          <w:rFonts w:eastAsia="Calibri"/>
          <w:sz w:val="20"/>
          <w:szCs w:val="20"/>
        </w:rPr>
        <w:t>ercer</w:t>
      </w:r>
      <w:r w:rsidR="00650CBF">
        <w:rPr>
          <w:rFonts w:eastAsia="Calibri"/>
          <w:sz w:val="20"/>
          <w:szCs w:val="20"/>
        </w:rPr>
        <w:t>]</w:t>
      </w:r>
      <w:r w:rsidRPr="00E47EFA">
        <w:rPr>
          <w:rFonts w:eastAsia="Calibri"/>
          <w:sz w:val="20"/>
          <w:szCs w:val="20"/>
        </w:rPr>
        <w:t xml:space="preserve"> Juzgado del Crimen” a quien remitió la causa</w:t>
      </w:r>
      <w:r w:rsidRPr="00E47EFA">
        <w:rPr>
          <w:rFonts w:eastAsia="Calibri"/>
          <w:sz w:val="20"/>
          <w:szCs w:val="20"/>
          <w:vertAlign w:val="superscript"/>
        </w:rPr>
        <w:footnoteReference w:id="65"/>
      </w:r>
      <w:r w:rsidRPr="00E47EFA">
        <w:rPr>
          <w:rFonts w:eastAsia="Calibri"/>
          <w:sz w:val="20"/>
          <w:szCs w:val="20"/>
        </w:rPr>
        <w:t xml:space="preserve">. El Tercer Juzgado del Crimen igualmente se declaró incompetente el 23 de noviembre de 2001 y devolvió la causa al </w:t>
      </w:r>
      <w:r w:rsidRPr="00E47EFA">
        <w:rPr>
          <w:rFonts w:eastAsia="Calibri"/>
          <w:sz w:val="20"/>
          <w:szCs w:val="20"/>
        </w:rPr>
        <w:lastRenderedPageBreak/>
        <w:t>Primer Juzgado Civil</w:t>
      </w:r>
      <w:r w:rsidRPr="00E47EFA">
        <w:rPr>
          <w:rFonts w:eastAsia="Calibri"/>
          <w:sz w:val="20"/>
          <w:szCs w:val="20"/>
          <w:vertAlign w:val="superscript"/>
        </w:rPr>
        <w:footnoteReference w:id="66"/>
      </w:r>
      <w:r w:rsidRPr="00E47EFA">
        <w:rPr>
          <w:rFonts w:eastAsia="Calibri"/>
          <w:sz w:val="20"/>
          <w:szCs w:val="20"/>
        </w:rPr>
        <w:t>. El Primer Juzgado Civil se declaró incompetente de nuevo el 11 de diciembre de 2001</w:t>
      </w:r>
      <w:r w:rsidRPr="00E47EFA">
        <w:rPr>
          <w:rFonts w:eastAsia="Calibri"/>
          <w:sz w:val="20"/>
          <w:szCs w:val="20"/>
          <w:vertAlign w:val="superscript"/>
        </w:rPr>
        <w:footnoteReference w:id="67"/>
      </w:r>
      <w:r w:rsidRPr="00E47EFA">
        <w:rPr>
          <w:rFonts w:eastAsia="Calibri"/>
          <w:sz w:val="20"/>
          <w:szCs w:val="20"/>
        </w:rPr>
        <w:t>, elevando la causa a la Corte de Apelaciones de San Miguel</w:t>
      </w:r>
      <w:r w:rsidRPr="00E47EFA">
        <w:rPr>
          <w:rFonts w:eastAsia="Calibri"/>
          <w:sz w:val="20"/>
          <w:szCs w:val="20"/>
          <w:vertAlign w:val="superscript"/>
        </w:rPr>
        <w:footnoteReference w:id="68"/>
      </w:r>
      <w:r w:rsidRPr="00E47EFA">
        <w:rPr>
          <w:rFonts w:eastAsia="Calibri"/>
          <w:sz w:val="20"/>
          <w:szCs w:val="20"/>
        </w:rPr>
        <w:t>, la cual determinó la competencia a favor del Primer Juzgado Civil el 6 de febrero de 2002</w:t>
      </w:r>
      <w:r w:rsidRPr="00E47EFA">
        <w:rPr>
          <w:rFonts w:eastAsia="Calibri"/>
          <w:sz w:val="20"/>
          <w:szCs w:val="20"/>
          <w:vertAlign w:val="superscript"/>
        </w:rPr>
        <w:footnoteReference w:id="69"/>
      </w:r>
      <w:r w:rsidRPr="00E47EFA">
        <w:rPr>
          <w:rFonts w:eastAsia="Calibri"/>
          <w:sz w:val="20"/>
          <w:szCs w:val="20"/>
        </w:rPr>
        <w:t xml:space="preserve">. Este juzgado tuvo por </w:t>
      </w:r>
      <w:r>
        <w:rPr>
          <w:rFonts w:eastAsia="Calibri"/>
          <w:sz w:val="20"/>
          <w:szCs w:val="20"/>
        </w:rPr>
        <w:t>interpuesta</w:t>
      </w:r>
      <w:r w:rsidRPr="00E47EFA">
        <w:rPr>
          <w:rFonts w:eastAsia="Calibri"/>
          <w:sz w:val="20"/>
          <w:szCs w:val="20"/>
        </w:rPr>
        <w:t xml:space="preserve"> la querella y despachó una orden de investigación por la Brigada de Homicidios con el </w:t>
      </w:r>
      <w:r w:rsidR="0054712C">
        <w:rPr>
          <w:rFonts w:eastAsia="Calibri"/>
          <w:sz w:val="20"/>
          <w:szCs w:val="20"/>
        </w:rPr>
        <w:t xml:space="preserve">Rol </w:t>
      </w:r>
      <w:r w:rsidRPr="00E47EFA">
        <w:rPr>
          <w:rFonts w:eastAsia="Calibri"/>
          <w:sz w:val="20"/>
          <w:szCs w:val="20"/>
        </w:rPr>
        <w:t>No. 75</w:t>
      </w:r>
      <w:r>
        <w:rPr>
          <w:rFonts w:eastAsia="Calibri"/>
          <w:sz w:val="20"/>
          <w:szCs w:val="20"/>
        </w:rPr>
        <w:t>.</w:t>
      </w:r>
      <w:r w:rsidRPr="00E47EFA">
        <w:rPr>
          <w:rFonts w:eastAsia="Calibri"/>
          <w:sz w:val="20"/>
          <w:szCs w:val="20"/>
        </w:rPr>
        <w:t>82</w:t>
      </w:r>
      <w:r>
        <w:rPr>
          <w:rFonts w:eastAsia="Calibri"/>
          <w:sz w:val="20"/>
          <w:szCs w:val="20"/>
        </w:rPr>
        <w:t>1</w:t>
      </w:r>
      <w:r w:rsidRPr="00E47EFA">
        <w:rPr>
          <w:rFonts w:eastAsia="Calibri"/>
          <w:sz w:val="20"/>
          <w:szCs w:val="20"/>
        </w:rPr>
        <w:t>-M el 13 de febrero de 2002</w:t>
      </w:r>
      <w:r w:rsidRPr="00E47EFA">
        <w:rPr>
          <w:rFonts w:eastAsia="Calibri"/>
          <w:sz w:val="20"/>
          <w:szCs w:val="20"/>
          <w:vertAlign w:val="superscript"/>
        </w:rPr>
        <w:footnoteReference w:id="70"/>
      </w:r>
      <w:r w:rsidRPr="00E47EFA">
        <w:rPr>
          <w:rFonts w:eastAsia="Calibri"/>
          <w:sz w:val="20"/>
          <w:szCs w:val="20"/>
        </w:rPr>
        <w:t>.</w:t>
      </w:r>
      <w:r w:rsidR="00C031E6">
        <w:rPr>
          <w:rFonts w:eastAsia="Calibri"/>
          <w:sz w:val="20"/>
          <w:szCs w:val="20"/>
        </w:rPr>
        <w:t xml:space="preserve"> </w:t>
      </w:r>
      <w:r w:rsidR="00C031E6" w:rsidRPr="00B1523A">
        <w:rPr>
          <w:rFonts w:eastAsia="Calibri"/>
          <w:sz w:val="20"/>
        </w:rPr>
        <w:t xml:space="preserve">Asimismo, el 13 de febrero de 2002, fue ordenada por el Primer Juzgado Civil la exhumación del cadáver del señor Poblete Vilches para la realización de la autopsia, sin embargo, esta </w:t>
      </w:r>
      <w:r w:rsidR="00EC4C95" w:rsidRPr="00B1523A">
        <w:rPr>
          <w:rFonts w:eastAsia="Calibri"/>
          <w:sz w:val="20"/>
        </w:rPr>
        <w:t>diligencia no se llevó a cabo</w:t>
      </w:r>
      <w:r w:rsidR="00C031E6" w:rsidRPr="00B1523A">
        <w:rPr>
          <w:rStyle w:val="FootnoteReference"/>
          <w:rFonts w:eastAsia="Calibri"/>
          <w:sz w:val="20"/>
        </w:rPr>
        <w:footnoteReference w:id="71"/>
      </w:r>
      <w:r w:rsidR="00C031E6" w:rsidRPr="00B1523A">
        <w:rPr>
          <w:rFonts w:eastAsia="Calibri"/>
          <w:sz w:val="20"/>
        </w:rPr>
        <w:t>.</w:t>
      </w:r>
    </w:p>
    <w:p w14:paraId="55B9692D" w14:textId="77777777" w:rsidR="00E22B60" w:rsidRPr="00B1523A" w:rsidRDefault="00E22B60" w:rsidP="00E22B60">
      <w:pPr>
        <w:tabs>
          <w:tab w:val="left" w:pos="630"/>
          <w:tab w:val="left" w:pos="810"/>
          <w:tab w:val="left" w:pos="1530"/>
          <w:tab w:val="left" w:pos="1620"/>
        </w:tabs>
        <w:ind w:right="-360"/>
        <w:rPr>
          <w:rFonts w:eastAsia="Calibri"/>
          <w:i/>
          <w:sz w:val="20"/>
        </w:rPr>
      </w:pPr>
    </w:p>
    <w:p w14:paraId="4504D9BC" w14:textId="0F40D040"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16 de octubre de 2002</w:t>
      </w:r>
      <w:r w:rsidR="0054712C">
        <w:rPr>
          <w:rFonts w:eastAsia="Calibri"/>
          <w:sz w:val="20"/>
          <w:szCs w:val="20"/>
        </w:rPr>
        <w:t>,</w:t>
      </w:r>
      <w:r w:rsidRPr="00E47EFA">
        <w:rPr>
          <w:rFonts w:eastAsia="Calibri"/>
          <w:sz w:val="20"/>
          <w:szCs w:val="20"/>
        </w:rPr>
        <w:t xml:space="preserve"> el Primer Juzgado Civil solicitó al Hospital </w:t>
      </w:r>
      <w:proofErr w:type="spellStart"/>
      <w:r w:rsidRPr="00E47EFA">
        <w:rPr>
          <w:rFonts w:eastAsia="Calibri"/>
          <w:sz w:val="20"/>
          <w:szCs w:val="20"/>
        </w:rPr>
        <w:t>Sótero</w:t>
      </w:r>
      <w:proofErr w:type="spellEnd"/>
      <w:r w:rsidRPr="00E47EFA">
        <w:rPr>
          <w:rFonts w:eastAsia="Calibri"/>
          <w:sz w:val="20"/>
          <w:szCs w:val="20"/>
        </w:rPr>
        <w:t xml:space="preserve"> del Río la ficha clínica del señor Poblete Vilches, la cual se recibió el 14 de noviembre de 2002</w:t>
      </w:r>
      <w:r w:rsidRPr="00E47EFA">
        <w:rPr>
          <w:rFonts w:eastAsia="Calibri"/>
          <w:sz w:val="20"/>
          <w:szCs w:val="20"/>
          <w:vertAlign w:val="superscript"/>
        </w:rPr>
        <w:footnoteReference w:id="72"/>
      </w:r>
      <w:r w:rsidRPr="00E47EFA">
        <w:rPr>
          <w:rFonts w:eastAsia="Calibri"/>
          <w:sz w:val="20"/>
          <w:szCs w:val="20"/>
        </w:rPr>
        <w:t>.</w:t>
      </w:r>
    </w:p>
    <w:p w14:paraId="6621DAD6" w14:textId="77777777" w:rsidR="00E22B60" w:rsidRPr="00E47EFA" w:rsidRDefault="00E22B60" w:rsidP="00E22B60">
      <w:pPr>
        <w:tabs>
          <w:tab w:val="left" w:pos="567"/>
          <w:tab w:val="left" w:pos="630"/>
          <w:tab w:val="left" w:pos="810"/>
          <w:tab w:val="left" w:pos="1530"/>
          <w:tab w:val="left" w:pos="1620"/>
          <w:tab w:val="num" w:pos="12305"/>
        </w:tabs>
        <w:ind w:right="-360"/>
        <w:rPr>
          <w:rFonts w:eastAsia="Calibri"/>
          <w:sz w:val="20"/>
          <w:szCs w:val="20"/>
        </w:rPr>
      </w:pPr>
      <w:r w:rsidRPr="00E47EFA">
        <w:rPr>
          <w:rFonts w:eastAsia="Calibri"/>
          <w:sz w:val="20"/>
          <w:szCs w:val="20"/>
        </w:rPr>
        <w:t xml:space="preserve"> </w:t>
      </w:r>
    </w:p>
    <w:p w14:paraId="3BD51FE8" w14:textId="7BDECED1"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12 de abril de 2003</w:t>
      </w:r>
      <w:r w:rsidR="0054712C">
        <w:rPr>
          <w:rFonts w:eastAsia="Calibri"/>
          <w:sz w:val="20"/>
          <w:szCs w:val="20"/>
        </w:rPr>
        <w:t>,</w:t>
      </w:r>
      <w:r w:rsidRPr="00E47EFA">
        <w:rPr>
          <w:rFonts w:eastAsia="Calibri"/>
          <w:sz w:val="20"/>
          <w:szCs w:val="20"/>
        </w:rPr>
        <w:t xml:space="preserve"> el Primer Juzgado Civil recibió el Informe Policial de la Brigada de Homicidios Metropolitana de la Policía de Investigaciones de Chile. Al mismo se adjuntó el informe del Médico Asesor Criminalista, quien concluyó que del contenido de la ficha clínica se desprendía que el “paciente recibió las atenciones y cuidados médicos oportunos y eficaces; en consecuencia, el fallecimiento está mejor explicado […] por la gravedad de sus complicaciones, que superaron los esfuerzos médicos y medios disponibles”</w:t>
      </w:r>
      <w:r w:rsidRPr="00E47EFA">
        <w:rPr>
          <w:rFonts w:eastAsia="Calibri"/>
          <w:sz w:val="20"/>
          <w:szCs w:val="20"/>
          <w:vertAlign w:val="superscript"/>
        </w:rPr>
        <w:footnoteReference w:id="73"/>
      </w:r>
      <w:r w:rsidRPr="00E47EFA">
        <w:rPr>
          <w:rFonts w:eastAsia="Calibri"/>
          <w:sz w:val="20"/>
          <w:szCs w:val="20"/>
        </w:rPr>
        <w:t>.</w:t>
      </w:r>
    </w:p>
    <w:p w14:paraId="7A35CACA"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7CB19A78" w14:textId="213068DF"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 xml:space="preserve">Los días 13 y 20 de mayo y 3 de diciembre de 2003 declararon ante el juzgado, los médicos Ximena del Pilar Echeverría </w:t>
      </w:r>
      <w:proofErr w:type="spellStart"/>
      <w:r w:rsidRPr="00E47EFA">
        <w:rPr>
          <w:rFonts w:eastAsia="Calibri"/>
          <w:sz w:val="20"/>
          <w:szCs w:val="20"/>
        </w:rPr>
        <w:t>Pezoa</w:t>
      </w:r>
      <w:proofErr w:type="spellEnd"/>
      <w:r w:rsidRPr="00E47EFA">
        <w:rPr>
          <w:rFonts w:eastAsia="Calibri"/>
          <w:sz w:val="20"/>
          <w:szCs w:val="20"/>
          <w:vertAlign w:val="superscript"/>
        </w:rPr>
        <w:footnoteReference w:id="74"/>
      </w:r>
      <w:r w:rsidRPr="00E47EFA">
        <w:rPr>
          <w:rFonts w:eastAsia="Calibri"/>
          <w:sz w:val="20"/>
          <w:szCs w:val="20"/>
        </w:rPr>
        <w:t xml:space="preserve">, Humberto Reinaldo </w:t>
      </w:r>
      <w:proofErr w:type="spellStart"/>
      <w:r w:rsidRPr="00E47EFA">
        <w:rPr>
          <w:rFonts w:eastAsia="Calibri"/>
          <w:sz w:val="20"/>
          <w:szCs w:val="20"/>
        </w:rPr>
        <w:t>Montecinos</w:t>
      </w:r>
      <w:proofErr w:type="spellEnd"/>
      <w:r w:rsidRPr="00E47EFA">
        <w:rPr>
          <w:rFonts w:eastAsia="Calibri"/>
          <w:sz w:val="20"/>
          <w:szCs w:val="20"/>
        </w:rPr>
        <w:t xml:space="preserve"> </w:t>
      </w:r>
      <w:proofErr w:type="spellStart"/>
      <w:r w:rsidRPr="00E47EFA">
        <w:rPr>
          <w:rFonts w:eastAsia="Calibri"/>
          <w:sz w:val="20"/>
          <w:szCs w:val="20"/>
        </w:rPr>
        <w:t>Salucci</w:t>
      </w:r>
      <w:proofErr w:type="spellEnd"/>
      <w:r w:rsidRPr="00E47EFA">
        <w:rPr>
          <w:rFonts w:eastAsia="Calibri"/>
          <w:sz w:val="20"/>
          <w:szCs w:val="20"/>
          <w:vertAlign w:val="superscript"/>
        </w:rPr>
        <w:footnoteReference w:id="75"/>
      </w:r>
      <w:r w:rsidRPr="00E47EFA">
        <w:rPr>
          <w:rFonts w:eastAsia="Calibri"/>
          <w:sz w:val="20"/>
          <w:szCs w:val="20"/>
        </w:rPr>
        <w:t xml:space="preserve"> y Sandra Zoraida Castillo Mont</w:t>
      </w:r>
      <w:r w:rsidR="0054712C">
        <w:rPr>
          <w:rFonts w:eastAsia="Calibri" w:cs="Arial"/>
          <w:sz w:val="20"/>
          <w:szCs w:val="20"/>
        </w:rPr>
        <w:t>u</w:t>
      </w:r>
      <w:r w:rsidRPr="00E47EFA">
        <w:rPr>
          <w:rFonts w:eastAsia="Calibri"/>
          <w:sz w:val="20"/>
          <w:szCs w:val="20"/>
        </w:rPr>
        <w:t>far</w:t>
      </w:r>
      <w:r w:rsidRPr="00E47EFA">
        <w:rPr>
          <w:rFonts w:eastAsia="Calibri"/>
          <w:sz w:val="20"/>
          <w:szCs w:val="20"/>
          <w:vertAlign w:val="superscript"/>
        </w:rPr>
        <w:footnoteReference w:id="76"/>
      </w:r>
      <w:r w:rsidRPr="00E47EFA">
        <w:rPr>
          <w:rFonts w:eastAsia="Calibri"/>
          <w:sz w:val="20"/>
          <w:szCs w:val="20"/>
        </w:rPr>
        <w:t>, respectivamente.</w:t>
      </w:r>
    </w:p>
    <w:p w14:paraId="447FEDCC"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7AD27CDA" w14:textId="0C615292"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16"/>
          <w:szCs w:val="16"/>
        </w:rPr>
      </w:pPr>
      <w:r w:rsidRPr="00E47EFA">
        <w:rPr>
          <w:rFonts w:eastAsia="Calibri"/>
          <w:sz w:val="20"/>
          <w:szCs w:val="20"/>
        </w:rPr>
        <w:t>Los días 28 de febrero de 2004, 20 de diciembre de 2004 y 31 de octubre de 2005 el Primer Juzgado Civil despachó las órdenes de arresto en contra de Luis Carvajal Freire</w:t>
      </w:r>
      <w:r w:rsidRPr="00E47EFA">
        <w:rPr>
          <w:rFonts w:eastAsia="Calibri"/>
          <w:sz w:val="20"/>
          <w:szCs w:val="20"/>
          <w:vertAlign w:val="superscript"/>
        </w:rPr>
        <w:footnoteReference w:id="77"/>
      </w:r>
      <w:r w:rsidRPr="00E47EFA">
        <w:rPr>
          <w:rFonts w:eastAsia="Calibri"/>
          <w:sz w:val="20"/>
          <w:szCs w:val="20"/>
        </w:rPr>
        <w:t>. El 6 de abril de 2004</w:t>
      </w:r>
      <w:r w:rsidR="0054712C">
        <w:rPr>
          <w:rFonts w:eastAsia="Calibri"/>
          <w:sz w:val="20"/>
          <w:szCs w:val="20"/>
        </w:rPr>
        <w:t>,</w:t>
      </w:r>
      <w:r w:rsidRPr="00E47EFA">
        <w:rPr>
          <w:rFonts w:eastAsia="Calibri"/>
          <w:sz w:val="20"/>
          <w:szCs w:val="20"/>
        </w:rPr>
        <w:t xml:space="preserve"> el Décimo Noveno Juzgado del Crimen ordenó el arresto contra el doctor Luis Carvajal Freire por el delito de desobediencia a las órdenes del Primer Juzgado Civil de Puente Alto</w:t>
      </w:r>
      <w:r w:rsidRPr="00E47EFA">
        <w:rPr>
          <w:rFonts w:eastAsia="Calibri"/>
          <w:sz w:val="20"/>
          <w:szCs w:val="20"/>
          <w:vertAlign w:val="superscript"/>
        </w:rPr>
        <w:footnoteReference w:id="78"/>
      </w:r>
      <w:r w:rsidRPr="00E47EFA">
        <w:rPr>
          <w:rFonts w:eastAsia="Calibri"/>
          <w:sz w:val="20"/>
          <w:szCs w:val="20"/>
        </w:rPr>
        <w:t>. El</w:t>
      </w:r>
      <w:r w:rsidRPr="00E47EFA">
        <w:rPr>
          <w:rFonts w:eastAsia="Calibri"/>
          <w:sz w:val="16"/>
          <w:szCs w:val="16"/>
        </w:rPr>
        <w:t xml:space="preserve"> </w:t>
      </w:r>
      <w:r w:rsidRPr="00E47EFA">
        <w:rPr>
          <w:rFonts w:eastAsia="Calibri"/>
          <w:sz w:val="20"/>
          <w:szCs w:val="20"/>
        </w:rPr>
        <w:t xml:space="preserve">8 de enero </w:t>
      </w:r>
      <w:r w:rsidRPr="00E47EFA">
        <w:rPr>
          <w:rFonts w:eastAsia="Calibri"/>
          <w:sz w:val="20"/>
          <w:szCs w:val="20"/>
        </w:rPr>
        <w:lastRenderedPageBreak/>
        <w:t>de 2005</w:t>
      </w:r>
      <w:r w:rsidR="0054712C">
        <w:rPr>
          <w:rFonts w:eastAsia="Calibri"/>
          <w:sz w:val="20"/>
          <w:szCs w:val="20"/>
        </w:rPr>
        <w:t>,</w:t>
      </w:r>
      <w:r w:rsidRPr="00E47EFA">
        <w:rPr>
          <w:rFonts w:eastAsia="Calibri"/>
          <w:sz w:val="20"/>
          <w:szCs w:val="20"/>
        </w:rPr>
        <w:t xml:space="preserve"> el </w:t>
      </w:r>
      <w:r w:rsidR="0054712C">
        <w:rPr>
          <w:rFonts w:eastAsia="Calibri"/>
          <w:sz w:val="20"/>
          <w:szCs w:val="20"/>
        </w:rPr>
        <w:t>anterior</w:t>
      </w:r>
      <w:r w:rsidRPr="00E47EFA">
        <w:rPr>
          <w:rFonts w:eastAsia="Calibri"/>
          <w:sz w:val="20"/>
          <w:szCs w:val="20"/>
        </w:rPr>
        <w:t xml:space="preserve"> Juzgado ordenó el arresto en contra del doctor Luis Carvajal Freire por el delito Cuasidelito de Homicidio</w:t>
      </w:r>
      <w:r w:rsidRPr="00E47EFA">
        <w:rPr>
          <w:rFonts w:eastAsia="Calibri"/>
          <w:sz w:val="20"/>
          <w:szCs w:val="20"/>
          <w:vertAlign w:val="superscript"/>
        </w:rPr>
        <w:footnoteReference w:id="79"/>
      </w:r>
      <w:r w:rsidRPr="00E47EFA">
        <w:rPr>
          <w:rFonts w:eastAsia="Calibri"/>
          <w:sz w:val="20"/>
          <w:szCs w:val="20"/>
        </w:rPr>
        <w:t>. El 6 de febrero de 2006</w:t>
      </w:r>
      <w:r w:rsidR="0054712C">
        <w:rPr>
          <w:rFonts w:eastAsia="Calibri"/>
          <w:sz w:val="20"/>
          <w:szCs w:val="20"/>
        </w:rPr>
        <w:t>,</w:t>
      </w:r>
      <w:r w:rsidRPr="00E47EFA">
        <w:rPr>
          <w:rFonts w:eastAsia="Calibri"/>
          <w:sz w:val="20"/>
          <w:szCs w:val="20"/>
        </w:rPr>
        <w:t xml:space="preserve"> el Primer Juzgado Civil declaró “rebelde” a Luis Carvajal Freire</w:t>
      </w:r>
      <w:r w:rsidRPr="00C64243">
        <w:rPr>
          <w:rFonts w:eastAsia="Calibri"/>
          <w:sz w:val="20"/>
          <w:szCs w:val="20"/>
          <w:vertAlign w:val="superscript"/>
        </w:rPr>
        <w:footnoteReference w:id="80"/>
      </w:r>
      <w:r w:rsidRPr="00E47EFA">
        <w:rPr>
          <w:rFonts w:eastAsia="Calibri"/>
          <w:sz w:val="16"/>
          <w:szCs w:val="16"/>
        </w:rPr>
        <w:t>.</w:t>
      </w:r>
      <w:r w:rsidRPr="00E47EFA">
        <w:rPr>
          <w:rFonts w:eastAsia="Calibri"/>
          <w:sz w:val="20"/>
          <w:szCs w:val="20"/>
        </w:rPr>
        <w:t xml:space="preserve"> El 23 de mayo de 2007</w:t>
      </w:r>
      <w:r w:rsidR="0054712C">
        <w:rPr>
          <w:rFonts w:eastAsia="Calibri"/>
          <w:sz w:val="20"/>
          <w:szCs w:val="20"/>
        </w:rPr>
        <w:t>,</w:t>
      </w:r>
      <w:r w:rsidRPr="00E47EFA">
        <w:rPr>
          <w:rFonts w:eastAsia="Calibri"/>
          <w:sz w:val="20"/>
          <w:szCs w:val="20"/>
        </w:rPr>
        <w:t xml:space="preserve"> el Primer Juzgado Civil comprobó que el doctor Luis Carvajal Freire continuaba trabajando en el Hospital </w:t>
      </w:r>
      <w:proofErr w:type="spellStart"/>
      <w:r w:rsidRPr="00E47EFA">
        <w:rPr>
          <w:rFonts w:eastAsia="Calibri"/>
          <w:sz w:val="20"/>
          <w:szCs w:val="20"/>
        </w:rPr>
        <w:t>Sótero</w:t>
      </w:r>
      <w:proofErr w:type="spellEnd"/>
      <w:r w:rsidRPr="00E47EFA">
        <w:rPr>
          <w:rFonts w:eastAsia="Calibri"/>
          <w:sz w:val="20"/>
          <w:szCs w:val="20"/>
        </w:rPr>
        <w:t xml:space="preserve"> del Río</w:t>
      </w:r>
      <w:r w:rsidRPr="00E47EFA">
        <w:rPr>
          <w:rFonts w:eastAsia="Calibri"/>
          <w:sz w:val="20"/>
          <w:szCs w:val="20"/>
          <w:vertAlign w:val="superscript"/>
        </w:rPr>
        <w:footnoteReference w:id="81"/>
      </w:r>
      <w:r w:rsidRPr="00E47EFA">
        <w:rPr>
          <w:rFonts w:eastAsia="Calibri"/>
          <w:sz w:val="20"/>
          <w:szCs w:val="20"/>
        </w:rPr>
        <w:t>.</w:t>
      </w:r>
    </w:p>
    <w:p w14:paraId="780CBDEA"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1BDEAA7A" w14:textId="0CA95C0C"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16"/>
        </w:rPr>
      </w:pPr>
      <w:r w:rsidRPr="00E47EFA">
        <w:rPr>
          <w:rFonts w:eastAsia="Calibri"/>
          <w:sz w:val="20"/>
          <w:szCs w:val="20"/>
        </w:rPr>
        <w:t>El 19 de julio de 2005</w:t>
      </w:r>
      <w:r w:rsidR="0054712C">
        <w:rPr>
          <w:rFonts w:eastAsia="Calibri"/>
          <w:sz w:val="20"/>
          <w:szCs w:val="20"/>
        </w:rPr>
        <w:t>,</w:t>
      </w:r>
      <w:r w:rsidRPr="00E47EFA">
        <w:rPr>
          <w:rFonts w:eastAsia="Calibri"/>
          <w:sz w:val="20"/>
          <w:szCs w:val="20"/>
        </w:rPr>
        <w:t xml:space="preserve"> el Primer Juzgado Civil remitió la causa al Servicio Médico Legal para que éste obtuviera información “respecto de la responsabilidad médica que habría cabido a los facultativos tratantes”</w:t>
      </w:r>
      <w:r w:rsidRPr="00E47EFA">
        <w:rPr>
          <w:rFonts w:eastAsia="Calibri"/>
          <w:sz w:val="20"/>
          <w:szCs w:val="20"/>
          <w:vertAlign w:val="superscript"/>
        </w:rPr>
        <w:footnoteReference w:id="82"/>
      </w:r>
      <w:r w:rsidRPr="00E47EFA">
        <w:rPr>
          <w:rFonts w:eastAsia="Calibri"/>
          <w:sz w:val="20"/>
          <w:szCs w:val="20"/>
        </w:rPr>
        <w:t xml:space="preserve">. El </w:t>
      </w:r>
      <w:r w:rsidRPr="00E47EFA">
        <w:rPr>
          <w:rFonts w:eastAsia="Calibri"/>
          <w:sz w:val="20"/>
          <w:szCs w:val="16"/>
        </w:rPr>
        <w:t>15 de septiembre de 2005</w:t>
      </w:r>
      <w:r w:rsidR="0054712C">
        <w:rPr>
          <w:rFonts w:eastAsia="Calibri"/>
          <w:sz w:val="20"/>
          <w:szCs w:val="16"/>
        </w:rPr>
        <w:t>,</w:t>
      </w:r>
      <w:r w:rsidRPr="00E47EFA">
        <w:rPr>
          <w:rFonts w:eastAsia="Calibri"/>
          <w:sz w:val="20"/>
          <w:szCs w:val="16"/>
        </w:rPr>
        <w:t xml:space="preserve"> el </w:t>
      </w:r>
      <w:r w:rsidRPr="00E47EFA">
        <w:rPr>
          <w:rFonts w:eastAsia="Calibri"/>
          <w:sz w:val="20"/>
          <w:szCs w:val="20"/>
        </w:rPr>
        <w:t xml:space="preserve">Primer Juzgado Civil remitió la causa </w:t>
      </w:r>
      <w:r w:rsidRPr="00E47EFA">
        <w:rPr>
          <w:rFonts w:eastAsia="Calibri"/>
          <w:sz w:val="20"/>
          <w:szCs w:val="16"/>
        </w:rPr>
        <w:t>nuevamente a la Corte de Apelaciones de San Miguel</w:t>
      </w:r>
      <w:r w:rsidRPr="00E47EFA">
        <w:rPr>
          <w:rFonts w:eastAsia="Calibri"/>
          <w:sz w:val="20"/>
          <w:szCs w:val="16"/>
          <w:vertAlign w:val="superscript"/>
        </w:rPr>
        <w:footnoteReference w:id="83"/>
      </w:r>
      <w:r w:rsidRPr="00E47EFA">
        <w:rPr>
          <w:rFonts w:eastAsia="Calibri"/>
          <w:sz w:val="20"/>
          <w:szCs w:val="16"/>
        </w:rPr>
        <w:t>, pero ésta devolvió la causa al Primer Juzgado Civil el 21 de noviembre de 2005 y declaró que “la señora Juez del Primer Juzgado Civil […] prestará atención preferente a la tramitación de la mencionada causa, dando cuenta a es</w:t>
      </w:r>
      <w:r w:rsidR="0054712C">
        <w:rPr>
          <w:rFonts w:eastAsia="Calibri"/>
          <w:sz w:val="20"/>
          <w:szCs w:val="16"/>
        </w:rPr>
        <w:t>[</w:t>
      </w:r>
      <w:r w:rsidRPr="00E47EFA">
        <w:rPr>
          <w:rFonts w:eastAsia="Calibri"/>
          <w:sz w:val="20"/>
          <w:szCs w:val="16"/>
        </w:rPr>
        <w:t>a</w:t>
      </w:r>
      <w:r w:rsidR="0054712C">
        <w:rPr>
          <w:rFonts w:eastAsia="Calibri"/>
          <w:sz w:val="20"/>
          <w:szCs w:val="16"/>
        </w:rPr>
        <w:t>]</w:t>
      </w:r>
      <w:r w:rsidR="0054712C">
        <w:rPr>
          <w:rFonts w:eastAsia="Calibri"/>
          <w:sz w:val="20"/>
          <w:szCs w:val="16"/>
        </w:rPr>
        <w:br/>
      </w:r>
      <w:r w:rsidRPr="00E47EFA">
        <w:rPr>
          <w:rFonts w:eastAsia="Calibri"/>
          <w:sz w:val="20"/>
          <w:szCs w:val="16"/>
        </w:rPr>
        <w:t>Corte en forma quincenal de su avance”</w:t>
      </w:r>
      <w:r w:rsidRPr="00E47EFA">
        <w:rPr>
          <w:rFonts w:eastAsia="Calibri"/>
          <w:sz w:val="20"/>
          <w:szCs w:val="16"/>
          <w:vertAlign w:val="superscript"/>
        </w:rPr>
        <w:footnoteReference w:id="84"/>
      </w:r>
      <w:r w:rsidRPr="00E47EFA">
        <w:rPr>
          <w:rFonts w:eastAsia="Calibri"/>
          <w:sz w:val="20"/>
          <w:szCs w:val="16"/>
        </w:rPr>
        <w:t xml:space="preserve">. </w:t>
      </w:r>
    </w:p>
    <w:p w14:paraId="483ED686"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2DB8A21B" w14:textId="3365D14A"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7 de octubre de 2005, el señor Vinicio Poblete Tapia presentó otra querella ante el Primer Juzgado Civil</w:t>
      </w:r>
      <w:r>
        <w:rPr>
          <w:rFonts w:eastAsia="Calibri"/>
          <w:sz w:val="20"/>
          <w:szCs w:val="20"/>
        </w:rPr>
        <w:t xml:space="preserve">, la cual fue tramitada bajo el No. de Rol </w:t>
      </w:r>
      <w:r w:rsidRPr="005A5DC5">
        <w:rPr>
          <w:rFonts w:eastAsia="Calibri"/>
          <w:sz w:val="20"/>
          <w:szCs w:val="20"/>
        </w:rPr>
        <w:t xml:space="preserve">94.393-M, </w:t>
      </w:r>
      <w:r w:rsidRPr="00E47EFA">
        <w:rPr>
          <w:rFonts w:eastAsia="Calibri"/>
          <w:sz w:val="20"/>
          <w:szCs w:val="20"/>
        </w:rPr>
        <w:t xml:space="preserve">en contra de quienes resultaren responsables por el delito de homicidio culposo cometido en </w:t>
      </w:r>
      <w:r>
        <w:rPr>
          <w:rFonts w:eastAsia="Calibri"/>
          <w:sz w:val="20"/>
          <w:szCs w:val="20"/>
        </w:rPr>
        <w:t xml:space="preserve">perjuicio </w:t>
      </w:r>
      <w:r w:rsidRPr="00E47EFA">
        <w:rPr>
          <w:rFonts w:eastAsia="Calibri"/>
          <w:sz w:val="20"/>
          <w:szCs w:val="20"/>
        </w:rPr>
        <w:t>del señor Poblete Vilches y solicitó, entre otras, las siguientes diligencias: i) citar a declarar a los doctores Garrido [</w:t>
      </w:r>
      <w:r w:rsidRPr="00E47EFA">
        <w:rPr>
          <w:rFonts w:eastAsia="Calibri"/>
          <w:i/>
          <w:sz w:val="20"/>
          <w:szCs w:val="20"/>
        </w:rPr>
        <w:t>sic</w:t>
      </w:r>
      <w:r w:rsidRPr="00E47EFA">
        <w:rPr>
          <w:rFonts w:eastAsia="Calibri"/>
          <w:sz w:val="20"/>
          <w:szCs w:val="20"/>
        </w:rPr>
        <w:t xml:space="preserve">], Ximena Echeverría </w:t>
      </w:r>
      <w:proofErr w:type="spellStart"/>
      <w:r w:rsidRPr="00E47EFA">
        <w:rPr>
          <w:rFonts w:eastAsia="Calibri"/>
          <w:sz w:val="20"/>
          <w:szCs w:val="20"/>
        </w:rPr>
        <w:t>Pezoa</w:t>
      </w:r>
      <w:proofErr w:type="spellEnd"/>
      <w:r w:rsidRPr="00E47EFA">
        <w:rPr>
          <w:rFonts w:eastAsia="Calibri"/>
          <w:sz w:val="20"/>
          <w:szCs w:val="20"/>
        </w:rPr>
        <w:t xml:space="preserve">, María Chacón Fernández, </w:t>
      </w:r>
      <w:proofErr w:type="spellStart"/>
      <w:r w:rsidRPr="00E47EFA">
        <w:rPr>
          <w:rFonts w:eastAsia="Calibri"/>
          <w:sz w:val="20"/>
          <w:szCs w:val="20"/>
        </w:rPr>
        <w:t>Anuch</w:t>
      </w:r>
      <w:proofErr w:type="spellEnd"/>
      <w:r w:rsidRPr="00E47EFA">
        <w:rPr>
          <w:rFonts w:eastAsia="Calibri"/>
          <w:sz w:val="20"/>
          <w:szCs w:val="20"/>
        </w:rPr>
        <w:t xml:space="preserve"> [</w:t>
      </w:r>
      <w:r w:rsidRPr="00E47EFA">
        <w:rPr>
          <w:rFonts w:eastAsia="Calibri"/>
          <w:i/>
          <w:sz w:val="20"/>
          <w:szCs w:val="20"/>
        </w:rPr>
        <w:t>sic</w:t>
      </w:r>
      <w:r w:rsidRPr="00C64243">
        <w:rPr>
          <w:rFonts w:eastAsia="Calibri"/>
          <w:sz w:val="20"/>
          <w:szCs w:val="20"/>
        </w:rPr>
        <w:t>]</w:t>
      </w:r>
      <w:r w:rsidRPr="00E47EFA">
        <w:rPr>
          <w:rFonts w:eastAsia="Calibri"/>
          <w:sz w:val="20"/>
          <w:szCs w:val="20"/>
        </w:rPr>
        <w:t xml:space="preserve">, </w:t>
      </w:r>
      <w:proofErr w:type="spellStart"/>
      <w:r w:rsidRPr="00E47EFA">
        <w:rPr>
          <w:rFonts w:eastAsia="Calibri"/>
          <w:sz w:val="20"/>
          <w:szCs w:val="20"/>
        </w:rPr>
        <w:t>Lorna</w:t>
      </w:r>
      <w:proofErr w:type="spellEnd"/>
      <w:r w:rsidRPr="00E47EFA">
        <w:rPr>
          <w:rFonts w:eastAsia="Calibri"/>
          <w:sz w:val="20"/>
          <w:szCs w:val="20"/>
        </w:rPr>
        <w:t xml:space="preserve"> Luco, </w:t>
      </w:r>
      <w:proofErr w:type="spellStart"/>
      <w:r w:rsidRPr="00E47EFA">
        <w:rPr>
          <w:rFonts w:eastAsia="Calibri"/>
          <w:sz w:val="20"/>
          <w:szCs w:val="20"/>
        </w:rPr>
        <w:t>Gonzálo</w:t>
      </w:r>
      <w:proofErr w:type="spellEnd"/>
      <w:r w:rsidRPr="00E47EFA">
        <w:rPr>
          <w:rFonts w:eastAsia="Calibri"/>
          <w:sz w:val="20"/>
          <w:szCs w:val="20"/>
        </w:rPr>
        <w:t xml:space="preserve"> Menchaca, y Luis Carvajal Freire; ii) oficiar al Hospital </w:t>
      </w:r>
      <w:proofErr w:type="spellStart"/>
      <w:r w:rsidRPr="00E47EFA">
        <w:rPr>
          <w:rFonts w:eastAsia="Calibri"/>
          <w:sz w:val="20"/>
          <w:szCs w:val="20"/>
        </w:rPr>
        <w:t>Sótero</w:t>
      </w:r>
      <w:proofErr w:type="spellEnd"/>
      <w:r w:rsidRPr="00E47EFA">
        <w:rPr>
          <w:rFonts w:eastAsia="Calibri"/>
          <w:sz w:val="20"/>
          <w:szCs w:val="20"/>
        </w:rPr>
        <w:t xml:space="preserve"> del Río a fin de que este enviara la ficha médica completa de Vinicio Antonio Poblete Vilches; iii) decretar la “exhumación del cadáver” del señor Poblete Vilches, “con el fin de realizar una autopsia que determine la causa real de su muerte”, y v) que se acumulara esa segunda querella a la anterior</w:t>
      </w:r>
      <w:r>
        <w:rPr>
          <w:rFonts w:eastAsia="Calibri"/>
          <w:sz w:val="20"/>
          <w:szCs w:val="20"/>
        </w:rPr>
        <w:t xml:space="preserve">, es decir, la tramitada con el Rol </w:t>
      </w:r>
      <w:r w:rsidR="0054712C">
        <w:rPr>
          <w:rFonts w:eastAsia="Calibri"/>
          <w:sz w:val="20"/>
          <w:szCs w:val="20"/>
        </w:rPr>
        <w:t>No.</w:t>
      </w:r>
      <w:r>
        <w:rPr>
          <w:rFonts w:eastAsia="Calibri"/>
          <w:sz w:val="20"/>
          <w:szCs w:val="20"/>
        </w:rPr>
        <w:t xml:space="preserve"> </w:t>
      </w:r>
      <w:r w:rsidRPr="005A5DC5">
        <w:rPr>
          <w:rFonts w:eastAsia="Calibri"/>
          <w:sz w:val="20"/>
          <w:szCs w:val="20"/>
        </w:rPr>
        <w:t xml:space="preserve">75.821-M, y cuya acumulación solicitada por el denunciante fue concedida en auto </w:t>
      </w:r>
      <w:r w:rsidR="0054712C">
        <w:rPr>
          <w:rFonts w:eastAsia="Calibri"/>
          <w:sz w:val="20"/>
          <w:szCs w:val="20"/>
        </w:rPr>
        <w:t xml:space="preserve">de </w:t>
      </w:r>
      <w:r w:rsidRPr="005A5DC5">
        <w:rPr>
          <w:rFonts w:eastAsia="Calibri"/>
          <w:sz w:val="20"/>
          <w:szCs w:val="20"/>
        </w:rPr>
        <w:t>misma fecha, “</w:t>
      </w:r>
      <w:r w:rsidRPr="005A5DC5">
        <w:rPr>
          <w:rFonts w:eastAsia="Calibri"/>
          <w:bCs/>
          <w:sz w:val="20"/>
          <w:szCs w:val="20"/>
        </w:rPr>
        <w:t xml:space="preserve">una vez que la causa </w:t>
      </w:r>
      <w:r>
        <w:rPr>
          <w:rFonts w:eastAsia="Calibri"/>
          <w:bCs/>
          <w:sz w:val="20"/>
          <w:szCs w:val="20"/>
        </w:rPr>
        <w:t xml:space="preserve">rol No. 75.821 se </w:t>
      </w:r>
      <w:proofErr w:type="spellStart"/>
      <w:r>
        <w:rPr>
          <w:rFonts w:eastAsia="Calibri"/>
          <w:bCs/>
          <w:sz w:val="20"/>
          <w:szCs w:val="20"/>
        </w:rPr>
        <w:t>recepci</w:t>
      </w:r>
      <w:proofErr w:type="spellEnd"/>
      <w:r>
        <w:rPr>
          <w:rFonts w:eastAsia="Calibri"/>
          <w:bCs/>
          <w:sz w:val="20"/>
          <w:szCs w:val="20"/>
        </w:rPr>
        <w:t>[</w:t>
      </w:r>
      <w:proofErr w:type="spellStart"/>
      <w:r>
        <w:rPr>
          <w:rFonts w:eastAsia="Calibri"/>
          <w:bCs/>
          <w:sz w:val="20"/>
          <w:szCs w:val="20"/>
        </w:rPr>
        <w:t>onara</w:t>
      </w:r>
      <w:proofErr w:type="spellEnd"/>
      <w:r>
        <w:rPr>
          <w:rFonts w:eastAsia="Calibri"/>
          <w:bCs/>
          <w:sz w:val="20"/>
          <w:szCs w:val="20"/>
        </w:rPr>
        <w:t>]</w:t>
      </w:r>
      <w:r w:rsidRPr="005A5DC5">
        <w:rPr>
          <w:rFonts w:eastAsia="Calibri"/>
          <w:bCs/>
          <w:sz w:val="20"/>
          <w:szCs w:val="20"/>
        </w:rPr>
        <w:t xml:space="preserve"> de la I. Corte de Apelaciones de San Miguel”, lo cual sucedió el día 7 de diciembre de 2005</w:t>
      </w:r>
      <w:r w:rsidRPr="00E47EFA">
        <w:rPr>
          <w:rFonts w:eastAsia="Calibri"/>
          <w:sz w:val="20"/>
          <w:szCs w:val="16"/>
          <w:vertAlign w:val="superscript"/>
        </w:rPr>
        <w:footnoteReference w:id="85"/>
      </w:r>
      <w:r w:rsidRPr="00E47EFA">
        <w:rPr>
          <w:rFonts w:eastAsia="Calibri"/>
          <w:sz w:val="20"/>
          <w:szCs w:val="20"/>
        </w:rPr>
        <w:t>.</w:t>
      </w:r>
    </w:p>
    <w:p w14:paraId="1F2FADF8"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0331B380"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Entre el 3 de marzo de 2006 y el 15 de junio de 2007, durante el trámite de la</w:t>
      </w:r>
      <w:r>
        <w:rPr>
          <w:rFonts w:eastAsia="Calibri"/>
          <w:sz w:val="20"/>
          <w:szCs w:val="20"/>
        </w:rPr>
        <w:t xml:space="preserve"> </w:t>
      </w:r>
      <w:r w:rsidRPr="00E47EFA">
        <w:rPr>
          <w:rFonts w:eastAsia="Calibri"/>
          <w:sz w:val="20"/>
          <w:szCs w:val="20"/>
        </w:rPr>
        <w:t>querella</w:t>
      </w:r>
      <w:r>
        <w:rPr>
          <w:rFonts w:eastAsia="Calibri"/>
          <w:sz w:val="20"/>
          <w:szCs w:val="20"/>
        </w:rPr>
        <w:t xml:space="preserve"> acumulada ante el Primer Juzgado Civil de Puente Alto</w:t>
      </w:r>
      <w:r w:rsidRPr="00E47EFA">
        <w:rPr>
          <w:rFonts w:eastAsia="Calibri"/>
          <w:sz w:val="20"/>
          <w:szCs w:val="20"/>
        </w:rPr>
        <w:t xml:space="preserve">, las siguientes personas declararon ante el Primer Juzgado Civil de Puente Alto: Marcelo Adán Garrido; María Carolina Chacón Fernández; Vinicio Poblete Tapia; </w:t>
      </w:r>
      <w:proofErr w:type="spellStart"/>
      <w:r w:rsidRPr="00E47EFA">
        <w:rPr>
          <w:rFonts w:eastAsia="Calibri"/>
          <w:sz w:val="20"/>
          <w:szCs w:val="20"/>
        </w:rPr>
        <w:t>Cesia</w:t>
      </w:r>
      <w:proofErr w:type="spellEnd"/>
      <w:r w:rsidRPr="00E47EFA">
        <w:rPr>
          <w:rFonts w:eastAsia="Calibri"/>
          <w:sz w:val="20"/>
          <w:szCs w:val="20"/>
        </w:rPr>
        <w:t xml:space="preserve"> Leila Poblete Tapia; </w:t>
      </w:r>
      <w:r w:rsidRPr="00C64243">
        <w:rPr>
          <w:rFonts w:eastAsia="Calibri"/>
          <w:sz w:val="20"/>
          <w:szCs w:val="20"/>
        </w:rPr>
        <w:t>Lili Marlene Rojas Hernández</w:t>
      </w:r>
      <w:r w:rsidRPr="00E47EFA">
        <w:rPr>
          <w:rFonts w:eastAsia="Calibri"/>
          <w:sz w:val="20"/>
          <w:szCs w:val="20"/>
        </w:rPr>
        <w:t>; Jorge Alejandro Fuentes Poblete; y Alejandra Marcela Fuentes Poblete</w:t>
      </w:r>
      <w:r w:rsidRPr="00E47EFA">
        <w:rPr>
          <w:rFonts w:eastAsia="Calibri"/>
          <w:sz w:val="20"/>
          <w:szCs w:val="20"/>
          <w:vertAlign w:val="superscript"/>
        </w:rPr>
        <w:footnoteReference w:id="86"/>
      </w:r>
      <w:r w:rsidRPr="00E47EFA">
        <w:rPr>
          <w:rFonts w:eastAsia="Calibri"/>
          <w:sz w:val="20"/>
          <w:szCs w:val="20"/>
        </w:rPr>
        <w:t xml:space="preserve">. </w:t>
      </w:r>
    </w:p>
    <w:p w14:paraId="24BFF604"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734DB9FD" w14:textId="720FBE09"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21 de marzo de 2006</w:t>
      </w:r>
      <w:r w:rsidR="006908F5">
        <w:rPr>
          <w:rFonts w:eastAsia="Calibri"/>
          <w:sz w:val="20"/>
          <w:szCs w:val="20"/>
        </w:rPr>
        <w:t>,</w:t>
      </w:r>
      <w:r w:rsidRPr="00E47EFA">
        <w:rPr>
          <w:rFonts w:eastAsia="Calibri"/>
          <w:sz w:val="20"/>
          <w:szCs w:val="20"/>
        </w:rPr>
        <w:t xml:space="preserve"> la representación del señor Vinicio Poblete Tapia solicitó las siguientes diligencias: </w:t>
      </w:r>
      <w:proofErr w:type="gramStart"/>
      <w:r w:rsidRPr="00E47EFA">
        <w:rPr>
          <w:rFonts w:eastAsia="Calibri"/>
          <w:sz w:val="20"/>
          <w:szCs w:val="20"/>
        </w:rPr>
        <w:t>¡</w:t>
      </w:r>
      <w:proofErr w:type="gramEnd"/>
      <w:r w:rsidRPr="00E47EFA">
        <w:rPr>
          <w:rFonts w:eastAsia="Calibri"/>
          <w:sz w:val="20"/>
          <w:szCs w:val="20"/>
        </w:rPr>
        <w:t xml:space="preserve">) la declaración del querellante, ii) la declaración de </w:t>
      </w:r>
      <w:proofErr w:type="spellStart"/>
      <w:r w:rsidRPr="00E47EFA">
        <w:rPr>
          <w:rFonts w:eastAsia="Calibri"/>
          <w:sz w:val="20"/>
          <w:szCs w:val="20"/>
        </w:rPr>
        <w:t>Cesia</w:t>
      </w:r>
      <w:proofErr w:type="spellEnd"/>
      <w:r w:rsidRPr="00E47EFA">
        <w:rPr>
          <w:rFonts w:eastAsia="Calibri"/>
          <w:sz w:val="20"/>
          <w:szCs w:val="20"/>
        </w:rPr>
        <w:t xml:space="preserve"> Leila Poblete Tapia, iii) careo entre los dos anteriores y la doctora María Carolina Chacón Fernández. Además se solicitó que, debido al deterioro de salud del señor Poblete Tapia, éstas fuesen “</w:t>
      </w:r>
      <w:r w:rsidR="0021178D">
        <w:rPr>
          <w:rFonts w:eastAsia="Calibri"/>
          <w:sz w:val="20"/>
          <w:szCs w:val="20"/>
        </w:rPr>
        <w:t>decretadas</w:t>
      </w:r>
      <w:r w:rsidR="0021178D" w:rsidRPr="00E47EFA">
        <w:rPr>
          <w:rFonts w:eastAsia="Calibri"/>
          <w:sz w:val="20"/>
          <w:szCs w:val="20"/>
        </w:rPr>
        <w:t xml:space="preserve"> </w:t>
      </w:r>
      <w:r w:rsidRPr="00E47EFA">
        <w:rPr>
          <w:rFonts w:eastAsia="Calibri"/>
          <w:sz w:val="20"/>
          <w:szCs w:val="20"/>
        </w:rPr>
        <w:t>a la brevedad posible y con carácter de urgentes”</w:t>
      </w:r>
      <w:r w:rsidRPr="00E47EFA">
        <w:rPr>
          <w:rFonts w:eastAsia="Calibri"/>
          <w:sz w:val="20"/>
          <w:szCs w:val="16"/>
          <w:vertAlign w:val="superscript"/>
        </w:rPr>
        <w:footnoteReference w:id="87"/>
      </w:r>
      <w:r w:rsidRPr="00E47EFA">
        <w:rPr>
          <w:rFonts w:eastAsia="Calibri"/>
          <w:sz w:val="20"/>
          <w:szCs w:val="20"/>
        </w:rPr>
        <w:t>. El 18 de abril de 2006</w:t>
      </w:r>
      <w:r w:rsidR="0021178D">
        <w:rPr>
          <w:rFonts w:eastAsia="Calibri"/>
          <w:sz w:val="20"/>
          <w:szCs w:val="20"/>
        </w:rPr>
        <w:t>,</w:t>
      </w:r>
      <w:r w:rsidRPr="00E47EFA">
        <w:rPr>
          <w:rFonts w:eastAsia="Calibri"/>
          <w:sz w:val="20"/>
          <w:szCs w:val="20"/>
        </w:rPr>
        <w:t xml:space="preserve"> la representación del señor Poblete Tapia solicitó diversas declaraciones</w:t>
      </w:r>
      <w:r w:rsidRPr="00E47EFA">
        <w:rPr>
          <w:rFonts w:eastAsia="Calibri"/>
          <w:sz w:val="20"/>
          <w:szCs w:val="20"/>
          <w:vertAlign w:val="superscript"/>
        </w:rPr>
        <w:footnoteReference w:id="88"/>
      </w:r>
      <w:r w:rsidRPr="00E47EFA">
        <w:rPr>
          <w:rFonts w:eastAsia="Calibri"/>
          <w:sz w:val="20"/>
          <w:szCs w:val="20"/>
        </w:rPr>
        <w:t>.</w:t>
      </w:r>
    </w:p>
    <w:p w14:paraId="07E51B25"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7B4F140F" w14:textId="110A53B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 xml:space="preserve">El </w:t>
      </w:r>
      <w:r w:rsidR="0021178D">
        <w:rPr>
          <w:rFonts w:eastAsia="Calibri"/>
          <w:sz w:val="20"/>
          <w:szCs w:val="20"/>
        </w:rPr>
        <w:t>8</w:t>
      </w:r>
      <w:r w:rsidR="0021178D" w:rsidRPr="00E47EFA">
        <w:rPr>
          <w:rFonts w:eastAsia="Calibri"/>
          <w:sz w:val="20"/>
          <w:szCs w:val="20"/>
        </w:rPr>
        <w:t xml:space="preserve"> </w:t>
      </w:r>
      <w:r w:rsidRPr="00E47EFA">
        <w:rPr>
          <w:rFonts w:eastAsia="Calibri"/>
          <w:sz w:val="20"/>
          <w:szCs w:val="20"/>
        </w:rPr>
        <w:t>de junio de 2006</w:t>
      </w:r>
      <w:r w:rsidR="0021178D">
        <w:rPr>
          <w:rFonts w:eastAsia="Calibri"/>
          <w:sz w:val="20"/>
          <w:szCs w:val="20"/>
        </w:rPr>
        <w:t>,</w:t>
      </w:r>
      <w:r w:rsidRPr="00E47EFA">
        <w:rPr>
          <w:rFonts w:eastAsia="Calibri"/>
          <w:sz w:val="20"/>
          <w:szCs w:val="20"/>
        </w:rPr>
        <w:t xml:space="preserve"> el Servicio Médico Legal del Gobierno de Chile remitió la Pericia Médico Legal Nº 140-2005, </w:t>
      </w:r>
      <w:r w:rsidR="00EC4C95" w:rsidRPr="00B1523A">
        <w:rPr>
          <w:rFonts w:eastAsia="Calibri"/>
          <w:sz w:val="20"/>
        </w:rPr>
        <w:t>realizada con base en la historia clínica,</w:t>
      </w:r>
      <w:r w:rsidR="00EC4C95">
        <w:rPr>
          <w:rFonts w:eastAsia="Calibri"/>
          <w:sz w:val="20"/>
          <w:szCs w:val="20"/>
        </w:rPr>
        <w:t xml:space="preserve"> </w:t>
      </w:r>
      <w:r w:rsidRPr="00E47EFA">
        <w:rPr>
          <w:rFonts w:eastAsia="Calibri"/>
          <w:sz w:val="20"/>
          <w:szCs w:val="20"/>
        </w:rPr>
        <w:t>en la cual se concluyó que el señor Poblete Vilches, quien padecía de diabetes tipo 2, “debió hospitalizarse en dos oportunidades en lapso de tres semanas por un Edema Pulmonar Agudo más un Fibrilación Auricular de alta frecuencia desencadenadas por una Cardiopatía Isquémica y además una infección cutánea extensa”. Además</w:t>
      </w:r>
      <w:r w:rsidR="0021178D">
        <w:rPr>
          <w:rFonts w:eastAsia="Calibri"/>
          <w:sz w:val="20"/>
          <w:szCs w:val="20"/>
        </w:rPr>
        <w:t>,</w:t>
      </w:r>
      <w:r w:rsidRPr="00E47EFA">
        <w:rPr>
          <w:rFonts w:eastAsia="Calibri"/>
          <w:sz w:val="20"/>
          <w:szCs w:val="20"/>
        </w:rPr>
        <w:t xml:space="preserve"> fue señalado que “[e]l conjunto de todas esta patologías fue debidamente diagnosticado y dada su gravedad fueron debidamente tratadas primero en la UCI [Quirúrgica] y luego en un Servicio de Medicina”. La Pericia Médico Legal notó también que el segundo ingreso se debió a un “</w:t>
      </w:r>
      <w:r w:rsidR="0021178D">
        <w:rPr>
          <w:rFonts w:eastAsia="Calibri"/>
          <w:sz w:val="20"/>
          <w:szCs w:val="20"/>
        </w:rPr>
        <w:t>[</w:t>
      </w:r>
      <w:r w:rsidRPr="00E47EFA">
        <w:rPr>
          <w:rFonts w:eastAsia="Calibri"/>
          <w:sz w:val="20"/>
          <w:szCs w:val="20"/>
        </w:rPr>
        <w:t>s</w:t>
      </w:r>
      <w:r w:rsidR="0021178D">
        <w:rPr>
          <w:rFonts w:eastAsia="Calibri"/>
          <w:sz w:val="20"/>
          <w:szCs w:val="20"/>
        </w:rPr>
        <w:t>]</w:t>
      </w:r>
      <w:proofErr w:type="spellStart"/>
      <w:r w:rsidRPr="00E47EFA">
        <w:rPr>
          <w:rFonts w:eastAsia="Calibri"/>
          <w:sz w:val="20"/>
          <w:szCs w:val="20"/>
        </w:rPr>
        <w:t>hock</w:t>
      </w:r>
      <w:proofErr w:type="spellEnd"/>
      <w:r w:rsidRPr="00E47EFA">
        <w:rPr>
          <w:rFonts w:eastAsia="Calibri"/>
          <w:sz w:val="20"/>
          <w:szCs w:val="20"/>
        </w:rPr>
        <w:t xml:space="preserve"> </w:t>
      </w:r>
      <w:r w:rsidR="0021178D">
        <w:rPr>
          <w:rFonts w:eastAsia="Calibri"/>
          <w:sz w:val="20"/>
          <w:szCs w:val="20"/>
        </w:rPr>
        <w:t>[</w:t>
      </w:r>
      <w:r w:rsidRPr="00E47EFA">
        <w:rPr>
          <w:rFonts w:eastAsia="Calibri"/>
          <w:sz w:val="20"/>
          <w:szCs w:val="20"/>
        </w:rPr>
        <w:t>s</w:t>
      </w:r>
      <w:r w:rsidR="0021178D">
        <w:rPr>
          <w:rFonts w:eastAsia="Calibri"/>
          <w:sz w:val="20"/>
          <w:szCs w:val="20"/>
        </w:rPr>
        <w:t>]</w:t>
      </w:r>
      <w:proofErr w:type="spellStart"/>
      <w:r w:rsidRPr="00E47EFA">
        <w:rPr>
          <w:rFonts w:eastAsia="Calibri"/>
          <w:sz w:val="20"/>
          <w:szCs w:val="20"/>
        </w:rPr>
        <w:t>éptico</w:t>
      </w:r>
      <w:proofErr w:type="spellEnd"/>
      <w:r w:rsidRPr="00E47EFA">
        <w:rPr>
          <w:rFonts w:eastAsia="Calibri"/>
          <w:sz w:val="20"/>
          <w:szCs w:val="20"/>
        </w:rPr>
        <w:t xml:space="preserve"> y </w:t>
      </w:r>
      <w:r w:rsidR="0021178D">
        <w:rPr>
          <w:rFonts w:eastAsia="Calibri"/>
          <w:sz w:val="20"/>
          <w:szCs w:val="20"/>
        </w:rPr>
        <w:t>[</w:t>
      </w:r>
      <w:r w:rsidRPr="00E47EFA">
        <w:rPr>
          <w:rFonts w:eastAsia="Calibri"/>
          <w:sz w:val="20"/>
          <w:szCs w:val="20"/>
        </w:rPr>
        <w:t>f</w:t>
      </w:r>
      <w:r w:rsidR="0021178D">
        <w:rPr>
          <w:rFonts w:eastAsia="Calibri"/>
          <w:sz w:val="20"/>
          <w:szCs w:val="20"/>
        </w:rPr>
        <w:t>]</w:t>
      </w:r>
      <w:proofErr w:type="spellStart"/>
      <w:r w:rsidRPr="00E47EFA">
        <w:rPr>
          <w:rFonts w:eastAsia="Calibri"/>
          <w:sz w:val="20"/>
          <w:szCs w:val="20"/>
        </w:rPr>
        <w:t>alla</w:t>
      </w:r>
      <w:proofErr w:type="spellEnd"/>
      <w:r w:rsidRPr="00E47EFA">
        <w:rPr>
          <w:rFonts w:eastAsia="Calibri"/>
          <w:sz w:val="20"/>
          <w:szCs w:val="20"/>
        </w:rPr>
        <w:t xml:space="preserve"> </w:t>
      </w:r>
      <w:r w:rsidR="0021178D">
        <w:rPr>
          <w:rFonts w:eastAsia="Calibri"/>
          <w:sz w:val="20"/>
          <w:szCs w:val="20"/>
        </w:rPr>
        <w:t>[</w:t>
      </w:r>
      <w:r w:rsidRPr="00E47EFA">
        <w:rPr>
          <w:rFonts w:eastAsia="Calibri"/>
          <w:sz w:val="20"/>
          <w:szCs w:val="20"/>
        </w:rPr>
        <w:t>m</w:t>
      </w:r>
      <w:r w:rsidR="0021178D">
        <w:rPr>
          <w:rFonts w:eastAsia="Calibri"/>
          <w:sz w:val="20"/>
          <w:szCs w:val="20"/>
        </w:rPr>
        <w:t>]</w:t>
      </w:r>
      <w:proofErr w:type="spellStart"/>
      <w:r w:rsidRPr="00E47EFA">
        <w:rPr>
          <w:rFonts w:eastAsia="Calibri"/>
          <w:sz w:val="20"/>
          <w:szCs w:val="20"/>
        </w:rPr>
        <w:t>ultiorgánica</w:t>
      </w:r>
      <w:proofErr w:type="spellEnd"/>
      <w:r w:rsidRPr="00E47EFA">
        <w:rPr>
          <w:rFonts w:eastAsia="Calibri"/>
          <w:sz w:val="20"/>
          <w:szCs w:val="20"/>
        </w:rPr>
        <w:t xml:space="preserve"> debido a una neumonía intrahospitalaria, situación susceptible de ocurrir luego de una estadía hospitalaria previa” y que, “dado su avanzada edad, patologías preexistentes y múltiples factores de riesgo, precipitaron su fallecimiento a pesar de las múltiples y adecuadas medidas terapéuticas recibidas”. En este sentido, los peritos “</w:t>
      </w:r>
      <w:proofErr w:type="spellStart"/>
      <w:proofErr w:type="gramStart"/>
      <w:r w:rsidRPr="00E47EFA">
        <w:rPr>
          <w:rFonts w:eastAsia="Calibri"/>
          <w:sz w:val="20"/>
          <w:szCs w:val="20"/>
        </w:rPr>
        <w:t>encontra</w:t>
      </w:r>
      <w:proofErr w:type="spellEnd"/>
      <w:r w:rsidRPr="00E47EFA">
        <w:rPr>
          <w:rFonts w:eastAsia="Calibri"/>
          <w:sz w:val="20"/>
          <w:szCs w:val="20"/>
        </w:rPr>
        <w:t>[</w:t>
      </w:r>
      <w:proofErr w:type="gramEnd"/>
      <w:r w:rsidRPr="00E47EFA">
        <w:rPr>
          <w:rFonts w:eastAsia="Calibri"/>
          <w:sz w:val="20"/>
          <w:szCs w:val="20"/>
        </w:rPr>
        <w:t xml:space="preserve">ron] que no hubo falta a la </w:t>
      </w:r>
      <w:proofErr w:type="spellStart"/>
      <w:r w:rsidRPr="00E47EFA">
        <w:rPr>
          <w:rFonts w:eastAsia="Calibri"/>
          <w:i/>
          <w:sz w:val="20"/>
          <w:szCs w:val="20"/>
        </w:rPr>
        <w:t>Lex</w:t>
      </w:r>
      <w:proofErr w:type="spellEnd"/>
      <w:r w:rsidRPr="00E47EFA">
        <w:rPr>
          <w:rFonts w:eastAsia="Calibri"/>
          <w:i/>
          <w:sz w:val="20"/>
          <w:szCs w:val="20"/>
        </w:rPr>
        <w:t xml:space="preserve"> </w:t>
      </w:r>
      <w:proofErr w:type="spellStart"/>
      <w:r w:rsidRPr="00E47EFA">
        <w:rPr>
          <w:rFonts w:eastAsia="Calibri"/>
          <w:i/>
          <w:sz w:val="20"/>
          <w:szCs w:val="20"/>
        </w:rPr>
        <w:t>Artis</w:t>
      </w:r>
      <w:proofErr w:type="spellEnd"/>
      <w:r w:rsidR="00713D68">
        <w:rPr>
          <w:rFonts w:eastAsia="Calibri"/>
          <w:sz w:val="20"/>
          <w:szCs w:val="20"/>
        </w:rPr>
        <w:t>”</w:t>
      </w:r>
      <w:r w:rsidRPr="00E47EFA">
        <w:rPr>
          <w:rFonts w:eastAsia="Calibri"/>
          <w:sz w:val="20"/>
          <w:szCs w:val="20"/>
          <w:vertAlign w:val="superscript"/>
        </w:rPr>
        <w:footnoteReference w:id="89"/>
      </w:r>
      <w:r w:rsidRPr="00E47EFA">
        <w:rPr>
          <w:rFonts w:eastAsia="Calibri"/>
          <w:sz w:val="20"/>
          <w:szCs w:val="20"/>
        </w:rPr>
        <w:t>.</w:t>
      </w:r>
    </w:p>
    <w:p w14:paraId="23C17771"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500FE46B" w14:textId="5AC3D68C"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Los días 5 de abril de, 27 de junio de  y 5 de septiembre de 2006 la representación de la doctora María Carolina Chacón Fernández presentó solicitudes de sobreseimiento de la causa</w:t>
      </w:r>
      <w:r>
        <w:rPr>
          <w:rFonts w:eastAsia="Calibri"/>
          <w:sz w:val="20"/>
          <w:szCs w:val="20"/>
        </w:rPr>
        <w:t xml:space="preserve"> seguida en su contra ante el Primer Juzgado Civil por la muerte del señor Vinicio Poblete Vilches</w:t>
      </w:r>
      <w:r>
        <w:rPr>
          <w:rStyle w:val="FootnoteReference"/>
          <w:rFonts w:eastAsia="Calibri"/>
          <w:sz w:val="20"/>
          <w:szCs w:val="20"/>
        </w:rPr>
        <w:footnoteReference w:id="90"/>
      </w:r>
      <w:r w:rsidRPr="00E47EFA">
        <w:rPr>
          <w:rFonts w:eastAsia="Calibri"/>
          <w:sz w:val="20"/>
          <w:szCs w:val="20"/>
        </w:rPr>
        <w:t>, las cuales fueron denegadas</w:t>
      </w:r>
      <w:r w:rsidRPr="00E47EFA">
        <w:rPr>
          <w:rFonts w:eastAsia="Calibri"/>
          <w:sz w:val="20"/>
          <w:szCs w:val="20"/>
          <w:vertAlign w:val="superscript"/>
        </w:rPr>
        <w:footnoteReference w:id="91"/>
      </w:r>
      <w:r w:rsidRPr="00E47EFA">
        <w:rPr>
          <w:rFonts w:eastAsia="Calibri"/>
          <w:sz w:val="20"/>
          <w:szCs w:val="20"/>
        </w:rPr>
        <w:t>. El 21 de noviembre de 2006</w:t>
      </w:r>
      <w:r>
        <w:rPr>
          <w:rFonts w:eastAsia="Calibri"/>
          <w:sz w:val="20"/>
          <w:szCs w:val="20"/>
        </w:rPr>
        <w:t>,</w:t>
      </w:r>
      <w:r w:rsidRPr="00E47EFA">
        <w:rPr>
          <w:rFonts w:eastAsia="Calibri"/>
          <w:sz w:val="20"/>
          <w:szCs w:val="20"/>
        </w:rPr>
        <w:t xml:space="preserve"> la representación de la doctora María Carolina Chacón </w:t>
      </w:r>
      <w:proofErr w:type="spellStart"/>
      <w:r w:rsidRPr="00E47EFA">
        <w:rPr>
          <w:rFonts w:eastAsia="Calibri"/>
          <w:sz w:val="20"/>
          <w:szCs w:val="20"/>
        </w:rPr>
        <w:t>Fern</w:t>
      </w:r>
      <w:r w:rsidRPr="00C64243">
        <w:rPr>
          <w:rFonts w:eastAsia="Calibri" w:cs="Arial"/>
          <w:sz w:val="20"/>
          <w:szCs w:val="20"/>
          <w:lang w:val="es-MX" w:eastAsia="ko-KR"/>
        </w:rPr>
        <w:t>ández</w:t>
      </w:r>
      <w:proofErr w:type="spellEnd"/>
      <w:r w:rsidRPr="00C64243">
        <w:rPr>
          <w:rFonts w:eastAsia="Calibri" w:cs="Arial"/>
          <w:sz w:val="20"/>
          <w:szCs w:val="20"/>
          <w:lang w:val="es-MX" w:eastAsia="ko-KR"/>
        </w:rPr>
        <w:t xml:space="preserve"> </w:t>
      </w:r>
      <w:r w:rsidRPr="00E47EFA">
        <w:rPr>
          <w:rFonts w:eastAsia="Calibri"/>
          <w:sz w:val="20"/>
          <w:szCs w:val="20"/>
        </w:rPr>
        <w:t xml:space="preserve">nuevamente solicitó el sobreseimiento de </w:t>
      </w:r>
      <w:r>
        <w:rPr>
          <w:rFonts w:eastAsia="Calibri"/>
          <w:sz w:val="20"/>
          <w:szCs w:val="20"/>
        </w:rPr>
        <w:t>dicha</w:t>
      </w:r>
      <w:r w:rsidRPr="00E47EFA">
        <w:rPr>
          <w:rFonts w:eastAsia="Calibri"/>
          <w:sz w:val="20"/>
          <w:szCs w:val="20"/>
        </w:rPr>
        <w:t xml:space="preserve"> causa. Al respecto, el 22 de noviembre de 2006</w:t>
      </w:r>
      <w:r w:rsidR="00A83894">
        <w:rPr>
          <w:rFonts w:eastAsia="Calibri"/>
          <w:sz w:val="20"/>
          <w:szCs w:val="20"/>
        </w:rPr>
        <w:t>,</w:t>
      </w:r>
      <w:r w:rsidRPr="00E47EFA">
        <w:rPr>
          <w:rFonts w:eastAsia="Calibri"/>
          <w:sz w:val="20"/>
          <w:szCs w:val="20"/>
        </w:rPr>
        <w:t xml:space="preserve"> el Primer Juzgado Civil de Puente Alto </w:t>
      </w:r>
      <w:r>
        <w:rPr>
          <w:rFonts w:eastAsia="Calibri"/>
          <w:sz w:val="20"/>
          <w:szCs w:val="20"/>
        </w:rPr>
        <w:t xml:space="preserve">finalmente </w:t>
      </w:r>
      <w:r w:rsidRPr="00E47EFA">
        <w:rPr>
          <w:rFonts w:eastAsia="Calibri"/>
          <w:sz w:val="20"/>
          <w:szCs w:val="20"/>
        </w:rPr>
        <w:t>declaró cerrado el sumario</w:t>
      </w:r>
      <w:r>
        <w:rPr>
          <w:rFonts w:eastAsia="Calibri"/>
          <w:sz w:val="20"/>
          <w:szCs w:val="20"/>
        </w:rPr>
        <w:t xml:space="preserve"> de referencia</w:t>
      </w:r>
      <w:r w:rsidRPr="00E47EFA">
        <w:rPr>
          <w:rFonts w:eastAsia="Calibri"/>
          <w:sz w:val="20"/>
          <w:szCs w:val="20"/>
          <w:vertAlign w:val="superscript"/>
        </w:rPr>
        <w:footnoteReference w:id="92"/>
      </w:r>
      <w:r w:rsidRPr="00E47EFA">
        <w:rPr>
          <w:rFonts w:eastAsia="Calibri"/>
          <w:sz w:val="20"/>
          <w:szCs w:val="20"/>
        </w:rPr>
        <w:t xml:space="preserve">. </w:t>
      </w:r>
    </w:p>
    <w:p w14:paraId="0CBAC9D2"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74DD34CF" w14:textId="213AA949"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1B0482">
        <w:rPr>
          <w:rFonts w:eastAsia="Calibri"/>
          <w:sz w:val="20"/>
          <w:szCs w:val="20"/>
        </w:rPr>
        <w:t xml:space="preserve">El 7 de diciembre del 2006, la representación de la doctora Chacón Fernández </w:t>
      </w:r>
      <w:r>
        <w:rPr>
          <w:rFonts w:eastAsia="Calibri"/>
          <w:sz w:val="20"/>
          <w:szCs w:val="20"/>
        </w:rPr>
        <w:t xml:space="preserve">solicitó al </w:t>
      </w:r>
      <w:r w:rsidRPr="001B0482">
        <w:rPr>
          <w:rFonts w:eastAsia="Calibri"/>
          <w:sz w:val="20"/>
          <w:szCs w:val="20"/>
        </w:rPr>
        <w:t xml:space="preserve"> Primer Juzgado Civil de Puente Alto</w:t>
      </w:r>
      <w:r>
        <w:rPr>
          <w:rFonts w:eastAsia="Calibri"/>
          <w:sz w:val="20"/>
          <w:szCs w:val="20"/>
        </w:rPr>
        <w:t xml:space="preserve"> </w:t>
      </w:r>
      <w:r w:rsidR="00A83894">
        <w:rPr>
          <w:rFonts w:eastAsia="Calibri"/>
          <w:sz w:val="20"/>
          <w:szCs w:val="20"/>
        </w:rPr>
        <w:t xml:space="preserve">que </w:t>
      </w:r>
      <w:r w:rsidRPr="001B0482">
        <w:rPr>
          <w:rFonts w:eastAsia="Calibri"/>
          <w:sz w:val="20"/>
          <w:szCs w:val="20"/>
        </w:rPr>
        <w:t>dictara acusación fiscal o sobreseimiento temporal o definitivo en su contra por el cuasidelito de homicidio</w:t>
      </w:r>
      <w:r w:rsidRPr="001B0482">
        <w:rPr>
          <w:rFonts w:eastAsia="Calibri"/>
          <w:sz w:val="20"/>
          <w:szCs w:val="20"/>
          <w:vertAlign w:val="superscript"/>
        </w:rPr>
        <w:footnoteReference w:id="93"/>
      </w:r>
      <w:r w:rsidRPr="001B0482">
        <w:rPr>
          <w:rFonts w:eastAsia="Calibri"/>
          <w:sz w:val="20"/>
          <w:szCs w:val="20"/>
        </w:rPr>
        <w:t>. En atención</w:t>
      </w:r>
      <w:r>
        <w:rPr>
          <w:rFonts w:eastAsia="Calibri"/>
          <w:sz w:val="20"/>
          <w:szCs w:val="20"/>
        </w:rPr>
        <w:t xml:space="preserve"> a ello, </w:t>
      </w:r>
      <w:r w:rsidRPr="00E47EFA">
        <w:rPr>
          <w:rFonts w:eastAsia="Calibri"/>
          <w:sz w:val="20"/>
          <w:szCs w:val="20"/>
        </w:rPr>
        <w:t xml:space="preserve">el 11 de diciembre del 2006 el Primer Juzgado resolvió que “no se </w:t>
      </w:r>
      <w:proofErr w:type="spellStart"/>
      <w:proofErr w:type="gramStart"/>
      <w:r w:rsidRPr="00E47EFA">
        <w:rPr>
          <w:rFonts w:eastAsia="Calibri"/>
          <w:sz w:val="20"/>
          <w:szCs w:val="20"/>
        </w:rPr>
        <w:t>enc</w:t>
      </w:r>
      <w:proofErr w:type="spellEnd"/>
      <w:r w:rsidRPr="00E47EFA">
        <w:rPr>
          <w:rFonts w:eastAsia="Calibri"/>
          <w:sz w:val="20"/>
          <w:szCs w:val="20"/>
        </w:rPr>
        <w:t>[</w:t>
      </w:r>
      <w:proofErr w:type="spellStart"/>
      <w:proofErr w:type="gramEnd"/>
      <w:r w:rsidRPr="00E47EFA">
        <w:rPr>
          <w:rFonts w:eastAsia="Calibri"/>
          <w:sz w:val="20"/>
          <w:szCs w:val="20"/>
        </w:rPr>
        <w:t>ontraba</w:t>
      </w:r>
      <w:proofErr w:type="spellEnd"/>
      <w:r w:rsidRPr="00E47EFA">
        <w:rPr>
          <w:rFonts w:eastAsia="Calibri"/>
          <w:sz w:val="20"/>
          <w:szCs w:val="20"/>
        </w:rPr>
        <w:t xml:space="preserve">] suficientemente justificado en autos la existencia del delito denunciado” y declaró que “se </w:t>
      </w:r>
      <w:proofErr w:type="spellStart"/>
      <w:r w:rsidRPr="00E47EFA">
        <w:rPr>
          <w:rFonts w:eastAsia="Calibri"/>
          <w:sz w:val="20"/>
          <w:szCs w:val="20"/>
        </w:rPr>
        <w:t>sobrese</w:t>
      </w:r>
      <w:proofErr w:type="spellEnd"/>
      <w:r w:rsidRPr="00E47EFA">
        <w:rPr>
          <w:rFonts w:eastAsia="Calibri"/>
          <w:sz w:val="20"/>
          <w:szCs w:val="20"/>
        </w:rPr>
        <w:t>[</w:t>
      </w:r>
      <w:proofErr w:type="spellStart"/>
      <w:r w:rsidRPr="00E47EFA">
        <w:rPr>
          <w:rFonts w:eastAsia="Calibri"/>
          <w:sz w:val="20"/>
          <w:szCs w:val="20"/>
        </w:rPr>
        <w:t>ía</w:t>
      </w:r>
      <w:proofErr w:type="spellEnd"/>
      <w:r w:rsidRPr="00E47EFA">
        <w:rPr>
          <w:rFonts w:eastAsia="Calibri"/>
          <w:sz w:val="20"/>
          <w:szCs w:val="20"/>
        </w:rPr>
        <w:t xml:space="preserve">] </w:t>
      </w:r>
      <w:r w:rsidR="00A83894">
        <w:rPr>
          <w:rFonts w:eastAsia="Calibri"/>
          <w:sz w:val="20"/>
          <w:szCs w:val="20"/>
        </w:rPr>
        <w:t>temporalmente</w:t>
      </w:r>
      <w:r w:rsidRPr="00E47EFA">
        <w:rPr>
          <w:rFonts w:eastAsia="Calibri"/>
          <w:sz w:val="20"/>
          <w:szCs w:val="20"/>
        </w:rPr>
        <w:t xml:space="preserve"> [</w:t>
      </w:r>
      <w:r>
        <w:rPr>
          <w:rFonts w:eastAsia="Calibri"/>
          <w:sz w:val="20"/>
          <w:szCs w:val="20"/>
        </w:rPr>
        <w:t>dicha</w:t>
      </w:r>
      <w:r w:rsidRPr="00E47EFA">
        <w:rPr>
          <w:rFonts w:eastAsia="Calibri"/>
          <w:sz w:val="20"/>
          <w:szCs w:val="20"/>
        </w:rPr>
        <w:t>] causa, hasta que se re[unieran] nuevos y mejores datos de investigación”</w:t>
      </w:r>
      <w:r w:rsidRPr="00E47EFA">
        <w:rPr>
          <w:rFonts w:eastAsia="Calibri"/>
          <w:sz w:val="20"/>
          <w:szCs w:val="20"/>
          <w:vertAlign w:val="superscript"/>
        </w:rPr>
        <w:footnoteReference w:id="94"/>
      </w:r>
      <w:r w:rsidRPr="00E47EFA">
        <w:rPr>
          <w:rFonts w:eastAsia="Calibri"/>
          <w:sz w:val="20"/>
          <w:szCs w:val="20"/>
        </w:rPr>
        <w:t xml:space="preserve">. </w:t>
      </w:r>
    </w:p>
    <w:p w14:paraId="653FD9E4"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5D96E0DC" w14:textId="0038F631"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29 de enero de 2007</w:t>
      </w:r>
      <w:r w:rsidR="00A83894">
        <w:rPr>
          <w:rFonts w:eastAsia="Calibri"/>
          <w:sz w:val="20"/>
          <w:szCs w:val="20"/>
        </w:rPr>
        <w:t>,</w:t>
      </w:r>
      <w:r w:rsidRPr="00E47EFA">
        <w:rPr>
          <w:rFonts w:eastAsia="Calibri"/>
          <w:sz w:val="20"/>
          <w:szCs w:val="20"/>
        </w:rPr>
        <w:t xml:space="preserve"> la representación del señor Poblete Tapia solicitó la reapertura del sumario, argumentado que “[l]a investigación instruida en su oportunidad […] </w:t>
      </w:r>
      <w:proofErr w:type="spellStart"/>
      <w:r w:rsidRPr="00E47EFA">
        <w:rPr>
          <w:rFonts w:eastAsia="Calibri"/>
          <w:sz w:val="20"/>
          <w:szCs w:val="20"/>
        </w:rPr>
        <w:t>carec</w:t>
      </w:r>
      <w:proofErr w:type="spellEnd"/>
      <w:r w:rsidRPr="00E47EFA">
        <w:rPr>
          <w:rFonts w:eastAsia="Calibri"/>
          <w:sz w:val="20"/>
          <w:szCs w:val="20"/>
        </w:rPr>
        <w:t>[</w:t>
      </w:r>
      <w:proofErr w:type="spellStart"/>
      <w:r w:rsidRPr="00E47EFA">
        <w:rPr>
          <w:rFonts w:eastAsia="Calibri"/>
          <w:sz w:val="20"/>
          <w:szCs w:val="20"/>
        </w:rPr>
        <w:t>ía</w:t>
      </w:r>
      <w:proofErr w:type="spellEnd"/>
      <w:r w:rsidRPr="00E47EFA">
        <w:rPr>
          <w:rFonts w:eastAsia="Calibri"/>
          <w:sz w:val="20"/>
          <w:szCs w:val="20"/>
        </w:rPr>
        <w:t>] de importantes antecedentes relacionados directamente con la causa, los cuales no ha[</w:t>
      </w:r>
      <w:proofErr w:type="spellStart"/>
      <w:r w:rsidRPr="00E47EFA">
        <w:rPr>
          <w:rFonts w:eastAsia="Calibri"/>
          <w:sz w:val="20"/>
          <w:szCs w:val="20"/>
        </w:rPr>
        <w:t>bían</w:t>
      </w:r>
      <w:proofErr w:type="spellEnd"/>
      <w:r w:rsidRPr="00E47EFA">
        <w:rPr>
          <w:rFonts w:eastAsia="Calibri"/>
          <w:sz w:val="20"/>
          <w:szCs w:val="20"/>
        </w:rPr>
        <w:t>] sido tomados en consideración al no haber sido realizados por el tribunal, pese a haberse solicitado en su oportunidad durante el sumario” y nuevamente solicitó diligencias adicionales entre las cuales estaba la exhumación del cadáver del señor Poblete Vilches</w:t>
      </w:r>
      <w:r w:rsidRPr="00E47EFA">
        <w:rPr>
          <w:rFonts w:eastAsia="Calibri"/>
          <w:sz w:val="20"/>
          <w:szCs w:val="20"/>
          <w:vertAlign w:val="superscript"/>
        </w:rPr>
        <w:t xml:space="preserve"> </w:t>
      </w:r>
      <w:r w:rsidRPr="00E47EFA">
        <w:rPr>
          <w:rFonts w:eastAsia="Calibri"/>
          <w:sz w:val="20"/>
          <w:szCs w:val="20"/>
        </w:rPr>
        <w:t>para así poder clarificar la causa definitiva de su muerte</w:t>
      </w:r>
      <w:r w:rsidRPr="00E47EFA">
        <w:rPr>
          <w:rFonts w:eastAsia="Calibri"/>
          <w:sz w:val="20"/>
          <w:szCs w:val="20"/>
          <w:vertAlign w:val="superscript"/>
        </w:rPr>
        <w:footnoteReference w:id="95"/>
      </w:r>
      <w:r w:rsidRPr="00E47EFA">
        <w:rPr>
          <w:rFonts w:eastAsia="Calibri"/>
          <w:sz w:val="20"/>
          <w:szCs w:val="20"/>
        </w:rPr>
        <w:t>.</w:t>
      </w:r>
    </w:p>
    <w:p w14:paraId="003D3A62"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47F568A4" w14:textId="24495F50"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 xml:space="preserve"> El </w:t>
      </w:r>
      <w:r w:rsidR="00A83894">
        <w:rPr>
          <w:rFonts w:eastAsia="Calibri"/>
          <w:sz w:val="20"/>
          <w:szCs w:val="20"/>
        </w:rPr>
        <w:t>2</w:t>
      </w:r>
      <w:r w:rsidRPr="00E47EFA">
        <w:rPr>
          <w:rFonts w:eastAsia="Calibri"/>
          <w:sz w:val="20"/>
          <w:szCs w:val="20"/>
        </w:rPr>
        <w:t xml:space="preserve">7 de febrero de 2007 el Primer Juzgado Civil desarchivó la causa y el 17 de abril de 2007 </w:t>
      </w:r>
      <w:r>
        <w:rPr>
          <w:rFonts w:eastAsia="Calibri"/>
          <w:sz w:val="20"/>
          <w:szCs w:val="20"/>
        </w:rPr>
        <w:t xml:space="preserve">la misma </w:t>
      </w:r>
      <w:r w:rsidRPr="00E47EFA">
        <w:rPr>
          <w:rFonts w:eastAsia="Calibri"/>
          <w:sz w:val="20"/>
          <w:szCs w:val="20"/>
        </w:rPr>
        <w:t>volvió a estado de sumario</w:t>
      </w:r>
      <w:r w:rsidRPr="00E47EFA">
        <w:rPr>
          <w:rFonts w:eastAsia="Calibri"/>
          <w:sz w:val="20"/>
          <w:szCs w:val="20"/>
          <w:vertAlign w:val="superscript"/>
        </w:rPr>
        <w:footnoteReference w:id="96"/>
      </w:r>
      <w:r w:rsidRPr="00E47EFA">
        <w:rPr>
          <w:rFonts w:eastAsia="Calibri"/>
          <w:sz w:val="20"/>
          <w:szCs w:val="20"/>
        </w:rPr>
        <w:t xml:space="preserve">. </w:t>
      </w:r>
    </w:p>
    <w:p w14:paraId="2CBC2769"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4940A21D" w14:textId="320D9523"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21 de enero de 2008</w:t>
      </w:r>
      <w:r w:rsidR="00A83894">
        <w:rPr>
          <w:rFonts w:eastAsia="Calibri"/>
          <w:sz w:val="20"/>
          <w:szCs w:val="20"/>
        </w:rPr>
        <w:t>,</w:t>
      </w:r>
      <w:r w:rsidRPr="00E47EFA">
        <w:rPr>
          <w:rFonts w:eastAsia="Calibri"/>
          <w:sz w:val="20"/>
          <w:szCs w:val="20"/>
        </w:rPr>
        <w:t xml:space="preserve"> el Primer Juzgado Civil ordenó realizarse “informe de facultades mentales” a </w:t>
      </w:r>
      <w:proofErr w:type="spellStart"/>
      <w:r w:rsidRPr="00E47EFA">
        <w:rPr>
          <w:rFonts w:eastAsia="Calibri"/>
          <w:sz w:val="20"/>
          <w:szCs w:val="20"/>
        </w:rPr>
        <w:t>Cesia</w:t>
      </w:r>
      <w:proofErr w:type="spellEnd"/>
      <w:r w:rsidRPr="00E47EFA">
        <w:rPr>
          <w:rFonts w:eastAsia="Calibri"/>
          <w:sz w:val="20"/>
          <w:szCs w:val="20"/>
        </w:rPr>
        <w:t xml:space="preserve"> Poblete Tapia y a Vinicio Poblete Tapia</w:t>
      </w:r>
      <w:r w:rsidRPr="00E47EFA">
        <w:rPr>
          <w:rFonts w:eastAsia="Calibri"/>
          <w:sz w:val="20"/>
          <w:szCs w:val="20"/>
          <w:vertAlign w:val="superscript"/>
        </w:rPr>
        <w:footnoteReference w:id="97"/>
      </w:r>
      <w:r w:rsidRPr="00E47EFA">
        <w:rPr>
          <w:rFonts w:eastAsia="Calibri"/>
          <w:sz w:val="20"/>
          <w:szCs w:val="20"/>
        </w:rPr>
        <w:t>. Sin embargo, el Servicio Médico Legal comunicó mediante orden de 30 de mayo de 2008 que no se había recibido dicha solicitud</w:t>
      </w:r>
      <w:r w:rsidRPr="00E47EFA">
        <w:rPr>
          <w:rFonts w:eastAsia="Calibri"/>
          <w:sz w:val="20"/>
          <w:szCs w:val="20"/>
          <w:vertAlign w:val="superscript"/>
        </w:rPr>
        <w:footnoteReference w:id="98"/>
      </w:r>
      <w:r w:rsidRPr="00E47EFA">
        <w:rPr>
          <w:rFonts w:eastAsia="Calibri"/>
          <w:sz w:val="20"/>
          <w:szCs w:val="20"/>
        </w:rPr>
        <w:t>.</w:t>
      </w:r>
    </w:p>
    <w:p w14:paraId="4F980A80"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16D7B3C8" w14:textId="3CDA35C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3 de mayo de 2008</w:t>
      </w:r>
      <w:r w:rsidR="00A83894">
        <w:rPr>
          <w:rFonts w:eastAsia="Calibri"/>
          <w:sz w:val="20"/>
          <w:szCs w:val="20"/>
        </w:rPr>
        <w:t>,</w:t>
      </w:r>
      <w:r w:rsidRPr="00E47EFA">
        <w:rPr>
          <w:rFonts w:eastAsia="Calibri"/>
          <w:sz w:val="20"/>
          <w:szCs w:val="20"/>
        </w:rPr>
        <w:t xml:space="preserve"> el expediente</w:t>
      </w:r>
      <w:r>
        <w:rPr>
          <w:rFonts w:eastAsia="Calibri"/>
          <w:sz w:val="20"/>
          <w:szCs w:val="20"/>
        </w:rPr>
        <w:t xml:space="preserve"> sustanciado en el Primer Juzgado Civil</w:t>
      </w:r>
      <w:r w:rsidRPr="00E47EFA">
        <w:rPr>
          <w:rFonts w:eastAsia="Calibri"/>
          <w:sz w:val="20"/>
          <w:szCs w:val="20"/>
        </w:rPr>
        <w:t xml:space="preserve"> ingresó a la cuenta de la Corte de Apelaciones de San Miguel en Santiago, y fue devuelto al Tribunal de primera instancia el 14 de mayo de 2008</w:t>
      </w:r>
      <w:r w:rsidRPr="00E47EFA">
        <w:rPr>
          <w:rFonts w:eastAsia="Calibri"/>
          <w:sz w:val="20"/>
          <w:szCs w:val="20"/>
          <w:vertAlign w:val="superscript"/>
        </w:rPr>
        <w:footnoteReference w:id="99"/>
      </w:r>
      <w:r w:rsidRPr="00E47EFA">
        <w:rPr>
          <w:rFonts w:eastAsia="Calibri"/>
          <w:sz w:val="20"/>
          <w:szCs w:val="20"/>
        </w:rPr>
        <w:t xml:space="preserve">. </w:t>
      </w:r>
    </w:p>
    <w:p w14:paraId="6C18CCFB"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0E7CA469" w14:textId="4AE2FE30"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11 de junio de 2008</w:t>
      </w:r>
      <w:r w:rsidR="00A83894">
        <w:rPr>
          <w:rFonts w:eastAsia="Calibri"/>
          <w:sz w:val="20"/>
          <w:szCs w:val="20"/>
        </w:rPr>
        <w:t>,</w:t>
      </w:r>
      <w:r w:rsidRPr="00E47EFA">
        <w:rPr>
          <w:rFonts w:eastAsia="Calibri"/>
          <w:sz w:val="20"/>
          <w:szCs w:val="20"/>
        </w:rPr>
        <w:t xml:space="preserve"> el Primer Juzgado Civil nuevamente declaró cerrado el sumario</w:t>
      </w:r>
      <w:r w:rsidRPr="00E47EFA">
        <w:rPr>
          <w:rFonts w:eastAsia="Calibri"/>
          <w:sz w:val="20"/>
          <w:szCs w:val="20"/>
          <w:vertAlign w:val="superscript"/>
        </w:rPr>
        <w:footnoteReference w:id="100"/>
      </w:r>
      <w:r w:rsidRPr="00E47EFA">
        <w:rPr>
          <w:rFonts w:eastAsia="Calibri"/>
          <w:sz w:val="20"/>
          <w:szCs w:val="20"/>
        </w:rPr>
        <w:t xml:space="preserve"> y el 30 de junio de 2008 dictó una vez más el sobreseimiento temporal de la causa, </w:t>
      </w:r>
      <w:r w:rsidR="00A83894">
        <w:rPr>
          <w:rFonts w:eastAsia="Calibri"/>
          <w:sz w:val="20"/>
          <w:szCs w:val="20"/>
        </w:rPr>
        <w:t>“</w:t>
      </w:r>
      <w:r w:rsidRPr="00E47EFA">
        <w:rPr>
          <w:rFonts w:eastAsia="Calibri"/>
          <w:sz w:val="20"/>
          <w:szCs w:val="20"/>
        </w:rPr>
        <w:t xml:space="preserve">hasta que se </w:t>
      </w:r>
      <w:proofErr w:type="spellStart"/>
      <w:proofErr w:type="gramStart"/>
      <w:r w:rsidRPr="00E47EFA">
        <w:rPr>
          <w:rFonts w:eastAsia="Calibri"/>
          <w:sz w:val="20"/>
          <w:szCs w:val="20"/>
        </w:rPr>
        <w:t>reun</w:t>
      </w:r>
      <w:proofErr w:type="spellEnd"/>
      <w:r w:rsidRPr="00E47EFA">
        <w:rPr>
          <w:rFonts w:eastAsia="Calibri"/>
          <w:sz w:val="20"/>
          <w:szCs w:val="20"/>
        </w:rPr>
        <w:t>[</w:t>
      </w:r>
      <w:proofErr w:type="spellStart"/>
      <w:proofErr w:type="gramEnd"/>
      <w:r w:rsidRPr="00E47EFA">
        <w:rPr>
          <w:rFonts w:eastAsia="Calibri"/>
          <w:sz w:val="20"/>
          <w:szCs w:val="20"/>
        </w:rPr>
        <w:t>ieran</w:t>
      </w:r>
      <w:proofErr w:type="spellEnd"/>
      <w:r w:rsidRPr="00E47EFA">
        <w:rPr>
          <w:rFonts w:eastAsia="Calibri"/>
          <w:sz w:val="20"/>
          <w:szCs w:val="20"/>
        </w:rPr>
        <w:t>] nuevos y mejores datos de investigación”</w:t>
      </w:r>
      <w:r w:rsidRPr="00E47EFA">
        <w:rPr>
          <w:rFonts w:eastAsia="Calibri"/>
          <w:sz w:val="20"/>
          <w:szCs w:val="20"/>
          <w:vertAlign w:val="superscript"/>
        </w:rPr>
        <w:footnoteReference w:id="101"/>
      </w:r>
      <w:r w:rsidRPr="00E47EFA">
        <w:rPr>
          <w:rFonts w:eastAsia="Calibri"/>
          <w:sz w:val="20"/>
          <w:szCs w:val="20"/>
        </w:rPr>
        <w:t xml:space="preserve">. </w:t>
      </w:r>
    </w:p>
    <w:p w14:paraId="5EBC00EC"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6D7C4116" w14:textId="77777777"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4 de agosto de 2008, en virtud de “nuevos y mejores antecedentes”, la representación de la familia del señor Poblete Vilches solicitó el desarchivo judicial</w:t>
      </w:r>
      <w:r w:rsidRPr="00E47EFA">
        <w:rPr>
          <w:rFonts w:eastAsia="Calibri"/>
          <w:sz w:val="20"/>
          <w:szCs w:val="20"/>
          <w:vertAlign w:val="superscript"/>
        </w:rPr>
        <w:footnoteReference w:id="102"/>
      </w:r>
      <w:r w:rsidRPr="00E47EFA">
        <w:rPr>
          <w:rFonts w:eastAsia="Calibri"/>
          <w:sz w:val="20"/>
          <w:szCs w:val="20"/>
        </w:rPr>
        <w:t>, y el 5 de agosto de 2008 el Primer Juzgado Civil ordenó el desarchivo de la causa</w:t>
      </w:r>
      <w:r w:rsidRPr="00E47EFA">
        <w:rPr>
          <w:rFonts w:eastAsia="Calibri"/>
          <w:sz w:val="20"/>
          <w:szCs w:val="20"/>
          <w:vertAlign w:val="superscript"/>
        </w:rPr>
        <w:footnoteReference w:id="103"/>
      </w:r>
      <w:r w:rsidRPr="00E47EFA">
        <w:rPr>
          <w:rFonts w:eastAsia="Calibri"/>
          <w:sz w:val="20"/>
          <w:szCs w:val="20"/>
        </w:rPr>
        <w:t xml:space="preserve">. </w:t>
      </w:r>
    </w:p>
    <w:p w14:paraId="52D9E3A6"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0BFF3E7C" w14:textId="013E5999"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El 28 de agosto de 2008</w:t>
      </w:r>
      <w:r w:rsidR="0086435F">
        <w:rPr>
          <w:rFonts w:eastAsia="Calibri"/>
          <w:sz w:val="20"/>
          <w:szCs w:val="20"/>
        </w:rPr>
        <w:t>,</w:t>
      </w:r>
      <w:r w:rsidRPr="00E47EFA">
        <w:rPr>
          <w:rFonts w:eastAsia="Calibri"/>
          <w:sz w:val="20"/>
          <w:szCs w:val="20"/>
        </w:rPr>
        <w:t xml:space="preserve"> la Corte Suprema de Justicia solicitó al Primer Juzgado Civil </w:t>
      </w:r>
      <w:r w:rsidR="0086435F">
        <w:rPr>
          <w:rFonts w:eastAsia="Calibri"/>
          <w:sz w:val="20"/>
          <w:szCs w:val="20"/>
        </w:rPr>
        <w:t xml:space="preserve">que </w:t>
      </w:r>
      <w:r w:rsidRPr="00E47EFA">
        <w:rPr>
          <w:rFonts w:eastAsia="Calibri"/>
          <w:sz w:val="20"/>
          <w:szCs w:val="20"/>
        </w:rPr>
        <w:t xml:space="preserve">remitiera copia de la causa </w:t>
      </w:r>
      <w:r w:rsidR="0086435F">
        <w:rPr>
          <w:rFonts w:eastAsia="Calibri"/>
          <w:sz w:val="20"/>
          <w:szCs w:val="20"/>
        </w:rPr>
        <w:t>No.</w:t>
      </w:r>
      <w:r w:rsidR="0086435F" w:rsidRPr="00E47EFA">
        <w:rPr>
          <w:rFonts w:eastAsia="Calibri"/>
          <w:sz w:val="20"/>
          <w:szCs w:val="20"/>
        </w:rPr>
        <w:t xml:space="preserve"> </w:t>
      </w:r>
      <w:r w:rsidRPr="00E47EFA">
        <w:rPr>
          <w:rFonts w:eastAsia="Calibri"/>
          <w:sz w:val="20"/>
          <w:szCs w:val="20"/>
        </w:rPr>
        <w:t>75.821 por el delito de homicidio en contra de María Chacón Fernández y otros</w:t>
      </w:r>
      <w:r w:rsidRPr="00E47EFA">
        <w:rPr>
          <w:rFonts w:eastAsia="Calibri"/>
          <w:sz w:val="20"/>
          <w:szCs w:val="20"/>
          <w:vertAlign w:val="superscript"/>
        </w:rPr>
        <w:footnoteReference w:id="104"/>
      </w:r>
      <w:r w:rsidRPr="00E47EFA">
        <w:rPr>
          <w:rFonts w:eastAsia="Calibri"/>
          <w:sz w:val="20"/>
          <w:szCs w:val="20"/>
        </w:rPr>
        <w:t>, la cual fue remitida a la Corte Suprema de Justicia el 9 de septiembre de 2008</w:t>
      </w:r>
      <w:r w:rsidRPr="00E47EFA">
        <w:rPr>
          <w:rFonts w:eastAsia="Calibri"/>
          <w:sz w:val="20"/>
          <w:szCs w:val="20"/>
          <w:vertAlign w:val="superscript"/>
        </w:rPr>
        <w:footnoteReference w:id="105"/>
      </w:r>
      <w:r w:rsidRPr="00E47EFA">
        <w:rPr>
          <w:rFonts w:eastAsia="Calibri"/>
          <w:sz w:val="20"/>
          <w:szCs w:val="20"/>
        </w:rPr>
        <w:t>.</w:t>
      </w:r>
    </w:p>
    <w:p w14:paraId="5A0CD318"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390B1477" w14:textId="6F610842" w:rsidR="00E22B60" w:rsidRPr="00E47EFA" w:rsidRDefault="00E22B60" w:rsidP="00E22B60">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 xml:space="preserve">El señor Vinicio Poblete Tapia presentó varias solicitudes ante la Presidencia de la Corte Suprema de Justicia entre el 2008 y el 2015, con </w:t>
      </w:r>
      <w:r w:rsidR="0086435F">
        <w:rPr>
          <w:rFonts w:eastAsia="Calibri"/>
          <w:sz w:val="20"/>
          <w:szCs w:val="20"/>
        </w:rPr>
        <w:t>la</w:t>
      </w:r>
      <w:r w:rsidRPr="00E47EFA">
        <w:rPr>
          <w:rFonts w:eastAsia="Calibri"/>
          <w:sz w:val="20"/>
          <w:szCs w:val="20"/>
        </w:rPr>
        <w:t xml:space="preserve"> finalidad de que ésta interviniera en la investigación sustanciada ante el Primer Juzgado Civil. El Presidente de la Corte Suprema de Justicia rechazó todas las solicitudes</w:t>
      </w:r>
      <w:r w:rsidRPr="00E47EFA">
        <w:rPr>
          <w:rFonts w:eastAsia="Calibri"/>
          <w:sz w:val="20"/>
          <w:szCs w:val="20"/>
          <w:vertAlign w:val="superscript"/>
        </w:rPr>
        <w:footnoteReference w:id="106"/>
      </w:r>
      <w:r w:rsidRPr="00E47EFA">
        <w:rPr>
          <w:rFonts w:eastAsia="Calibri"/>
          <w:sz w:val="20"/>
          <w:szCs w:val="20"/>
        </w:rPr>
        <w:t>, declarando reiteradamente que “el Presidente […] no t[</w:t>
      </w:r>
      <w:proofErr w:type="spellStart"/>
      <w:r w:rsidRPr="00E47EFA">
        <w:rPr>
          <w:rFonts w:eastAsia="Calibri"/>
          <w:sz w:val="20"/>
          <w:szCs w:val="20"/>
        </w:rPr>
        <w:t>enía</w:t>
      </w:r>
      <w:proofErr w:type="spellEnd"/>
      <w:r w:rsidRPr="00E47EFA">
        <w:rPr>
          <w:rFonts w:eastAsia="Calibri"/>
          <w:sz w:val="20"/>
          <w:szCs w:val="20"/>
        </w:rPr>
        <w:t>] facultades para intervenir en los procesos que se sustancian ante los demás Tribunales de la República, indicando[</w:t>
      </w:r>
      <w:r w:rsidR="0086435F">
        <w:rPr>
          <w:rFonts w:eastAsia="Calibri"/>
          <w:sz w:val="20"/>
          <w:szCs w:val="20"/>
        </w:rPr>
        <w:t>…</w:t>
      </w:r>
      <w:r w:rsidRPr="00E47EFA">
        <w:rPr>
          <w:rFonts w:eastAsia="Calibri"/>
          <w:sz w:val="20"/>
          <w:szCs w:val="20"/>
        </w:rPr>
        <w:t xml:space="preserve">] que la interposición de recursos procesales […] constituye la vía idónea para reclamar frente a resoluciones judiciales cuyo contenido las partes estiman desfavorables a sus intereses” y que “el Presidente […] </w:t>
      </w:r>
      <w:proofErr w:type="spellStart"/>
      <w:r w:rsidRPr="00E47EFA">
        <w:rPr>
          <w:rFonts w:eastAsia="Calibri"/>
          <w:sz w:val="20"/>
          <w:szCs w:val="20"/>
        </w:rPr>
        <w:t>carec</w:t>
      </w:r>
      <w:proofErr w:type="spellEnd"/>
      <w:r w:rsidRPr="00E47EFA">
        <w:rPr>
          <w:rFonts w:eastAsia="Calibri"/>
          <w:sz w:val="20"/>
          <w:szCs w:val="20"/>
        </w:rPr>
        <w:t>[</w:t>
      </w:r>
      <w:proofErr w:type="spellStart"/>
      <w:r w:rsidRPr="00E47EFA">
        <w:rPr>
          <w:rFonts w:eastAsia="Calibri"/>
          <w:sz w:val="20"/>
          <w:szCs w:val="20"/>
        </w:rPr>
        <w:t>ía</w:t>
      </w:r>
      <w:proofErr w:type="spellEnd"/>
      <w:r w:rsidRPr="00E47EFA">
        <w:rPr>
          <w:rFonts w:eastAsia="Calibri"/>
          <w:sz w:val="20"/>
          <w:szCs w:val="20"/>
        </w:rPr>
        <w:t>] de atribuciones legales para conocer del asunto […] toda vez que no p[</w:t>
      </w:r>
      <w:proofErr w:type="spellStart"/>
      <w:r w:rsidRPr="00E47EFA">
        <w:rPr>
          <w:rFonts w:eastAsia="Calibri"/>
          <w:sz w:val="20"/>
          <w:szCs w:val="20"/>
        </w:rPr>
        <w:t>odía</w:t>
      </w:r>
      <w:proofErr w:type="spellEnd"/>
      <w:r w:rsidRPr="00E47EFA">
        <w:rPr>
          <w:rFonts w:eastAsia="Calibri"/>
          <w:sz w:val="20"/>
          <w:szCs w:val="20"/>
        </w:rPr>
        <w:t>] intervenir en asuntos judiciales terminados”. El 8 de enero de 2015, el Presidente de la Corte Suprema de Justicia declaró que “</w:t>
      </w:r>
      <w:proofErr w:type="spellStart"/>
      <w:proofErr w:type="gramStart"/>
      <w:r w:rsidRPr="00E47EFA">
        <w:rPr>
          <w:rFonts w:eastAsia="Calibri"/>
          <w:sz w:val="20"/>
          <w:szCs w:val="20"/>
        </w:rPr>
        <w:t>carec</w:t>
      </w:r>
      <w:proofErr w:type="spellEnd"/>
      <w:r w:rsidRPr="00E47EFA">
        <w:rPr>
          <w:rFonts w:eastAsia="Calibri"/>
          <w:sz w:val="20"/>
          <w:szCs w:val="20"/>
        </w:rPr>
        <w:t>[</w:t>
      </w:r>
      <w:proofErr w:type="spellStart"/>
      <w:proofErr w:type="gramEnd"/>
      <w:r w:rsidRPr="00E47EFA">
        <w:rPr>
          <w:rFonts w:eastAsia="Calibri"/>
          <w:sz w:val="20"/>
          <w:szCs w:val="20"/>
        </w:rPr>
        <w:t>ía</w:t>
      </w:r>
      <w:proofErr w:type="spellEnd"/>
      <w:r w:rsidRPr="00E47EFA">
        <w:rPr>
          <w:rFonts w:eastAsia="Calibri"/>
          <w:sz w:val="20"/>
          <w:szCs w:val="20"/>
        </w:rPr>
        <w:t>] de atribuciones legales para conocer en el asunto al que alud[</w:t>
      </w:r>
      <w:proofErr w:type="spellStart"/>
      <w:r w:rsidRPr="00E47EFA">
        <w:rPr>
          <w:rFonts w:eastAsia="Calibri"/>
          <w:sz w:val="20"/>
          <w:szCs w:val="20"/>
        </w:rPr>
        <w:t>ía</w:t>
      </w:r>
      <w:proofErr w:type="spellEnd"/>
      <w:r w:rsidRPr="00E47EFA">
        <w:rPr>
          <w:rFonts w:eastAsia="Calibri"/>
          <w:sz w:val="20"/>
          <w:szCs w:val="20"/>
        </w:rPr>
        <w:t>], toda vez que las alegaciones que realiza[</w:t>
      </w:r>
      <w:proofErr w:type="spellStart"/>
      <w:r w:rsidRPr="00E47EFA">
        <w:rPr>
          <w:rFonts w:eastAsia="Calibri"/>
          <w:sz w:val="20"/>
          <w:szCs w:val="20"/>
        </w:rPr>
        <w:t>ba</w:t>
      </w:r>
      <w:proofErr w:type="spellEnd"/>
      <w:r w:rsidRPr="00E47EFA">
        <w:rPr>
          <w:rFonts w:eastAsia="Calibri"/>
          <w:sz w:val="20"/>
          <w:szCs w:val="20"/>
        </w:rPr>
        <w:t>] ya ha[</w:t>
      </w:r>
      <w:proofErr w:type="spellStart"/>
      <w:r w:rsidRPr="00E47EFA">
        <w:rPr>
          <w:rFonts w:eastAsia="Calibri"/>
          <w:sz w:val="20"/>
          <w:szCs w:val="20"/>
        </w:rPr>
        <w:t>bían</w:t>
      </w:r>
      <w:proofErr w:type="spellEnd"/>
      <w:r w:rsidRPr="00E47EFA">
        <w:rPr>
          <w:rFonts w:eastAsia="Calibri"/>
          <w:sz w:val="20"/>
          <w:szCs w:val="20"/>
        </w:rPr>
        <w:t xml:space="preserve">] sido conocidas y resueltas por tribunal competente, específicamente por [la] Corte [Suprema de Justicia] con fecha </w:t>
      </w:r>
      <w:r w:rsidRPr="002A64C9">
        <w:rPr>
          <w:rFonts w:eastAsia="Calibri"/>
          <w:sz w:val="20"/>
          <w:szCs w:val="20"/>
        </w:rPr>
        <w:t>14 de agosto de 2014</w:t>
      </w:r>
      <w:r w:rsidRPr="00E47EFA">
        <w:rPr>
          <w:rFonts w:eastAsia="Calibri"/>
          <w:sz w:val="20"/>
          <w:szCs w:val="20"/>
        </w:rPr>
        <w:t>, no pudiendo modificarse lo allí ordenado”</w:t>
      </w:r>
      <w:r w:rsidRPr="00E47EFA">
        <w:rPr>
          <w:rFonts w:eastAsia="Calibri"/>
          <w:sz w:val="20"/>
          <w:szCs w:val="20"/>
          <w:vertAlign w:val="superscript"/>
        </w:rPr>
        <w:footnoteReference w:id="107"/>
      </w:r>
      <w:r w:rsidRPr="00E47EFA">
        <w:rPr>
          <w:rFonts w:eastAsia="Calibri"/>
          <w:sz w:val="20"/>
          <w:szCs w:val="20"/>
        </w:rPr>
        <w:t>.</w:t>
      </w:r>
    </w:p>
    <w:p w14:paraId="791CDD69" w14:textId="77777777" w:rsidR="00E22B60" w:rsidRPr="00E47EFA" w:rsidRDefault="00E22B60" w:rsidP="00E22B60">
      <w:pPr>
        <w:tabs>
          <w:tab w:val="left" w:pos="630"/>
          <w:tab w:val="left" w:pos="810"/>
          <w:tab w:val="left" w:pos="1530"/>
          <w:tab w:val="left" w:pos="1620"/>
        </w:tabs>
        <w:ind w:right="-360"/>
        <w:contextualSpacing/>
        <w:rPr>
          <w:rFonts w:eastAsia="Calibri"/>
          <w:b/>
          <w:sz w:val="20"/>
          <w:szCs w:val="20"/>
        </w:rPr>
      </w:pPr>
    </w:p>
    <w:p w14:paraId="63671096" w14:textId="77777777" w:rsidR="00E22B60" w:rsidRPr="00E47EFA" w:rsidRDefault="00E22B60" w:rsidP="00E22B60">
      <w:pPr>
        <w:tabs>
          <w:tab w:val="left" w:pos="567"/>
          <w:tab w:val="left" w:pos="630"/>
          <w:tab w:val="left" w:pos="810"/>
          <w:tab w:val="left" w:pos="1530"/>
          <w:tab w:val="left" w:pos="1620"/>
        </w:tabs>
        <w:autoSpaceDE w:val="0"/>
        <w:autoSpaceDN w:val="0"/>
        <w:ind w:left="1440" w:right="-360"/>
        <w:contextualSpacing/>
        <w:outlineLvl w:val="2"/>
        <w:rPr>
          <w:rFonts w:eastAsia="Calibri"/>
          <w:b/>
          <w:i/>
          <w:spacing w:val="-2"/>
          <w:sz w:val="20"/>
          <w:szCs w:val="20"/>
          <w:lang w:val="es-ES" w:eastAsia="x-none"/>
        </w:rPr>
      </w:pPr>
      <w:r w:rsidRPr="00E47EFA">
        <w:rPr>
          <w:rFonts w:eastAsia="Calibri"/>
          <w:b/>
          <w:i/>
          <w:spacing w:val="-2"/>
          <w:sz w:val="20"/>
          <w:szCs w:val="20"/>
          <w:lang w:val="es-ES" w:eastAsia="x-none"/>
        </w:rPr>
        <w:t>2. Otros procedimientos</w:t>
      </w:r>
    </w:p>
    <w:p w14:paraId="03F425AF"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48566039" w14:textId="77777777" w:rsidR="00E22B60" w:rsidRPr="00E47EFA" w:rsidRDefault="00E22B60" w:rsidP="00E22B60">
      <w:pPr>
        <w:tabs>
          <w:tab w:val="left" w:pos="630"/>
          <w:tab w:val="left" w:pos="810"/>
          <w:tab w:val="left" w:pos="1530"/>
          <w:tab w:val="left" w:pos="1620"/>
        </w:tabs>
        <w:ind w:left="720" w:right="-360" w:firstLine="720"/>
        <w:rPr>
          <w:rFonts w:eastAsia="Calibri"/>
          <w:i/>
          <w:sz w:val="20"/>
          <w:szCs w:val="20"/>
        </w:rPr>
      </w:pPr>
      <w:r w:rsidRPr="00E47EFA">
        <w:rPr>
          <w:rFonts w:eastAsia="Calibri"/>
          <w:i/>
          <w:sz w:val="20"/>
          <w:szCs w:val="20"/>
        </w:rPr>
        <w:t>2.1 Mediación</w:t>
      </w:r>
    </w:p>
    <w:p w14:paraId="34B646A5"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4FC0FCE9" w14:textId="2944B27D" w:rsidR="00E22B60" w:rsidRPr="00E47EFA" w:rsidRDefault="00E22B60" w:rsidP="006B458C">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sz w:val="20"/>
          <w:szCs w:val="20"/>
        </w:rPr>
      </w:pPr>
      <w:r w:rsidRPr="00E47EFA">
        <w:rPr>
          <w:rFonts w:eastAsia="Calibri"/>
          <w:sz w:val="20"/>
          <w:szCs w:val="20"/>
        </w:rPr>
        <w:t>El 13 de enero de 2006</w:t>
      </w:r>
      <w:r w:rsidR="0086435F">
        <w:rPr>
          <w:rFonts w:eastAsia="Calibri"/>
          <w:sz w:val="20"/>
          <w:szCs w:val="20"/>
        </w:rPr>
        <w:t>,</w:t>
      </w:r>
      <w:r w:rsidRPr="00E47EFA">
        <w:rPr>
          <w:rFonts w:eastAsia="Calibri"/>
          <w:sz w:val="20"/>
          <w:szCs w:val="20"/>
        </w:rPr>
        <w:t xml:space="preserve"> el señor Vinicio Marco Antonio Poblete Tapia promovió ante el Consejo de Defensa del Estado en la Unidad de Mediación un reclamo en contra del Hospital </w:t>
      </w:r>
      <w:proofErr w:type="spellStart"/>
      <w:r w:rsidRPr="00E47EFA">
        <w:rPr>
          <w:rFonts w:eastAsia="Calibri"/>
          <w:sz w:val="20"/>
          <w:szCs w:val="20"/>
        </w:rPr>
        <w:t>Sótero</w:t>
      </w:r>
      <w:proofErr w:type="spellEnd"/>
      <w:r w:rsidRPr="00E47EFA">
        <w:rPr>
          <w:rFonts w:eastAsia="Calibri"/>
          <w:sz w:val="20"/>
          <w:szCs w:val="20"/>
        </w:rPr>
        <w:t xml:space="preserve"> del Río y sus funcionarios</w:t>
      </w:r>
      <w:r w:rsidRPr="00E47EFA">
        <w:rPr>
          <w:rFonts w:eastAsia="Calibri"/>
          <w:sz w:val="20"/>
          <w:szCs w:val="20"/>
          <w:vertAlign w:val="superscript"/>
        </w:rPr>
        <w:footnoteReference w:id="108"/>
      </w:r>
      <w:r w:rsidRPr="00E47EFA">
        <w:rPr>
          <w:rFonts w:eastAsia="Calibri"/>
          <w:sz w:val="20"/>
          <w:szCs w:val="20"/>
        </w:rPr>
        <w:t xml:space="preserve">. El 4 de abril de 2006 se llevó a cabo la primera audiencia de mediación y comparecieron Vinicio Poblete Tapia, </w:t>
      </w:r>
      <w:proofErr w:type="spellStart"/>
      <w:r w:rsidRPr="00E47EFA">
        <w:rPr>
          <w:rFonts w:eastAsia="Calibri"/>
          <w:sz w:val="20"/>
          <w:szCs w:val="20"/>
        </w:rPr>
        <w:t>Cesia</w:t>
      </w:r>
      <w:proofErr w:type="spellEnd"/>
      <w:r w:rsidRPr="00E47EFA">
        <w:rPr>
          <w:rFonts w:eastAsia="Calibri"/>
          <w:sz w:val="20"/>
          <w:szCs w:val="20"/>
        </w:rPr>
        <w:t xml:space="preserve"> Leila Poblete Tapia y Jorge Fuentes Poblete. En representación del hospital compareció el abogado Hernán Pardo Roche. El señor Poblete Tapia declaró que “[l]a falta de información la </w:t>
      </w:r>
      <w:proofErr w:type="spellStart"/>
      <w:proofErr w:type="gramStart"/>
      <w:r w:rsidRPr="00E47EFA">
        <w:rPr>
          <w:rFonts w:eastAsia="Calibri"/>
          <w:sz w:val="20"/>
          <w:szCs w:val="20"/>
        </w:rPr>
        <w:t>resum</w:t>
      </w:r>
      <w:proofErr w:type="spellEnd"/>
      <w:r w:rsidRPr="00E47EFA">
        <w:rPr>
          <w:rFonts w:eastAsia="Calibri"/>
          <w:sz w:val="20"/>
          <w:szCs w:val="20"/>
        </w:rPr>
        <w:t>[</w:t>
      </w:r>
      <w:proofErr w:type="spellStart"/>
      <w:proofErr w:type="gramEnd"/>
      <w:r w:rsidRPr="00E47EFA">
        <w:rPr>
          <w:rFonts w:eastAsia="Calibri"/>
          <w:sz w:val="20"/>
          <w:szCs w:val="20"/>
        </w:rPr>
        <w:t>ía</w:t>
      </w:r>
      <w:proofErr w:type="spellEnd"/>
      <w:r w:rsidRPr="00E47EFA">
        <w:rPr>
          <w:rFonts w:eastAsia="Calibri"/>
          <w:sz w:val="20"/>
          <w:szCs w:val="20"/>
        </w:rPr>
        <w:t>] en tres hechos que califica[</w:t>
      </w:r>
      <w:proofErr w:type="spellStart"/>
      <w:r w:rsidRPr="00E47EFA">
        <w:rPr>
          <w:rFonts w:eastAsia="Calibri"/>
          <w:sz w:val="20"/>
          <w:szCs w:val="20"/>
        </w:rPr>
        <w:t>ba</w:t>
      </w:r>
      <w:proofErr w:type="spellEnd"/>
      <w:r w:rsidRPr="00E47EFA">
        <w:rPr>
          <w:rFonts w:eastAsia="Calibri"/>
          <w:sz w:val="20"/>
          <w:szCs w:val="20"/>
        </w:rPr>
        <w:t xml:space="preserve">] de graves, a saber: [n]o realización de la punción en la forma señalada; alta en estado grave y negativa a realizar la autopsia”. En este sentido, añadió que “respecto de la Dra. </w:t>
      </w:r>
      <w:proofErr w:type="spellStart"/>
      <w:r w:rsidRPr="00E47EFA">
        <w:rPr>
          <w:rFonts w:eastAsia="Calibri"/>
          <w:sz w:val="20"/>
          <w:szCs w:val="20"/>
        </w:rPr>
        <w:t>Chac</w:t>
      </w:r>
      <w:proofErr w:type="spellEnd"/>
      <w:r w:rsidRPr="00E47EFA">
        <w:rPr>
          <w:rFonts w:eastAsia="Calibri"/>
          <w:sz w:val="20"/>
          <w:szCs w:val="20"/>
        </w:rPr>
        <w:t>[</w:t>
      </w:r>
      <w:proofErr w:type="spellStart"/>
      <w:r w:rsidRPr="00E47EFA">
        <w:rPr>
          <w:rFonts w:eastAsia="Calibri"/>
          <w:sz w:val="20"/>
          <w:szCs w:val="20"/>
        </w:rPr>
        <w:t>ó</w:t>
      </w:r>
      <w:proofErr w:type="spellEnd"/>
      <w:r w:rsidRPr="00E47EFA">
        <w:rPr>
          <w:rFonts w:eastAsia="Calibri"/>
          <w:sz w:val="20"/>
          <w:szCs w:val="20"/>
        </w:rPr>
        <w:t xml:space="preserve">]n […] ésta trató a la familia en forma inadecuada, que </w:t>
      </w:r>
      <w:proofErr w:type="gramStart"/>
      <w:r w:rsidRPr="00E47EFA">
        <w:rPr>
          <w:rFonts w:eastAsia="Calibri"/>
          <w:sz w:val="20"/>
          <w:szCs w:val="20"/>
        </w:rPr>
        <w:t>califica[</w:t>
      </w:r>
      <w:proofErr w:type="spellStart"/>
      <w:proofErr w:type="gramEnd"/>
      <w:r w:rsidRPr="00E47EFA">
        <w:rPr>
          <w:rFonts w:eastAsia="Calibri"/>
          <w:sz w:val="20"/>
          <w:szCs w:val="20"/>
        </w:rPr>
        <w:t>ba</w:t>
      </w:r>
      <w:proofErr w:type="spellEnd"/>
      <w:r w:rsidRPr="00E47EFA">
        <w:rPr>
          <w:rFonts w:eastAsia="Calibri"/>
          <w:sz w:val="20"/>
          <w:szCs w:val="20"/>
        </w:rPr>
        <w:t xml:space="preserve">] de humillante”. Sin embargo, los doctores demandados no comparecieron y, por ende, </w:t>
      </w:r>
      <w:r w:rsidR="0086435F">
        <w:rPr>
          <w:rFonts w:eastAsia="Calibri"/>
          <w:sz w:val="20"/>
          <w:szCs w:val="20"/>
        </w:rPr>
        <w:t>se acordó la realización de una segunda audiencia de mediación</w:t>
      </w:r>
      <w:r w:rsidRPr="00E47EFA">
        <w:rPr>
          <w:rFonts w:eastAsia="Calibri"/>
          <w:sz w:val="20"/>
          <w:szCs w:val="20"/>
          <w:vertAlign w:val="superscript"/>
        </w:rPr>
        <w:footnoteReference w:id="109"/>
      </w:r>
      <w:r w:rsidRPr="00E47EFA">
        <w:rPr>
          <w:rFonts w:eastAsia="Calibri"/>
          <w:sz w:val="20"/>
          <w:szCs w:val="20"/>
        </w:rPr>
        <w:t xml:space="preserve">. </w:t>
      </w:r>
    </w:p>
    <w:p w14:paraId="39B34FBC"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2F06B803" w14:textId="596BA39F" w:rsidR="00E22B60" w:rsidRPr="00E47EFA" w:rsidRDefault="00E22B60" w:rsidP="006B458C">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 xml:space="preserve">El 27 de abril de 2006 ocurrió la segunda audiencia de mediación ante la Unidad de Mediación del Consejo de Defensa del Estado. En ésta comparecieron, por una parte, Vinicio Marco Antonio Poblete Tapia, </w:t>
      </w:r>
      <w:proofErr w:type="spellStart"/>
      <w:r w:rsidR="00D95ABC" w:rsidRPr="00E47EFA">
        <w:rPr>
          <w:rFonts w:eastAsia="Calibri"/>
          <w:sz w:val="20"/>
          <w:szCs w:val="20"/>
        </w:rPr>
        <w:t>Cesia</w:t>
      </w:r>
      <w:proofErr w:type="spellEnd"/>
      <w:r w:rsidR="00D95ABC" w:rsidRPr="00E47EFA">
        <w:rPr>
          <w:rFonts w:eastAsia="Calibri"/>
          <w:sz w:val="20"/>
          <w:szCs w:val="20"/>
        </w:rPr>
        <w:t xml:space="preserve"> Leila Poblete Tapia </w:t>
      </w:r>
      <w:r w:rsidR="00D95ABC">
        <w:rPr>
          <w:rFonts w:eastAsia="Calibri"/>
          <w:sz w:val="20"/>
          <w:szCs w:val="20"/>
        </w:rPr>
        <w:t xml:space="preserve">y </w:t>
      </w:r>
      <w:r w:rsidRPr="00E47EFA">
        <w:rPr>
          <w:rFonts w:eastAsia="Calibri"/>
          <w:sz w:val="20"/>
          <w:szCs w:val="20"/>
        </w:rPr>
        <w:t>Jorge Fuentes Poblete, asistid</w:t>
      </w:r>
      <w:r w:rsidR="00D95ABC">
        <w:rPr>
          <w:rFonts w:eastAsia="Calibri"/>
          <w:sz w:val="20"/>
          <w:szCs w:val="20"/>
        </w:rPr>
        <w:t>o</w:t>
      </w:r>
      <w:r w:rsidRPr="00E47EFA">
        <w:rPr>
          <w:rFonts w:eastAsia="Calibri"/>
          <w:sz w:val="20"/>
          <w:szCs w:val="20"/>
        </w:rPr>
        <w:t xml:space="preserve"> por la abogada María </w:t>
      </w:r>
      <w:r w:rsidRPr="00E47EFA">
        <w:rPr>
          <w:rFonts w:eastAsia="Calibri"/>
          <w:sz w:val="20"/>
          <w:szCs w:val="20"/>
        </w:rPr>
        <w:lastRenderedPageBreak/>
        <w:t xml:space="preserve">Francisca Jiménez y, por la otra, el abogado Hernán Pardo Roche y el doctor Luis Carvajal Freire. En esa ocasión, el representante del Hospital </w:t>
      </w:r>
      <w:proofErr w:type="spellStart"/>
      <w:r w:rsidRPr="00E47EFA">
        <w:rPr>
          <w:rFonts w:eastAsia="Calibri"/>
          <w:sz w:val="20"/>
          <w:szCs w:val="20"/>
        </w:rPr>
        <w:t>Sótero</w:t>
      </w:r>
      <w:proofErr w:type="spellEnd"/>
      <w:r w:rsidRPr="00E47EFA">
        <w:rPr>
          <w:rFonts w:eastAsia="Calibri"/>
          <w:sz w:val="20"/>
          <w:szCs w:val="20"/>
        </w:rPr>
        <w:t xml:space="preserve"> del Río entregó una copia de una auditoría médica</w:t>
      </w:r>
      <w:r w:rsidRPr="00E47EFA">
        <w:rPr>
          <w:rFonts w:eastAsia="Calibri"/>
          <w:sz w:val="20"/>
          <w:szCs w:val="20"/>
          <w:vertAlign w:val="superscript"/>
        </w:rPr>
        <w:footnoteReference w:id="110"/>
      </w:r>
      <w:r w:rsidRPr="00E47EFA">
        <w:rPr>
          <w:rFonts w:eastAsia="Calibri"/>
          <w:sz w:val="20"/>
          <w:szCs w:val="20"/>
        </w:rPr>
        <w:t xml:space="preserve"> realizada por el Sr. Sergio Valenzuela Estévez, Jefe del Departamento de Auditoría del E.S.M.S.O., de fecha 29 de mayo de 2001, la cual concluyó a partir de la Ficha Clínica, lo siguiente: </w:t>
      </w:r>
    </w:p>
    <w:p w14:paraId="2FCE2754"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12C78BFF" w14:textId="77777777" w:rsidR="00E22B60" w:rsidRPr="00E47EFA" w:rsidRDefault="00E22B60" w:rsidP="00E22B60">
      <w:pPr>
        <w:tabs>
          <w:tab w:val="left" w:pos="567"/>
          <w:tab w:val="left" w:pos="630"/>
          <w:tab w:val="left" w:pos="810"/>
          <w:tab w:val="left" w:pos="1530"/>
          <w:tab w:val="left" w:pos="1620"/>
          <w:tab w:val="num" w:pos="12305"/>
        </w:tabs>
        <w:ind w:left="630" w:right="-360"/>
        <w:rPr>
          <w:rFonts w:eastAsia="Calibri"/>
          <w:sz w:val="20"/>
          <w:szCs w:val="20"/>
        </w:rPr>
      </w:pPr>
      <w:r w:rsidRPr="00E47EFA">
        <w:rPr>
          <w:rFonts w:eastAsia="Calibri"/>
          <w:sz w:val="18"/>
          <w:szCs w:val="18"/>
        </w:rPr>
        <w:t xml:space="preserve">“[…] A juicio de este auditor el paciente fue tratado adecuadamente en su condición de gravedad por la falla </w:t>
      </w:r>
      <w:proofErr w:type="spellStart"/>
      <w:r w:rsidRPr="00E47EFA">
        <w:rPr>
          <w:rFonts w:eastAsia="Calibri"/>
          <w:sz w:val="18"/>
          <w:szCs w:val="18"/>
        </w:rPr>
        <w:t>multisistémica</w:t>
      </w:r>
      <w:proofErr w:type="spellEnd"/>
      <w:r w:rsidRPr="00E47EFA">
        <w:rPr>
          <w:rFonts w:eastAsia="Calibri"/>
          <w:sz w:val="18"/>
          <w:szCs w:val="18"/>
        </w:rPr>
        <w:t xml:space="preserve">. El médico tratante conversó con los familiares sobre la gravedad del paciente y la imposibilidad de traslado a UCI Médica por la condición y pronóstico del paciente y la carencia de camas. La familia muestra conformidad, pero tengo dudas si entienden a </w:t>
      </w:r>
      <w:proofErr w:type="spellStart"/>
      <w:r w:rsidRPr="00E47EFA">
        <w:rPr>
          <w:rFonts w:eastAsia="Calibri"/>
          <w:sz w:val="18"/>
          <w:szCs w:val="18"/>
        </w:rPr>
        <w:t>cavalidad</w:t>
      </w:r>
      <w:proofErr w:type="spellEnd"/>
      <w:r w:rsidRPr="00E47EFA">
        <w:rPr>
          <w:rFonts w:eastAsia="Calibri"/>
          <w:sz w:val="18"/>
          <w:szCs w:val="18"/>
        </w:rPr>
        <w:t xml:space="preserve"> [</w:t>
      </w:r>
      <w:r w:rsidRPr="00E47EFA">
        <w:rPr>
          <w:rFonts w:eastAsia="Calibri"/>
          <w:i/>
          <w:sz w:val="18"/>
          <w:szCs w:val="18"/>
        </w:rPr>
        <w:t>sic</w:t>
      </w:r>
      <w:r w:rsidRPr="00E47EFA">
        <w:rPr>
          <w:rFonts w:eastAsia="Calibri"/>
          <w:sz w:val="18"/>
          <w:szCs w:val="18"/>
        </w:rPr>
        <w:t>] el pronóstico y la enfermedad actual del paciente. Fallece el día 07-02-2001 a las 05:45 horas […]”</w:t>
      </w:r>
      <w:r w:rsidRPr="00E47EFA">
        <w:rPr>
          <w:rFonts w:eastAsia="Calibri"/>
          <w:sz w:val="20"/>
          <w:szCs w:val="20"/>
          <w:vertAlign w:val="superscript"/>
        </w:rPr>
        <w:footnoteReference w:id="111"/>
      </w:r>
      <w:r w:rsidRPr="00E47EFA">
        <w:rPr>
          <w:rFonts w:eastAsia="Calibri"/>
          <w:sz w:val="20"/>
          <w:szCs w:val="20"/>
        </w:rPr>
        <w:t>.</w:t>
      </w:r>
    </w:p>
    <w:p w14:paraId="0C527E3F"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53C1EABC" w14:textId="77777777" w:rsidR="00E22B60" w:rsidRPr="00E47EFA" w:rsidRDefault="00E22B60" w:rsidP="00E22B60">
      <w:pPr>
        <w:tabs>
          <w:tab w:val="left" w:pos="630"/>
          <w:tab w:val="left" w:pos="810"/>
          <w:tab w:val="left" w:pos="1530"/>
          <w:tab w:val="left" w:pos="1620"/>
        </w:tabs>
        <w:ind w:left="720" w:right="-360" w:firstLine="720"/>
        <w:rPr>
          <w:rFonts w:eastAsia="Calibri"/>
          <w:i/>
          <w:sz w:val="20"/>
          <w:szCs w:val="20"/>
        </w:rPr>
      </w:pPr>
      <w:r w:rsidRPr="00E47EFA">
        <w:rPr>
          <w:rFonts w:eastAsia="Calibri"/>
          <w:i/>
          <w:sz w:val="20"/>
          <w:szCs w:val="20"/>
        </w:rPr>
        <w:t>2.2 Procedimiento administrativo y otros</w:t>
      </w:r>
    </w:p>
    <w:p w14:paraId="515722CF" w14:textId="77777777" w:rsidR="00E22B60" w:rsidRPr="00E47EFA" w:rsidRDefault="00E22B60" w:rsidP="00E22B60">
      <w:pPr>
        <w:tabs>
          <w:tab w:val="left" w:pos="630"/>
          <w:tab w:val="left" w:pos="810"/>
          <w:tab w:val="left" w:pos="1530"/>
          <w:tab w:val="left" w:pos="1620"/>
        </w:tabs>
        <w:ind w:right="-360"/>
        <w:rPr>
          <w:rFonts w:eastAsia="Calibri"/>
          <w:sz w:val="20"/>
          <w:szCs w:val="20"/>
        </w:rPr>
      </w:pPr>
    </w:p>
    <w:p w14:paraId="16DF4A59" w14:textId="1170E85A" w:rsidR="00E22B60" w:rsidRPr="00E47EFA" w:rsidRDefault="00E22B60" w:rsidP="006B458C">
      <w:pPr>
        <w:numPr>
          <w:ilvl w:val="0"/>
          <w:numId w:val="2"/>
        </w:numPr>
        <w:tabs>
          <w:tab w:val="left" w:pos="567"/>
          <w:tab w:val="left" w:pos="630"/>
          <w:tab w:val="left" w:pos="810"/>
          <w:tab w:val="left" w:pos="1530"/>
          <w:tab w:val="num" w:pos="1569"/>
          <w:tab w:val="left" w:pos="1620"/>
          <w:tab w:val="num" w:pos="12305"/>
        </w:tabs>
        <w:ind w:left="0" w:right="-360" w:firstLine="0"/>
        <w:rPr>
          <w:rFonts w:eastAsia="Calibri"/>
          <w:sz w:val="20"/>
          <w:szCs w:val="20"/>
        </w:rPr>
      </w:pPr>
      <w:r w:rsidRPr="00E47EFA">
        <w:rPr>
          <w:rFonts w:eastAsia="Calibri"/>
          <w:sz w:val="20"/>
          <w:szCs w:val="20"/>
        </w:rPr>
        <w:t xml:space="preserve">Según la información aportada por las partes, a pedido de información de la Comisión de Derechos Humanos, Nacionalidad y Ciudadanía de la Cámara de Diputados sobre los sumarios administrativos y sus resultados, por presunta negligencia médica en la muerte del Señor Poblete Vilches a la Subsecretaría de Redes Asistenciales, se desprende que no existe proceso administrativo alguno que tenga relación con el </w:t>
      </w:r>
      <w:r w:rsidR="00D95ABC">
        <w:rPr>
          <w:rFonts w:eastAsia="Calibri"/>
          <w:sz w:val="20"/>
          <w:szCs w:val="20"/>
        </w:rPr>
        <w:t>s</w:t>
      </w:r>
      <w:r w:rsidRPr="00E47EFA">
        <w:rPr>
          <w:rFonts w:eastAsia="Calibri"/>
          <w:sz w:val="20"/>
          <w:szCs w:val="20"/>
        </w:rPr>
        <w:t>eñor Vinicio Poblete Vilches”</w:t>
      </w:r>
      <w:r w:rsidRPr="00E47EFA">
        <w:rPr>
          <w:rFonts w:eastAsia="Calibri"/>
          <w:sz w:val="20"/>
          <w:szCs w:val="20"/>
          <w:vertAlign w:val="superscript"/>
        </w:rPr>
        <w:footnoteReference w:id="112"/>
      </w:r>
      <w:r w:rsidRPr="00E47EFA">
        <w:rPr>
          <w:rFonts w:eastAsia="Calibri"/>
          <w:sz w:val="20"/>
          <w:szCs w:val="20"/>
        </w:rPr>
        <w:t>.</w:t>
      </w:r>
    </w:p>
    <w:p w14:paraId="0F34086F" w14:textId="77777777" w:rsidR="00E22B60" w:rsidRPr="00E47EFA" w:rsidRDefault="00E22B60" w:rsidP="00E22B60">
      <w:pPr>
        <w:tabs>
          <w:tab w:val="left" w:pos="630"/>
          <w:tab w:val="left" w:pos="810"/>
          <w:tab w:val="left" w:pos="1530"/>
          <w:tab w:val="left" w:pos="1620"/>
        </w:tabs>
        <w:ind w:right="-360"/>
        <w:contextualSpacing/>
        <w:rPr>
          <w:rFonts w:eastAsia="Calibri"/>
          <w:sz w:val="20"/>
          <w:szCs w:val="20"/>
        </w:rPr>
      </w:pPr>
    </w:p>
    <w:p w14:paraId="5A344478" w14:textId="5B57D4BA" w:rsidR="00E22B60" w:rsidRPr="00C64243" w:rsidRDefault="00E22B60" w:rsidP="006B458C">
      <w:pPr>
        <w:numPr>
          <w:ilvl w:val="0"/>
          <w:numId w:val="2"/>
        </w:numPr>
        <w:tabs>
          <w:tab w:val="left" w:pos="567"/>
          <w:tab w:val="left" w:pos="630"/>
          <w:tab w:val="left" w:pos="810"/>
          <w:tab w:val="left" w:pos="1530"/>
          <w:tab w:val="num" w:pos="1569"/>
          <w:tab w:val="left" w:pos="1620"/>
          <w:tab w:val="num" w:pos="12305"/>
        </w:tabs>
        <w:ind w:left="0" w:right="-360" w:firstLine="0"/>
        <w:rPr>
          <w:rFonts w:eastAsia="Calibri"/>
          <w:b/>
          <w:i/>
          <w:sz w:val="20"/>
          <w:szCs w:val="20"/>
        </w:rPr>
      </w:pPr>
      <w:r w:rsidRPr="00C64243">
        <w:rPr>
          <w:rFonts w:eastAsia="Calibri"/>
          <w:sz w:val="20"/>
          <w:szCs w:val="20"/>
        </w:rPr>
        <w:t xml:space="preserve">En el expediente ante la Corte constan notas de prensa de 2010 y 2012, de las que se desprende que se denunciaron situaciones de negligencia médica en el Hospital </w:t>
      </w:r>
      <w:proofErr w:type="spellStart"/>
      <w:r w:rsidRPr="00C64243">
        <w:rPr>
          <w:rFonts w:eastAsia="Calibri"/>
          <w:sz w:val="20"/>
          <w:szCs w:val="20"/>
        </w:rPr>
        <w:t>Sótero</w:t>
      </w:r>
      <w:proofErr w:type="spellEnd"/>
      <w:r w:rsidRPr="00C64243">
        <w:rPr>
          <w:rFonts w:eastAsia="Calibri"/>
          <w:sz w:val="20"/>
          <w:szCs w:val="20"/>
        </w:rPr>
        <w:t xml:space="preserve"> del Río</w:t>
      </w:r>
      <w:r w:rsidRPr="00C64243">
        <w:rPr>
          <w:rFonts w:eastAsia="Calibri"/>
          <w:sz w:val="20"/>
          <w:szCs w:val="20"/>
          <w:vertAlign w:val="superscript"/>
        </w:rPr>
        <w:footnoteReference w:id="113"/>
      </w:r>
      <w:r w:rsidRPr="00C64243">
        <w:rPr>
          <w:rFonts w:eastAsia="Calibri"/>
          <w:sz w:val="20"/>
          <w:szCs w:val="20"/>
        </w:rPr>
        <w:t>. Asimismo, en la página web www.reclamos.cl existe u</w:t>
      </w:r>
      <w:r w:rsidR="00713D68">
        <w:rPr>
          <w:rFonts w:eastAsia="Calibri"/>
          <w:sz w:val="20"/>
          <w:szCs w:val="20"/>
        </w:rPr>
        <w:t xml:space="preserve">n listado de reclamos tanto presuntas </w:t>
      </w:r>
      <w:r w:rsidRPr="00C64243">
        <w:rPr>
          <w:rFonts w:eastAsia="Calibri"/>
          <w:sz w:val="20"/>
          <w:szCs w:val="20"/>
        </w:rPr>
        <w:t xml:space="preserve">negligencias médicas como por el deficiente servicio y las malas condiciones en contra este Hospital entre los años 2011 </w:t>
      </w:r>
      <w:r>
        <w:rPr>
          <w:rFonts w:eastAsia="Calibri"/>
          <w:sz w:val="20"/>
          <w:szCs w:val="20"/>
        </w:rPr>
        <w:t>hasta la actualidad</w:t>
      </w:r>
      <w:r w:rsidRPr="00C64243">
        <w:rPr>
          <w:rFonts w:eastAsia="Calibri"/>
          <w:sz w:val="20"/>
          <w:szCs w:val="20"/>
          <w:vertAlign w:val="superscript"/>
        </w:rPr>
        <w:footnoteReference w:id="114"/>
      </w:r>
      <w:r w:rsidRPr="00C64243">
        <w:rPr>
          <w:rFonts w:eastAsia="Calibri"/>
          <w:sz w:val="20"/>
          <w:szCs w:val="20"/>
        </w:rPr>
        <w:t>.</w:t>
      </w:r>
    </w:p>
    <w:p w14:paraId="223387A3" w14:textId="77777777" w:rsidR="00E67349" w:rsidRDefault="00E67349" w:rsidP="00E67349">
      <w:pPr>
        <w:tabs>
          <w:tab w:val="left" w:pos="567"/>
          <w:tab w:val="num" w:pos="12305"/>
        </w:tabs>
        <w:rPr>
          <w:rFonts w:eastAsia="Calibri"/>
          <w:sz w:val="20"/>
          <w:szCs w:val="20"/>
          <w:highlight w:val="yellow"/>
          <w:lang w:eastAsia="en-US"/>
        </w:rPr>
      </w:pPr>
    </w:p>
    <w:p w14:paraId="2DE73C1A" w14:textId="77777777" w:rsidR="00A83854" w:rsidRDefault="00A83854" w:rsidP="006B2A4D">
      <w:pPr>
        <w:pStyle w:val="Title"/>
      </w:pPr>
      <w:bookmarkStart w:id="63" w:name="_Toc504484527"/>
      <w:bookmarkStart w:id="64" w:name="_Toc506807359"/>
      <w:bookmarkStart w:id="65" w:name="_Toc513644456"/>
      <w:bookmarkStart w:id="66" w:name="_Toc494271561"/>
      <w:r>
        <w:t>VI</w:t>
      </w:r>
      <w:r w:rsidR="00024506">
        <w:t>I</w:t>
      </w:r>
      <w:bookmarkEnd w:id="63"/>
      <w:bookmarkEnd w:id="64"/>
      <w:bookmarkEnd w:id="65"/>
      <w:r>
        <w:t xml:space="preserve"> </w:t>
      </w:r>
    </w:p>
    <w:p w14:paraId="1AF97AA7" w14:textId="77777777" w:rsidR="00A83854" w:rsidRPr="00F3026E" w:rsidRDefault="00A83854" w:rsidP="006B2A4D">
      <w:pPr>
        <w:pStyle w:val="Title"/>
      </w:pPr>
      <w:bookmarkStart w:id="67" w:name="_Toc513644457"/>
      <w:r>
        <w:t>FONDO</w:t>
      </w:r>
      <w:bookmarkEnd w:id="67"/>
    </w:p>
    <w:p w14:paraId="6FE31DE6" w14:textId="77777777" w:rsidR="00A83854" w:rsidRDefault="00A83854" w:rsidP="006B2A4D">
      <w:pPr>
        <w:pStyle w:val="Title"/>
      </w:pPr>
    </w:p>
    <w:p w14:paraId="76FEFA76" w14:textId="3ECE3A32" w:rsidR="00A83854" w:rsidRPr="004926CE" w:rsidRDefault="00A83854" w:rsidP="004926CE">
      <w:pPr>
        <w:numPr>
          <w:ilvl w:val="0"/>
          <w:numId w:val="2"/>
        </w:numPr>
        <w:tabs>
          <w:tab w:val="left" w:pos="567"/>
          <w:tab w:val="num" w:pos="1569"/>
          <w:tab w:val="num" w:pos="12305"/>
        </w:tabs>
        <w:ind w:left="0" w:firstLine="0"/>
        <w:rPr>
          <w:rFonts w:eastAsia="Calibri"/>
          <w:sz w:val="20"/>
          <w:szCs w:val="20"/>
          <w:lang w:eastAsia="en-US"/>
        </w:rPr>
      </w:pPr>
      <w:r>
        <w:rPr>
          <w:rFonts w:eastAsia="Calibri"/>
          <w:sz w:val="20"/>
          <w:szCs w:val="20"/>
          <w:lang w:eastAsia="en-US"/>
        </w:rPr>
        <w:t>El presente caso se relaci</w:t>
      </w:r>
      <w:r w:rsidR="0017482E">
        <w:rPr>
          <w:rFonts w:eastAsia="Calibri"/>
          <w:sz w:val="20"/>
          <w:szCs w:val="20"/>
          <w:lang w:eastAsia="en-US"/>
        </w:rPr>
        <w:t>ona</w:t>
      </w:r>
      <w:r>
        <w:rPr>
          <w:rFonts w:eastAsia="Calibri"/>
          <w:sz w:val="20"/>
          <w:szCs w:val="20"/>
          <w:lang w:eastAsia="en-US"/>
        </w:rPr>
        <w:t xml:space="preserve"> con la </w:t>
      </w:r>
      <w:r w:rsidR="008016C2">
        <w:rPr>
          <w:rFonts w:eastAsia="Calibri"/>
          <w:sz w:val="20"/>
          <w:szCs w:val="20"/>
          <w:lang w:eastAsia="en-US"/>
        </w:rPr>
        <w:t xml:space="preserve">alegada responsabilidad internacional del Estado por la </w:t>
      </w:r>
      <w:r>
        <w:rPr>
          <w:rFonts w:eastAsia="Calibri"/>
          <w:sz w:val="20"/>
          <w:szCs w:val="20"/>
          <w:lang w:eastAsia="en-US"/>
        </w:rPr>
        <w:t xml:space="preserve">atención brindada en el Hospital público </w:t>
      </w:r>
      <w:proofErr w:type="spellStart"/>
      <w:r>
        <w:rPr>
          <w:rFonts w:eastAsia="Calibri"/>
          <w:sz w:val="20"/>
          <w:szCs w:val="20"/>
          <w:lang w:eastAsia="en-US"/>
        </w:rPr>
        <w:t>Sótero</w:t>
      </w:r>
      <w:proofErr w:type="spellEnd"/>
      <w:r>
        <w:rPr>
          <w:rFonts w:eastAsia="Calibri"/>
          <w:sz w:val="20"/>
          <w:szCs w:val="20"/>
          <w:lang w:eastAsia="en-US"/>
        </w:rPr>
        <w:t xml:space="preserve"> del Río a</w:t>
      </w:r>
      <w:r w:rsidR="008016C2">
        <w:rPr>
          <w:rFonts w:eastAsia="Calibri"/>
          <w:sz w:val="20"/>
          <w:szCs w:val="20"/>
          <w:lang w:eastAsia="en-US"/>
        </w:rPr>
        <w:t>l</w:t>
      </w:r>
      <w:r>
        <w:rPr>
          <w:rFonts w:eastAsia="Calibri"/>
          <w:sz w:val="20"/>
          <w:szCs w:val="20"/>
          <w:lang w:eastAsia="en-US"/>
        </w:rPr>
        <w:t xml:space="preserve"> señor Poblete Vilches, quien era </w:t>
      </w:r>
      <w:r w:rsidRPr="00B1523A">
        <w:rPr>
          <w:rFonts w:eastAsia="Calibri"/>
          <w:sz w:val="20"/>
          <w:szCs w:val="20"/>
          <w:lang w:eastAsia="en-US"/>
        </w:rPr>
        <w:t>un</w:t>
      </w:r>
      <w:r w:rsidR="00617BCD" w:rsidRPr="00B1523A">
        <w:rPr>
          <w:rFonts w:eastAsia="Calibri"/>
          <w:sz w:val="20"/>
          <w:szCs w:val="20"/>
          <w:lang w:eastAsia="en-US"/>
        </w:rPr>
        <w:t>a persona mayor</w:t>
      </w:r>
      <w:r w:rsidR="00617BCD" w:rsidRPr="00B1523A">
        <w:rPr>
          <w:rStyle w:val="FootnoteReference"/>
          <w:rFonts w:eastAsia="Calibri"/>
          <w:sz w:val="20"/>
          <w:szCs w:val="20"/>
          <w:lang w:eastAsia="en-US"/>
        </w:rPr>
        <w:footnoteReference w:id="115"/>
      </w:r>
      <w:r w:rsidRPr="00196410">
        <w:rPr>
          <w:rFonts w:eastAsia="Calibri"/>
          <w:sz w:val="20"/>
          <w:szCs w:val="20"/>
          <w:lang w:eastAsia="en-US"/>
        </w:rPr>
        <w:t>.</w:t>
      </w:r>
      <w:r w:rsidR="0034410C" w:rsidRPr="00196410">
        <w:rPr>
          <w:rFonts w:eastAsia="Calibri"/>
          <w:sz w:val="20"/>
          <w:szCs w:val="20"/>
          <w:lang w:eastAsia="en-US"/>
        </w:rPr>
        <w:t xml:space="preserve"> </w:t>
      </w:r>
      <w:r w:rsidR="004926CE" w:rsidRPr="00B1523A">
        <w:rPr>
          <w:rFonts w:eastAsia="Calibri"/>
          <w:sz w:val="20"/>
          <w:szCs w:val="20"/>
          <w:lang w:eastAsia="en-US"/>
        </w:rPr>
        <w:t>Durante su primer ingres</w:t>
      </w:r>
      <w:r w:rsidR="00E16178">
        <w:rPr>
          <w:rFonts w:eastAsia="Calibri"/>
          <w:sz w:val="20"/>
          <w:szCs w:val="20"/>
          <w:lang w:eastAsia="en-US"/>
        </w:rPr>
        <w:t>o</w:t>
      </w:r>
      <w:r w:rsidR="004926CE" w:rsidRPr="00B1523A">
        <w:rPr>
          <w:rFonts w:eastAsia="Calibri"/>
          <w:sz w:val="20"/>
          <w:szCs w:val="20"/>
          <w:lang w:eastAsia="en-US"/>
        </w:rPr>
        <w:t xml:space="preserve"> se le practicó una intervención,</w:t>
      </w:r>
      <w:r w:rsidR="004926CE" w:rsidRPr="00AB1E03">
        <w:rPr>
          <w:rFonts w:eastAsia="Calibri"/>
          <w:b/>
          <w:sz w:val="20"/>
          <w:szCs w:val="20"/>
          <w:lang w:eastAsia="en-US"/>
        </w:rPr>
        <w:t xml:space="preserve"> </w:t>
      </w:r>
      <w:r w:rsidR="004926CE" w:rsidRPr="00B1523A">
        <w:rPr>
          <w:rFonts w:eastAsia="Calibri"/>
          <w:sz w:val="20"/>
          <w:szCs w:val="20"/>
          <w:lang w:eastAsia="en-US"/>
        </w:rPr>
        <w:t>presuntamente</w:t>
      </w:r>
      <w:r w:rsidR="004926CE" w:rsidRPr="00AB1E03">
        <w:rPr>
          <w:rFonts w:eastAsia="Calibri"/>
          <w:b/>
          <w:sz w:val="20"/>
          <w:szCs w:val="20"/>
          <w:lang w:eastAsia="en-US"/>
        </w:rPr>
        <w:t xml:space="preserve"> </w:t>
      </w:r>
      <w:r w:rsidR="00FC7A1F" w:rsidRPr="00B1523A">
        <w:rPr>
          <w:rFonts w:eastAsia="Calibri"/>
          <w:sz w:val="20"/>
          <w:szCs w:val="20"/>
          <w:lang w:eastAsia="en-US"/>
        </w:rPr>
        <w:t xml:space="preserve">cuando </w:t>
      </w:r>
      <w:r w:rsidR="004926CE" w:rsidRPr="00B1523A">
        <w:rPr>
          <w:rFonts w:eastAsia="Calibri"/>
          <w:sz w:val="20"/>
          <w:szCs w:val="20"/>
          <w:lang w:eastAsia="en-US"/>
        </w:rPr>
        <w:t xml:space="preserve">el paciente </w:t>
      </w:r>
      <w:r w:rsidR="009B3B3C" w:rsidRPr="00B1523A">
        <w:rPr>
          <w:rFonts w:eastAsia="Calibri"/>
          <w:sz w:val="20"/>
          <w:szCs w:val="20"/>
          <w:lang w:eastAsia="en-US"/>
        </w:rPr>
        <w:t>se encontraba</w:t>
      </w:r>
      <w:r w:rsidR="004926CE" w:rsidRPr="00B1523A">
        <w:rPr>
          <w:rFonts w:eastAsia="Calibri"/>
          <w:sz w:val="20"/>
          <w:szCs w:val="20"/>
          <w:lang w:eastAsia="en-US"/>
        </w:rPr>
        <w:t xml:space="preserve"> inconsciente,</w:t>
      </w:r>
      <w:r w:rsidR="00FC7A1F" w:rsidRPr="00B1523A">
        <w:rPr>
          <w:rFonts w:eastAsia="Calibri"/>
          <w:sz w:val="20"/>
          <w:szCs w:val="20"/>
          <w:lang w:eastAsia="en-US"/>
        </w:rPr>
        <w:t xml:space="preserve"> sin el consentimiento de la familia</w:t>
      </w:r>
      <w:r w:rsidR="005A65DF">
        <w:rPr>
          <w:rFonts w:eastAsia="Calibri"/>
          <w:sz w:val="20"/>
          <w:szCs w:val="20"/>
          <w:lang w:eastAsia="en-US"/>
        </w:rPr>
        <w:t>.</w:t>
      </w:r>
      <w:r w:rsidR="00FC7A1F" w:rsidRPr="00B1523A">
        <w:rPr>
          <w:rFonts w:eastAsia="Calibri"/>
          <w:sz w:val="20"/>
          <w:szCs w:val="20"/>
          <w:lang w:eastAsia="en-US"/>
        </w:rPr>
        <w:t xml:space="preserve"> </w:t>
      </w:r>
      <w:r w:rsidR="005A65DF">
        <w:rPr>
          <w:rFonts w:eastAsia="Calibri"/>
          <w:sz w:val="20"/>
          <w:szCs w:val="20"/>
          <w:lang w:eastAsia="en-US"/>
        </w:rPr>
        <w:t>A</w:t>
      </w:r>
      <w:r w:rsidR="004926CE" w:rsidRPr="00B1523A">
        <w:rPr>
          <w:rFonts w:eastAsia="Calibri"/>
          <w:sz w:val="20"/>
          <w:szCs w:val="20"/>
          <w:lang w:eastAsia="en-US"/>
        </w:rPr>
        <w:t>demás</w:t>
      </w:r>
      <w:r w:rsidR="005A65DF">
        <w:rPr>
          <w:rFonts w:eastAsia="Calibri"/>
          <w:sz w:val="20"/>
          <w:szCs w:val="20"/>
          <w:lang w:eastAsia="en-US"/>
        </w:rPr>
        <w:t>,</w:t>
      </w:r>
      <w:r w:rsidR="004926CE" w:rsidRPr="00B1523A">
        <w:rPr>
          <w:rFonts w:eastAsia="Calibri"/>
          <w:sz w:val="20"/>
          <w:szCs w:val="20"/>
          <w:lang w:eastAsia="en-US"/>
        </w:rPr>
        <w:t xml:space="preserve"> se </w:t>
      </w:r>
      <w:r w:rsidR="0034410C" w:rsidRPr="00B1523A">
        <w:rPr>
          <w:rFonts w:eastAsia="Calibri"/>
          <w:sz w:val="20"/>
          <w:szCs w:val="20"/>
          <w:lang w:eastAsia="en-US"/>
        </w:rPr>
        <w:t xml:space="preserve">alegó que se </w:t>
      </w:r>
      <w:r w:rsidR="004926CE" w:rsidRPr="00B1523A">
        <w:rPr>
          <w:rFonts w:eastAsia="Calibri"/>
          <w:sz w:val="20"/>
          <w:szCs w:val="20"/>
          <w:lang w:eastAsia="en-US"/>
        </w:rPr>
        <w:t xml:space="preserve">le habría dado de alta de manera temprana, y durante su segundo ingreso se le </w:t>
      </w:r>
      <w:r w:rsidR="004926CE" w:rsidRPr="00B1523A">
        <w:rPr>
          <w:rFonts w:eastAsia="Calibri"/>
          <w:sz w:val="20"/>
          <w:szCs w:val="20"/>
          <w:lang w:eastAsia="en-US"/>
        </w:rPr>
        <w:lastRenderedPageBreak/>
        <w:t>habría negado el tratamiento que requería, derivando posteriormente en su fallecimiento en el mismo hospital.</w:t>
      </w:r>
      <w:r w:rsidR="004926CE">
        <w:rPr>
          <w:rFonts w:eastAsia="Calibri"/>
          <w:sz w:val="20"/>
          <w:szCs w:val="20"/>
          <w:lang w:eastAsia="en-US"/>
        </w:rPr>
        <w:t xml:space="preserve"> </w:t>
      </w:r>
      <w:r w:rsidRPr="004926CE">
        <w:rPr>
          <w:rFonts w:eastAsia="Calibri"/>
          <w:sz w:val="20"/>
          <w:szCs w:val="20"/>
          <w:lang w:eastAsia="en-US"/>
        </w:rPr>
        <w:t xml:space="preserve">Además, </w:t>
      </w:r>
      <w:r w:rsidR="0034410C">
        <w:rPr>
          <w:rFonts w:eastAsia="Calibri"/>
          <w:sz w:val="20"/>
          <w:szCs w:val="20"/>
          <w:lang w:eastAsia="en-US"/>
        </w:rPr>
        <w:t xml:space="preserve">el caso </w:t>
      </w:r>
      <w:r w:rsidR="00A54B13" w:rsidRPr="004926CE">
        <w:rPr>
          <w:rFonts w:eastAsia="Calibri"/>
          <w:sz w:val="20"/>
          <w:szCs w:val="20"/>
          <w:lang w:eastAsia="en-US"/>
        </w:rPr>
        <w:t xml:space="preserve">se </w:t>
      </w:r>
      <w:r w:rsidR="00A20D88" w:rsidRPr="004926CE">
        <w:rPr>
          <w:rFonts w:eastAsia="Calibri"/>
          <w:sz w:val="20"/>
          <w:szCs w:val="20"/>
          <w:lang w:eastAsia="en-US"/>
        </w:rPr>
        <w:t>relaciona con</w:t>
      </w:r>
      <w:r w:rsidR="00A54B13" w:rsidRPr="004926CE">
        <w:rPr>
          <w:rFonts w:eastAsia="Calibri"/>
          <w:sz w:val="20"/>
          <w:szCs w:val="20"/>
          <w:lang w:eastAsia="en-US"/>
        </w:rPr>
        <w:t xml:space="preserve"> </w:t>
      </w:r>
      <w:r w:rsidRPr="004926CE">
        <w:rPr>
          <w:rFonts w:eastAsia="Calibri"/>
          <w:sz w:val="20"/>
          <w:szCs w:val="20"/>
          <w:lang w:eastAsia="en-US"/>
        </w:rPr>
        <w:t xml:space="preserve">las investigaciones y acciones judiciales que se realizaron para </w:t>
      </w:r>
      <w:r w:rsidR="00A54B13" w:rsidRPr="004926CE">
        <w:rPr>
          <w:rFonts w:eastAsia="Calibri"/>
          <w:sz w:val="20"/>
          <w:szCs w:val="20"/>
          <w:lang w:eastAsia="en-US"/>
        </w:rPr>
        <w:t>esclarecer</w:t>
      </w:r>
      <w:r w:rsidRPr="004926CE">
        <w:rPr>
          <w:rFonts w:eastAsia="Calibri"/>
          <w:sz w:val="20"/>
          <w:szCs w:val="20"/>
          <w:lang w:eastAsia="en-US"/>
        </w:rPr>
        <w:t xml:space="preserve"> su muerte y, en su caso, deslindar las responsabilidades correspondientes</w:t>
      </w:r>
      <w:r w:rsidR="00DB2D18" w:rsidRPr="00713D68">
        <w:rPr>
          <w:rFonts w:eastAsia="Calibri"/>
          <w:sz w:val="20"/>
          <w:szCs w:val="20"/>
          <w:lang w:eastAsia="en-US"/>
        </w:rPr>
        <w:t>,</w:t>
      </w:r>
      <w:r w:rsidR="00DB2D18" w:rsidRPr="00AB1E03">
        <w:rPr>
          <w:rFonts w:eastAsia="Calibri"/>
          <w:b/>
          <w:sz w:val="20"/>
          <w:szCs w:val="20"/>
          <w:lang w:eastAsia="en-US"/>
        </w:rPr>
        <w:t xml:space="preserve"> </w:t>
      </w:r>
      <w:r w:rsidR="00DB2D18" w:rsidRPr="00B1523A">
        <w:rPr>
          <w:rFonts w:eastAsia="Calibri"/>
          <w:sz w:val="20"/>
          <w:szCs w:val="20"/>
          <w:lang w:eastAsia="en-US"/>
        </w:rPr>
        <w:t xml:space="preserve">así como las posibles afectaciones que sufrieron </w:t>
      </w:r>
      <w:r w:rsidR="005A65DF">
        <w:rPr>
          <w:rFonts w:eastAsia="Calibri"/>
          <w:sz w:val="20"/>
          <w:szCs w:val="20"/>
          <w:lang w:eastAsia="en-US"/>
        </w:rPr>
        <w:t>sus</w:t>
      </w:r>
      <w:r w:rsidR="00DB2D18" w:rsidRPr="00B1523A">
        <w:rPr>
          <w:rFonts w:eastAsia="Calibri"/>
          <w:sz w:val="20"/>
          <w:szCs w:val="20"/>
          <w:lang w:eastAsia="en-US"/>
        </w:rPr>
        <w:t xml:space="preserve"> familiares.</w:t>
      </w:r>
      <w:r w:rsidRPr="008636CA">
        <w:rPr>
          <w:rFonts w:eastAsia="Calibri"/>
          <w:sz w:val="20"/>
          <w:szCs w:val="20"/>
          <w:lang w:eastAsia="en-US"/>
        </w:rPr>
        <w:t xml:space="preserve"> </w:t>
      </w:r>
      <w:r w:rsidR="004926CE" w:rsidRPr="00B1523A">
        <w:rPr>
          <w:rFonts w:eastAsia="Calibri"/>
          <w:sz w:val="20"/>
          <w:szCs w:val="20"/>
          <w:lang w:eastAsia="en-US"/>
        </w:rPr>
        <w:t xml:space="preserve">En vista de lo anterior, y tomando en cuenta el reconocimiento parcial de responsabilidad del Estado, corresponde a la Corte determinar el alcance de las violaciones </w:t>
      </w:r>
      <w:r w:rsidR="00DB2D18" w:rsidRPr="00B1523A">
        <w:rPr>
          <w:rFonts w:eastAsia="Calibri"/>
          <w:sz w:val="20"/>
          <w:szCs w:val="20"/>
          <w:lang w:eastAsia="en-US"/>
        </w:rPr>
        <w:t xml:space="preserve">acreditadas. </w:t>
      </w:r>
      <w:r w:rsidR="008016C2" w:rsidRPr="004926CE">
        <w:rPr>
          <w:rFonts w:eastAsia="Calibri"/>
          <w:sz w:val="20"/>
          <w:szCs w:val="20"/>
          <w:lang w:eastAsia="en-US"/>
        </w:rPr>
        <w:t xml:space="preserve">Para ello, </w:t>
      </w:r>
      <w:r w:rsidRPr="004926CE">
        <w:rPr>
          <w:rFonts w:eastAsia="Calibri"/>
          <w:sz w:val="20"/>
          <w:szCs w:val="20"/>
          <w:lang w:eastAsia="en-US"/>
        </w:rPr>
        <w:t xml:space="preserve">la Corte </w:t>
      </w:r>
      <w:r w:rsidRPr="004926CE">
        <w:rPr>
          <w:rFonts w:eastAsiaTheme="minorHAnsi" w:cs="Verdana"/>
          <w:color w:val="000000"/>
          <w:sz w:val="20"/>
          <w:szCs w:val="20"/>
          <w:lang w:eastAsia="en-US"/>
        </w:rPr>
        <w:t>proceder</w:t>
      </w:r>
      <w:r w:rsidR="00A54B13" w:rsidRPr="004926CE">
        <w:rPr>
          <w:rFonts w:eastAsiaTheme="minorHAnsi" w:cs="Verdana"/>
          <w:color w:val="000000"/>
          <w:sz w:val="20"/>
          <w:szCs w:val="20"/>
          <w:lang w:eastAsia="en-US"/>
        </w:rPr>
        <w:t>á</w:t>
      </w:r>
      <w:r w:rsidRPr="004926CE">
        <w:rPr>
          <w:rFonts w:eastAsiaTheme="minorHAnsi" w:cs="Verdana"/>
          <w:color w:val="000000"/>
          <w:sz w:val="20"/>
          <w:szCs w:val="20"/>
          <w:lang w:eastAsia="en-US"/>
        </w:rPr>
        <w:t xml:space="preserve"> a analizar los argumentos presentados por las partes y la Comisión, y desarrollará las consideraciones de derecho pertinentes relacionadas con el derecho a la salud (artículo 26</w:t>
      </w:r>
      <w:r w:rsidR="00F77DA9">
        <w:rPr>
          <w:rStyle w:val="FootnoteReference"/>
          <w:rFonts w:eastAsiaTheme="minorHAnsi" w:cs="Verdana"/>
          <w:color w:val="000000"/>
          <w:sz w:val="20"/>
          <w:szCs w:val="20"/>
          <w:lang w:eastAsia="en-US"/>
        </w:rPr>
        <w:footnoteReference w:id="116"/>
      </w:r>
      <w:r w:rsidRPr="004926CE">
        <w:rPr>
          <w:rFonts w:eastAsiaTheme="minorHAnsi" w:cs="Verdana"/>
          <w:color w:val="000000"/>
          <w:sz w:val="20"/>
          <w:szCs w:val="20"/>
          <w:lang w:eastAsia="en-US"/>
        </w:rPr>
        <w:t>)</w:t>
      </w:r>
      <w:r w:rsidR="00F30375">
        <w:rPr>
          <w:rFonts w:eastAsiaTheme="minorHAnsi" w:cs="Verdana"/>
          <w:color w:val="000000"/>
          <w:sz w:val="20"/>
          <w:szCs w:val="20"/>
          <w:lang w:eastAsia="en-US"/>
        </w:rPr>
        <w:t>;</w:t>
      </w:r>
      <w:r w:rsidRPr="004926CE">
        <w:rPr>
          <w:rFonts w:eastAsiaTheme="minorHAnsi" w:cs="Verdana"/>
          <w:color w:val="000000"/>
          <w:sz w:val="20"/>
          <w:szCs w:val="20"/>
          <w:lang w:eastAsia="en-US"/>
        </w:rPr>
        <w:t xml:space="preserve"> los derechos a la vida </w:t>
      </w:r>
      <w:r w:rsidR="00F30375">
        <w:rPr>
          <w:rFonts w:eastAsiaTheme="minorHAnsi" w:cs="Verdana"/>
          <w:color w:val="000000"/>
          <w:sz w:val="20"/>
          <w:szCs w:val="20"/>
          <w:lang w:eastAsia="en-US"/>
        </w:rPr>
        <w:t xml:space="preserve">e </w:t>
      </w:r>
      <w:r w:rsidR="00F30375" w:rsidRPr="004926CE">
        <w:rPr>
          <w:rFonts w:eastAsiaTheme="minorHAnsi" w:cs="Verdana"/>
          <w:color w:val="000000"/>
          <w:sz w:val="20"/>
          <w:szCs w:val="20"/>
          <w:lang w:eastAsia="en-US"/>
        </w:rPr>
        <w:t xml:space="preserve">integridad personal </w:t>
      </w:r>
      <w:r w:rsidRPr="004926CE">
        <w:rPr>
          <w:rFonts w:eastAsiaTheme="minorHAnsi" w:cs="Verdana"/>
          <w:color w:val="000000"/>
          <w:sz w:val="20"/>
          <w:szCs w:val="20"/>
          <w:lang w:eastAsia="en-US"/>
        </w:rPr>
        <w:t>(artículo</w:t>
      </w:r>
      <w:r w:rsidR="00522E88">
        <w:rPr>
          <w:rFonts w:eastAsiaTheme="minorHAnsi" w:cs="Verdana"/>
          <w:color w:val="000000"/>
          <w:sz w:val="20"/>
          <w:szCs w:val="20"/>
          <w:lang w:eastAsia="en-US"/>
        </w:rPr>
        <w:t>s</w:t>
      </w:r>
      <w:r w:rsidRPr="004926CE">
        <w:rPr>
          <w:rFonts w:eastAsiaTheme="minorHAnsi" w:cs="Verdana"/>
          <w:color w:val="000000"/>
          <w:sz w:val="20"/>
          <w:szCs w:val="20"/>
          <w:lang w:eastAsia="en-US"/>
        </w:rPr>
        <w:t xml:space="preserve"> 4</w:t>
      </w:r>
      <w:r w:rsidR="00F77DA9">
        <w:rPr>
          <w:rStyle w:val="FootnoteReference"/>
          <w:rFonts w:eastAsiaTheme="minorHAnsi" w:cs="Verdana"/>
          <w:color w:val="000000"/>
          <w:sz w:val="20"/>
          <w:szCs w:val="20"/>
          <w:lang w:eastAsia="en-US"/>
        </w:rPr>
        <w:footnoteReference w:id="117"/>
      </w:r>
      <w:r w:rsidRPr="004926CE">
        <w:rPr>
          <w:rFonts w:eastAsiaTheme="minorHAnsi" w:cs="Verdana"/>
          <w:color w:val="000000"/>
          <w:sz w:val="20"/>
          <w:szCs w:val="20"/>
          <w:lang w:eastAsia="en-US"/>
        </w:rPr>
        <w:t xml:space="preserve"> y 5</w:t>
      </w:r>
      <w:r w:rsidR="00F77DA9">
        <w:rPr>
          <w:rStyle w:val="FootnoteReference"/>
          <w:rFonts w:eastAsiaTheme="minorHAnsi" w:cs="Verdana"/>
          <w:color w:val="000000"/>
          <w:sz w:val="20"/>
          <w:szCs w:val="20"/>
          <w:lang w:eastAsia="en-US"/>
        </w:rPr>
        <w:footnoteReference w:id="118"/>
      </w:r>
      <w:r w:rsidRPr="004926CE">
        <w:rPr>
          <w:rFonts w:eastAsiaTheme="minorHAnsi" w:cs="Verdana"/>
          <w:color w:val="000000"/>
          <w:sz w:val="20"/>
          <w:szCs w:val="20"/>
          <w:lang w:eastAsia="en-US"/>
        </w:rPr>
        <w:t xml:space="preserve">), </w:t>
      </w:r>
      <w:r w:rsidR="00F30375">
        <w:rPr>
          <w:rFonts w:eastAsiaTheme="minorHAnsi" w:cs="Verdana"/>
          <w:color w:val="000000"/>
          <w:sz w:val="20"/>
          <w:szCs w:val="20"/>
          <w:lang w:eastAsia="en-US"/>
        </w:rPr>
        <w:t xml:space="preserve">y </w:t>
      </w:r>
      <w:r w:rsidRPr="004926CE">
        <w:rPr>
          <w:rFonts w:eastAsiaTheme="minorHAnsi" w:cs="Verdana"/>
          <w:color w:val="000000"/>
          <w:sz w:val="20"/>
          <w:szCs w:val="20"/>
          <w:lang w:eastAsia="en-US"/>
        </w:rPr>
        <w:t>el derecho al consentimiento informado en m</w:t>
      </w:r>
      <w:r w:rsidR="00A54B13" w:rsidRPr="004926CE">
        <w:rPr>
          <w:rFonts w:eastAsiaTheme="minorHAnsi" w:cs="Verdana"/>
          <w:color w:val="000000"/>
          <w:sz w:val="20"/>
          <w:szCs w:val="20"/>
          <w:lang w:eastAsia="en-US"/>
        </w:rPr>
        <w:t xml:space="preserve">ateria de salud (artículos 26, </w:t>
      </w:r>
      <w:r w:rsidRPr="004926CE">
        <w:rPr>
          <w:rFonts w:eastAsiaTheme="minorHAnsi" w:cs="Verdana"/>
          <w:color w:val="000000"/>
          <w:sz w:val="20"/>
          <w:szCs w:val="20"/>
          <w:lang w:eastAsia="en-US"/>
        </w:rPr>
        <w:t>13</w:t>
      </w:r>
      <w:r w:rsidR="00F77DA9">
        <w:rPr>
          <w:rStyle w:val="FootnoteReference"/>
          <w:rFonts w:eastAsiaTheme="minorHAnsi" w:cs="Verdana"/>
          <w:color w:val="000000"/>
          <w:sz w:val="20"/>
          <w:szCs w:val="20"/>
          <w:lang w:eastAsia="en-US"/>
        </w:rPr>
        <w:footnoteReference w:id="119"/>
      </w:r>
      <w:r w:rsidR="00A54B13" w:rsidRPr="004926CE">
        <w:rPr>
          <w:rFonts w:eastAsiaTheme="minorHAnsi" w:cs="Verdana"/>
          <w:color w:val="000000"/>
          <w:sz w:val="20"/>
          <w:szCs w:val="20"/>
          <w:lang w:eastAsia="en-US"/>
        </w:rPr>
        <w:t>, 11</w:t>
      </w:r>
      <w:r w:rsidR="00F77DA9">
        <w:rPr>
          <w:rStyle w:val="FootnoteReference"/>
          <w:rFonts w:eastAsiaTheme="minorHAnsi" w:cs="Verdana"/>
          <w:color w:val="000000"/>
          <w:sz w:val="20"/>
          <w:szCs w:val="20"/>
          <w:lang w:eastAsia="en-US"/>
        </w:rPr>
        <w:footnoteReference w:id="120"/>
      </w:r>
      <w:r w:rsidR="00A54B13" w:rsidRPr="004926CE">
        <w:rPr>
          <w:rFonts w:eastAsiaTheme="minorHAnsi" w:cs="Verdana"/>
          <w:color w:val="000000"/>
          <w:sz w:val="20"/>
          <w:szCs w:val="20"/>
          <w:lang w:eastAsia="en-US"/>
        </w:rPr>
        <w:t xml:space="preserve"> y 7</w:t>
      </w:r>
      <w:r w:rsidR="00F77DA9">
        <w:rPr>
          <w:rStyle w:val="FootnoteReference"/>
          <w:rFonts w:eastAsiaTheme="minorHAnsi" w:cs="Verdana"/>
          <w:color w:val="000000"/>
          <w:sz w:val="20"/>
          <w:szCs w:val="20"/>
          <w:lang w:eastAsia="en-US"/>
        </w:rPr>
        <w:footnoteReference w:id="121"/>
      </w:r>
      <w:r w:rsidR="008016C2" w:rsidRPr="004926CE">
        <w:rPr>
          <w:rFonts w:eastAsiaTheme="minorHAnsi" w:cs="Verdana"/>
          <w:color w:val="000000"/>
          <w:sz w:val="20"/>
          <w:szCs w:val="20"/>
          <w:lang w:eastAsia="en-US"/>
        </w:rPr>
        <w:t>). Asimismo, analizará los derechos a las garantías judiciales y protección judicial (artículo</w:t>
      </w:r>
      <w:r w:rsidR="00A54B13" w:rsidRPr="004926CE">
        <w:rPr>
          <w:rFonts w:eastAsiaTheme="minorHAnsi" w:cs="Verdana"/>
          <w:color w:val="000000"/>
          <w:sz w:val="20"/>
          <w:szCs w:val="20"/>
          <w:lang w:eastAsia="en-US"/>
        </w:rPr>
        <w:t>s</w:t>
      </w:r>
      <w:r w:rsidR="008016C2" w:rsidRPr="004926CE">
        <w:rPr>
          <w:rFonts w:eastAsiaTheme="minorHAnsi" w:cs="Verdana"/>
          <w:color w:val="000000"/>
          <w:sz w:val="20"/>
          <w:szCs w:val="20"/>
          <w:lang w:eastAsia="en-US"/>
        </w:rPr>
        <w:t xml:space="preserve"> </w:t>
      </w:r>
      <w:r w:rsidR="00A54B13" w:rsidRPr="004926CE">
        <w:rPr>
          <w:rFonts w:eastAsiaTheme="minorHAnsi" w:cstheme="minorBidi"/>
          <w:sz w:val="20"/>
          <w:szCs w:val="20"/>
          <w:lang w:val="es-AR" w:eastAsia="en-US"/>
        </w:rPr>
        <w:t>8</w:t>
      </w:r>
      <w:r w:rsidR="00A54B13" w:rsidRPr="00E67349">
        <w:rPr>
          <w:rFonts w:eastAsiaTheme="minorHAnsi"/>
          <w:sz w:val="20"/>
          <w:szCs w:val="20"/>
          <w:vertAlign w:val="superscript"/>
          <w:lang w:val="es-AR" w:eastAsia="en-US"/>
        </w:rPr>
        <w:footnoteReference w:id="122"/>
      </w:r>
      <w:r w:rsidR="00A54B13" w:rsidRPr="004926CE">
        <w:rPr>
          <w:rFonts w:eastAsiaTheme="minorHAnsi" w:cstheme="minorBidi"/>
          <w:sz w:val="20"/>
          <w:szCs w:val="20"/>
          <w:lang w:val="es-AR" w:eastAsia="en-US"/>
        </w:rPr>
        <w:t xml:space="preserve"> y 25</w:t>
      </w:r>
      <w:r w:rsidR="00A54B13" w:rsidRPr="00E67349">
        <w:rPr>
          <w:rFonts w:eastAsiaTheme="minorHAnsi"/>
          <w:sz w:val="20"/>
          <w:szCs w:val="20"/>
          <w:vertAlign w:val="superscript"/>
          <w:lang w:val="es-AR" w:eastAsia="en-US"/>
        </w:rPr>
        <w:footnoteReference w:id="123"/>
      </w:r>
      <w:r w:rsidR="008016C2" w:rsidRPr="004926CE">
        <w:rPr>
          <w:rFonts w:eastAsiaTheme="minorHAnsi" w:cs="Verdana"/>
          <w:color w:val="000000"/>
          <w:sz w:val="20"/>
          <w:szCs w:val="20"/>
          <w:lang w:eastAsia="en-US"/>
        </w:rPr>
        <w:t>)</w:t>
      </w:r>
      <w:r w:rsidR="00501509">
        <w:rPr>
          <w:rFonts w:eastAsiaTheme="minorHAnsi" w:cs="Verdana"/>
          <w:color w:val="000000"/>
          <w:sz w:val="20"/>
          <w:szCs w:val="20"/>
          <w:lang w:eastAsia="en-US"/>
        </w:rPr>
        <w:t>,</w:t>
      </w:r>
      <w:r w:rsidR="008016C2" w:rsidRPr="004926CE">
        <w:rPr>
          <w:rFonts w:eastAsiaTheme="minorHAnsi" w:cs="Verdana"/>
          <w:color w:val="000000"/>
          <w:sz w:val="20"/>
          <w:szCs w:val="20"/>
          <w:lang w:eastAsia="en-US"/>
        </w:rPr>
        <w:t xml:space="preserve"> y el derecho a la integridad personal respecto de los familiares (artículo 5), todos ellos </w:t>
      </w:r>
      <w:r w:rsidR="00F002D3" w:rsidRPr="004926CE">
        <w:rPr>
          <w:rFonts w:eastAsiaTheme="minorHAnsi" w:cs="Verdana"/>
          <w:color w:val="000000"/>
          <w:sz w:val="20"/>
          <w:szCs w:val="20"/>
          <w:lang w:eastAsia="en-US"/>
        </w:rPr>
        <w:t>en relación con el artículo 1.1</w:t>
      </w:r>
      <w:r w:rsidR="00F002D3">
        <w:rPr>
          <w:rStyle w:val="FootnoteReference"/>
          <w:rFonts w:eastAsiaTheme="minorHAnsi" w:cs="Verdana"/>
          <w:color w:val="000000"/>
          <w:sz w:val="20"/>
          <w:szCs w:val="20"/>
          <w:lang w:eastAsia="en-US"/>
        </w:rPr>
        <w:footnoteReference w:id="124"/>
      </w:r>
      <w:r w:rsidR="00F002D3" w:rsidRPr="004926CE">
        <w:rPr>
          <w:rFonts w:eastAsiaTheme="minorHAnsi" w:cs="Verdana"/>
          <w:color w:val="000000"/>
          <w:sz w:val="20"/>
          <w:szCs w:val="20"/>
          <w:lang w:eastAsia="en-US"/>
        </w:rPr>
        <w:t xml:space="preserve"> </w:t>
      </w:r>
      <w:r w:rsidR="008016C2" w:rsidRPr="004926CE">
        <w:rPr>
          <w:rFonts w:eastAsiaTheme="minorHAnsi" w:cs="Verdana"/>
          <w:color w:val="000000"/>
          <w:sz w:val="20"/>
          <w:szCs w:val="20"/>
          <w:lang w:eastAsia="en-US"/>
        </w:rPr>
        <w:t>de la Convención Americana sobre Derechos Humanos.</w:t>
      </w:r>
    </w:p>
    <w:p w14:paraId="2EDB6F17" w14:textId="77777777" w:rsidR="00A83854" w:rsidRDefault="00A83854" w:rsidP="00A83854"/>
    <w:p w14:paraId="33418053" w14:textId="77777777" w:rsidR="002570D1" w:rsidRPr="002570D1" w:rsidRDefault="002570D1" w:rsidP="002570D1">
      <w:pPr>
        <w:pStyle w:val="Title"/>
      </w:pPr>
      <w:bookmarkStart w:id="68" w:name="_Toc504484529"/>
      <w:bookmarkStart w:id="69" w:name="_Toc513644458"/>
      <w:r w:rsidRPr="002570D1">
        <w:t>V</w:t>
      </w:r>
      <w:r w:rsidR="00024506">
        <w:t>I</w:t>
      </w:r>
      <w:r w:rsidRPr="002570D1">
        <w:t>I-1</w:t>
      </w:r>
      <w:bookmarkEnd w:id="68"/>
      <w:bookmarkEnd w:id="69"/>
    </w:p>
    <w:p w14:paraId="72E4C81E" w14:textId="7837A7AC" w:rsidR="002570D1" w:rsidRPr="002570D1" w:rsidRDefault="002570D1" w:rsidP="002570D1">
      <w:pPr>
        <w:pStyle w:val="Title"/>
      </w:pPr>
      <w:bookmarkStart w:id="70" w:name="_Toc513644459"/>
      <w:r w:rsidRPr="002570D1">
        <w:t>DERECHO</w:t>
      </w:r>
      <w:r w:rsidR="00386E16">
        <w:t>S</w:t>
      </w:r>
      <w:r w:rsidRPr="002570D1">
        <w:t xml:space="preserve"> A LA SALUD, VIDA, INTEGRIDAD </w:t>
      </w:r>
      <w:r w:rsidR="005430FF">
        <w:t>Y ACCESO A LA</w:t>
      </w:r>
      <w:r w:rsidRPr="002570D1">
        <w:t xml:space="preserve"> INFORMACIÓN</w:t>
      </w:r>
      <w:bookmarkEnd w:id="70"/>
    </w:p>
    <w:p w14:paraId="4DDE0A2E" w14:textId="77777777" w:rsidR="002570D1" w:rsidRPr="002570D1" w:rsidRDefault="002570D1" w:rsidP="002570D1">
      <w:pPr>
        <w:pStyle w:val="Title"/>
      </w:pPr>
      <w:bookmarkStart w:id="71" w:name="_Toc513644460"/>
      <w:r w:rsidRPr="002570D1">
        <w:t>(ARTÍCULOS 26, 1.1, 4, 5</w:t>
      </w:r>
      <w:r w:rsidR="009536AC">
        <w:t xml:space="preserve">, </w:t>
      </w:r>
      <w:r w:rsidRPr="002570D1">
        <w:t>13</w:t>
      </w:r>
      <w:r w:rsidR="009536AC">
        <w:t>, 7 Y 11</w:t>
      </w:r>
      <w:r w:rsidRPr="002570D1">
        <w:t xml:space="preserve"> DE LA CONVENCIÓN AMERICANA)</w:t>
      </w:r>
      <w:bookmarkEnd w:id="71"/>
    </w:p>
    <w:p w14:paraId="5A39541C" w14:textId="77777777" w:rsidR="002570D1" w:rsidRPr="002570D1" w:rsidRDefault="002570D1" w:rsidP="002570D1">
      <w:pPr>
        <w:rPr>
          <w:rFonts w:eastAsia="Calibri"/>
          <w:sz w:val="20"/>
          <w:szCs w:val="20"/>
          <w:lang w:val="es-ES_tradnl" w:eastAsia="en-US"/>
        </w:rPr>
      </w:pPr>
    </w:p>
    <w:p w14:paraId="645CA85C" w14:textId="77777777" w:rsidR="002570D1" w:rsidRPr="00EB31AC" w:rsidRDefault="002570D1" w:rsidP="002726E0">
      <w:pPr>
        <w:pStyle w:val="Heading2"/>
        <w:numPr>
          <w:ilvl w:val="0"/>
          <w:numId w:val="18"/>
        </w:numPr>
      </w:pPr>
      <w:bookmarkStart w:id="72" w:name="_Toc513644461"/>
      <w:r w:rsidRPr="00EB31AC">
        <w:t>Argumentos de las partes y de la Comisión</w:t>
      </w:r>
      <w:bookmarkEnd w:id="72"/>
    </w:p>
    <w:p w14:paraId="51B3CABB" w14:textId="77777777" w:rsidR="002570D1" w:rsidRPr="002570D1" w:rsidRDefault="002570D1" w:rsidP="002570D1">
      <w:pPr>
        <w:ind w:left="1440"/>
        <w:contextualSpacing/>
        <w:rPr>
          <w:rFonts w:eastAsia="Calibri"/>
          <w:b/>
          <w:i/>
          <w:sz w:val="20"/>
          <w:szCs w:val="20"/>
          <w:lang w:val="es-ES_tradnl" w:eastAsia="en-US"/>
        </w:rPr>
      </w:pPr>
    </w:p>
    <w:p w14:paraId="797544B1" w14:textId="4F21D78C" w:rsidR="002570D1" w:rsidRPr="00EB31AC" w:rsidRDefault="002570D1" w:rsidP="00EB31AC">
      <w:pPr>
        <w:pStyle w:val="Heading3"/>
        <w:numPr>
          <w:ilvl w:val="0"/>
          <w:numId w:val="19"/>
        </w:numPr>
        <w:rPr>
          <w:b/>
        </w:rPr>
      </w:pPr>
      <w:bookmarkStart w:id="73" w:name="_Toc513644462"/>
      <w:r w:rsidRPr="00EB31AC">
        <w:rPr>
          <w:b/>
        </w:rPr>
        <w:t xml:space="preserve">Relativos al </w:t>
      </w:r>
      <w:r w:rsidR="00135E3E">
        <w:rPr>
          <w:b/>
        </w:rPr>
        <w:t>d</w:t>
      </w:r>
      <w:r w:rsidRPr="00EB31AC">
        <w:rPr>
          <w:b/>
        </w:rPr>
        <w:t xml:space="preserve">erecho a la </w:t>
      </w:r>
      <w:r w:rsidR="00135E3E">
        <w:rPr>
          <w:b/>
        </w:rPr>
        <w:t>s</w:t>
      </w:r>
      <w:r w:rsidRPr="00EB31AC">
        <w:rPr>
          <w:b/>
        </w:rPr>
        <w:t>alud</w:t>
      </w:r>
      <w:bookmarkEnd w:id="73"/>
    </w:p>
    <w:p w14:paraId="22D9358F" w14:textId="77777777" w:rsidR="002570D1" w:rsidRPr="002570D1" w:rsidRDefault="002570D1" w:rsidP="002570D1">
      <w:pPr>
        <w:ind w:left="723"/>
        <w:contextualSpacing/>
        <w:rPr>
          <w:rFonts w:eastAsia="Calibri"/>
          <w:i/>
          <w:sz w:val="20"/>
          <w:szCs w:val="20"/>
          <w:lang w:val="es-ES_tradnl" w:eastAsia="en-US"/>
        </w:rPr>
      </w:pPr>
    </w:p>
    <w:p w14:paraId="01E88126" w14:textId="1AB88B16" w:rsidR="002570D1" w:rsidRPr="002570D1" w:rsidRDefault="002570D1" w:rsidP="002570D1">
      <w:pPr>
        <w:numPr>
          <w:ilvl w:val="0"/>
          <w:numId w:val="2"/>
        </w:numPr>
        <w:tabs>
          <w:tab w:val="left" w:pos="567"/>
          <w:tab w:val="num" w:pos="1569"/>
          <w:tab w:val="num" w:pos="12305"/>
        </w:tabs>
        <w:ind w:left="0" w:firstLine="0"/>
        <w:rPr>
          <w:rFonts w:eastAsiaTheme="minorHAnsi" w:cstheme="minorBidi"/>
          <w:b/>
          <w:sz w:val="20"/>
          <w:szCs w:val="20"/>
          <w:lang w:val="es-AR" w:eastAsia="en-US"/>
        </w:rPr>
      </w:pPr>
      <w:r w:rsidRPr="002570D1">
        <w:rPr>
          <w:rFonts w:eastAsiaTheme="minorHAnsi" w:cstheme="minorBidi"/>
          <w:sz w:val="20"/>
          <w:szCs w:val="20"/>
          <w:lang w:val="es-AR" w:eastAsia="en-US"/>
        </w:rPr>
        <w:t xml:space="preserve">La </w:t>
      </w:r>
      <w:r w:rsidRPr="002570D1">
        <w:rPr>
          <w:rFonts w:eastAsiaTheme="minorHAnsi" w:cstheme="minorBidi"/>
          <w:b/>
          <w:i/>
          <w:sz w:val="20"/>
          <w:szCs w:val="20"/>
          <w:lang w:val="es-AR" w:eastAsia="en-US"/>
        </w:rPr>
        <w:t>Comisión</w:t>
      </w:r>
      <w:r w:rsidRPr="002570D1">
        <w:rPr>
          <w:rFonts w:eastAsiaTheme="minorHAnsi" w:cstheme="minorBidi"/>
          <w:sz w:val="20"/>
          <w:szCs w:val="20"/>
          <w:lang w:val="es-AR" w:eastAsia="en-US"/>
        </w:rPr>
        <w:t xml:space="preserve"> no </w:t>
      </w:r>
      <w:r w:rsidR="009536AC">
        <w:rPr>
          <w:rFonts w:eastAsiaTheme="minorHAnsi" w:cstheme="minorBidi"/>
          <w:sz w:val="20"/>
          <w:szCs w:val="20"/>
          <w:lang w:val="es-AR" w:eastAsia="en-US"/>
        </w:rPr>
        <w:t>alegó</w:t>
      </w:r>
      <w:r w:rsidRPr="002570D1">
        <w:rPr>
          <w:rFonts w:eastAsiaTheme="minorHAnsi" w:cstheme="minorBidi"/>
          <w:sz w:val="20"/>
          <w:szCs w:val="20"/>
          <w:lang w:val="es-AR" w:eastAsia="en-US"/>
        </w:rPr>
        <w:t xml:space="preserve"> la violación autónoma del derecho a la salud</w:t>
      </w:r>
      <w:r w:rsidR="00A20D88">
        <w:rPr>
          <w:rFonts w:eastAsiaTheme="minorHAnsi" w:cstheme="minorBidi"/>
          <w:sz w:val="20"/>
          <w:szCs w:val="20"/>
          <w:lang w:val="es-AR" w:eastAsia="en-US"/>
        </w:rPr>
        <w:t xml:space="preserve"> ni se pronunció al respecto en su Informe de Fondo</w:t>
      </w:r>
      <w:r w:rsidRPr="002570D1">
        <w:rPr>
          <w:rFonts w:eastAsiaTheme="minorHAnsi" w:cstheme="minorBidi"/>
          <w:sz w:val="20"/>
          <w:szCs w:val="20"/>
          <w:lang w:val="es-AR" w:eastAsia="en-US"/>
        </w:rPr>
        <w:t>. Sin embargo, en su</w:t>
      </w:r>
      <w:r w:rsidR="00202430">
        <w:rPr>
          <w:rFonts w:eastAsiaTheme="minorHAnsi" w:cstheme="minorBidi"/>
          <w:sz w:val="20"/>
          <w:szCs w:val="20"/>
          <w:lang w:val="es-AR" w:eastAsia="en-US"/>
        </w:rPr>
        <w:t>s</w:t>
      </w:r>
      <w:r w:rsidRPr="002570D1">
        <w:rPr>
          <w:rFonts w:eastAsiaTheme="minorHAnsi" w:cstheme="minorBidi"/>
          <w:sz w:val="20"/>
          <w:szCs w:val="20"/>
          <w:lang w:val="es-AR" w:eastAsia="en-US"/>
        </w:rPr>
        <w:t xml:space="preserve"> </w:t>
      </w:r>
      <w:r w:rsidR="009536AC">
        <w:rPr>
          <w:rFonts w:eastAsiaTheme="minorHAnsi" w:cstheme="minorBidi"/>
          <w:sz w:val="20"/>
          <w:szCs w:val="20"/>
          <w:lang w:val="es-AR" w:eastAsia="en-US"/>
        </w:rPr>
        <w:t>o</w:t>
      </w:r>
      <w:r w:rsidRPr="002570D1">
        <w:rPr>
          <w:rFonts w:eastAsiaTheme="minorHAnsi" w:cstheme="minorBidi"/>
          <w:sz w:val="20"/>
          <w:szCs w:val="20"/>
          <w:lang w:val="es-AR" w:eastAsia="en-US"/>
        </w:rPr>
        <w:t>bservaci</w:t>
      </w:r>
      <w:r w:rsidR="00202430">
        <w:rPr>
          <w:rFonts w:eastAsiaTheme="minorHAnsi" w:cstheme="minorBidi"/>
          <w:sz w:val="20"/>
          <w:szCs w:val="20"/>
          <w:lang w:val="es-AR" w:eastAsia="en-US"/>
        </w:rPr>
        <w:t>o</w:t>
      </w:r>
      <w:r w:rsidRPr="002570D1">
        <w:rPr>
          <w:rFonts w:eastAsiaTheme="minorHAnsi" w:cstheme="minorBidi"/>
          <w:sz w:val="20"/>
          <w:szCs w:val="20"/>
          <w:lang w:val="es-AR" w:eastAsia="en-US"/>
        </w:rPr>
        <w:t>n</w:t>
      </w:r>
      <w:r w:rsidR="00202430">
        <w:rPr>
          <w:rFonts w:eastAsiaTheme="minorHAnsi" w:cstheme="minorBidi"/>
          <w:sz w:val="20"/>
          <w:szCs w:val="20"/>
          <w:lang w:val="es-AR" w:eastAsia="en-US"/>
        </w:rPr>
        <w:t>es</w:t>
      </w:r>
      <w:r w:rsidRPr="002570D1">
        <w:rPr>
          <w:rFonts w:eastAsiaTheme="minorHAnsi" w:cstheme="minorBidi"/>
          <w:sz w:val="20"/>
          <w:szCs w:val="20"/>
          <w:lang w:val="es-AR" w:eastAsia="en-US"/>
        </w:rPr>
        <w:t xml:space="preserve"> </w:t>
      </w:r>
      <w:r w:rsidR="009536AC">
        <w:rPr>
          <w:rFonts w:eastAsiaTheme="minorHAnsi" w:cstheme="minorBidi"/>
          <w:sz w:val="20"/>
          <w:szCs w:val="20"/>
          <w:lang w:val="es-AR" w:eastAsia="en-US"/>
        </w:rPr>
        <w:t>f</w:t>
      </w:r>
      <w:r w:rsidRPr="002570D1">
        <w:rPr>
          <w:rFonts w:eastAsiaTheme="minorHAnsi" w:cstheme="minorBidi"/>
          <w:sz w:val="20"/>
          <w:szCs w:val="20"/>
          <w:lang w:val="es-AR" w:eastAsia="en-US"/>
        </w:rPr>
        <w:t>inal</w:t>
      </w:r>
      <w:r w:rsidR="00202430">
        <w:rPr>
          <w:rFonts w:eastAsiaTheme="minorHAnsi" w:cstheme="minorBidi"/>
          <w:sz w:val="20"/>
          <w:szCs w:val="20"/>
          <w:lang w:val="es-AR" w:eastAsia="en-US"/>
        </w:rPr>
        <w:t>es</w:t>
      </w:r>
      <w:r w:rsidRPr="002570D1">
        <w:rPr>
          <w:rFonts w:eastAsiaTheme="minorHAnsi" w:cstheme="minorBidi"/>
          <w:sz w:val="20"/>
          <w:szCs w:val="20"/>
          <w:lang w:val="es-AR" w:eastAsia="en-US"/>
        </w:rPr>
        <w:t xml:space="preserve"> escrita</w:t>
      </w:r>
      <w:r w:rsidR="00202430">
        <w:rPr>
          <w:rFonts w:eastAsiaTheme="minorHAnsi" w:cstheme="minorBidi"/>
          <w:sz w:val="20"/>
          <w:szCs w:val="20"/>
          <w:lang w:val="es-AR" w:eastAsia="en-US"/>
        </w:rPr>
        <w:t>s</w:t>
      </w:r>
      <w:r w:rsidRPr="002570D1">
        <w:rPr>
          <w:rFonts w:eastAsiaTheme="minorHAnsi" w:cstheme="minorBidi"/>
          <w:sz w:val="20"/>
          <w:szCs w:val="20"/>
          <w:lang w:val="es-AR" w:eastAsia="en-US"/>
        </w:rPr>
        <w:t xml:space="preserve">, señaló </w:t>
      </w:r>
      <w:r w:rsidR="005B4D59">
        <w:rPr>
          <w:rFonts w:eastAsiaTheme="minorHAnsi" w:cstheme="minorBidi"/>
          <w:sz w:val="20"/>
          <w:szCs w:val="20"/>
          <w:lang w:val="es-AR" w:eastAsia="en-US"/>
        </w:rPr>
        <w:t>“</w:t>
      </w:r>
      <w:r w:rsidRPr="002570D1">
        <w:rPr>
          <w:rFonts w:eastAsiaTheme="minorHAnsi" w:cstheme="minorBidi"/>
          <w:sz w:val="20"/>
          <w:szCs w:val="20"/>
          <w:lang w:val="es-AR" w:eastAsia="en-US"/>
        </w:rPr>
        <w:t>que considera importante que sin perjuicio de la información que ha aportado el Estado sobre avances más recientes en materia de protección de derechos económicos, sociales y culturales en Chile, la Corte realice las determinaciones que correspondan en relación con el momento en que tuvieron lugar los hechos y las violaciones específicas identificadas en el presente caso</w:t>
      </w:r>
      <w:r w:rsidR="005B4D59">
        <w:rPr>
          <w:rFonts w:eastAsiaTheme="minorHAnsi" w:cstheme="minorBidi"/>
          <w:sz w:val="20"/>
          <w:szCs w:val="20"/>
          <w:lang w:val="es-AR" w:eastAsia="en-US"/>
        </w:rPr>
        <w:t>”</w:t>
      </w:r>
      <w:r w:rsidR="00353A88">
        <w:rPr>
          <w:rFonts w:eastAsiaTheme="minorHAnsi" w:cstheme="minorBidi"/>
          <w:sz w:val="20"/>
          <w:szCs w:val="20"/>
          <w:lang w:val="es-AR" w:eastAsia="en-US"/>
        </w:rPr>
        <w:t xml:space="preserve">. </w:t>
      </w:r>
      <w:r w:rsidRPr="002570D1">
        <w:rPr>
          <w:rFonts w:eastAsiaTheme="minorHAnsi" w:cstheme="minorBidi"/>
          <w:sz w:val="20"/>
          <w:szCs w:val="20"/>
          <w:lang w:val="es-AR" w:eastAsia="en-US"/>
        </w:rPr>
        <w:t xml:space="preserve">Manifestó que </w:t>
      </w:r>
      <w:r w:rsidR="002C11BA">
        <w:rPr>
          <w:rFonts w:eastAsiaTheme="minorHAnsi" w:cstheme="minorBidi"/>
          <w:sz w:val="20"/>
          <w:szCs w:val="20"/>
          <w:lang w:val="es-AR" w:eastAsia="en-US"/>
        </w:rPr>
        <w:t xml:space="preserve">se trata de </w:t>
      </w:r>
      <w:r w:rsidRPr="002570D1">
        <w:rPr>
          <w:rFonts w:eastAsiaTheme="minorHAnsi" w:cstheme="minorBidi"/>
          <w:sz w:val="20"/>
          <w:szCs w:val="20"/>
          <w:lang w:val="es-AR" w:eastAsia="en-US"/>
        </w:rPr>
        <w:t xml:space="preserve">una oportunidad para abordar supuestos de responsabilidad estatal </w:t>
      </w:r>
      <w:r w:rsidRPr="002570D1">
        <w:rPr>
          <w:rFonts w:eastAsiaTheme="minorHAnsi" w:cstheme="minorBidi"/>
          <w:sz w:val="20"/>
          <w:szCs w:val="20"/>
          <w:lang w:val="es-AR" w:eastAsia="en-US"/>
        </w:rPr>
        <w:lastRenderedPageBreak/>
        <w:t xml:space="preserve">derivados de deficiencias estructurales en hospitales públicos. Asimismo, la Comisión </w:t>
      </w:r>
      <w:r w:rsidR="00353A88">
        <w:rPr>
          <w:rFonts w:eastAsiaTheme="minorHAnsi" w:cstheme="minorBidi"/>
          <w:sz w:val="20"/>
          <w:szCs w:val="20"/>
          <w:lang w:val="es-AR" w:eastAsia="en-US"/>
        </w:rPr>
        <w:t xml:space="preserve">expresó </w:t>
      </w:r>
      <w:r w:rsidRPr="002570D1">
        <w:rPr>
          <w:rFonts w:eastAsiaTheme="minorHAnsi" w:cstheme="minorBidi"/>
          <w:sz w:val="20"/>
          <w:szCs w:val="20"/>
          <w:lang w:val="es-AR" w:eastAsia="en-US"/>
        </w:rPr>
        <w:t>que el caso plantea la posibilidad de analizar situaciones particulares de vulnerabilidad en el acceso al derecho a la salud y al sistema de salud pública, específicamente en relación con las personas adultas mayores y también las consideraciones sobre la</w:t>
      </w:r>
      <w:r w:rsidR="002C11BA">
        <w:rPr>
          <w:rFonts w:eastAsiaTheme="minorHAnsi" w:cstheme="minorBidi"/>
          <w:sz w:val="20"/>
          <w:szCs w:val="20"/>
          <w:lang w:val="es-AR" w:eastAsia="en-US"/>
        </w:rPr>
        <w:t xml:space="preserve"> protección adecuada de los</w:t>
      </w:r>
      <w:r w:rsidRPr="002570D1">
        <w:rPr>
          <w:rFonts w:eastAsiaTheme="minorHAnsi" w:cstheme="minorBidi"/>
          <w:sz w:val="20"/>
          <w:szCs w:val="20"/>
          <w:lang w:val="es-AR" w:eastAsia="en-US"/>
        </w:rPr>
        <w:t xml:space="preserve"> derechos de las personas en situación</w:t>
      </w:r>
      <w:r w:rsidR="002C11BA">
        <w:rPr>
          <w:rFonts w:eastAsiaTheme="minorHAnsi" w:cstheme="minorBidi"/>
          <w:sz w:val="20"/>
          <w:szCs w:val="20"/>
          <w:lang w:val="es-AR" w:eastAsia="en-US"/>
        </w:rPr>
        <w:t xml:space="preserve"> de pobreza</w:t>
      </w:r>
      <w:r w:rsidRPr="002570D1">
        <w:rPr>
          <w:rFonts w:eastAsiaTheme="minorHAnsi" w:cstheme="minorBidi"/>
          <w:sz w:val="20"/>
          <w:szCs w:val="20"/>
          <w:lang w:val="es-AR" w:eastAsia="en-US"/>
        </w:rPr>
        <w:t>, y la aplicación del principio de igualdad y no discriminación</w:t>
      </w:r>
      <w:r w:rsidRPr="00B1523A">
        <w:rPr>
          <w:rFonts w:eastAsiaTheme="minorHAnsi" w:cstheme="minorBidi"/>
          <w:sz w:val="20"/>
          <w:szCs w:val="20"/>
          <w:lang w:val="es-AR" w:eastAsia="en-US"/>
        </w:rPr>
        <w:t>.</w:t>
      </w:r>
      <w:r w:rsidRPr="002570D1">
        <w:rPr>
          <w:rFonts w:eastAsiaTheme="minorHAnsi" w:cstheme="minorBidi"/>
          <w:b/>
          <w:sz w:val="20"/>
          <w:szCs w:val="20"/>
          <w:lang w:val="es-AR" w:eastAsia="en-US"/>
        </w:rPr>
        <w:t xml:space="preserve"> </w:t>
      </w:r>
    </w:p>
    <w:p w14:paraId="4FAF4C3F" w14:textId="77777777" w:rsidR="002570D1" w:rsidRPr="002570D1" w:rsidRDefault="002570D1" w:rsidP="002570D1">
      <w:pPr>
        <w:ind w:right="-360"/>
        <w:rPr>
          <w:rFonts w:eastAsiaTheme="minorHAnsi" w:cstheme="minorBidi"/>
          <w:b/>
          <w:sz w:val="20"/>
          <w:szCs w:val="20"/>
          <w:lang w:val="es-AR" w:eastAsia="en-US"/>
        </w:rPr>
      </w:pPr>
    </w:p>
    <w:p w14:paraId="130CE4A2" w14:textId="412D476D" w:rsidR="002570D1" w:rsidRPr="002570D1" w:rsidRDefault="002570D1" w:rsidP="002570D1">
      <w:pPr>
        <w:numPr>
          <w:ilvl w:val="0"/>
          <w:numId w:val="2"/>
        </w:numPr>
        <w:tabs>
          <w:tab w:val="left" w:pos="567"/>
          <w:tab w:val="num" w:pos="1569"/>
          <w:tab w:val="num" w:pos="12305"/>
        </w:tabs>
        <w:ind w:left="0" w:firstLine="0"/>
        <w:rPr>
          <w:rFonts w:eastAsiaTheme="minorHAnsi" w:cstheme="minorBidi"/>
          <w:b/>
          <w:sz w:val="20"/>
          <w:szCs w:val="20"/>
          <w:lang w:val="es-AR" w:eastAsia="en-US"/>
        </w:rPr>
      </w:pPr>
      <w:r w:rsidRPr="002570D1">
        <w:rPr>
          <w:rFonts w:eastAsiaTheme="minorHAnsi" w:cstheme="minorBidi"/>
          <w:sz w:val="20"/>
          <w:szCs w:val="20"/>
          <w:lang w:val="es-AR" w:eastAsia="en-US"/>
        </w:rPr>
        <w:t xml:space="preserve">Las </w:t>
      </w:r>
      <w:r w:rsidR="0017482E">
        <w:rPr>
          <w:rFonts w:eastAsiaTheme="minorHAnsi" w:cstheme="minorBidi"/>
          <w:b/>
          <w:i/>
          <w:sz w:val="20"/>
          <w:szCs w:val="20"/>
          <w:lang w:val="es-AR" w:eastAsia="en-US"/>
        </w:rPr>
        <w:t>r</w:t>
      </w:r>
      <w:r w:rsidRPr="002570D1">
        <w:rPr>
          <w:rFonts w:eastAsiaTheme="minorHAnsi" w:cstheme="minorBidi"/>
          <w:b/>
          <w:i/>
          <w:sz w:val="20"/>
          <w:szCs w:val="20"/>
          <w:lang w:val="es-AR" w:eastAsia="en-US"/>
        </w:rPr>
        <w:t>epresentantes</w:t>
      </w:r>
      <w:r w:rsidRPr="002570D1">
        <w:rPr>
          <w:rFonts w:eastAsiaTheme="minorHAnsi" w:cstheme="minorBidi"/>
          <w:b/>
          <w:sz w:val="20"/>
          <w:szCs w:val="20"/>
          <w:lang w:val="es-AR" w:eastAsia="en-US"/>
        </w:rPr>
        <w:t xml:space="preserve"> </w:t>
      </w:r>
      <w:r w:rsidRPr="002570D1">
        <w:rPr>
          <w:rFonts w:eastAsiaTheme="minorHAnsi" w:cstheme="minorBidi"/>
          <w:sz w:val="20"/>
          <w:szCs w:val="20"/>
          <w:lang w:val="es-AR" w:eastAsia="en-US"/>
        </w:rPr>
        <w:t>alegaron que el Estado violó el derecho a la salud y el derecho a la seguridad social, previstos en el artículo 26 de la Convención, de forma autónoma</w:t>
      </w:r>
      <w:r w:rsidRPr="00B1523A">
        <w:rPr>
          <w:rFonts w:eastAsiaTheme="minorHAnsi" w:cstheme="minorBidi"/>
          <w:sz w:val="20"/>
          <w:szCs w:val="20"/>
          <w:lang w:val="es-AR" w:eastAsia="en-US"/>
        </w:rPr>
        <w:t>.</w:t>
      </w:r>
      <w:r w:rsidRPr="002570D1">
        <w:rPr>
          <w:rFonts w:eastAsiaTheme="minorHAnsi" w:cstheme="minorBidi"/>
          <w:b/>
          <w:sz w:val="20"/>
          <w:szCs w:val="20"/>
          <w:lang w:val="es-AR" w:eastAsia="en-US"/>
        </w:rPr>
        <w:t xml:space="preserve"> </w:t>
      </w:r>
      <w:r w:rsidRPr="002570D1">
        <w:rPr>
          <w:rFonts w:eastAsiaTheme="minorHAnsi" w:cstheme="minorBidi"/>
          <w:sz w:val="20"/>
          <w:szCs w:val="20"/>
          <w:lang w:val="es-AR" w:eastAsia="en-US"/>
        </w:rPr>
        <w:t xml:space="preserve">Respecto a la </w:t>
      </w:r>
      <w:proofErr w:type="spellStart"/>
      <w:r w:rsidRPr="002570D1">
        <w:rPr>
          <w:rFonts w:eastAsiaTheme="minorHAnsi" w:cstheme="minorBidi"/>
          <w:sz w:val="20"/>
          <w:szCs w:val="20"/>
          <w:lang w:val="es-AR" w:eastAsia="en-US"/>
        </w:rPr>
        <w:t>justiciabilidad</w:t>
      </w:r>
      <w:proofErr w:type="spellEnd"/>
      <w:r w:rsidRPr="002570D1">
        <w:rPr>
          <w:rFonts w:eastAsiaTheme="minorHAnsi" w:cstheme="minorBidi"/>
          <w:sz w:val="20"/>
          <w:szCs w:val="20"/>
          <w:lang w:val="es-AR" w:eastAsia="en-US"/>
        </w:rPr>
        <w:t xml:space="preserve"> directa de los DESC</w:t>
      </w:r>
      <w:r w:rsidR="00713D68">
        <w:rPr>
          <w:rFonts w:eastAsiaTheme="minorHAnsi" w:cstheme="minorBidi"/>
          <w:sz w:val="20"/>
          <w:szCs w:val="20"/>
          <w:lang w:val="es-AR" w:eastAsia="en-US"/>
        </w:rPr>
        <w:t>A</w:t>
      </w:r>
      <w:r w:rsidR="00847ED2">
        <w:rPr>
          <w:rFonts w:eastAsiaTheme="minorHAnsi" w:cstheme="minorBidi"/>
          <w:sz w:val="20"/>
          <w:szCs w:val="20"/>
          <w:lang w:val="es-AR" w:eastAsia="en-US"/>
        </w:rPr>
        <w:t>,</w:t>
      </w:r>
      <w:r w:rsidRPr="002570D1">
        <w:rPr>
          <w:rFonts w:eastAsiaTheme="minorHAnsi" w:cstheme="minorBidi"/>
          <w:sz w:val="20"/>
          <w:szCs w:val="20"/>
          <w:lang w:val="es-AR" w:eastAsia="en-US"/>
        </w:rPr>
        <w:t xml:space="preserve"> hicieron alusión al precedente en </w:t>
      </w:r>
      <w:r w:rsidR="0017482E">
        <w:rPr>
          <w:rFonts w:eastAsiaTheme="minorHAnsi" w:cstheme="minorBidi"/>
          <w:sz w:val="20"/>
          <w:szCs w:val="20"/>
          <w:lang w:val="es-AR" w:eastAsia="en-US"/>
        </w:rPr>
        <w:t>el caso</w:t>
      </w:r>
      <w:r w:rsidRPr="002570D1">
        <w:rPr>
          <w:rFonts w:eastAsiaTheme="minorHAnsi" w:cstheme="minorBidi"/>
          <w:sz w:val="20"/>
          <w:szCs w:val="20"/>
          <w:lang w:val="es-AR" w:eastAsia="en-US"/>
        </w:rPr>
        <w:t xml:space="preserve"> </w:t>
      </w:r>
      <w:r w:rsidRPr="002570D1">
        <w:rPr>
          <w:rFonts w:eastAsiaTheme="minorHAnsi" w:cstheme="minorBidi"/>
          <w:i/>
          <w:sz w:val="20"/>
          <w:szCs w:val="20"/>
          <w:lang w:val="es-AR" w:eastAsia="en-US"/>
        </w:rPr>
        <w:t>Lagos del Campo Vs. Perú</w:t>
      </w:r>
      <w:r w:rsidRPr="002570D1">
        <w:rPr>
          <w:rFonts w:eastAsiaTheme="minorHAnsi" w:cstheme="minorBidi"/>
          <w:sz w:val="20"/>
          <w:szCs w:val="20"/>
          <w:lang w:val="es-AR" w:eastAsia="en-US"/>
        </w:rPr>
        <w:t xml:space="preserve">, en el que por primera vez se declaró la violación autónoma del artículo 26 de la Convención Americana, por lo que entendieron que lo mismo debía suceder en este </w:t>
      </w:r>
      <w:r w:rsidR="00202430">
        <w:rPr>
          <w:rFonts w:eastAsiaTheme="minorHAnsi" w:cstheme="minorBidi"/>
          <w:sz w:val="20"/>
          <w:szCs w:val="20"/>
          <w:lang w:val="es-AR" w:eastAsia="en-US"/>
        </w:rPr>
        <w:t>c</w:t>
      </w:r>
      <w:r w:rsidRPr="002570D1">
        <w:rPr>
          <w:rFonts w:eastAsiaTheme="minorHAnsi" w:cstheme="minorBidi"/>
          <w:sz w:val="20"/>
          <w:szCs w:val="20"/>
          <w:lang w:val="es-AR" w:eastAsia="en-US"/>
        </w:rPr>
        <w:t>aso. Respecto a las obligaciones estatales, las representantes argumentaron que “algunas facetas [son] de cumplimiento inmediato por tratarse de acciones simples a cargo del [E]</w:t>
      </w:r>
      <w:proofErr w:type="spellStart"/>
      <w:r w:rsidRPr="002570D1">
        <w:rPr>
          <w:rFonts w:eastAsiaTheme="minorHAnsi" w:cstheme="minorBidi"/>
          <w:sz w:val="20"/>
          <w:szCs w:val="20"/>
          <w:lang w:val="es-AR" w:eastAsia="en-US"/>
        </w:rPr>
        <w:t>stado</w:t>
      </w:r>
      <w:proofErr w:type="spellEnd"/>
      <w:r w:rsidRPr="002570D1">
        <w:rPr>
          <w:rFonts w:eastAsiaTheme="minorHAnsi" w:cstheme="minorBidi"/>
          <w:sz w:val="20"/>
          <w:szCs w:val="20"/>
          <w:lang w:val="es-AR" w:eastAsia="en-US"/>
        </w:rPr>
        <w:t xml:space="preserve"> que no requieren mayores recursos”. Igualmente argumentaron que el carácter de progresividad de los DESC</w:t>
      </w:r>
      <w:r w:rsidR="00713D68">
        <w:rPr>
          <w:rFonts w:eastAsiaTheme="minorHAnsi" w:cstheme="minorBidi"/>
          <w:sz w:val="20"/>
          <w:szCs w:val="20"/>
          <w:lang w:val="es-AR" w:eastAsia="en-US"/>
        </w:rPr>
        <w:t>A</w:t>
      </w:r>
      <w:r w:rsidRPr="002570D1">
        <w:rPr>
          <w:rFonts w:eastAsiaTheme="minorHAnsi" w:cstheme="minorBidi"/>
          <w:sz w:val="20"/>
          <w:szCs w:val="20"/>
          <w:lang w:val="es-AR" w:eastAsia="en-US"/>
        </w:rPr>
        <w:t xml:space="preserve"> no significa que éstos “no sean exigibles o que puedan eternamente incumplirse”.</w:t>
      </w:r>
    </w:p>
    <w:p w14:paraId="70ABD9DD" w14:textId="77777777" w:rsidR="002570D1" w:rsidRPr="002570D1" w:rsidRDefault="002570D1" w:rsidP="002570D1">
      <w:pPr>
        <w:ind w:right="-360"/>
        <w:rPr>
          <w:rFonts w:eastAsiaTheme="minorHAnsi" w:cstheme="minorBidi"/>
          <w:b/>
          <w:sz w:val="20"/>
          <w:szCs w:val="20"/>
          <w:lang w:val="es-AR" w:eastAsia="en-US"/>
        </w:rPr>
      </w:pPr>
    </w:p>
    <w:p w14:paraId="0BD1EA46" w14:textId="6ECF52B6" w:rsidR="002570D1" w:rsidRPr="002570D1" w:rsidRDefault="002570D1" w:rsidP="002570D1">
      <w:pPr>
        <w:numPr>
          <w:ilvl w:val="0"/>
          <w:numId w:val="2"/>
        </w:numPr>
        <w:tabs>
          <w:tab w:val="left" w:pos="567"/>
          <w:tab w:val="num" w:pos="1569"/>
          <w:tab w:val="num" w:pos="12305"/>
        </w:tabs>
        <w:ind w:left="0" w:firstLine="0"/>
        <w:rPr>
          <w:rFonts w:eastAsiaTheme="minorHAnsi" w:cstheme="minorBidi"/>
          <w:b/>
          <w:sz w:val="20"/>
          <w:szCs w:val="20"/>
          <w:lang w:val="es-AR" w:eastAsia="en-US"/>
        </w:rPr>
      </w:pPr>
      <w:r w:rsidRPr="002570D1">
        <w:rPr>
          <w:rFonts w:eastAsiaTheme="minorHAnsi" w:cstheme="minorBidi"/>
          <w:sz w:val="20"/>
          <w:szCs w:val="20"/>
          <w:lang w:val="es-AR" w:eastAsia="en-US"/>
        </w:rPr>
        <w:t xml:space="preserve">Las </w:t>
      </w:r>
      <w:r w:rsidRPr="00B1523A">
        <w:rPr>
          <w:rFonts w:eastAsiaTheme="minorHAnsi" w:cstheme="minorBidi"/>
          <w:i/>
          <w:sz w:val="20"/>
          <w:szCs w:val="20"/>
          <w:lang w:val="es-AR" w:eastAsia="en-US"/>
        </w:rPr>
        <w:t>representantes</w:t>
      </w:r>
      <w:r w:rsidRPr="007143B1">
        <w:rPr>
          <w:rFonts w:eastAsiaTheme="minorHAnsi" w:cstheme="minorBidi"/>
          <w:sz w:val="20"/>
          <w:szCs w:val="20"/>
          <w:lang w:val="es-AR" w:eastAsia="en-US"/>
        </w:rPr>
        <w:t xml:space="preserve"> </w:t>
      </w:r>
      <w:r w:rsidRPr="002570D1">
        <w:rPr>
          <w:rFonts w:eastAsiaTheme="minorHAnsi" w:cstheme="minorBidi"/>
          <w:sz w:val="20"/>
          <w:szCs w:val="20"/>
          <w:lang w:val="es-AR" w:eastAsia="en-US"/>
        </w:rPr>
        <w:t xml:space="preserve">resaltaron que el señor Poblete Vilches era un adulto mayor “con patologías agregadas que hacían de su [situación] un caso que requería atención pronta y oportuna”. Al no proporcionar tratamiento adecuado, “el Estado de Chile falló en brindar la asistencia de salud mínima requerida que </w:t>
      </w:r>
      <w:proofErr w:type="gramStart"/>
      <w:r w:rsidRPr="002570D1">
        <w:rPr>
          <w:rFonts w:eastAsiaTheme="minorHAnsi" w:cstheme="minorBidi"/>
          <w:sz w:val="20"/>
          <w:szCs w:val="20"/>
          <w:lang w:val="es-AR" w:eastAsia="en-US"/>
        </w:rPr>
        <w:t>resulta[</w:t>
      </w:r>
      <w:proofErr w:type="spellStart"/>
      <w:proofErr w:type="gramEnd"/>
      <w:r w:rsidRPr="002570D1">
        <w:rPr>
          <w:rFonts w:eastAsiaTheme="minorHAnsi" w:cstheme="minorBidi"/>
          <w:sz w:val="20"/>
          <w:szCs w:val="20"/>
          <w:lang w:val="es-AR" w:eastAsia="en-US"/>
        </w:rPr>
        <w:t>ba</w:t>
      </w:r>
      <w:proofErr w:type="spellEnd"/>
      <w:r w:rsidRPr="002570D1">
        <w:rPr>
          <w:rFonts w:eastAsiaTheme="minorHAnsi" w:cstheme="minorBidi"/>
          <w:sz w:val="20"/>
          <w:szCs w:val="20"/>
          <w:lang w:val="es-AR" w:eastAsia="en-US"/>
        </w:rPr>
        <w:t xml:space="preserve">] exigible de manera inmediata”. Agregaron que </w:t>
      </w:r>
      <w:r w:rsidR="005F1B06">
        <w:rPr>
          <w:rFonts w:eastAsiaTheme="minorHAnsi" w:cstheme="minorBidi"/>
          <w:sz w:val="20"/>
          <w:szCs w:val="20"/>
          <w:lang w:val="es-AR" w:eastAsia="en-US"/>
        </w:rPr>
        <w:t>“[</w:t>
      </w:r>
      <w:r w:rsidRPr="002570D1">
        <w:rPr>
          <w:rFonts w:eastAsiaTheme="minorHAnsi" w:cstheme="minorBidi"/>
          <w:sz w:val="20"/>
          <w:szCs w:val="20"/>
          <w:lang w:val="es-AR" w:eastAsia="en-US"/>
        </w:rPr>
        <w:t>n</w:t>
      </w:r>
      <w:r w:rsidR="005F1B06">
        <w:rPr>
          <w:rFonts w:eastAsiaTheme="minorHAnsi" w:cstheme="minorBidi"/>
          <w:sz w:val="20"/>
          <w:szCs w:val="20"/>
          <w:lang w:val="es-AR" w:eastAsia="en-US"/>
        </w:rPr>
        <w:t>]</w:t>
      </w:r>
      <w:r w:rsidRPr="002570D1">
        <w:rPr>
          <w:rFonts w:eastAsiaTheme="minorHAnsi" w:cstheme="minorBidi"/>
          <w:sz w:val="20"/>
          <w:szCs w:val="20"/>
          <w:lang w:val="es-AR" w:eastAsia="en-US"/>
        </w:rPr>
        <w:t>o es posible entonces aquí discutir la progresividad del derecho a la salud</w:t>
      </w:r>
      <w:r w:rsidR="005F1B06">
        <w:rPr>
          <w:rFonts w:eastAsiaTheme="minorHAnsi" w:cstheme="minorBidi"/>
          <w:sz w:val="20"/>
          <w:szCs w:val="20"/>
          <w:lang w:val="es-AR" w:eastAsia="en-US"/>
        </w:rPr>
        <w:t>”</w:t>
      </w:r>
      <w:r w:rsidRPr="002570D1">
        <w:rPr>
          <w:rFonts w:eastAsiaTheme="minorHAnsi" w:cstheme="minorBidi"/>
          <w:sz w:val="20"/>
          <w:szCs w:val="20"/>
          <w:lang w:val="es-AR" w:eastAsia="en-US"/>
        </w:rPr>
        <w:t xml:space="preserve">. </w:t>
      </w:r>
      <w:r w:rsidRPr="004D2BDB">
        <w:rPr>
          <w:rFonts w:eastAsiaTheme="minorHAnsi" w:cstheme="minorBidi"/>
          <w:sz w:val="20"/>
          <w:szCs w:val="20"/>
          <w:lang w:val="es-AR" w:eastAsia="en-US"/>
        </w:rPr>
        <w:t xml:space="preserve">Asimismo, resaltaron que </w:t>
      </w:r>
      <w:r w:rsidR="00202430" w:rsidRPr="00D315EA">
        <w:rPr>
          <w:rFonts w:eastAsiaTheme="minorHAnsi" w:cstheme="minorBidi"/>
          <w:sz w:val="20"/>
          <w:szCs w:val="20"/>
          <w:lang w:val="es-AR" w:eastAsia="en-US"/>
        </w:rPr>
        <w:t>e</w:t>
      </w:r>
      <w:r w:rsidRPr="00D315EA">
        <w:rPr>
          <w:rFonts w:eastAsiaTheme="minorHAnsi" w:cstheme="minorBidi"/>
          <w:sz w:val="20"/>
          <w:szCs w:val="20"/>
          <w:lang w:val="es-AR" w:eastAsia="en-US"/>
        </w:rPr>
        <w:t xml:space="preserve">l Estado </w:t>
      </w:r>
      <w:r w:rsidR="008C0049">
        <w:rPr>
          <w:rFonts w:eastAsiaTheme="minorHAnsi" w:cstheme="minorBidi"/>
          <w:sz w:val="20"/>
          <w:szCs w:val="20"/>
          <w:lang w:val="es-AR" w:eastAsia="en-US"/>
        </w:rPr>
        <w:t>“</w:t>
      </w:r>
      <w:r w:rsidRPr="00D315EA">
        <w:rPr>
          <w:rFonts w:eastAsiaTheme="minorHAnsi" w:cstheme="minorBidi"/>
          <w:sz w:val="20"/>
          <w:szCs w:val="20"/>
          <w:lang w:val="es-AR" w:eastAsia="en-US"/>
        </w:rPr>
        <w:t>ha abundado en detalles sobre las diferentes políticas implementadas y medidas adoptadas en pos de mejorar su sistema público de salud</w:t>
      </w:r>
      <w:r w:rsidR="008C0049">
        <w:rPr>
          <w:rFonts w:eastAsiaTheme="minorHAnsi" w:cstheme="minorBidi"/>
          <w:sz w:val="20"/>
          <w:szCs w:val="20"/>
          <w:lang w:val="es-AR" w:eastAsia="en-US"/>
        </w:rPr>
        <w:t>”</w:t>
      </w:r>
      <w:r w:rsidR="00202430" w:rsidRPr="005A39DD">
        <w:rPr>
          <w:rFonts w:eastAsiaTheme="minorHAnsi" w:cstheme="minorBidi"/>
          <w:sz w:val="20"/>
          <w:szCs w:val="20"/>
          <w:lang w:val="es-AR" w:eastAsia="en-US"/>
        </w:rPr>
        <w:t xml:space="preserve">, sin embargo éste </w:t>
      </w:r>
      <w:r w:rsidR="008C0049">
        <w:rPr>
          <w:rFonts w:eastAsiaTheme="minorHAnsi" w:cstheme="minorBidi"/>
          <w:sz w:val="20"/>
          <w:szCs w:val="20"/>
          <w:lang w:val="es-AR" w:eastAsia="en-US"/>
        </w:rPr>
        <w:t>“</w:t>
      </w:r>
      <w:r w:rsidRPr="008B0574">
        <w:rPr>
          <w:rFonts w:eastAsiaTheme="minorHAnsi" w:cstheme="minorBidi"/>
          <w:sz w:val="20"/>
          <w:szCs w:val="20"/>
          <w:lang w:val="es-AR" w:eastAsia="en-US"/>
        </w:rPr>
        <w:t>se limitó a ofrecer un menú de decisiones políticas desarrolladas en los últimos años sin demostrar el impacto real y efectivo que pudieran haber tenido en las poblaciones más vulnerables</w:t>
      </w:r>
      <w:r w:rsidR="008C0049">
        <w:rPr>
          <w:rFonts w:eastAsiaTheme="minorHAnsi" w:cstheme="minorBidi"/>
          <w:sz w:val="20"/>
          <w:szCs w:val="20"/>
          <w:lang w:val="es-AR" w:eastAsia="en-US"/>
        </w:rPr>
        <w:t>”</w:t>
      </w:r>
      <w:r w:rsidRPr="008B0574">
        <w:rPr>
          <w:rFonts w:eastAsiaTheme="minorHAnsi" w:cstheme="minorBidi"/>
          <w:sz w:val="20"/>
          <w:szCs w:val="20"/>
          <w:lang w:val="es-AR" w:eastAsia="en-US"/>
        </w:rPr>
        <w:t>.</w:t>
      </w:r>
      <w:r w:rsidRPr="002570D1">
        <w:rPr>
          <w:rFonts w:eastAsiaTheme="minorHAnsi" w:cstheme="minorBidi"/>
          <w:b/>
          <w:sz w:val="20"/>
          <w:szCs w:val="20"/>
          <w:lang w:val="es-AR" w:eastAsia="en-US"/>
        </w:rPr>
        <w:t xml:space="preserve"> </w:t>
      </w:r>
    </w:p>
    <w:p w14:paraId="0F1543FE" w14:textId="77777777" w:rsidR="002570D1" w:rsidRPr="002570D1" w:rsidRDefault="002570D1" w:rsidP="002570D1">
      <w:pPr>
        <w:ind w:left="-90" w:right="-360"/>
        <w:contextualSpacing/>
        <w:rPr>
          <w:rFonts w:eastAsiaTheme="minorHAnsi" w:cstheme="minorBidi"/>
          <w:b/>
          <w:sz w:val="20"/>
          <w:szCs w:val="20"/>
          <w:lang w:val="es-AR" w:eastAsia="en-US"/>
        </w:rPr>
      </w:pPr>
    </w:p>
    <w:p w14:paraId="3DDE2278" w14:textId="5DD73EC7" w:rsidR="002570D1" w:rsidRPr="002570D1" w:rsidRDefault="002570D1" w:rsidP="002570D1">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2570D1">
        <w:rPr>
          <w:rFonts w:eastAsiaTheme="minorHAnsi" w:cstheme="minorBidi"/>
          <w:sz w:val="20"/>
          <w:szCs w:val="20"/>
          <w:lang w:val="es-AR" w:eastAsia="en-US"/>
        </w:rPr>
        <w:t>Por su parte</w:t>
      </w:r>
      <w:r w:rsidR="00055759">
        <w:rPr>
          <w:rFonts w:eastAsiaTheme="minorHAnsi" w:cstheme="minorBidi"/>
          <w:sz w:val="20"/>
          <w:szCs w:val="20"/>
          <w:lang w:val="es-AR" w:eastAsia="en-US"/>
        </w:rPr>
        <w:t>,</w:t>
      </w:r>
      <w:r w:rsidRPr="002570D1">
        <w:rPr>
          <w:rFonts w:eastAsiaTheme="minorHAnsi" w:cstheme="minorBidi"/>
          <w:sz w:val="20"/>
          <w:szCs w:val="20"/>
          <w:lang w:val="es-AR" w:eastAsia="en-US"/>
        </w:rPr>
        <w:t xml:space="preserve"> </w:t>
      </w:r>
      <w:r w:rsidR="00A20D88">
        <w:rPr>
          <w:rFonts w:eastAsiaTheme="minorHAnsi" w:cstheme="minorBidi"/>
          <w:sz w:val="20"/>
          <w:szCs w:val="20"/>
          <w:lang w:val="es-AR" w:eastAsia="en-US"/>
        </w:rPr>
        <w:t xml:space="preserve">si bien el </w:t>
      </w:r>
      <w:r w:rsidR="00A20D88" w:rsidRPr="0059117C">
        <w:rPr>
          <w:rFonts w:eastAsiaTheme="minorHAnsi" w:cstheme="minorBidi"/>
          <w:b/>
          <w:i/>
          <w:sz w:val="20"/>
          <w:szCs w:val="20"/>
          <w:lang w:val="es-AR" w:eastAsia="en-US"/>
        </w:rPr>
        <w:t>Estado</w:t>
      </w:r>
      <w:r w:rsidR="00A20D88">
        <w:rPr>
          <w:rFonts w:eastAsiaTheme="minorHAnsi" w:cstheme="minorBidi"/>
          <w:sz w:val="20"/>
          <w:szCs w:val="20"/>
          <w:lang w:val="es-AR" w:eastAsia="en-US"/>
        </w:rPr>
        <w:t xml:space="preserve"> mencionó el derecho a la salud en su reconocimiento, c</w:t>
      </w:r>
      <w:r w:rsidRPr="002570D1">
        <w:rPr>
          <w:rFonts w:eastAsiaTheme="minorHAnsi" w:cstheme="minorBidi"/>
          <w:sz w:val="20"/>
          <w:szCs w:val="20"/>
          <w:lang w:val="es-AR" w:eastAsia="en-US"/>
        </w:rPr>
        <w:t xml:space="preserve">onsideró que no hubo violación al artículo 26 de la </w:t>
      </w:r>
      <w:r w:rsidR="00055759">
        <w:rPr>
          <w:rFonts w:eastAsiaTheme="minorHAnsi" w:cstheme="minorBidi"/>
          <w:sz w:val="20"/>
          <w:szCs w:val="20"/>
          <w:lang w:val="es-AR" w:eastAsia="en-US"/>
        </w:rPr>
        <w:t>Convención</w:t>
      </w:r>
      <w:r w:rsidRPr="002570D1">
        <w:rPr>
          <w:rFonts w:eastAsiaTheme="minorHAnsi" w:cstheme="minorBidi"/>
          <w:sz w:val="20"/>
          <w:szCs w:val="20"/>
          <w:lang w:val="es-AR" w:eastAsia="en-US"/>
        </w:rPr>
        <w:t>, ya que no se puede probar el incumplimiento de la obligación de adoptar medidas para el desarrollo progresivo del derecho a la salud y el derecho a la seguridad social. Para probar el cumplimiento de su deber el Estado enumeró diferentes programas, leyes y medidas administrativas y financieras que desde hace años ha implementado.</w:t>
      </w:r>
      <w:r w:rsidR="00AF621D">
        <w:rPr>
          <w:rFonts w:eastAsiaTheme="minorHAnsi" w:cstheme="minorBidi"/>
          <w:sz w:val="20"/>
          <w:szCs w:val="20"/>
          <w:lang w:val="es-AR" w:eastAsia="en-US"/>
        </w:rPr>
        <w:t xml:space="preserve"> As</w:t>
      </w:r>
      <w:r w:rsidR="00A20D88">
        <w:rPr>
          <w:rFonts w:eastAsiaTheme="minorHAnsi" w:cstheme="minorBidi"/>
          <w:sz w:val="20"/>
          <w:szCs w:val="20"/>
          <w:lang w:val="es-AR" w:eastAsia="en-US"/>
        </w:rPr>
        <w:t>i</w:t>
      </w:r>
      <w:r w:rsidR="00AF621D">
        <w:rPr>
          <w:rFonts w:eastAsiaTheme="minorHAnsi" w:cstheme="minorBidi"/>
          <w:sz w:val="20"/>
          <w:szCs w:val="20"/>
          <w:lang w:val="es-AR" w:eastAsia="en-US"/>
        </w:rPr>
        <w:t>mismo</w:t>
      </w:r>
      <w:r w:rsidR="00713D68">
        <w:rPr>
          <w:rFonts w:eastAsiaTheme="minorHAnsi" w:cstheme="minorBidi"/>
          <w:sz w:val="20"/>
          <w:szCs w:val="20"/>
          <w:lang w:val="es-AR" w:eastAsia="en-US"/>
        </w:rPr>
        <w:t>, en sus alegatos finales</w:t>
      </w:r>
      <w:r w:rsidR="00AF621D">
        <w:rPr>
          <w:rFonts w:eastAsiaTheme="minorHAnsi" w:cstheme="minorBidi"/>
          <w:sz w:val="20"/>
          <w:szCs w:val="20"/>
          <w:lang w:val="es-AR" w:eastAsia="en-US"/>
        </w:rPr>
        <w:t xml:space="preserve"> indicó </w:t>
      </w:r>
      <w:r w:rsidR="00713D68">
        <w:rPr>
          <w:rFonts w:eastAsiaTheme="minorHAnsi" w:cstheme="minorBidi"/>
          <w:sz w:val="20"/>
          <w:szCs w:val="20"/>
          <w:lang w:val="es-AR" w:eastAsia="en-US"/>
        </w:rPr>
        <w:t xml:space="preserve">el Estado </w:t>
      </w:r>
      <w:r w:rsidRPr="002570D1">
        <w:rPr>
          <w:rFonts w:eastAsiaTheme="minorHAnsi" w:cstheme="minorBidi"/>
          <w:sz w:val="20"/>
          <w:szCs w:val="20"/>
          <w:lang w:val="es-AR" w:eastAsia="en-US"/>
        </w:rPr>
        <w:t xml:space="preserve">que apoya la </w:t>
      </w:r>
      <w:proofErr w:type="spellStart"/>
      <w:r w:rsidRPr="002570D1">
        <w:rPr>
          <w:rFonts w:eastAsiaTheme="minorHAnsi" w:cstheme="minorBidi"/>
          <w:sz w:val="20"/>
          <w:szCs w:val="20"/>
          <w:lang w:val="es-AR" w:eastAsia="en-US"/>
        </w:rPr>
        <w:t>justiciabilidad</w:t>
      </w:r>
      <w:proofErr w:type="spellEnd"/>
      <w:r w:rsidRPr="002570D1">
        <w:rPr>
          <w:rFonts w:eastAsiaTheme="minorHAnsi" w:cstheme="minorBidi"/>
          <w:sz w:val="20"/>
          <w:szCs w:val="20"/>
          <w:lang w:val="es-AR" w:eastAsia="en-US"/>
        </w:rPr>
        <w:t xml:space="preserve"> de los DESC vía conexión con los Derechos Civiles y Políticos, mas no reconoc</w:t>
      </w:r>
      <w:r w:rsidR="004364A5">
        <w:rPr>
          <w:rFonts w:eastAsiaTheme="minorHAnsi" w:cstheme="minorBidi"/>
          <w:sz w:val="20"/>
          <w:szCs w:val="20"/>
          <w:lang w:val="es-AR" w:eastAsia="en-US"/>
        </w:rPr>
        <w:t>ió</w:t>
      </w:r>
      <w:r w:rsidRPr="002570D1">
        <w:rPr>
          <w:rFonts w:eastAsiaTheme="minorHAnsi" w:cstheme="minorBidi"/>
          <w:sz w:val="20"/>
          <w:szCs w:val="20"/>
          <w:lang w:val="es-AR" w:eastAsia="en-US"/>
        </w:rPr>
        <w:t xml:space="preserve"> la competencia de la Corte para declarar la vulneración del artículo 26 de la Convención en forma directa.</w:t>
      </w:r>
      <w:r w:rsidR="00071A93">
        <w:rPr>
          <w:rFonts w:eastAsiaTheme="minorHAnsi" w:cstheme="minorBidi"/>
          <w:sz w:val="20"/>
          <w:szCs w:val="20"/>
          <w:lang w:val="es-AR" w:eastAsia="en-US"/>
        </w:rPr>
        <w:t xml:space="preserve"> </w:t>
      </w:r>
      <w:r w:rsidRPr="002570D1">
        <w:rPr>
          <w:rFonts w:eastAsiaTheme="minorHAnsi" w:cstheme="minorBidi"/>
          <w:sz w:val="20"/>
          <w:szCs w:val="20"/>
          <w:lang w:val="es-AR" w:eastAsia="en-US"/>
        </w:rPr>
        <w:t xml:space="preserve">El Estado agregó que si bien la Corte puede incorporar diversos criterios interpretativos en el desarrollo de su jurisprudencia, el tribunal internacional debe respetar los límites jurisdiccionales de su competencia contenciosa y tener en consideración </w:t>
      </w:r>
      <w:r w:rsidR="00937D84" w:rsidRPr="002570D1">
        <w:rPr>
          <w:rFonts w:eastAsiaTheme="minorHAnsi" w:cstheme="minorBidi"/>
          <w:sz w:val="20"/>
          <w:szCs w:val="20"/>
          <w:lang w:val="es-AR" w:eastAsia="en-US"/>
        </w:rPr>
        <w:t>cuáles</w:t>
      </w:r>
      <w:r w:rsidRPr="002570D1">
        <w:rPr>
          <w:rFonts w:eastAsiaTheme="minorHAnsi" w:cstheme="minorBidi"/>
          <w:sz w:val="20"/>
          <w:szCs w:val="20"/>
          <w:lang w:val="es-AR" w:eastAsia="en-US"/>
        </w:rPr>
        <w:t xml:space="preserve"> fueron las obligaciones contraídas por los Estados al momento de ratificar la Convención. </w:t>
      </w:r>
    </w:p>
    <w:p w14:paraId="0DDD1C1B" w14:textId="77777777" w:rsidR="002570D1" w:rsidRPr="002570D1" w:rsidRDefault="002570D1" w:rsidP="002570D1">
      <w:pPr>
        <w:ind w:right="-360"/>
        <w:rPr>
          <w:rFonts w:eastAsia="Calibri"/>
          <w:lang w:val="es-MX" w:eastAsia="en-US"/>
        </w:rPr>
      </w:pPr>
    </w:p>
    <w:p w14:paraId="768BE85C" w14:textId="77777777" w:rsidR="002570D1" w:rsidRPr="00EB31AC" w:rsidRDefault="002570D1" w:rsidP="00EB31AC">
      <w:pPr>
        <w:pStyle w:val="Heading3"/>
        <w:numPr>
          <w:ilvl w:val="0"/>
          <w:numId w:val="19"/>
        </w:numPr>
        <w:rPr>
          <w:b/>
        </w:rPr>
      </w:pPr>
      <w:r w:rsidRPr="00EB31AC">
        <w:rPr>
          <w:b/>
        </w:rPr>
        <w:t xml:space="preserve"> </w:t>
      </w:r>
      <w:bookmarkStart w:id="74" w:name="_Toc513644463"/>
      <w:r w:rsidRPr="00EB31AC">
        <w:rPr>
          <w:b/>
        </w:rPr>
        <w:t>Relativos a la vida y a la integridad personal</w:t>
      </w:r>
      <w:bookmarkEnd w:id="74"/>
    </w:p>
    <w:p w14:paraId="705E063C" w14:textId="77777777" w:rsidR="002570D1" w:rsidRPr="002570D1" w:rsidRDefault="002570D1" w:rsidP="002570D1">
      <w:pPr>
        <w:ind w:left="723"/>
        <w:contextualSpacing/>
        <w:rPr>
          <w:rFonts w:eastAsia="Calibri"/>
          <w:i/>
          <w:sz w:val="20"/>
          <w:szCs w:val="20"/>
          <w:lang w:val="es-MX" w:eastAsia="en-US"/>
        </w:rPr>
      </w:pPr>
    </w:p>
    <w:p w14:paraId="62220C87" w14:textId="5F56983A" w:rsidR="002570D1" w:rsidRPr="002570D1" w:rsidRDefault="002570D1" w:rsidP="002570D1">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2570D1">
        <w:rPr>
          <w:rFonts w:eastAsiaTheme="minorHAnsi" w:cstheme="minorBidi"/>
          <w:sz w:val="20"/>
          <w:szCs w:val="20"/>
          <w:lang w:val="es-AR" w:eastAsia="en-US"/>
        </w:rPr>
        <w:t xml:space="preserve">La </w:t>
      </w:r>
      <w:r w:rsidRPr="002570D1">
        <w:rPr>
          <w:rFonts w:eastAsiaTheme="minorHAnsi" w:cstheme="minorBidi"/>
          <w:b/>
          <w:i/>
          <w:sz w:val="20"/>
          <w:szCs w:val="20"/>
          <w:lang w:val="es-AR" w:eastAsia="en-US"/>
        </w:rPr>
        <w:t>Comisión</w:t>
      </w:r>
      <w:r w:rsidRPr="002570D1">
        <w:rPr>
          <w:rFonts w:eastAsiaTheme="minorHAnsi" w:cstheme="minorBidi"/>
          <w:sz w:val="20"/>
          <w:szCs w:val="20"/>
          <w:lang w:val="es-AR" w:eastAsia="en-US"/>
        </w:rPr>
        <w:t xml:space="preserve"> determinó que el Estado fue responsable por la violación de los derechos a la vida, a la integridad personal y a la salud establecidos en los artículos 4 y 5, en relación con el artículo 1.1 de la Convención, en perjuicio del señor Poblete Vilches</w:t>
      </w:r>
      <w:r w:rsidR="00731210">
        <w:rPr>
          <w:rFonts w:eastAsiaTheme="minorHAnsi" w:cstheme="minorBidi"/>
          <w:sz w:val="20"/>
          <w:szCs w:val="20"/>
          <w:lang w:val="es-AR" w:eastAsia="en-US"/>
        </w:rPr>
        <w:t>,</w:t>
      </w:r>
      <w:r w:rsidRPr="002570D1">
        <w:rPr>
          <w:rFonts w:eastAsiaTheme="minorHAnsi" w:cstheme="minorBidi"/>
          <w:sz w:val="20"/>
          <w:szCs w:val="20"/>
          <w:lang w:val="es-AR" w:eastAsia="en-US"/>
        </w:rPr>
        <w:t xml:space="preserve"> debido tanto a la decisión de darle de alta</w:t>
      </w:r>
      <w:r w:rsidR="00731210">
        <w:rPr>
          <w:rFonts w:eastAsiaTheme="minorHAnsi" w:cstheme="minorBidi"/>
          <w:sz w:val="20"/>
          <w:szCs w:val="20"/>
          <w:lang w:val="es-AR" w:eastAsia="en-US"/>
        </w:rPr>
        <w:t xml:space="preserve"> del hospital,</w:t>
      </w:r>
      <w:r w:rsidRPr="002570D1">
        <w:rPr>
          <w:rFonts w:eastAsiaTheme="minorHAnsi" w:cstheme="minorBidi"/>
          <w:sz w:val="20"/>
          <w:szCs w:val="20"/>
          <w:lang w:val="es-AR" w:eastAsia="en-US"/>
        </w:rPr>
        <w:t xml:space="preserve"> como a la falta de provisión de tratamiento adecuado en el segundo ingreso</w:t>
      </w:r>
      <w:r w:rsidR="00353A88">
        <w:rPr>
          <w:rFonts w:eastAsiaTheme="minorHAnsi" w:cstheme="minorBidi"/>
          <w:sz w:val="20"/>
          <w:szCs w:val="20"/>
          <w:lang w:val="es-AR" w:eastAsia="en-US"/>
        </w:rPr>
        <w:t>.</w:t>
      </w:r>
      <w:r w:rsidRPr="002570D1">
        <w:rPr>
          <w:rFonts w:eastAsiaTheme="minorHAnsi" w:cstheme="minorBidi"/>
          <w:sz w:val="20"/>
          <w:szCs w:val="20"/>
          <w:lang w:val="es-AR" w:eastAsia="en-US"/>
        </w:rPr>
        <w:t xml:space="preserve"> Consecuentemente,</w:t>
      </w:r>
      <w:r w:rsidR="00983973">
        <w:rPr>
          <w:rFonts w:eastAsiaTheme="minorHAnsi" w:cstheme="minorBidi"/>
          <w:sz w:val="20"/>
          <w:szCs w:val="20"/>
          <w:lang w:val="es-AR" w:eastAsia="en-US"/>
        </w:rPr>
        <w:t xml:space="preserve"> </w:t>
      </w:r>
      <w:r w:rsidRPr="002570D1">
        <w:rPr>
          <w:rFonts w:eastAsiaTheme="minorHAnsi" w:cstheme="minorBidi"/>
          <w:sz w:val="20"/>
          <w:szCs w:val="20"/>
          <w:lang w:val="es-AR" w:eastAsia="en-US"/>
        </w:rPr>
        <w:t>consideró que el Estado no adoptó las medidas disponibles</w:t>
      </w:r>
      <w:r w:rsidR="00983973">
        <w:rPr>
          <w:rFonts w:eastAsiaTheme="minorHAnsi" w:cstheme="minorBidi"/>
          <w:sz w:val="20"/>
          <w:szCs w:val="20"/>
          <w:lang w:val="es-AR" w:eastAsia="en-US"/>
        </w:rPr>
        <w:t xml:space="preserve"> y razonables</w:t>
      </w:r>
      <w:r w:rsidRPr="002570D1">
        <w:rPr>
          <w:rFonts w:eastAsiaTheme="minorHAnsi" w:cstheme="minorBidi"/>
          <w:sz w:val="20"/>
          <w:szCs w:val="20"/>
          <w:lang w:val="es-AR" w:eastAsia="en-US"/>
        </w:rPr>
        <w:t xml:space="preserve"> para ofrecerle tratamiento adecuado al señor Poblete Vilches que podría haber razonablemente adoptado. </w:t>
      </w:r>
      <w:r w:rsidR="00A20D88">
        <w:rPr>
          <w:rFonts w:eastAsiaTheme="minorHAnsi" w:cstheme="minorBidi"/>
          <w:sz w:val="20"/>
          <w:szCs w:val="20"/>
          <w:lang w:val="es-AR" w:eastAsia="en-US"/>
        </w:rPr>
        <w:t>En su</w:t>
      </w:r>
      <w:r w:rsidRPr="002570D1">
        <w:rPr>
          <w:rFonts w:eastAsiaTheme="minorHAnsi" w:cstheme="minorBidi"/>
          <w:sz w:val="20"/>
          <w:szCs w:val="20"/>
          <w:lang w:val="es-AR" w:eastAsia="en-US"/>
        </w:rPr>
        <w:t xml:space="preserve"> Informe de Fondo realizó un análisis interrelacionado de los artículos 4 y 5 de la Convención. En vista de ello, reiteró la posible inconsistencia que plantea el alcance precisado por el Estado sobre su reconocimiento parcial de responsabilidad, en el sentido que sólo abarca por ejemplo la violación del derecho a la integridad personal del señor Vinicio Poblete, en relación con los </w:t>
      </w:r>
      <w:r w:rsidRPr="00D315EA">
        <w:rPr>
          <w:rFonts w:eastAsiaTheme="minorHAnsi" w:cstheme="minorBidi"/>
          <w:sz w:val="20"/>
          <w:szCs w:val="20"/>
          <w:lang w:val="es-AR" w:eastAsia="en-US"/>
        </w:rPr>
        <w:t xml:space="preserve">hechos que </w:t>
      </w:r>
      <w:r w:rsidR="00D315EA" w:rsidRPr="00C27894">
        <w:rPr>
          <w:rFonts w:eastAsiaTheme="minorHAnsi" w:cstheme="minorBidi"/>
          <w:sz w:val="20"/>
          <w:szCs w:val="20"/>
          <w:lang w:val="es-AR" w:eastAsia="en-US"/>
        </w:rPr>
        <w:t xml:space="preserve">la Comisión </w:t>
      </w:r>
      <w:r w:rsidRPr="00D315EA">
        <w:rPr>
          <w:rFonts w:eastAsiaTheme="minorHAnsi" w:cstheme="minorBidi"/>
          <w:sz w:val="20"/>
          <w:szCs w:val="20"/>
          <w:lang w:val="es-AR" w:eastAsia="en-US"/>
        </w:rPr>
        <w:t>también determinó como violatorios del derecho a la vida</w:t>
      </w:r>
      <w:r w:rsidRPr="002570D1">
        <w:rPr>
          <w:rFonts w:eastAsiaTheme="minorHAnsi" w:cstheme="minorBidi"/>
          <w:sz w:val="20"/>
          <w:szCs w:val="20"/>
          <w:lang w:val="es-AR" w:eastAsia="en-US"/>
        </w:rPr>
        <w:t>.</w:t>
      </w:r>
    </w:p>
    <w:p w14:paraId="4F478410" w14:textId="77777777" w:rsidR="002570D1" w:rsidRPr="002570D1" w:rsidRDefault="002570D1" w:rsidP="002570D1">
      <w:pPr>
        <w:ind w:left="-90" w:right="-360"/>
        <w:rPr>
          <w:rFonts w:eastAsiaTheme="minorHAnsi" w:cstheme="minorBidi"/>
          <w:sz w:val="20"/>
          <w:szCs w:val="20"/>
          <w:lang w:val="es-AR" w:eastAsia="en-US"/>
        </w:rPr>
      </w:pPr>
    </w:p>
    <w:p w14:paraId="05A23EAB" w14:textId="514BEBD2" w:rsidR="002570D1" w:rsidRPr="002570D1" w:rsidRDefault="002570D1" w:rsidP="002570D1">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2570D1">
        <w:rPr>
          <w:rFonts w:eastAsiaTheme="minorHAnsi" w:cstheme="minorBidi"/>
          <w:sz w:val="20"/>
          <w:szCs w:val="20"/>
          <w:lang w:val="es-AR" w:eastAsia="en-US"/>
        </w:rPr>
        <w:t xml:space="preserve">Las </w:t>
      </w:r>
      <w:r w:rsidRPr="002570D1">
        <w:rPr>
          <w:rFonts w:eastAsiaTheme="minorHAnsi" w:cstheme="minorBidi"/>
          <w:b/>
          <w:i/>
          <w:sz w:val="20"/>
          <w:szCs w:val="20"/>
          <w:lang w:val="es-AR" w:eastAsia="en-US"/>
        </w:rPr>
        <w:t>representantes</w:t>
      </w:r>
      <w:r w:rsidRPr="002570D1">
        <w:rPr>
          <w:rFonts w:eastAsiaTheme="minorHAnsi" w:cstheme="minorBidi"/>
          <w:sz w:val="20"/>
          <w:szCs w:val="20"/>
          <w:lang w:val="es-AR" w:eastAsia="en-US"/>
        </w:rPr>
        <w:t xml:space="preserve"> manifestaron</w:t>
      </w:r>
      <w:r w:rsidR="00A32EB1">
        <w:rPr>
          <w:rFonts w:eastAsiaTheme="minorHAnsi" w:cstheme="minorBidi"/>
          <w:sz w:val="20"/>
          <w:szCs w:val="20"/>
          <w:lang w:val="es-AR" w:eastAsia="en-US"/>
        </w:rPr>
        <w:t xml:space="preserve"> </w:t>
      </w:r>
      <w:r w:rsidRPr="002570D1">
        <w:rPr>
          <w:rFonts w:eastAsiaTheme="minorHAnsi" w:cstheme="minorBidi"/>
          <w:sz w:val="20"/>
          <w:szCs w:val="20"/>
          <w:lang w:val="es-AR" w:eastAsia="en-US"/>
        </w:rPr>
        <w:t>respecto a la conexión del derecho a la vida y a la integridad personal con el derecho a la salud</w:t>
      </w:r>
      <w:r w:rsidR="00A32EB1">
        <w:rPr>
          <w:rFonts w:eastAsiaTheme="minorHAnsi" w:cstheme="minorBidi"/>
          <w:sz w:val="20"/>
          <w:szCs w:val="20"/>
          <w:lang w:val="es-AR" w:eastAsia="en-US"/>
        </w:rPr>
        <w:t>, que</w:t>
      </w:r>
      <w:r w:rsidRPr="002570D1">
        <w:rPr>
          <w:rFonts w:eastAsiaTheme="minorHAnsi" w:cstheme="minorBidi"/>
          <w:sz w:val="20"/>
          <w:szCs w:val="20"/>
          <w:lang w:val="es-AR" w:eastAsia="en-US"/>
        </w:rPr>
        <w:t xml:space="preserve"> “el derecho a la vida exige por parte de los Estados, la adopción de medidas de prevención que tengan relación con la mantención de la vida de las personas por medio de la provisión de una situación económica y social que impida su muerte por falta de atención médica”</w:t>
      </w:r>
      <w:r w:rsidR="00621499">
        <w:rPr>
          <w:rFonts w:eastAsiaTheme="minorHAnsi" w:cstheme="minorBidi"/>
          <w:sz w:val="20"/>
          <w:szCs w:val="20"/>
          <w:lang w:val="es-AR" w:eastAsia="en-US"/>
        </w:rPr>
        <w:t>.</w:t>
      </w:r>
      <w:r w:rsidRPr="002570D1">
        <w:rPr>
          <w:rFonts w:eastAsiaTheme="minorHAnsi" w:cstheme="minorBidi"/>
          <w:sz w:val="20"/>
          <w:szCs w:val="20"/>
          <w:lang w:val="es-AR" w:eastAsia="en-US"/>
        </w:rPr>
        <w:t xml:space="preserve"> Alegaron que existe una fuerte inconsistencia entre las afirmaciones que efectúa el Estado en cuanto a su responsabilidad en la violación del derecho a la vida y las que realizó en relación a la violación del derecho a la integridad personal</w:t>
      </w:r>
      <w:r w:rsidR="00621499">
        <w:rPr>
          <w:rFonts w:eastAsiaTheme="minorHAnsi" w:cstheme="minorBidi"/>
          <w:sz w:val="20"/>
          <w:szCs w:val="20"/>
          <w:lang w:val="es-AR" w:eastAsia="en-US"/>
        </w:rPr>
        <w:t>.</w:t>
      </w:r>
      <w:r w:rsidRPr="002570D1">
        <w:rPr>
          <w:rFonts w:eastAsiaTheme="minorHAnsi" w:cstheme="minorBidi"/>
          <w:sz w:val="20"/>
          <w:szCs w:val="20"/>
          <w:lang w:val="es-AR" w:eastAsia="en-US"/>
        </w:rPr>
        <w:t xml:space="preserve"> Sostuvieron que los hechos </w:t>
      </w:r>
      <w:r w:rsidR="00A20D88">
        <w:rPr>
          <w:rFonts w:eastAsiaTheme="minorHAnsi" w:cstheme="minorBidi"/>
          <w:sz w:val="20"/>
          <w:szCs w:val="20"/>
          <w:lang w:val="es-AR" w:eastAsia="en-US"/>
        </w:rPr>
        <w:t xml:space="preserve">referentes a los artículos 4 y 5 </w:t>
      </w:r>
      <w:r w:rsidRPr="002570D1">
        <w:rPr>
          <w:rFonts w:eastAsiaTheme="minorHAnsi" w:cstheme="minorBidi"/>
          <w:sz w:val="20"/>
          <w:szCs w:val="20"/>
          <w:lang w:val="es-AR" w:eastAsia="en-US"/>
        </w:rPr>
        <w:t>son los mismos y que</w:t>
      </w:r>
      <w:r w:rsidR="00621499">
        <w:rPr>
          <w:rFonts w:eastAsiaTheme="minorHAnsi" w:cstheme="minorBidi"/>
          <w:sz w:val="20"/>
          <w:szCs w:val="20"/>
          <w:lang w:val="es-AR" w:eastAsia="en-US"/>
        </w:rPr>
        <w:t>,</w:t>
      </w:r>
      <w:r w:rsidRPr="002570D1">
        <w:rPr>
          <w:rFonts w:eastAsiaTheme="minorHAnsi" w:cstheme="minorBidi"/>
          <w:sz w:val="20"/>
          <w:szCs w:val="20"/>
          <w:lang w:val="es-AR" w:eastAsia="en-US"/>
        </w:rPr>
        <w:t xml:space="preserve"> por lo tanto</w:t>
      </w:r>
      <w:r w:rsidR="00621499">
        <w:rPr>
          <w:rFonts w:eastAsiaTheme="minorHAnsi" w:cstheme="minorBidi"/>
          <w:sz w:val="20"/>
          <w:szCs w:val="20"/>
          <w:lang w:val="es-AR" w:eastAsia="en-US"/>
        </w:rPr>
        <w:t>,</w:t>
      </w:r>
      <w:r w:rsidRPr="002570D1">
        <w:rPr>
          <w:rFonts w:eastAsiaTheme="minorHAnsi" w:cstheme="minorBidi"/>
          <w:sz w:val="20"/>
          <w:szCs w:val="20"/>
          <w:lang w:val="es-AR" w:eastAsia="en-US"/>
        </w:rPr>
        <w:t xml:space="preserve"> el reconocimiento </w:t>
      </w:r>
      <w:r w:rsidR="00621499">
        <w:rPr>
          <w:rFonts w:eastAsiaTheme="minorHAnsi" w:cstheme="minorBidi"/>
          <w:sz w:val="20"/>
          <w:szCs w:val="20"/>
          <w:lang w:val="es-AR" w:eastAsia="en-US"/>
        </w:rPr>
        <w:t xml:space="preserve">de responsabilidad </w:t>
      </w:r>
      <w:r w:rsidR="00A20D88">
        <w:rPr>
          <w:rFonts w:eastAsiaTheme="minorHAnsi" w:cstheme="minorBidi"/>
          <w:sz w:val="20"/>
          <w:szCs w:val="20"/>
          <w:lang w:val="es-AR" w:eastAsia="en-US"/>
        </w:rPr>
        <w:t>debe aplicarse a ambos derechos</w:t>
      </w:r>
      <w:r w:rsidRPr="002570D1">
        <w:rPr>
          <w:rFonts w:eastAsiaTheme="minorHAnsi" w:cstheme="minorBidi"/>
          <w:sz w:val="20"/>
          <w:szCs w:val="20"/>
          <w:lang w:val="es-AR" w:eastAsia="en-US"/>
        </w:rPr>
        <w:t xml:space="preserve">. Señalaron también que “la ausencia de programas, infraestructura y actividades necesarios para el bienestar personal” o “la deficiente calidad de ellos” pueden resultar en una violación del derecho a la salud por parte del Estado. </w:t>
      </w:r>
    </w:p>
    <w:p w14:paraId="3C4AEC54" w14:textId="77777777" w:rsidR="002570D1" w:rsidRPr="002570D1" w:rsidRDefault="002570D1" w:rsidP="002570D1">
      <w:pPr>
        <w:ind w:right="-360"/>
        <w:rPr>
          <w:rFonts w:eastAsiaTheme="minorHAnsi" w:cstheme="minorBidi"/>
          <w:sz w:val="20"/>
          <w:szCs w:val="20"/>
          <w:lang w:val="es-AR" w:eastAsia="en-US"/>
        </w:rPr>
      </w:pPr>
    </w:p>
    <w:p w14:paraId="215933ED" w14:textId="7ECDCF5B" w:rsidR="002570D1" w:rsidRPr="002570D1" w:rsidRDefault="002570D1" w:rsidP="002570D1">
      <w:pPr>
        <w:numPr>
          <w:ilvl w:val="0"/>
          <w:numId w:val="2"/>
        </w:numPr>
        <w:tabs>
          <w:tab w:val="left" w:pos="567"/>
          <w:tab w:val="num" w:pos="1569"/>
          <w:tab w:val="num" w:pos="12305"/>
        </w:tabs>
        <w:ind w:left="0" w:firstLine="0"/>
        <w:rPr>
          <w:sz w:val="20"/>
          <w:szCs w:val="20"/>
          <w:lang w:val="es-AR" w:eastAsia="en-US"/>
        </w:rPr>
      </w:pPr>
      <w:r w:rsidRPr="002570D1">
        <w:rPr>
          <w:sz w:val="20"/>
          <w:szCs w:val="20"/>
          <w:lang w:val="es-ES" w:eastAsia="en-US"/>
        </w:rPr>
        <w:t xml:space="preserve">Respecto de la violación del derecho a la vida, las </w:t>
      </w:r>
      <w:r w:rsidRPr="007143B1">
        <w:rPr>
          <w:sz w:val="20"/>
          <w:szCs w:val="20"/>
          <w:lang w:val="es-ES" w:eastAsia="en-US"/>
        </w:rPr>
        <w:t>representantes</w:t>
      </w:r>
      <w:r w:rsidRPr="00A86D37">
        <w:rPr>
          <w:sz w:val="20"/>
          <w:szCs w:val="20"/>
          <w:lang w:val="es-ES" w:eastAsia="en-US"/>
        </w:rPr>
        <w:t xml:space="preserve"> </w:t>
      </w:r>
      <w:r w:rsidRPr="002570D1">
        <w:rPr>
          <w:sz w:val="20"/>
          <w:szCs w:val="20"/>
          <w:lang w:val="es-ES" w:eastAsia="en-US"/>
        </w:rPr>
        <w:t>alegaron</w:t>
      </w:r>
      <w:r w:rsidR="00983973">
        <w:rPr>
          <w:sz w:val="20"/>
          <w:szCs w:val="20"/>
          <w:lang w:val="es-ES" w:eastAsia="en-US"/>
        </w:rPr>
        <w:t xml:space="preserve"> que</w:t>
      </w:r>
      <w:r w:rsidRPr="002570D1">
        <w:rPr>
          <w:sz w:val="20"/>
          <w:szCs w:val="20"/>
          <w:lang w:val="es-ES" w:eastAsia="en-US"/>
        </w:rPr>
        <w:t xml:space="preserve"> </w:t>
      </w:r>
      <w:r w:rsidRPr="002570D1">
        <w:rPr>
          <w:sz w:val="20"/>
          <w:szCs w:val="20"/>
          <w:lang w:val="es-AR" w:eastAsia="en-US"/>
        </w:rPr>
        <w:t xml:space="preserve">el Estado no adoptó todas las medidas que estaban a su alcance para brindar al </w:t>
      </w:r>
      <w:r w:rsidR="00E57AC2">
        <w:rPr>
          <w:sz w:val="20"/>
          <w:szCs w:val="20"/>
          <w:lang w:val="es-AR" w:eastAsia="en-US"/>
        </w:rPr>
        <w:t>señor</w:t>
      </w:r>
      <w:r w:rsidRPr="002570D1">
        <w:rPr>
          <w:sz w:val="20"/>
          <w:szCs w:val="20"/>
          <w:lang w:val="es-AR" w:eastAsia="en-US"/>
        </w:rPr>
        <w:t xml:space="preserve"> Vinicio Poblete Vilches una</w:t>
      </w:r>
      <w:r>
        <w:rPr>
          <w:sz w:val="20"/>
          <w:szCs w:val="20"/>
          <w:lang w:val="es-AR" w:eastAsia="en-US"/>
        </w:rPr>
        <w:t xml:space="preserve"> </w:t>
      </w:r>
      <w:r w:rsidRPr="002570D1">
        <w:rPr>
          <w:sz w:val="20"/>
          <w:szCs w:val="20"/>
          <w:lang w:val="es-AR" w:eastAsia="en-US"/>
        </w:rPr>
        <w:t>atención de salud adecuada</w:t>
      </w:r>
      <w:r w:rsidR="00621499" w:rsidRPr="00B1523A">
        <w:rPr>
          <w:sz w:val="20"/>
          <w:szCs w:val="20"/>
          <w:lang w:val="es-ES" w:eastAsia="en-US"/>
        </w:rPr>
        <w:t>.</w:t>
      </w:r>
      <w:r w:rsidRPr="002570D1">
        <w:rPr>
          <w:b/>
          <w:sz w:val="20"/>
          <w:szCs w:val="20"/>
          <w:lang w:val="es-ES" w:eastAsia="en-US"/>
        </w:rPr>
        <w:t xml:space="preserve"> </w:t>
      </w:r>
      <w:r w:rsidRPr="002570D1">
        <w:rPr>
          <w:rFonts w:eastAsiaTheme="minorHAnsi" w:cstheme="minorBidi"/>
          <w:sz w:val="20"/>
          <w:szCs w:val="20"/>
          <w:lang w:val="es-ES" w:eastAsia="en-US"/>
        </w:rPr>
        <w:t xml:space="preserve">En cuanto a la exigencia de que se demuestre una relación de causalidad entre las omisiones comprobadas y el resultado </w:t>
      </w:r>
      <w:r w:rsidR="00621499">
        <w:rPr>
          <w:rFonts w:eastAsiaTheme="minorHAnsi" w:cstheme="minorBidi"/>
          <w:sz w:val="20"/>
          <w:szCs w:val="20"/>
          <w:lang w:val="es-ES" w:eastAsia="en-US"/>
        </w:rPr>
        <w:t xml:space="preserve">de </w:t>
      </w:r>
      <w:r w:rsidRPr="002570D1">
        <w:rPr>
          <w:rFonts w:eastAsiaTheme="minorHAnsi" w:cstheme="minorBidi"/>
          <w:sz w:val="20"/>
          <w:szCs w:val="20"/>
          <w:lang w:val="es-ES" w:eastAsia="en-US"/>
        </w:rPr>
        <w:t>muerte, entendieron que la responsabilidad del Estado surge cuando se demuestra que con su acción o su omisión incrementó el riesgo para la vida de la persona. Agregaron que el Estado sabía</w:t>
      </w:r>
      <w:r w:rsidR="00FE1247">
        <w:rPr>
          <w:rFonts w:eastAsiaTheme="minorHAnsi" w:cstheme="minorBidi"/>
          <w:sz w:val="20"/>
          <w:szCs w:val="20"/>
          <w:lang w:val="es-ES" w:eastAsia="en-US"/>
        </w:rPr>
        <w:t xml:space="preserve"> de</w:t>
      </w:r>
      <w:r w:rsidRPr="002570D1">
        <w:rPr>
          <w:rFonts w:eastAsiaTheme="minorHAnsi" w:cstheme="minorBidi"/>
          <w:sz w:val="20"/>
          <w:szCs w:val="20"/>
          <w:lang w:val="es-ES" w:eastAsia="en-US"/>
        </w:rPr>
        <w:t xml:space="preserve"> la existencia de una situación de riesgo para la vida de</w:t>
      </w:r>
      <w:r w:rsidR="0077038C">
        <w:rPr>
          <w:rFonts w:eastAsiaTheme="minorHAnsi" w:cstheme="minorBidi"/>
          <w:sz w:val="20"/>
          <w:szCs w:val="20"/>
          <w:lang w:val="es-ES" w:eastAsia="en-US"/>
        </w:rPr>
        <w:t>l señor Poblete</w:t>
      </w:r>
      <w:r w:rsidRPr="002570D1">
        <w:rPr>
          <w:rFonts w:eastAsiaTheme="minorHAnsi" w:cstheme="minorBidi"/>
          <w:sz w:val="20"/>
          <w:szCs w:val="20"/>
          <w:lang w:val="es-ES" w:eastAsia="en-US"/>
        </w:rPr>
        <w:t xml:space="preserve"> y no tomó las medidas necesarias para prevenir o evitar ese riesgo.</w:t>
      </w:r>
      <w:r w:rsidRPr="002570D1">
        <w:rPr>
          <w:rFonts w:eastAsiaTheme="minorHAnsi" w:cstheme="minorBidi"/>
          <w:sz w:val="22"/>
          <w:szCs w:val="22"/>
          <w:lang w:val="es-AR" w:eastAsia="en-US"/>
        </w:rPr>
        <w:t xml:space="preserve"> </w:t>
      </w:r>
      <w:r w:rsidRPr="002570D1">
        <w:rPr>
          <w:rFonts w:eastAsiaTheme="minorHAnsi" w:cstheme="minorBidi"/>
          <w:sz w:val="20"/>
          <w:szCs w:val="20"/>
          <w:lang w:val="es-ES" w:eastAsia="en-US"/>
        </w:rPr>
        <w:t>Recordaron que el perito señalo que si alguna posibilidad tenía Vinicio Poblete de sobrevivir era a través de la adopción de medidas tan básicas como ingresarlo en una unidad cerrada de cuidados intensivos, brindarle asistencia respiratoria mecánica y proveerle de un tratamiento antibiótico adecuado</w:t>
      </w:r>
      <w:r w:rsidR="00481CEF" w:rsidRPr="00B1523A">
        <w:rPr>
          <w:rFonts w:eastAsiaTheme="minorHAnsi" w:cstheme="minorBidi"/>
          <w:sz w:val="20"/>
          <w:szCs w:val="20"/>
          <w:lang w:val="es-ES" w:eastAsia="en-US"/>
        </w:rPr>
        <w:t>.</w:t>
      </w:r>
      <w:r w:rsidRPr="002570D1">
        <w:rPr>
          <w:rFonts w:eastAsiaTheme="minorHAnsi" w:cstheme="minorBidi"/>
          <w:sz w:val="20"/>
          <w:szCs w:val="20"/>
          <w:lang w:val="es-ES" w:eastAsia="en-US"/>
        </w:rPr>
        <w:t xml:space="preserve"> Las </w:t>
      </w:r>
      <w:r w:rsidRPr="00B1523A">
        <w:rPr>
          <w:rFonts w:eastAsiaTheme="minorHAnsi" w:cstheme="minorBidi"/>
          <w:i/>
          <w:sz w:val="20"/>
          <w:szCs w:val="20"/>
          <w:lang w:val="es-ES" w:eastAsia="en-US"/>
        </w:rPr>
        <w:t>representantes</w:t>
      </w:r>
      <w:r w:rsidRPr="007143B1">
        <w:rPr>
          <w:rFonts w:eastAsiaTheme="minorHAnsi" w:cstheme="minorBidi"/>
          <w:sz w:val="20"/>
          <w:szCs w:val="20"/>
          <w:lang w:val="es-ES" w:eastAsia="en-US"/>
        </w:rPr>
        <w:t xml:space="preserve"> </w:t>
      </w:r>
      <w:r w:rsidRPr="002570D1">
        <w:rPr>
          <w:rFonts w:eastAsiaTheme="minorHAnsi" w:cstheme="minorBidi"/>
          <w:sz w:val="20"/>
          <w:szCs w:val="20"/>
          <w:lang w:val="es-ES" w:eastAsia="en-US"/>
        </w:rPr>
        <w:t xml:space="preserve">señalaron que tampoco es posible hablar de relación o nexo de causalidad en estos casos, y que jamás se podría afirmar, ni en este caso ni en cualquier otro, que brindar un tratamiento a un paciente, cualquiera fuese, habría evitado su muerte con absoluta certeza. </w:t>
      </w:r>
      <w:r w:rsidRPr="002570D1">
        <w:rPr>
          <w:rFonts w:eastAsiaTheme="minorHAnsi" w:cstheme="minorBidi"/>
          <w:sz w:val="20"/>
          <w:szCs w:val="20"/>
          <w:lang w:val="es-AR" w:eastAsia="en-US"/>
        </w:rPr>
        <w:t>Concluyeron que el Estado</w:t>
      </w:r>
      <w:r w:rsidR="009F7EBE">
        <w:rPr>
          <w:rFonts w:eastAsiaTheme="minorHAnsi" w:cstheme="minorBidi"/>
          <w:sz w:val="20"/>
          <w:szCs w:val="20"/>
          <w:lang w:val="es-AR" w:eastAsia="en-US"/>
        </w:rPr>
        <w:t xml:space="preserve"> </w:t>
      </w:r>
      <w:r w:rsidRPr="002570D1">
        <w:rPr>
          <w:rFonts w:eastAsiaTheme="minorHAnsi" w:cstheme="minorBidi"/>
          <w:sz w:val="20"/>
          <w:szCs w:val="20"/>
          <w:lang w:val="es-AR" w:eastAsia="en-US"/>
        </w:rPr>
        <w:t xml:space="preserve">no cumplió con los deberes especiales de protección a los que tienen derecho las personas en condición de vulnerabilidad. </w:t>
      </w:r>
      <w:r w:rsidR="00A20D88">
        <w:rPr>
          <w:rFonts w:eastAsiaTheme="minorHAnsi" w:cstheme="minorBidi"/>
          <w:sz w:val="20"/>
          <w:szCs w:val="20"/>
          <w:lang w:val="es-AR" w:eastAsia="en-US"/>
        </w:rPr>
        <w:t>D</w:t>
      </w:r>
      <w:r w:rsidRPr="002570D1">
        <w:rPr>
          <w:rFonts w:eastAsiaTheme="minorHAnsi" w:cstheme="minorBidi"/>
          <w:sz w:val="20"/>
          <w:szCs w:val="20"/>
          <w:lang w:val="es-AR" w:eastAsia="en-US"/>
        </w:rPr>
        <w:t xml:space="preserve">e modo que el Estado fue responsable por las violaciones de los artículos 4.1 y 5.1 en </w:t>
      </w:r>
      <w:r w:rsidR="009F7EBE">
        <w:rPr>
          <w:rFonts w:eastAsiaTheme="minorHAnsi" w:cstheme="minorBidi"/>
          <w:sz w:val="20"/>
          <w:szCs w:val="20"/>
          <w:lang w:val="es-AR" w:eastAsia="en-US"/>
        </w:rPr>
        <w:t>relación</w:t>
      </w:r>
      <w:r w:rsidRPr="002570D1">
        <w:rPr>
          <w:rFonts w:eastAsiaTheme="minorHAnsi" w:cstheme="minorBidi"/>
          <w:sz w:val="20"/>
          <w:szCs w:val="20"/>
          <w:lang w:val="es-AR" w:eastAsia="en-US"/>
        </w:rPr>
        <w:t xml:space="preserve"> con los artículos 1.1 y 2 de la C</w:t>
      </w:r>
      <w:r w:rsidR="00FE1247">
        <w:rPr>
          <w:rFonts w:eastAsiaTheme="minorHAnsi" w:cstheme="minorBidi"/>
          <w:sz w:val="20"/>
          <w:szCs w:val="20"/>
          <w:lang w:val="es-AR" w:eastAsia="en-US"/>
        </w:rPr>
        <w:t>onvención</w:t>
      </w:r>
      <w:r w:rsidRPr="002570D1">
        <w:rPr>
          <w:rFonts w:eastAsiaTheme="minorHAnsi" w:cstheme="minorBidi"/>
          <w:sz w:val="20"/>
          <w:szCs w:val="20"/>
          <w:lang w:val="es-AR" w:eastAsia="en-US"/>
        </w:rPr>
        <w:t>.</w:t>
      </w:r>
    </w:p>
    <w:p w14:paraId="7629C3AA" w14:textId="77777777" w:rsidR="002570D1" w:rsidRPr="002570D1" w:rsidRDefault="002570D1" w:rsidP="002570D1">
      <w:pPr>
        <w:ind w:left="-90" w:right="-360"/>
        <w:rPr>
          <w:rFonts w:eastAsiaTheme="minorHAnsi" w:cstheme="minorBidi"/>
          <w:sz w:val="20"/>
          <w:szCs w:val="20"/>
          <w:lang w:val="es-AR" w:eastAsia="en-US"/>
        </w:rPr>
      </w:pPr>
    </w:p>
    <w:p w14:paraId="3B445648" w14:textId="25904D56" w:rsidR="002570D1" w:rsidRPr="002570D1" w:rsidRDefault="002570D1" w:rsidP="002570D1">
      <w:pPr>
        <w:numPr>
          <w:ilvl w:val="0"/>
          <w:numId w:val="2"/>
        </w:numPr>
        <w:tabs>
          <w:tab w:val="left" w:pos="567"/>
          <w:tab w:val="num" w:pos="1569"/>
          <w:tab w:val="num" w:pos="12305"/>
        </w:tabs>
        <w:ind w:left="0" w:firstLine="0"/>
        <w:rPr>
          <w:sz w:val="20"/>
          <w:szCs w:val="20"/>
          <w:lang w:val="es-ES" w:eastAsia="en-US"/>
        </w:rPr>
      </w:pPr>
      <w:r w:rsidRPr="002570D1">
        <w:rPr>
          <w:rFonts w:eastAsiaTheme="minorHAnsi" w:cstheme="minorBidi"/>
          <w:sz w:val="20"/>
          <w:szCs w:val="20"/>
          <w:lang w:val="es-AR" w:eastAsia="en-US"/>
        </w:rPr>
        <w:t xml:space="preserve"> El</w:t>
      </w:r>
      <w:r w:rsidRPr="002570D1">
        <w:rPr>
          <w:rFonts w:eastAsiaTheme="minorHAnsi" w:cstheme="minorBidi"/>
          <w:i/>
          <w:sz w:val="20"/>
          <w:szCs w:val="20"/>
          <w:lang w:val="es-AR" w:eastAsia="en-US"/>
        </w:rPr>
        <w:t xml:space="preserve"> </w:t>
      </w:r>
      <w:r w:rsidRPr="002570D1">
        <w:rPr>
          <w:rFonts w:eastAsiaTheme="minorHAnsi" w:cstheme="minorBidi"/>
          <w:b/>
          <w:i/>
          <w:sz w:val="20"/>
          <w:szCs w:val="20"/>
          <w:lang w:val="es-AR" w:eastAsia="en-US"/>
        </w:rPr>
        <w:t xml:space="preserve">Estado </w:t>
      </w:r>
      <w:r w:rsidR="0012025F">
        <w:rPr>
          <w:rFonts w:eastAsiaTheme="minorHAnsi" w:cstheme="minorBidi"/>
          <w:sz w:val="20"/>
          <w:szCs w:val="20"/>
          <w:lang w:val="es-AR" w:eastAsia="en-US"/>
        </w:rPr>
        <w:t xml:space="preserve">alegó </w:t>
      </w:r>
      <w:r w:rsidRPr="002570D1">
        <w:rPr>
          <w:sz w:val="20"/>
          <w:szCs w:val="20"/>
          <w:lang w:val="es-ES" w:eastAsia="en-US"/>
        </w:rPr>
        <w:t>que no es responsable internacional</w:t>
      </w:r>
      <w:r w:rsidR="008E50CD">
        <w:rPr>
          <w:sz w:val="20"/>
          <w:szCs w:val="20"/>
          <w:lang w:val="es-ES" w:eastAsia="en-US"/>
        </w:rPr>
        <w:t>mente</w:t>
      </w:r>
      <w:r w:rsidRPr="002570D1">
        <w:rPr>
          <w:sz w:val="20"/>
          <w:szCs w:val="20"/>
          <w:lang w:val="es-ES" w:eastAsia="en-US"/>
        </w:rPr>
        <w:t xml:space="preserve"> de la violación al artículo 4 de la </w:t>
      </w:r>
      <w:r w:rsidR="00847ED2" w:rsidRPr="002570D1">
        <w:rPr>
          <w:sz w:val="20"/>
          <w:szCs w:val="20"/>
          <w:lang w:val="es-ES" w:eastAsia="en-US"/>
        </w:rPr>
        <w:t>C</w:t>
      </w:r>
      <w:r w:rsidR="00847ED2">
        <w:rPr>
          <w:sz w:val="20"/>
          <w:szCs w:val="20"/>
          <w:lang w:val="es-ES" w:eastAsia="en-US"/>
        </w:rPr>
        <w:t>onvención Americana</w:t>
      </w:r>
      <w:r w:rsidRPr="002570D1">
        <w:rPr>
          <w:sz w:val="20"/>
          <w:szCs w:val="20"/>
          <w:lang w:val="es-ES" w:eastAsia="en-US"/>
        </w:rPr>
        <w:t>. Argumentó que “el sólo fallecimiento no resulta suficiente para</w:t>
      </w:r>
      <w:r w:rsidR="00D86BE0">
        <w:rPr>
          <w:sz w:val="20"/>
          <w:szCs w:val="20"/>
          <w:lang w:val="es-ES" w:eastAsia="en-US"/>
        </w:rPr>
        <w:t xml:space="preserve"> </w:t>
      </w:r>
      <w:r w:rsidRPr="002570D1">
        <w:rPr>
          <w:sz w:val="20"/>
          <w:szCs w:val="20"/>
          <w:lang w:val="es-ES" w:eastAsia="en-US"/>
        </w:rPr>
        <w:t>determinar una vulneración del derecho a la vida, sino que además debe comprobarse que el Estado no adopt</w:t>
      </w:r>
      <w:r w:rsidR="005A0BBA">
        <w:rPr>
          <w:sz w:val="20"/>
          <w:szCs w:val="20"/>
          <w:lang w:val="es-ES" w:eastAsia="en-US"/>
        </w:rPr>
        <w:t>ó</w:t>
      </w:r>
      <w:r w:rsidRPr="002570D1">
        <w:rPr>
          <w:sz w:val="20"/>
          <w:szCs w:val="20"/>
          <w:lang w:val="es-ES" w:eastAsia="en-US"/>
        </w:rPr>
        <w:t xml:space="preserve">, dentro de sus atribuciones, las medidas necesarias que razonablemente podían esperarse para garantizar el derecho, y que la no adopción de dichas medidas fue el nexo causal directo del fallecimiento”. Al respecto, el </w:t>
      </w:r>
      <w:r w:rsidRPr="007143B1">
        <w:rPr>
          <w:sz w:val="20"/>
          <w:szCs w:val="20"/>
          <w:lang w:val="es-ES" w:eastAsia="en-US"/>
        </w:rPr>
        <w:t xml:space="preserve">Estado </w:t>
      </w:r>
      <w:r w:rsidRPr="002570D1">
        <w:rPr>
          <w:sz w:val="20"/>
          <w:szCs w:val="20"/>
          <w:lang w:val="es-ES" w:eastAsia="en-US"/>
        </w:rPr>
        <w:t>expuso que</w:t>
      </w:r>
      <w:r w:rsidR="00D86BE0">
        <w:rPr>
          <w:rFonts w:eastAsiaTheme="minorHAnsi" w:cstheme="minorBidi"/>
          <w:sz w:val="20"/>
          <w:szCs w:val="20"/>
          <w:lang w:val="es-AR" w:eastAsia="en-US"/>
        </w:rPr>
        <w:t xml:space="preserve"> </w:t>
      </w:r>
      <w:r w:rsidRPr="002570D1">
        <w:rPr>
          <w:sz w:val="20"/>
          <w:szCs w:val="20"/>
          <w:lang w:val="es-ES" w:eastAsia="en-US"/>
        </w:rPr>
        <w:t>adopt</w:t>
      </w:r>
      <w:r w:rsidR="00D86BE0">
        <w:rPr>
          <w:sz w:val="20"/>
          <w:szCs w:val="20"/>
          <w:lang w:val="es-ES" w:eastAsia="en-US"/>
        </w:rPr>
        <w:t>ó</w:t>
      </w:r>
      <w:r w:rsidRPr="002570D1">
        <w:rPr>
          <w:sz w:val="20"/>
          <w:szCs w:val="20"/>
          <w:lang w:val="es-ES" w:eastAsia="en-US"/>
        </w:rPr>
        <w:t xml:space="preserve"> las medidas que estaban a su alcance para</w:t>
      </w:r>
      <w:r w:rsidRPr="002570D1">
        <w:rPr>
          <w:rFonts w:eastAsiaTheme="minorHAnsi" w:cstheme="minorBidi"/>
          <w:sz w:val="20"/>
          <w:szCs w:val="20"/>
          <w:lang w:val="es-AR" w:eastAsia="en-US"/>
        </w:rPr>
        <w:t xml:space="preserve"> </w:t>
      </w:r>
      <w:r w:rsidRPr="002570D1">
        <w:rPr>
          <w:sz w:val="20"/>
          <w:szCs w:val="20"/>
          <w:lang w:val="es-ES" w:eastAsia="en-US"/>
        </w:rPr>
        <w:t>salvaguardar la vida de</w:t>
      </w:r>
      <w:r w:rsidR="00EA7B4F">
        <w:rPr>
          <w:sz w:val="20"/>
          <w:szCs w:val="20"/>
          <w:lang w:val="es-ES" w:eastAsia="en-US"/>
        </w:rPr>
        <w:t>l señor</w:t>
      </w:r>
      <w:r w:rsidRPr="002570D1">
        <w:rPr>
          <w:sz w:val="20"/>
          <w:szCs w:val="20"/>
          <w:lang w:val="es-ES" w:eastAsia="en-US"/>
        </w:rPr>
        <w:t xml:space="preserve"> Vinicio Poblete</w:t>
      </w:r>
      <w:r w:rsidR="00EA7B4F">
        <w:rPr>
          <w:sz w:val="20"/>
          <w:szCs w:val="20"/>
          <w:lang w:val="es-ES" w:eastAsia="en-US"/>
        </w:rPr>
        <w:t xml:space="preserve"> Vilches</w:t>
      </w:r>
      <w:r w:rsidRPr="002570D1">
        <w:rPr>
          <w:sz w:val="20"/>
          <w:szCs w:val="20"/>
          <w:lang w:val="es-ES" w:eastAsia="en-US"/>
        </w:rPr>
        <w:t xml:space="preserve">, teniendo en consideración el delicado estado de salud en el que se encontraba y las herramientas clínicas que </w:t>
      </w:r>
      <w:r w:rsidR="00D86BE0" w:rsidRPr="002570D1">
        <w:rPr>
          <w:sz w:val="20"/>
          <w:szCs w:val="20"/>
          <w:lang w:val="es-ES" w:eastAsia="en-US"/>
        </w:rPr>
        <w:t>ten</w:t>
      </w:r>
      <w:r w:rsidR="00D86BE0">
        <w:rPr>
          <w:sz w:val="20"/>
          <w:szCs w:val="20"/>
          <w:lang w:val="es-ES" w:eastAsia="en-US"/>
        </w:rPr>
        <w:t>ía</w:t>
      </w:r>
      <w:r w:rsidRPr="002570D1">
        <w:rPr>
          <w:sz w:val="20"/>
          <w:szCs w:val="20"/>
          <w:lang w:val="es-ES" w:eastAsia="en-US"/>
        </w:rPr>
        <w:t xml:space="preserve"> a su alcance. Asimismo, expuso que no hay forma que se demuestre que con algún tratamiento diferente al proporcionado el señor Poblete Vilches hubiera sobrevivido.</w:t>
      </w:r>
      <w:r w:rsidRPr="002570D1">
        <w:rPr>
          <w:b/>
          <w:sz w:val="20"/>
          <w:szCs w:val="20"/>
          <w:lang w:val="es-ES" w:eastAsia="en-US"/>
        </w:rPr>
        <w:t xml:space="preserve"> </w:t>
      </w:r>
    </w:p>
    <w:p w14:paraId="47AED5DB" w14:textId="77777777" w:rsidR="002570D1" w:rsidRPr="002570D1" w:rsidRDefault="002570D1" w:rsidP="002570D1">
      <w:pPr>
        <w:ind w:left="-90" w:right="-360"/>
        <w:contextualSpacing/>
        <w:rPr>
          <w:sz w:val="20"/>
          <w:szCs w:val="20"/>
          <w:lang w:val="es-ES" w:eastAsia="en-US"/>
        </w:rPr>
      </w:pPr>
    </w:p>
    <w:p w14:paraId="194F1A43" w14:textId="25466F0F" w:rsidR="002570D1" w:rsidRPr="002570D1" w:rsidRDefault="002570D1" w:rsidP="002570D1">
      <w:pPr>
        <w:numPr>
          <w:ilvl w:val="0"/>
          <w:numId w:val="2"/>
        </w:numPr>
        <w:tabs>
          <w:tab w:val="left" w:pos="567"/>
          <w:tab w:val="num" w:pos="1569"/>
          <w:tab w:val="num" w:pos="12305"/>
        </w:tabs>
        <w:ind w:left="0" w:firstLine="0"/>
        <w:rPr>
          <w:sz w:val="20"/>
          <w:szCs w:val="20"/>
          <w:lang w:val="es-ES" w:eastAsia="en-US"/>
        </w:rPr>
      </w:pPr>
      <w:r w:rsidRPr="002570D1">
        <w:rPr>
          <w:sz w:val="20"/>
          <w:szCs w:val="20"/>
          <w:lang w:val="es-ES" w:eastAsia="en-US"/>
        </w:rPr>
        <w:t xml:space="preserve">El </w:t>
      </w:r>
      <w:r w:rsidRPr="00B1523A">
        <w:rPr>
          <w:i/>
          <w:sz w:val="20"/>
          <w:szCs w:val="20"/>
          <w:lang w:val="es-ES" w:eastAsia="en-US"/>
        </w:rPr>
        <w:t>Estado</w:t>
      </w:r>
      <w:r w:rsidRPr="002570D1">
        <w:rPr>
          <w:sz w:val="20"/>
          <w:szCs w:val="20"/>
          <w:lang w:val="es-ES" w:eastAsia="en-US"/>
        </w:rPr>
        <w:t xml:space="preserve"> contrast</w:t>
      </w:r>
      <w:r w:rsidR="00957D73">
        <w:rPr>
          <w:sz w:val="20"/>
          <w:szCs w:val="20"/>
          <w:lang w:val="es-ES" w:eastAsia="en-US"/>
        </w:rPr>
        <w:t>ó</w:t>
      </w:r>
      <w:r w:rsidRPr="002570D1">
        <w:rPr>
          <w:sz w:val="20"/>
          <w:szCs w:val="20"/>
          <w:lang w:val="es-ES" w:eastAsia="en-US"/>
        </w:rPr>
        <w:t xml:space="preserve"> </w:t>
      </w:r>
      <w:r w:rsidR="00957D73">
        <w:rPr>
          <w:sz w:val="20"/>
          <w:szCs w:val="20"/>
          <w:lang w:val="es-ES" w:eastAsia="en-US"/>
        </w:rPr>
        <w:t xml:space="preserve">su posición con </w:t>
      </w:r>
      <w:r w:rsidRPr="002570D1">
        <w:rPr>
          <w:sz w:val="20"/>
          <w:szCs w:val="20"/>
          <w:lang w:val="es-ES" w:eastAsia="en-US"/>
        </w:rPr>
        <w:t>la declaración del perito Santos</w:t>
      </w:r>
      <w:r w:rsidR="00CE2C34">
        <w:rPr>
          <w:sz w:val="20"/>
          <w:szCs w:val="20"/>
          <w:lang w:val="es-ES" w:eastAsia="en-US"/>
        </w:rPr>
        <w:t xml:space="preserve">, </w:t>
      </w:r>
      <w:r w:rsidRPr="002570D1">
        <w:rPr>
          <w:sz w:val="20"/>
          <w:szCs w:val="20"/>
          <w:lang w:val="es-ES" w:eastAsia="en-US"/>
        </w:rPr>
        <w:t>qu</w:t>
      </w:r>
      <w:r w:rsidR="00CE2C34">
        <w:rPr>
          <w:sz w:val="20"/>
          <w:szCs w:val="20"/>
          <w:lang w:val="es-ES" w:eastAsia="en-US"/>
        </w:rPr>
        <w:t>ien</w:t>
      </w:r>
      <w:r w:rsidRPr="002570D1">
        <w:rPr>
          <w:sz w:val="20"/>
          <w:szCs w:val="20"/>
          <w:lang w:val="es-ES" w:eastAsia="en-US"/>
        </w:rPr>
        <w:t xml:space="preserve"> hiciera referencia a disconformidades respecto a cuestiones supuestamente básicas</w:t>
      </w:r>
      <w:r w:rsidR="00CE2C34">
        <w:rPr>
          <w:sz w:val="20"/>
          <w:szCs w:val="20"/>
          <w:lang w:val="es-ES" w:eastAsia="en-US"/>
        </w:rPr>
        <w:t>,</w:t>
      </w:r>
      <w:r w:rsidRPr="002570D1">
        <w:rPr>
          <w:sz w:val="20"/>
          <w:szCs w:val="20"/>
          <w:lang w:val="es-ES" w:eastAsia="en-US"/>
        </w:rPr>
        <w:t xml:space="preserve"> como la asistencia respiratoria mecánica o el antibiótico que él estimaba era el apropiado tras el reingreso del señor Poblete Vilches al Hospital</w:t>
      </w:r>
      <w:r w:rsidR="00CE2C34">
        <w:rPr>
          <w:sz w:val="20"/>
          <w:szCs w:val="20"/>
          <w:lang w:val="es-ES" w:eastAsia="en-US"/>
        </w:rPr>
        <w:t>;</w:t>
      </w:r>
      <w:r w:rsidRPr="002570D1">
        <w:rPr>
          <w:sz w:val="20"/>
          <w:szCs w:val="20"/>
          <w:lang w:val="es-ES" w:eastAsia="en-US"/>
        </w:rPr>
        <w:t xml:space="preserve"> sin embargo, dicha disconformidad no fue suficiente para señalar que hubo negligencia médica en el caso. En tal sentido, </w:t>
      </w:r>
      <w:r w:rsidR="00CE2C34">
        <w:rPr>
          <w:sz w:val="20"/>
          <w:szCs w:val="20"/>
          <w:lang w:val="es-ES" w:eastAsia="en-US"/>
        </w:rPr>
        <w:t>“</w:t>
      </w:r>
      <w:r w:rsidRPr="002570D1">
        <w:rPr>
          <w:sz w:val="20"/>
          <w:szCs w:val="20"/>
          <w:lang w:val="es-ES" w:eastAsia="en-US"/>
        </w:rPr>
        <w:t>la mera disconformidad con el tratamiento otorgado tras su segundo ingreso no puede transformarse en un estándar a ser establecido jurisprudencialmente</w:t>
      </w:r>
      <w:r w:rsidR="00CE2C34">
        <w:rPr>
          <w:sz w:val="20"/>
          <w:szCs w:val="20"/>
          <w:lang w:val="es-ES" w:eastAsia="en-US"/>
        </w:rPr>
        <w:t xml:space="preserve"> por esta Corte”</w:t>
      </w:r>
      <w:r w:rsidR="00CE2C34" w:rsidRPr="00B1523A">
        <w:rPr>
          <w:sz w:val="20"/>
          <w:szCs w:val="20"/>
          <w:lang w:val="es-ES" w:eastAsia="en-US"/>
        </w:rPr>
        <w:t>.</w:t>
      </w:r>
      <w:r w:rsidRPr="002570D1">
        <w:rPr>
          <w:sz w:val="20"/>
          <w:szCs w:val="20"/>
          <w:lang w:val="es-ES" w:eastAsia="en-US"/>
        </w:rPr>
        <w:t xml:space="preserve"> El </w:t>
      </w:r>
      <w:r w:rsidRPr="007143B1">
        <w:rPr>
          <w:sz w:val="20"/>
          <w:szCs w:val="20"/>
          <w:lang w:val="es-ES" w:eastAsia="en-US"/>
        </w:rPr>
        <w:t>Estado</w:t>
      </w:r>
      <w:r w:rsidRPr="002570D1">
        <w:rPr>
          <w:sz w:val="20"/>
          <w:szCs w:val="20"/>
          <w:lang w:val="es-ES" w:eastAsia="en-US"/>
        </w:rPr>
        <w:t xml:space="preserve"> sostuvo que la ventilación mecánica no es una prestación básica</w:t>
      </w:r>
      <w:r w:rsidR="00CE2C34">
        <w:rPr>
          <w:sz w:val="20"/>
          <w:szCs w:val="20"/>
          <w:lang w:val="es-ES" w:eastAsia="en-US"/>
        </w:rPr>
        <w:t>.</w:t>
      </w:r>
      <w:r w:rsidRPr="002570D1">
        <w:rPr>
          <w:b/>
          <w:sz w:val="20"/>
          <w:szCs w:val="20"/>
          <w:lang w:val="es-ES" w:eastAsia="en-US"/>
        </w:rPr>
        <w:t xml:space="preserve"> </w:t>
      </w:r>
      <w:r w:rsidRPr="002570D1">
        <w:rPr>
          <w:sz w:val="20"/>
          <w:szCs w:val="20"/>
          <w:lang w:val="es-ES" w:eastAsia="en-US"/>
        </w:rPr>
        <w:t xml:space="preserve">Asimismo, </w:t>
      </w:r>
      <w:r w:rsidR="00045B83">
        <w:rPr>
          <w:sz w:val="20"/>
          <w:szCs w:val="20"/>
          <w:lang w:val="es-ES" w:eastAsia="en-US"/>
        </w:rPr>
        <w:t xml:space="preserve">señaló que </w:t>
      </w:r>
      <w:r w:rsidRPr="002570D1">
        <w:rPr>
          <w:sz w:val="20"/>
          <w:szCs w:val="20"/>
          <w:lang w:val="es-ES" w:eastAsia="en-US"/>
        </w:rPr>
        <w:t xml:space="preserve">a través del </w:t>
      </w:r>
      <w:r w:rsidR="00045B83">
        <w:rPr>
          <w:sz w:val="20"/>
          <w:szCs w:val="20"/>
          <w:lang w:val="es-ES" w:eastAsia="en-US"/>
        </w:rPr>
        <w:t>proceder</w:t>
      </w:r>
      <w:r w:rsidRPr="002570D1">
        <w:rPr>
          <w:sz w:val="20"/>
          <w:szCs w:val="20"/>
          <w:lang w:val="es-ES" w:eastAsia="en-US"/>
        </w:rPr>
        <w:t xml:space="preserve"> médico del Hospital Sotero del Río, actuó bajo el criterio de razonabilidad no siendo tal </w:t>
      </w:r>
      <w:r w:rsidR="00045B83">
        <w:rPr>
          <w:sz w:val="20"/>
          <w:szCs w:val="20"/>
          <w:lang w:val="es-ES" w:eastAsia="en-US"/>
        </w:rPr>
        <w:t>hecho</w:t>
      </w:r>
      <w:r w:rsidRPr="002570D1">
        <w:rPr>
          <w:sz w:val="20"/>
          <w:szCs w:val="20"/>
          <w:lang w:val="es-ES" w:eastAsia="en-US"/>
        </w:rPr>
        <w:t xml:space="preserve"> la razón del lamentable fallecimiento del señor Poblete Vilches, quien desde su primer ingreso, sumado a su edad, presentaba un cuadro médico crónico, reconocido como tal por el propio perito Santos. El </w:t>
      </w:r>
      <w:r w:rsidRPr="007143B1">
        <w:rPr>
          <w:sz w:val="20"/>
          <w:szCs w:val="20"/>
          <w:lang w:val="es-ES" w:eastAsia="en-US"/>
        </w:rPr>
        <w:lastRenderedPageBreak/>
        <w:t>Estado</w:t>
      </w:r>
      <w:r w:rsidRPr="002570D1">
        <w:rPr>
          <w:sz w:val="20"/>
          <w:szCs w:val="20"/>
          <w:lang w:val="es-ES" w:eastAsia="en-US"/>
        </w:rPr>
        <w:t xml:space="preserve"> concluyó que los hechos señalados configuran una vulneración del artículo 5</w:t>
      </w:r>
      <w:r w:rsidR="00045B83">
        <w:rPr>
          <w:sz w:val="20"/>
          <w:szCs w:val="20"/>
          <w:lang w:val="es-ES" w:eastAsia="en-US"/>
        </w:rPr>
        <w:t xml:space="preserve"> de la Convención</w:t>
      </w:r>
      <w:r w:rsidRPr="002570D1">
        <w:rPr>
          <w:sz w:val="20"/>
          <w:szCs w:val="20"/>
          <w:lang w:val="es-ES" w:eastAsia="en-US"/>
        </w:rPr>
        <w:t xml:space="preserve">, pero no así en cuanto al derecho a la vida, </w:t>
      </w:r>
      <w:r w:rsidR="00CE2C34">
        <w:rPr>
          <w:sz w:val="20"/>
          <w:szCs w:val="20"/>
          <w:lang w:val="es-ES" w:eastAsia="en-US"/>
        </w:rPr>
        <w:t>el cual</w:t>
      </w:r>
      <w:r w:rsidR="00CE2C34" w:rsidRPr="002570D1">
        <w:rPr>
          <w:sz w:val="20"/>
          <w:szCs w:val="20"/>
          <w:lang w:val="es-ES" w:eastAsia="en-US"/>
        </w:rPr>
        <w:t xml:space="preserve"> </w:t>
      </w:r>
      <w:r w:rsidRPr="002570D1">
        <w:rPr>
          <w:sz w:val="20"/>
          <w:szCs w:val="20"/>
          <w:lang w:val="es-ES" w:eastAsia="en-US"/>
        </w:rPr>
        <w:t>está regido por estándares distintos</w:t>
      </w:r>
      <w:r w:rsidR="00CE2C34">
        <w:rPr>
          <w:sz w:val="20"/>
          <w:szCs w:val="20"/>
          <w:lang w:val="es-ES" w:eastAsia="en-US"/>
        </w:rPr>
        <w:t>,</w:t>
      </w:r>
      <w:r w:rsidRPr="002570D1">
        <w:rPr>
          <w:sz w:val="20"/>
          <w:szCs w:val="20"/>
          <w:lang w:val="es-ES" w:eastAsia="en-US"/>
        </w:rPr>
        <w:t xml:space="preserve"> y de ahí que se reconozca responsabilidad respecto de uno y no de otro. Consecuentemente</w:t>
      </w:r>
      <w:r w:rsidR="00CE2C34">
        <w:rPr>
          <w:sz w:val="20"/>
          <w:szCs w:val="20"/>
          <w:lang w:val="es-ES" w:eastAsia="en-US"/>
        </w:rPr>
        <w:t>,</w:t>
      </w:r>
      <w:r w:rsidRPr="002570D1">
        <w:rPr>
          <w:sz w:val="20"/>
          <w:szCs w:val="20"/>
          <w:lang w:val="es-ES" w:eastAsia="en-US"/>
        </w:rPr>
        <w:t xml:space="preserve"> </w:t>
      </w:r>
      <w:r w:rsidRPr="002570D1">
        <w:rPr>
          <w:rFonts w:eastAsiaTheme="minorHAnsi" w:cstheme="minorBidi"/>
          <w:sz w:val="20"/>
          <w:szCs w:val="20"/>
          <w:lang w:val="es-AR" w:eastAsia="en-US"/>
        </w:rPr>
        <w:t>reconoció expresamente que la decisión de dar de alta a la víctima</w:t>
      </w:r>
      <w:r w:rsidR="00CE2C34">
        <w:rPr>
          <w:rFonts w:eastAsiaTheme="minorHAnsi" w:cstheme="minorBidi"/>
          <w:sz w:val="20"/>
          <w:szCs w:val="20"/>
          <w:lang w:val="es-AR" w:eastAsia="en-US"/>
        </w:rPr>
        <w:t>,</w:t>
      </w:r>
      <w:r w:rsidRPr="002570D1">
        <w:rPr>
          <w:rFonts w:eastAsiaTheme="minorHAnsi" w:cstheme="minorBidi"/>
          <w:sz w:val="20"/>
          <w:szCs w:val="20"/>
          <w:lang w:val="es-AR" w:eastAsia="en-US"/>
        </w:rPr>
        <w:t xml:space="preserve"> en efecto</w:t>
      </w:r>
      <w:r w:rsidR="00CE2C34">
        <w:rPr>
          <w:rFonts w:eastAsiaTheme="minorHAnsi" w:cstheme="minorBidi"/>
          <w:sz w:val="20"/>
          <w:szCs w:val="20"/>
          <w:lang w:val="es-AR" w:eastAsia="en-US"/>
        </w:rPr>
        <w:t>,</w:t>
      </w:r>
      <w:r w:rsidRPr="002570D1">
        <w:rPr>
          <w:rFonts w:eastAsiaTheme="minorHAnsi" w:cstheme="minorBidi"/>
          <w:sz w:val="20"/>
          <w:szCs w:val="20"/>
          <w:lang w:val="es-AR" w:eastAsia="en-US"/>
        </w:rPr>
        <w:t xml:space="preserve"> no fue adecuada ni pertinente y que eso “constituyó un obstáculo en el acceso a condiciones que le garantizaran su derecho a la integridad corporal y, además, a su salud”.</w:t>
      </w:r>
    </w:p>
    <w:p w14:paraId="0AAF3ECE" w14:textId="77777777" w:rsidR="002570D1" w:rsidRPr="002570D1" w:rsidRDefault="002570D1" w:rsidP="002570D1">
      <w:pPr>
        <w:widowControl w:val="0"/>
        <w:tabs>
          <w:tab w:val="center" w:pos="567"/>
        </w:tabs>
        <w:autoSpaceDE w:val="0"/>
        <w:autoSpaceDN w:val="0"/>
        <w:adjustRightInd w:val="0"/>
        <w:contextualSpacing/>
        <w:rPr>
          <w:rFonts w:eastAsia="Calibri"/>
          <w:sz w:val="20"/>
          <w:szCs w:val="20"/>
          <w:lang w:val="es-MX" w:eastAsia="en-US"/>
        </w:rPr>
      </w:pPr>
    </w:p>
    <w:p w14:paraId="00091CBD" w14:textId="77777777" w:rsidR="002570D1" w:rsidRPr="00EB31AC" w:rsidRDefault="002570D1" w:rsidP="00EB31AC">
      <w:pPr>
        <w:pStyle w:val="Heading3"/>
        <w:numPr>
          <w:ilvl w:val="0"/>
          <w:numId w:val="19"/>
        </w:numPr>
        <w:rPr>
          <w:b/>
        </w:rPr>
      </w:pPr>
      <w:bookmarkStart w:id="75" w:name="_Toc513644464"/>
      <w:r w:rsidRPr="00EB31AC">
        <w:rPr>
          <w:b/>
        </w:rPr>
        <w:t>Relativos al consentimiento informado</w:t>
      </w:r>
      <w:bookmarkEnd w:id="75"/>
    </w:p>
    <w:p w14:paraId="78A01F1A" w14:textId="77777777" w:rsidR="002570D1" w:rsidRPr="002570D1" w:rsidRDefault="002570D1" w:rsidP="002570D1">
      <w:pPr>
        <w:widowControl w:val="0"/>
        <w:tabs>
          <w:tab w:val="center" w:pos="567"/>
        </w:tabs>
        <w:autoSpaceDE w:val="0"/>
        <w:autoSpaceDN w:val="0"/>
        <w:adjustRightInd w:val="0"/>
        <w:contextualSpacing/>
        <w:rPr>
          <w:rFonts w:eastAsia="Calibri"/>
          <w:sz w:val="20"/>
          <w:szCs w:val="20"/>
          <w:lang w:val="es-MX" w:eastAsia="en-US"/>
        </w:rPr>
      </w:pPr>
    </w:p>
    <w:p w14:paraId="31D61B3D" w14:textId="4FFE7862" w:rsidR="002570D1" w:rsidRPr="001E145A" w:rsidRDefault="002570D1" w:rsidP="002570D1">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val="es-MX" w:eastAsia="es-ES"/>
        </w:rPr>
        <w:t xml:space="preserve">La </w:t>
      </w:r>
      <w:r w:rsidRPr="002570D1">
        <w:rPr>
          <w:rFonts w:eastAsia="Calibri"/>
          <w:b/>
          <w:i/>
          <w:sz w:val="20"/>
          <w:szCs w:val="20"/>
          <w:lang w:val="es-MX" w:eastAsia="es-ES"/>
        </w:rPr>
        <w:t>Comisión</w:t>
      </w:r>
      <w:r w:rsidRPr="002570D1">
        <w:rPr>
          <w:rFonts w:eastAsia="Calibri"/>
          <w:b/>
          <w:sz w:val="20"/>
          <w:szCs w:val="20"/>
          <w:lang w:val="es-MX" w:eastAsia="es-ES"/>
        </w:rPr>
        <w:t xml:space="preserve"> </w:t>
      </w:r>
      <w:r w:rsidRPr="002570D1">
        <w:rPr>
          <w:rFonts w:eastAsia="Calibri"/>
          <w:sz w:val="20"/>
          <w:szCs w:val="20"/>
          <w:lang w:val="es-MX" w:eastAsia="es-ES"/>
        </w:rPr>
        <w:t xml:space="preserve">señaló </w:t>
      </w:r>
      <w:r w:rsidRPr="002570D1">
        <w:rPr>
          <w:rFonts w:eastAsia="Calibri"/>
          <w:sz w:val="20"/>
          <w:szCs w:val="20"/>
          <w:lang w:val="es-MX" w:eastAsia="en-US"/>
        </w:rPr>
        <w:t>que en el expediente médico no se encuentran contenidos mínimos que permitirían entender si el señor Poblete Vilches y sus familiares recibieron información concreta para efectuar el consentimiento informado ni que se cumpliera con los tres elementos del mismo. La Comisión indicó que ni en el marco del procedimiento realizado en el primer ingreso del señor Poblete Vilches ni en el marco del tratamiento tras su segundo ingreso</w:t>
      </w:r>
      <w:r w:rsidR="00012B33">
        <w:rPr>
          <w:rFonts w:eastAsia="Calibri"/>
          <w:sz w:val="20"/>
          <w:szCs w:val="20"/>
          <w:lang w:val="es-MX" w:eastAsia="en-US"/>
        </w:rPr>
        <w:t>,</w:t>
      </w:r>
      <w:r w:rsidRPr="002570D1">
        <w:rPr>
          <w:rFonts w:eastAsia="Calibri"/>
          <w:sz w:val="20"/>
          <w:szCs w:val="20"/>
          <w:lang w:val="es-MX" w:eastAsia="en-US"/>
        </w:rPr>
        <w:t xml:space="preserve"> el personal médico cumplió con sus obligaciones en materia de consentimiento informado. Asimismo, </w:t>
      </w:r>
      <w:r w:rsidR="00EE08AB">
        <w:rPr>
          <w:rFonts w:eastAsia="Calibri"/>
          <w:sz w:val="20"/>
          <w:szCs w:val="20"/>
          <w:lang w:val="es-MX" w:eastAsia="en-US"/>
        </w:rPr>
        <w:t xml:space="preserve">señaló que </w:t>
      </w:r>
      <w:r w:rsidRPr="002570D1">
        <w:rPr>
          <w:rFonts w:eastAsia="Calibri"/>
          <w:sz w:val="20"/>
          <w:szCs w:val="20"/>
          <w:lang w:val="es-MX" w:eastAsia="en-US"/>
        </w:rPr>
        <w:t xml:space="preserve">dado que el Hospital </w:t>
      </w:r>
      <w:proofErr w:type="spellStart"/>
      <w:r w:rsidRPr="002570D1">
        <w:rPr>
          <w:rFonts w:eastAsia="Calibri"/>
          <w:sz w:val="20"/>
          <w:szCs w:val="20"/>
          <w:lang w:val="es-MX" w:eastAsia="en-US"/>
        </w:rPr>
        <w:t>Sótero</w:t>
      </w:r>
      <w:proofErr w:type="spellEnd"/>
      <w:r w:rsidRPr="002570D1">
        <w:rPr>
          <w:rFonts w:eastAsia="Calibri"/>
          <w:sz w:val="20"/>
          <w:szCs w:val="20"/>
          <w:lang w:val="es-MX" w:eastAsia="en-US"/>
        </w:rPr>
        <w:t xml:space="preserve"> del Río es un hospital público, el incumplimiento resulta directamente atribuible al Estado chileno. En este sentido, la Comisión consideró que Chile violó el derecho de acceso a la información para la elección de servicios de salud</w:t>
      </w:r>
      <w:r w:rsidR="00012B33">
        <w:rPr>
          <w:rFonts w:eastAsia="Calibri"/>
          <w:sz w:val="20"/>
          <w:szCs w:val="20"/>
          <w:lang w:val="es-MX" w:eastAsia="en-US"/>
        </w:rPr>
        <w:t>,</w:t>
      </w:r>
      <w:r w:rsidRPr="002570D1">
        <w:rPr>
          <w:rFonts w:eastAsia="Calibri"/>
          <w:sz w:val="20"/>
          <w:szCs w:val="20"/>
          <w:lang w:val="es-MX" w:eastAsia="en-US"/>
        </w:rPr>
        <w:t xml:space="preserve"> protegido por el artículo 13, en relación con las obligaciones en el artículo 1.1</w:t>
      </w:r>
      <w:r w:rsidR="00012B33">
        <w:rPr>
          <w:rFonts w:eastAsia="Calibri"/>
          <w:sz w:val="20"/>
          <w:szCs w:val="20"/>
          <w:lang w:val="es-MX" w:eastAsia="en-US"/>
        </w:rPr>
        <w:t>,</w:t>
      </w:r>
      <w:r w:rsidRPr="002570D1">
        <w:rPr>
          <w:rFonts w:eastAsia="Calibri"/>
          <w:sz w:val="20"/>
          <w:szCs w:val="20"/>
          <w:lang w:val="es-MX" w:eastAsia="en-US"/>
        </w:rPr>
        <w:t xml:space="preserve"> y los derechos a la vida, integridad y salud establecidos en los artículos 4 y 5 de la Convención</w:t>
      </w:r>
      <w:r w:rsidR="00012B33">
        <w:rPr>
          <w:rFonts w:eastAsia="Calibri"/>
          <w:sz w:val="20"/>
          <w:szCs w:val="20"/>
          <w:lang w:val="es-MX" w:eastAsia="en-US"/>
        </w:rPr>
        <w:t>,</w:t>
      </w:r>
      <w:r w:rsidRPr="002570D1">
        <w:rPr>
          <w:rFonts w:eastAsia="Calibri"/>
          <w:sz w:val="20"/>
          <w:szCs w:val="20"/>
          <w:lang w:val="es-MX" w:eastAsia="en-US"/>
        </w:rPr>
        <w:t xml:space="preserve"> en perjuicio </w:t>
      </w:r>
      <w:r w:rsidRPr="001E145A">
        <w:rPr>
          <w:rFonts w:eastAsia="Calibri"/>
          <w:sz w:val="20"/>
          <w:szCs w:val="20"/>
          <w:lang w:val="es-MX" w:eastAsia="en-US"/>
        </w:rPr>
        <w:t xml:space="preserve">del señor Poblete Vilches y </w:t>
      </w:r>
      <w:r w:rsidR="00E957B9">
        <w:rPr>
          <w:rFonts w:eastAsia="Calibri"/>
          <w:sz w:val="20"/>
          <w:szCs w:val="20"/>
          <w:lang w:val="es-MX" w:eastAsia="en-US"/>
        </w:rPr>
        <w:t xml:space="preserve">de </w:t>
      </w:r>
      <w:r w:rsidRPr="001E145A">
        <w:rPr>
          <w:rFonts w:eastAsia="Calibri"/>
          <w:sz w:val="20"/>
          <w:szCs w:val="20"/>
          <w:lang w:val="es-MX" w:eastAsia="en-US"/>
        </w:rPr>
        <w:t xml:space="preserve">sus familiares. </w:t>
      </w:r>
    </w:p>
    <w:p w14:paraId="7DDFBEC2" w14:textId="77777777" w:rsidR="002570D1" w:rsidRPr="001E145A" w:rsidRDefault="002570D1" w:rsidP="002570D1">
      <w:pPr>
        <w:contextualSpacing/>
        <w:rPr>
          <w:rFonts w:eastAsia="Calibri"/>
          <w:sz w:val="20"/>
          <w:szCs w:val="20"/>
          <w:lang w:val="es-MX" w:eastAsia="en-US"/>
        </w:rPr>
      </w:pPr>
    </w:p>
    <w:p w14:paraId="0BA6233F" w14:textId="403DFF67" w:rsidR="00957D73" w:rsidRPr="001E145A" w:rsidRDefault="002570D1" w:rsidP="005430FF">
      <w:pPr>
        <w:numPr>
          <w:ilvl w:val="0"/>
          <w:numId w:val="2"/>
        </w:numPr>
        <w:tabs>
          <w:tab w:val="left" w:pos="567"/>
          <w:tab w:val="num" w:pos="1569"/>
          <w:tab w:val="num" w:pos="12305"/>
        </w:tabs>
        <w:ind w:left="0" w:firstLine="0"/>
        <w:contextualSpacing/>
        <w:rPr>
          <w:rFonts w:eastAsia="Calibri"/>
          <w:sz w:val="20"/>
          <w:szCs w:val="20"/>
          <w:lang w:val="es-MX" w:eastAsia="en-US"/>
        </w:rPr>
      </w:pPr>
      <w:r w:rsidRPr="001E145A">
        <w:rPr>
          <w:rFonts w:eastAsia="Calibri"/>
          <w:sz w:val="20"/>
          <w:szCs w:val="20"/>
          <w:lang w:val="es-MX" w:eastAsia="en-US"/>
        </w:rPr>
        <w:t xml:space="preserve">Las </w:t>
      </w:r>
      <w:r w:rsidRPr="001E145A">
        <w:rPr>
          <w:rFonts w:eastAsia="Calibri"/>
          <w:b/>
          <w:i/>
          <w:sz w:val="20"/>
          <w:szCs w:val="20"/>
          <w:lang w:val="es-MX" w:eastAsia="en-US"/>
        </w:rPr>
        <w:t>representantes</w:t>
      </w:r>
      <w:r w:rsidRPr="001E145A">
        <w:rPr>
          <w:rFonts w:eastAsia="Calibri"/>
          <w:sz w:val="20"/>
          <w:szCs w:val="20"/>
          <w:lang w:val="es-MX" w:eastAsia="en-US"/>
        </w:rPr>
        <w:t xml:space="preserve"> señalaron que el señor Poblete Vilches se encontraba inconsciente al momento en el que se decidió sobre su intervención quirúrgica y</w:t>
      </w:r>
      <w:r w:rsidR="00E957B9">
        <w:rPr>
          <w:rFonts w:eastAsia="Calibri"/>
          <w:sz w:val="20"/>
          <w:szCs w:val="20"/>
          <w:lang w:val="es-MX" w:eastAsia="en-US"/>
        </w:rPr>
        <w:t>,</w:t>
      </w:r>
      <w:r w:rsidRPr="001E145A">
        <w:rPr>
          <w:rFonts w:eastAsia="Calibri"/>
          <w:sz w:val="20"/>
          <w:szCs w:val="20"/>
          <w:lang w:val="es-MX" w:eastAsia="en-US"/>
        </w:rPr>
        <w:t xml:space="preserve"> por ello, no estaba en condiciones de consentir ningún tipo de procedimiento</w:t>
      </w:r>
      <w:r w:rsidR="00E957B9" w:rsidRPr="00B1523A">
        <w:rPr>
          <w:rFonts w:eastAsia="Calibri"/>
          <w:sz w:val="20"/>
          <w:szCs w:val="20"/>
          <w:lang w:val="es-MX" w:eastAsia="en-US"/>
        </w:rPr>
        <w:t>.</w:t>
      </w:r>
      <w:r w:rsidRPr="001E145A">
        <w:rPr>
          <w:rFonts w:eastAsia="Calibri"/>
          <w:b/>
          <w:sz w:val="20"/>
          <w:szCs w:val="20"/>
          <w:lang w:val="es-MX" w:eastAsia="en-US"/>
        </w:rPr>
        <w:t xml:space="preserve"> </w:t>
      </w:r>
      <w:r w:rsidRPr="001E145A">
        <w:rPr>
          <w:rFonts w:eastAsia="Calibri"/>
          <w:sz w:val="20"/>
          <w:szCs w:val="20"/>
          <w:lang w:val="es-MX" w:eastAsia="en-US"/>
        </w:rPr>
        <w:t>Además, sus familiares, qu</w:t>
      </w:r>
      <w:r w:rsidR="00091418">
        <w:rPr>
          <w:rFonts w:eastAsia="Calibri"/>
          <w:sz w:val="20"/>
          <w:szCs w:val="20"/>
          <w:lang w:val="es-MX" w:eastAsia="en-US"/>
        </w:rPr>
        <w:t>i</w:t>
      </w:r>
      <w:r w:rsidRPr="001E145A">
        <w:rPr>
          <w:rFonts w:eastAsia="Calibri"/>
          <w:sz w:val="20"/>
          <w:szCs w:val="20"/>
          <w:lang w:val="es-MX" w:eastAsia="en-US"/>
        </w:rPr>
        <w:t>e</w:t>
      </w:r>
      <w:r w:rsidR="00091418">
        <w:rPr>
          <w:rFonts w:eastAsia="Calibri"/>
          <w:sz w:val="20"/>
          <w:szCs w:val="20"/>
          <w:lang w:val="es-MX" w:eastAsia="en-US"/>
        </w:rPr>
        <w:t>nes</w:t>
      </w:r>
      <w:r w:rsidRPr="001E145A">
        <w:rPr>
          <w:rFonts w:eastAsia="Calibri"/>
          <w:sz w:val="20"/>
          <w:szCs w:val="20"/>
          <w:lang w:val="es-MX" w:eastAsia="en-US"/>
        </w:rPr>
        <w:t xml:space="preserve"> conocían los antecedentes de diabetes que padecía el paciente, expresaron que no autorizaban ninguna intervención. En este sentido, las </w:t>
      </w:r>
      <w:r w:rsidRPr="007143B1">
        <w:rPr>
          <w:rFonts w:eastAsia="Calibri"/>
          <w:sz w:val="20"/>
          <w:szCs w:val="20"/>
          <w:lang w:val="es-MX" w:eastAsia="en-US"/>
        </w:rPr>
        <w:t>representantes</w:t>
      </w:r>
      <w:r w:rsidRPr="001E145A">
        <w:rPr>
          <w:rFonts w:eastAsia="Calibri"/>
          <w:sz w:val="20"/>
          <w:szCs w:val="20"/>
          <w:lang w:val="es-MX" w:eastAsia="en-US"/>
        </w:rPr>
        <w:t xml:space="preserve"> indicaron que la constancia que se encuentra en la historia clínica para autorizar el procedimiento fue falsificada</w:t>
      </w:r>
      <w:r w:rsidR="00091418">
        <w:rPr>
          <w:rFonts w:eastAsia="Calibri"/>
          <w:sz w:val="20"/>
          <w:szCs w:val="20"/>
          <w:lang w:val="es-MX" w:eastAsia="en-US"/>
        </w:rPr>
        <w:t>.</w:t>
      </w:r>
      <w:r w:rsidRPr="001E145A">
        <w:rPr>
          <w:rFonts w:eastAsia="Calibri"/>
          <w:sz w:val="20"/>
          <w:szCs w:val="20"/>
          <w:lang w:val="es-MX" w:eastAsia="en-US"/>
        </w:rPr>
        <w:t xml:space="preserve"> Por otro lado, indicaron que no existe registro alguno que indique que la presunta víctima o sus familiares hayan recibido información completa del </w:t>
      </w:r>
      <w:r w:rsidR="00091418">
        <w:rPr>
          <w:rFonts w:eastAsia="Calibri"/>
          <w:sz w:val="20"/>
          <w:szCs w:val="20"/>
          <w:lang w:val="es-MX" w:eastAsia="en-US"/>
        </w:rPr>
        <w:t>e</w:t>
      </w:r>
      <w:r w:rsidRPr="001E145A">
        <w:rPr>
          <w:rFonts w:eastAsia="Calibri"/>
          <w:sz w:val="20"/>
          <w:szCs w:val="20"/>
          <w:lang w:val="es-MX" w:eastAsia="en-US"/>
        </w:rPr>
        <w:t>stado de salud del señor Poblete Vilches</w:t>
      </w:r>
      <w:r w:rsidR="00091418">
        <w:rPr>
          <w:rFonts w:eastAsia="Calibri"/>
          <w:sz w:val="20"/>
          <w:szCs w:val="20"/>
          <w:lang w:val="es-MX" w:eastAsia="en-US"/>
        </w:rPr>
        <w:t>;</w:t>
      </w:r>
      <w:r w:rsidRPr="001E145A">
        <w:rPr>
          <w:rFonts w:eastAsia="Calibri"/>
          <w:sz w:val="20"/>
          <w:szCs w:val="20"/>
          <w:lang w:val="es-MX" w:eastAsia="en-US"/>
        </w:rPr>
        <w:t xml:space="preserve"> la naturaleza del diagnóstico, ni una descripción detallada de la naturaleza, riesgos, consecuencias y tratamientos alternativos del procedimiento. Agregaron que para la época de los hechos el Estado contaba con normativa</w:t>
      </w:r>
      <w:r w:rsidR="00D12AAB">
        <w:rPr>
          <w:rFonts w:eastAsia="Calibri"/>
          <w:sz w:val="20"/>
          <w:szCs w:val="20"/>
          <w:lang w:val="es-MX" w:eastAsia="en-US"/>
        </w:rPr>
        <w:t>s</w:t>
      </w:r>
      <w:r w:rsidRPr="001E145A">
        <w:rPr>
          <w:rFonts w:eastAsia="Calibri"/>
          <w:sz w:val="20"/>
          <w:szCs w:val="20"/>
          <w:lang w:val="es-MX" w:eastAsia="en-US"/>
        </w:rPr>
        <w:t xml:space="preserve"> interna</w:t>
      </w:r>
      <w:r w:rsidR="00D12AAB">
        <w:rPr>
          <w:rFonts w:eastAsia="Calibri"/>
          <w:sz w:val="20"/>
          <w:szCs w:val="20"/>
          <w:lang w:val="es-MX" w:eastAsia="en-US"/>
        </w:rPr>
        <w:t>s</w:t>
      </w:r>
      <w:r w:rsidRPr="001E145A">
        <w:rPr>
          <w:rFonts w:eastAsia="Calibri"/>
          <w:sz w:val="20"/>
          <w:szCs w:val="20"/>
          <w:lang w:val="es-MX" w:eastAsia="en-US"/>
        </w:rPr>
        <w:t xml:space="preserve"> relevante</w:t>
      </w:r>
      <w:r w:rsidR="00D12AAB">
        <w:rPr>
          <w:rFonts w:eastAsia="Calibri"/>
          <w:sz w:val="20"/>
          <w:szCs w:val="20"/>
          <w:lang w:val="es-MX" w:eastAsia="en-US"/>
        </w:rPr>
        <w:t>s</w:t>
      </w:r>
      <w:r w:rsidR="002729B7" w:rsidRPr="001E145A">
        <w:rPr>
          <w:rFonts w:eastAsia="Calibri"/>
          <w:sz w:val="20"/>
          <w:szCs w:val="20"/>
          <w:lang w:val="es-MX" w:eastAsia="en-US"/>
        </w:rPr>
        <w:t xml:space="preserve"> sobre consentimiento informado</w:t>
      </w:r>
      <w:r w:rsidR="002729B7" w:rsidRPr="001E145A">
        <w:rPr>
          <w:rStyle w:val="FootnoteReference"/>
          <w:rFonts w:eastAsia="Calibri"/>
          <w:sz w:val="20"/>
          <w:szCs w:val="20"/>
          <w:lang w:val="es-MX" w:eastAsia="en-US"/>
        </w:rPr>
        <w:footnoteReference w:id="125"/>
      </w:r>
      <w:r w:rsidRPr="001E145A">
        <w:rPr>
          <w:rFonts w:eastAsia="Calibri" w:cs="Arial-ItalicMT"/>
          <w:iCs/>
          <w:sz w:val="20"/>
          <w:szCs w:val="20"/>
          <w:lang w:val="es-MX" w:eastAsia="en-US"/>
        </w:rPr>
        <w:t>.</w:t>
      </w:r>
      <w:r w:rsidRPr="001E145A">
        <w:rPr>
          <w:rFonts w:eastAsia="Calibri" w:cs="Arial-ItalicMT"/>
          <w:b/>
          <w:iCs/>
          <w:sz w:val="20"/>
          <w:szCs w:val="20"/>
          <w:lang w:val="es-MX" w:eastAsia="en-US"/>
        </w:rPr>
        <w:t xml:space="preserve"> </w:t>
      </w:r>
      <w:r w:rsidRPr="001E145A">
        <w:rPr>
          <w:rFonts w:eastAsia="Calibri"/>
          <w:sz w:val="20"/>
          <w:szCs w:val="20"/>
          <w:lang w:val="es-MX" w:eastAsia="en-US"/>
        </w:rPr>
        <w:t xml:space="preserve">Por lo que las </w:t>
      </w:r>
      <w:r w:rsidRPr="007143B1">
        <w:rPr>
          <w:rFonts w:eastAsia="Calibri"/>
          <w:sz w:val="20"/>
          <w:szCs w:val="20"/>
          <w:lang w:val="es-MX" w:eastAsia="en-US"/>
        </w:rPr>
        <w:t>representantes</w:t>
      </w:r>
      <w:r w:rsidRPr="001E145A">
        <w:rPr>
          <w:rFonts w:eastAsia="Calibri"/>
          <w:sz w:val="20"/>
          <w:szCs w:val="20"/>
          <w:lang w:val="es-MX" w:eastAsia="en-US"/>
        </w:rPr>
        <w:t xml:space="preserve"> concluyeron que el Estado violó el derecho a la información en materia de salud previsto en el artículo 13.1 en conexión con los artículos 4.1, 5.1 y 26 y con las obligaciones que surgen del artículo 1.1 de la Convención Americana</w:t>
      </w:r>
      <w:r w:rsidR="00C20EB7">
        <w:rPr>
          <w:rFonts w:eastAsia="Calibri"/>
          <w:sz w:val="20"/>
          <w:szCs w:val="20"/>
          <w:lang w:val="es-MX" w:eastAsia="en-US"/>
        </w:rPr>
        <w:t>,</w:t>
      </w:r>
      <w:r w:rsidRPr="001E145A">
        <w:rPr>
          <w:rFonts w:eastAsia="Calibri"/>
          <w:sz w:val="20"/>
          <w:szCs w:val="20"/>
          <w:lang w:val="es-MX" w:eastAsia="en-US"/>
        </w:rPr>
        <w:t xml:space="preserve"> al no garantizar a Vinicio Poblete ni a sus familiares directos el derecho a brindar consentimiento informado con anterioridad a la realización de una intervención médica. </w:t>
      </w:r>
      <w:r w:rsidR="00183FBB" w:rsidRPr="001E145A">
        <w:rPr>
          <w:sz w:val="20"/>
          <w:szCs w:val="20"/>
          <w:lang w:val="es-MX"/>
        </w:rPr>
        <w:t xml:space="preserve">Por último, las </w:t>
      </w:r>
      <w:r w:rsidR="00183FBB" w:rsidRPr="007143B1">
        <w:rPr>
          <w:sz w:val="20"/>
          <w:szCs w:val="20"/>
          <w:lang w:val="es-MX"/>
        </w:rPr>
        <w:t>representantes</w:t>
      </w:r>
      <w:r w:rsidR="00183FBB" w:rsidRPr="001E145A">
        <w:rPr>
          <w:sz w:val="20"/>
          <w:szCs w:val="20"/>
          <w:lang w:val="es-MX"/>
        </w:rPr>
        <w:t xml:space="preserve"> concluyeron que la falta de consentimiento antes de someter a la presunta víctima a una intervención quirúrgica resultó además violatoria de</w:t>
      </w:r>
      <w:r w:rsidR="00C20EB7">
        <w:rPr>
          <w:sz w:val="20"/>
          <w:szCs w:val="20"/>
          <w:lang w:val="es-MX"/>
        </w:rPr>
        <w:t xml:space="preserve"> los</w:t>
      </w:r>
      <w:r w:rsidR="00183FBB" w:rsidRPr="001E145A">
        <w:rPr>
          <w:sz w:val="20"/>
          <w:szCs w:val="20"/>
          <w:lang w:val="es-MX"/>
        </w:rPr>
        <w:t xml:space="preserve"> derecho</w:t>
      </w:r>
      <w:r w:rsidR="00C20EB7">
        <w:rPr>
          <w:sz w:val="20"/>
          <w:szCs w:val="20"/>
          <w:lang w:val="es-MX"/>
        </w:rPr>
        <w:t>s</w:t>
      </w:r>
      <w:r w:rsidR="00183FBB" w:rsidRPr="001E145A">
        <w:rPr>
          <w:sz w:val="20"/>
          <w:szCs w:val="20"/>
          <w:lang w:val="es-MX"/>
        </w:rPr>
        <w:t xml:space="preserve"> a la autonomía personal y a decidir libremente, previstos en los artículos 11 y 7 de la Convención, en perjuicio del señor Poblete Vilches y </w:t>
      </w:r>
      <w:r w:rsidR="00C20EB7">
        <w:rPr>
          <w:sz w:val="20"/>
          <w:szCs w:val="20"/>
          <w:lang w:val="es-MX"/>
        </w:rPr>
        <w:t xml:space="preserve">de </w:t>
      </w:r>
      <w:r w:rsidR="00183FBB" w:rsidRPr="001E145A">
        <w:rPr>
          <w:sz w:val="20"/>
          <w:szCs w:val="20"/>
          <w:lang w:val="es-MX"/>
        </w:rPr>
        <w:t xml:space="preserve">sus familiares. </w:t>
      </w:r>
    </w:p>
    <w:p w14:paraId="7FA2EAA5" w14:textId="77777777" w:rsidR="002570D1" w:rsidRPr="001E145A" w:rsidRDefault="002570D1" w:rsidP="005430FF">
      <w:pPr>
        <w:tabs>
          <w:tab w:val="left" w:pos="567"/>
        </w:tabs>
        <w:contextualSpacing/>
        <w:rPr>
          <w:rFonts w:eastAsia="Calibri"/>
          <w:sz w:val="20"/>
          <w:szCs w:val="20"/>
          <w:lang w:val="es-MX" w:eastAsia="en-US"/>
        </w:rPr>
      </w:pPr>
    </w:p>
    <w:p w14:paraId="2810B614" w14:textId="543BD496" w:rsidR="002570D1" w:rsidRPr="002570D1" w:rsidRDefault="002570D1" w:rsidP="002570D1">
      <w:pPr>
        <w:numPr>
          <w:ilvl w:val="0"/>
          <w:numId w:val="2"/>
        </w:numPr>
        <w:tabs>
          <w:tab w:val="left" w:pos="567"/>
          <w:tab w:val="num" w:pos="1569"/>
          <w:tab w:val="num" w:pos="12305"/>
        </w:tabs>
        <w:ind w:left="0" w:firstLine="0"/>
        <w:rPr>
          <w:rFonts w:eastAsia="Calibri" w:cs="Arial-ItalicMT"/>
          <w:iCs/>
          <w:sz w:val="20"/>
          <w:szCs w:val="20"/>
          <w:lang w:val="es-MX" w:eastAsia="en-US"/>
        </w:rPr>
      </w:pPr>
      <w:r w:rsidRPr="001E145A">
        <w:rPr>
          <w:rFonts w:eastAsia="Calibri" w:cs="Arial-ItalicMT"/>
          <w:iCs/>
          <w:sz w:val="20"/>
          <w:szCs w:val="20"/>
          <w:lang w:val="es-MX" w:eastAsia="en-US"/>
        </w:rPr>
        <w:t>En cuanto al reconocimiento parcial</w:t>
      </w:r>
      <w:r w:rsidRPr="002570D1">
        <w:rPr>
          <w:rFonts w:eastAsia="Calibri" w:cs="Arial-ItalicMT"/>
          <w:iCs/>
          <w:sz w:val="20"/>
          <w:szCs w:val="20"/>
          <w:lang w:val="es-MX" w:eastAsia="en-US"/>
        </w:rPr>
        <w:t xml:space="preserve"> de responsabilidad, l</w:t>
      </w:r>
      <w:r w:rsidR="007F4C0F">
        <w:rPr>
          <w:rFonts w:eastAsia="Calibri" w:cs="Arial-ItalicMT"/>
          <w:iCs/>
          <w:sz w:val="20"/>
          <w:szCs w:val="20"/>
          <w:lang w:val="es-MX" w:eastAsia="en-US"/>
        </w:rPr>
        <w:t>a</w:t>
      </w:r>
      <w:r w:rsidRPr="002570D1">
        <w:rPr>
          <w:rFonts w:eastAsia="Calibri" w:cs="Arial-ItalicMT"/>
          <w:iCs/>
          <w:sz w:val="20"/>
          <w:szCs w:val="20"/>
          <w:lang w:val="es-MX" w:eastAsia="en-US"/>
        </w:rPr>
        <w:t xml:space="preserve">s </w:t>
      </w:r>
      <w:r w:rsidRPr="007143B1">
        <w:rPr>
          <w:rFonts w:eastAsia="Calibri" w:cs="Arial-ItalicMT"/>
          <w:iCs/>
          <w:sz w:val="20"/>
          <w:szCs w:val="20"/>
          <w:lang w:val="es-MX" w:eastAsia="en-US"/>
        </w:rPr>
        <w:t>representantes</w:t>
      </w:r>
      <w:r w:rsidRPr="002570D1">
        <w:rPr>
          <w:rFonts w:eastAsia="Calibri" w:cs="Arial-ItalicMT"/>
          <w:iCs/>
          <w:sz w:val="20"/>
          <w:szCs w:val="20"/>
          <w:lang w:val="es-MX" w:eastAsia="en-US"/>
        </w:rPr>
        <w:t xml:space="preserve"> señalaron en sus alegatos finales escritos que el Estado sólo reconoció la violación de los artículos 7 y 11 respecto del señor Vinicio Poblete y no de sus familiares. Al respecto, las </w:t>
      </w:r>
      <w:r w:rsidRPr="007143B1">
        <w:rPr>
          <w:rFonts w:eastAsia="Calibri" w:cs="Arial-ItalicMT"/>
          <w:iCs/>
          <w:sz w:val="20"/>
          <w:szCs w:val="20"/>
          <w:lang w:val="es-MX" w:eastAsia="en-US"/>
        </w:rPr>
        <w:t>representantes</w:t>
      </w:r>
      <w:r w:rsidRPr="00A86D37">
        <w:rPr>
          <w:rFonts w:eastAsia="Calibri" w:cs="Arial-ItalicMT"/>
          <w:iCs/>
          <w:sz w:val="20"/>
          <w:szCs w:val="20"/>
          <w:lang w:val="es-MX" w:eastAsia="en-US"/>
        </w:rPr>
        <w:t xml:space="preserve"> </w:t>
      </w:r>
      <w:r w:rsidRPr="002570D1">
        <w:rPr>
          <w:rFonts w:eastAsia="Calibri" w:cs="Arial-ItalicMT"/>
          <w:iCs/>
          <w:sz w:val="20"/>
          <w:szCs w:val="20"/>
          <w:lang w:val="es-MX" w:eastAsia="en-US"/>
        </w:rPr>
        <w:t>argumentaron que</w:t>
      </w:r>
      <w:r w:rsidR="007F4C0F">
        <w:rPr>
          <w:rFonts w:eastAsia="Calibri" w:cs="Arial-ItalicMT"/>
          <w:iCs/>
          <w:sz w:val="20"/>
          <w:szCs w:val="20"/>
          <w:lang w:val="es-MX" w:eastAsia="en-US"/>
        </w:rPr>
        <w:t>:</w:t>
      </w:r>
      <w:r w:rsidRPr="002570D1">
        <w:rPr>
          <w:rFonts w:eastAsia="Calibri" w:cs="Arial-ItalicMT"/>
          <w:iCs/>
          <w:sz w:val="20"/>
          <w:szCs w:val="20"/>
          <w:lang w:val="es-MX" w:eastAsia="en-US"/>
        </w:rPr>
        <w:t xml:space="preserve"> i) la titularidad tanto del derecho a la autonomía y privacidad asegurados en el artículo 11, como el derecho a tomar decisiones libres que surge del artículo 7 de la Convención</w:t>
      </w:r>
      <w:r w:rsidR="007F4C0F">
        <w:rPr>
          <w:rFonts w:eastAsia="Calibri" w:cs="Arial-ItalicMT"/>
          <w:iCs/>
          <w:sz w:val="20"/>
          <w:szCs w:val="20"/>
          <w:lang w:val="es-MX" w:eastAsia="en-US"/>
        </w:rPr>
        <w:t>,</w:t>
      </w:r>
      <w:r w:rsidRPr="002570D1">
        <w:rPr>
          <w:rFonts w:eastAsia="Calibri" w:cs="Arial-ItalicMT"/>
          <w:iCs/>
          <w:sz w:val="20"/>
          <w:szCs w:val="20"/>
          <w:lang w:val="es-MX" w:eastAsia="en-US"/>
        </w:rPr>
        <w:t xml:space="preserve"> no pueden estar sujetos a la existencia o no de un acto formal de voluntad del </w:t>
      </w:r>
      <w:r w:rsidRPr="002570D1">
        <w:rPr>
          <w:rFonts w:eastAsia="Calibri" w:cs="Arial-ItalicMT"/>
          <w:iCs/>
          <w:sz w:val="20"/>
          <w:szCs w:val="20"/>
          <w:lang w:val="es-MX" w:eastAsia="en-US"/>
        </w:rPr>
        <w:lastRenderedPageBreak/>
        <w:t xml:space="preserve">paciente; ii) cuando el paciente no está en condiciones de prestar el consentimiento informado, los familiares tienen el derecho propio de hacerlo, </w:t>
      </w:r>
      <w:r w:rsidR="007F4C0F">
        <w:rPr>
          <w:rFonts w:eastAsia="Calibri" w:cs="Arial-ItalicMT"/>
          <w:iCs/>
          <w:sz w:val="20"/>
          <w:szCs w:val="20"/>
          <w:lang w:val="es-MX" w:eastAsia="en-US"/>
        </w:rPr>
        <w:t xml:space="preserve">dado que </w:t>
      </w:r>
      <w:r w:rsidRPr="002570D1">
        <w:rPr>
          <w:rFonts w:eastAsia="Calibri" w:cs="Arial-ItalicMT"/>
          <w:iCs/>
          <w:sz w:val="20"/>
          <w:szCs w:val="20"/>
          <w:lang w:val="es-MX" w:eastAsia="en-US"/>
        </w:rPr>
        <w:t>el derecho a tomar decisiones libres se torna operativo para los familiares cuando el paciente no puede ejercer el suyo; iii) el derecho a tomar decisiones libres en cabeza de los familiares es una derivación lógica del derecho a obtener información en materia de salud; iv) el artículo 11 contiene una cláusula general de protección de la dignidad que también poseen los familiares de los pacientes y esta se vio afectada</w:t>
      </w:r>
      <w:r w:rsidR="007F4C0F">
        <w:rPr>
          <w:rFonts w:eastAsia="Calibri" w:cs="Arial-ItalicMT"/>
          <w:iCs/>
          <w:sz w:val="20"/>
          <w:szCs w:val="20"/>
          <w:lang w:val="es-MX" w:eastAsia="en-US"/>
        </w:rPr>
        <w:t>,</w:t>
      </w:r>
      <w:r w:rsidRPr="002570D1">
        <w:rPr>
          <w:rFonts w:eastAsia="Calibri" w:cs="Arial-ItalicMT"/>
          <w:iCs/>
          <w:sz w:val="20"/>
          <w:szCs w:val="20"/>
          <w:lang w:val="es-MX" w:eastAsia="en-US"/>
        </w:rPr>
        <w:t xml:space="preserve"> toda vez que se les negó el derecho de obtener información en materia de salud y</w:t>
      </w:r>
      <w:r w:rsidR="007F4C0F">
        <w:rPr>
          <w:rFonts w:eastAsia="Calibri" w:cs="Arial-ItalicMT"/>
          <w:iCs/>
          <w:sz w:val="20"/>
          <w:szCs w:val="20"/>
          <w:lang w:val="es-MX" w:eastAsia="en-US"/>
        </w:rPr>
        <w:t>,</w:t>
      </w:r>
      <w:r w:rsidRPr="002570D1">
        <w:rPr>
          <w:rFonts w:eastAsia="Calibri" w:cs="Arial-ItalicMT"/>
          <w:iCs/>
          <w:sz w:val="20"/>
          <w:szCs w:val="20"/>
          <w:lang w:val="es-MX" w:eastAsia="en-US"/>
        </w:rPr>
        <w:t xml:space="preserve"> con ello</w:t>
      </w:r>
      <w:r w:rsidR="007F4C0F">
        <w:rPr>
          <w:rFonts w:eastAsia="Calibri" w:cs="Arial-ItalicMT"/>
          <w:iCs/>
          <w:sz w:val="20"/>
          <w:szCs w:val="20"/>
          <w:lang w:val="es-MX" w:eastAsia="en-US"/>
        </w:rPr>
        <w:t>,</w:t>
      </w:r>
      <w:r w:rsidRPr="002570D1">
        <w:rPr>
          <w:rFonts w:eastAsia="Calibri" w:cs="Arial-ItalicMT"/>
          <w:iCs/>
          <w:sz w:val="20"/>
          <w:szCs w:val="20"/>
          <w:lang w:val="es-MX" w:eastAsia="en-US"/>
        </w:rPr>
        <w:t xml:space="preserve"> la posibilidad de ejercer el derecho a tomar decisiones libres respecto de la salud de</w:t>
      </w:r>
      <w:r w:rsidR="002729B7">
        <w:rPr>
          <w:rFonts w:eastAsia="Calibri" w:cs="Arial-ItalicMT"/>
          <w:iCs/>
          <w:sz w:val="20"/>
          <w:szCs w:val="20"/>
          <w:lang w:val="es-MX" w:eastAsia="en-US"/>
        </w:rPr>
        <w:t>l señor Poblete Vilches</w:t>
      </w:r>
      <w:r w:rsidRPr="002570D1">
        <w:rPr>
          <w:rFonts w:eastAsia="Calibri" w:cs="Arial-ItalicMT"/>
          <w:iCs/>
          <w:sz w:val="20"/>
          <w:szCs w:val="20"/>
          <w:lang w:val="es-MX" w:eastAsia="en-US"/>
        </w:rPr>
        <w:t>, y v) el artículo 11 reconoce el derecho a la privacidad</w:t>
      </w:r>
      <w:r w:rsidR="007F4C0F">
        <w:rPr>
          <w:rFonts w:eastAsia="Calibri" w:cs="Arial-ItalicMT"/>
          <w:iCs/>
          <w:sz w:val="20"/>
          <w:szCs w:val="20"/>
          <w:lang w:val="es-MX" w:eastAsia="en-US"/>
        </w:rPr>
        <w:t>,</w:t>
      </w:r>
      <w:r w:rsidRPr="002570D1">
        <w:rPr>
          <w:rFonts w:eastAsia="Calibri" w:cs="Arial-ItalicMT"/>
          <w:iCs/>
          <w:sz w:val="20"/>
          <w:szCs w:val="20"/>
          <w:lang w:val="es-MX" w:eastAsia="en-US"/>
        </w:rPr>
        <w:t xml:space="preserve"> estableciendo la inviolabilidad de la vida privada y familiar, la cual resultó irremediablemente dañada por la negativa del Estado de brindarles información en materia de salud que permitiera tomar la mejor decisión libre</w:t>
      </w:r>
      <w:r w:rsidR="005A4CC5">
        <w:rPr>
          <w:rFonts w:eastAsia="Calibri" w:cs="Arial-ItalicMT"/>
          <w:iCs/>
          <w:sz w:val="20"/>
          <w:szCs w:val="20"/>
          <w:lang w:val="es-MX" w:eastAsia="en-US"/>
        </w:rPr>
        <w:t>mente</w:t>
      </w:r>
      <w:r w:rsidRPr="002570D1">
        <w:rPr>
          <w:rFonts w:eastAsia="Calibri" w:cs="Arial-ItalicMT"/>
          <w:iCs/>
          <w:sz w:val="20"/>
          <w:szCs w:val="20"/>
          <w:lang w:val="es-MX" w:eastAsia="en-US"/>
        </w:rPr>
        <w:t xml:space="preserve"> </w:t>
      </w:r>
      <w:r w:rsidR="005A4CC5">
        <w:rPr>
          <w:rFonts w:eastAsia="Calibri" w:cs="Arial-ItalicMT"/>
          <w:iCs/>
          <w:sz w:val="20"/>
          <w:szCs w:val="20"/>
          <w:lang w:val="es-MX" w:eastAsia="en-US"/>
        </w:rPr>
        <w:t>para la</w:t>
      </w:r>
      <w:r w:rsidR="005A4CC5" w:rsidRPr="002570D1">
        <w:rPr>
          <w:rFonts w:eastAsia="Calibri" w:cs="Arial-ItalicMT"/>
          <w:iCs/>
          <w:sz w:val="20"/>
          <w:szCs w:val="20"/>
          <w:lang w:val="es-MX" w:eastAsia="en-US"/>
        </w:rPr>
        <w:t xml:space="preserve"> </w:t>
      </w:r>
      <w:r w:rsidRPr="002570D1">
        <w:rPr>
          <w:rFonts w:eastAsia="Calibri" w:cs="Arial-ItalicMT"/>
          <w:iCs/>
          <w:sz w:val="20"/>
          <w:szCs w:val="20"/>
          <w:lang w:val="es-MX" w:eastAsia="en-US"/>
        </w:rPr>
        <w:t>protección de la vida familiar</w:t>
      </w:r>
      <w:r w:rsidR="007F4C0F">
        <w:rPr>
          <w:rFonts w:eastAsia="Calibri" w:cs="Arial-ItalicMT"/>
          <w:iCs/>
          <w:sz w:val="20"/>
          <w:szCs w:val="20"/>
          <w:lang w:val="es-MX" w:eastAsia="en-US"/>
        </w:rPr>
        <w:t>.</w:t>
      </w:r>
      <w:r w:rsidRPr="002570D1">
        <w:rPr>
          <w:rFonts w:eastAsia="Calibri" w:cs="Arial-ItalicMT"/>
          <w:b/>
          <w:iCs/>
          <w:sz w:val="20"/>
          <w:szCs w:val="20"/>
          <w:lang w:val="es-MX" w:eastAsia="en-US"/>
        </w:rPr>
        <w:t xml:space="preserve"> </w:t>
      </w:r>
      <w:r w:rsidRPr="002570D1">
        <w:rPr>
          <w:rFonts w:eastAsia="Calibri" w:cs="Arial-ItalicMT"/>
          <w:iCs/>
          <w:sz w:val="20"/>
          <w:szCs w:val="20"/>
          <w:lang w:val="es-MX" w:eastAsia="en-US"/>
        </w:rPr>
        <w:t xml:space="preserve">Por otra parte, las </w:t>
      </w:r>
      <w:r w:rsidRPr="007143B1">
        <w:rPr>
          <w:rFonts w:eastAsia="Calibri" w:cs="Arial-ItalicMT"/>
          <w:iCs/>
          <w:sz w:val="20"/>
          <w:szCs w:val="20"/>
          <w:lang w:val="es-MX" w:eastAsia="en-US"/>
        </w:rPr>
        <w:t>representantes</w:t>
      </w:r>
      <w:r w:rsidRPr="002570D1">
        <w:rPr>
          <w:rFonts w:eastAsia="Calibri" w:cs="Arial-ItalicMT"/>
          <w:iCs/>
          <w:sz w:val="20"/>
          <w:szCs w:val="20"/>
          <w:lang w:val="es-MX" w:eastAsia="en-US"/>
        </w:rPr>
        <w:t xml:space="preserve"> solicitaron a la Corte tomar en consideración un segundo momento </w:t>
      </w:r>
      <w:r w:rsidR="007F4C0F">
        <w:rPr>
          <w:rFonts w:eastAsia="Calibri" w:cs="Arial-ItalicMT"/>
          <w:iCs/>
          <w:sz w:val="20"/>
          <w:szCs w:val="20"/>
          <w:lang w:val="es-MX" w:eastAsia="en-US"/>
        </w:rPr>
        <w:t>en</w:t>
      </w:r>
      <w:r w:rsidR="007F4C0F" w:rsidRPr="002570D1">
        <w:rPr>
          <w:rFonts w:eastAsia="Calibri" w:cs="Arial-ItalicMT"/>
          <w:iCs/>
          <w:sz w:val="20"/>
          <w:szCs w:val="20"/>
          <w:lang w:val="es-MX" w:eastAsia="en-US"/>
        </w:rPr>
        <w:t xml:space="preserve"> </w:t>
      </w:r>
      <w:r w:rsidRPr="002570D1">
        <w:rPr>
          <w:rFonts w:eastAsia="Calibri" w:cs="Arial-ItalicMT"/>
          <w:iCs/>
          <w:sz w:val="20"/>
          <w:szCs w:val="20"/>
          <w:lang w:val="es-MX" w:eastAsia="en-US"/>
        </w:rPr>
        <w:t>donde se debió requerir el consentimiento de los familiares y no se hizo, correspondiente al hecho de que se brindara atención intermedia al señor Poblete Vilches por la falta de camas, en vez de la que requería</w:t>
      </w:r>
      <w:r w:rsidR="007F4C0F">
        <w:rPr>
          <w:rFonts w:eastAsia="Calibri" w:cs="Arial-ItalicMT"/>
          <w:iCs/>
          <w:sz w:val="20"/>
          <w:szCs w:val="20"/>
          <w:lang w:val="es-MX" w:eastAsia="en-US"/>
        </w:rPr>
        <w:t>,</w:t>
      </w:r>
      <w:r w:rsidRPr="002570D1">
        <w:rPr>
          <w:rFonts w:eastAsia="Calibri" w:cs="Arial-ItalicMT"/>
          <w:iCs/>
          <w:sz w:val="20"/>
          <w:szCs w:val="20"/>
          <w:lang w:val="es-MX" w:eastAsia="en-US"/>
        </w:rPr>
        <w:t xml:space="preserve"> que era asistencia en UCI Médica con un respirador mecánico. </w:t>
      </w:r>
    </w:p>
    <w:p w14:paraId="2425D397" w14:textId="77777777" w:rsidR="002570D1" w:rsidRPr="002570D1" w:rsidRDefault="002570D1" w:rsidP="002570D1">
      <w:pPr>
        <w:autoSpaceDE w:val="0"/>
        <w:autoSpaceDN w:val="0"/>
        <w:adjustRightInd w:val="0"/>
        <w:rPr>
          <w:rFonts w:eastAsia="Calibri" w:cs="Arial-ItalicMT"/>
          <w:iCs/>
          <w:sz w:val="20"/>
          <w:szCs w:val="20"/>
          <w:lang w:val="es-MX" w:eastAsia="en-US"/>
        </w:rPr>
      </w:pPr>
    </w:p>
    <w:p w14:paraId="5A3315C8" w14:textId="53C1DBC5" w:rsidR="002570D1" w:rsidRPr="002570D1" w:rsidRDefault="002570D1" w:rsidP="002570D1">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val="es-MX" w:eastAsia="en-US"/>
        </w:rPr>
        <w:t xml:space="preserve">El </w:t>
      </w:r>
      <w:r w:rsidRPr="002570D1">
        <w:rPr>
          <w:rFonts w:eastAsia="Calibri"/>
          <w:b/>
          <w:i/>
          <w:sz w:val="20"/>
          <w:szCs w:val="20"/>
          <w:lang w:val="es-MX" w:eastAsia="en-US"/>
        </w:rPr>
        <w:t>Estado</w:t>
      </w:r>
      <w:r w:rsidRPr="002570D1">
        <w:rPr>
          <w:rFonts w:eastAsia="Calibri"/>
          <w:sz w:val="20"/>
          <w:szCs w:val="20"/>
          <w:lang w:val="es-MX" w:eastAsia="en-US"/>
        </w:rPr>
        <w:t xml:space="preserve"> reconoció la violación del artículo 13 de la Convención, derecho de acceso a la información en materia de salud, en conexión con los artículos 4 y 5</w:t>
      </w:r>
      <w:r w:rsidR="008F7034">
        <w:rPr>
          <w:rFonts w:eastAsia="Calibri"/>
          <w:sz w:val="20"/>
          <w:szCs w:val="20"/>
          <w:lang w:val="es-MX" w:eastAsia="en-US"/>
        </w:rPr>
        <w:t>, y</w:t>
      </w:r>
      <w:r w:rsidRPr="002570D1">
        <w:rPr>
          <w:rFonts w:eastAsia="Calibri"/>
          <w:sz w:val="20"/>
          <w:szCs w:val="20"/>
          <w:lang w:val="es-MX" w:eastAsia="en-US"/>
        </w:rPr>
        <w:t xml:space="preserve"> en relación con las obligaciones de los artículos 1.1 y 2 de la Convención Americana, en perjuicio del señor Poblete Vilches y sus familiares. Asimismo, el </w:t>
      </w:r>
      <w:r w:rsidRPr="007143B1">
        <w:rPr>
          <w:rFonts w:eastAsia="Calibri"/>
          <w:sz w:val="20"/>
          <w:szCs w:val="20"/>
          <w:lang w:val="es-MX" w:eastAsia="en-US"/>
        </w:rPr>
        <w:t xml:space="preserve">Estado aceptó </w:t>
      </w:r>
      <w:r w:rsidR="008F7034" w:rsidRPr="007143B1">
        <w:rPr>
          <w:rFonts w:eastAsia="Calibri"/>
          <w:sz w:val="20"/>
          <w:szCs w:val="20"/>
          <w:lang w:val="es-MX" w:eastAsia="en-US"/>
        </w:rPr>
        <w:t xml:space="preserve">su </w:t>
      </w:r>
      <w:r w:rsidRPr="007143B1">
        <w:rPr>
          <w:rFonts w:eastAsia="Calibri"/>
          <w:sz w:val="20"/>
          <w:szCs w:val="20"/>
          <w:lang w:val="es-MX" w:eastAsia="en-US"/>
        </w:rPr>
        <w:t>responsabilidad por la violación de los artículos 11 y 7 en perjuicio del señor Poblete Vilches</w:t>
      </w:r>
      <w:r w:rsidR="008F7034" w:rsidRPr="007143B1">
        <w:rPr>
          <w:rFonts w:eastAsia="Calibri"/>
          <w:sz w:val="20"/>
          <w:szCs w:val="20"/>
          <w:lang w:val="es-MX" w:eastAsia="en-US"/>
        </w:rPr>
        <w:t>,</w:t>
      </w:r>
      <w:r w:rsidRPr="007143B1">
        <w:rPr>
          <w:rFonts w:eastAsia="Calibri"/>
          <w:sz w:val="20"/>
          <w:szCs w:val="20"/>
          <w:lang w:val="es-MX" w:eastAsia="en-US"/>
        </w:rPr>
        <w:t xml:space="preserve"> pero no </w:t>
      </w:r>
      <w:r w:rsidR="008F7034" w:rsidRPr="00765E3D">
        <w:rPr>
          <w:rFonts w:eastAsia="Calibri"/>
          <w:sz w:val="20"/>
          <w:szCs w:val="20"/>
          <w:lang w:val="es-MX" w:eastAsia="en-US"/>
        </w:rPr>
        <w:t xml:space="preserve">por </w:t>
      </w:r>
      <w:r w:rsidRPr="00765E3D">
        <w:rPr>
          <w:rFonts w:eastAsia="Calibri"/>
          <w:sz w:val="20"/>
          <w:szCs w:val="20"/>
          <w:lang w:val="es-MX" w:eastAsia="en-US"/>
        </w:rPr>
        <w:t>la supuesta afectación a sus familiares</w:t>
      </w:r>
      <w:r w:rsidR="007143B1">
        <w:rPr>
          <w:rFonts w:eastAsia="Calibri"/>
          <w:sz w:val="20"/>
          <w:szCs w:val="20"/>
          <w:lang w:val="es-MX" w:eastAsia="en-US"/>
        </w:rPr>
        <w:t>.</w:t>
      </w:r>
      <w:r w:rsidRPr="007143B1">
        <w:rPr>
          <w:rFonts w:eastAsia="Calibri"/>
          <w:sz w:val="20"/>
          <w:szCs w:val="20"/>
          <w:lang w:val="es-MX" w:eastAsia="en-US"/>
        </w:rPr>
        <w:t xml:space="preserve"> Además, el Estado</w:t>
      </w:r>
      <w:r w:rsidRPr="002570D1">
        <w:rPr>
          <w:rFonts w:eastAsia="Calibri"/>
          <w:sz w:val="20"/>
          <w:szCs w:val="20"/>
          <w:lang w:val="es-MX" w:eastAsia="en-US"/>
        </w:rPr>
        <w:t xml:space="preserve"> resaltó los antecedentes normativos en materia de consentimiento informado, entre estos, el Decreto Supremo N</w:t>
      </w:r>
      <w:r w:rsidR="008F7034">
        <w:rPr>
          <w:rFonts w:eastAsia="Calibri"/>
          <w:sz w:val="20"/>
          <w:szCs w:val="20"/>
          <w:lang w:val="es-MX" w:eastAsia="en-US"/>
        </w:rPr>
        <w:t>úm</w:t>
      </w:r>
      <w:r w:rsidRPr="002570D1">
        <w:rPr>
          <w:rFonts w:eastAsia="Calibri"/>
          <w:sz w:val="20"/>
          <w:szCs w:val="20"/>
          <w:lang w:val="es-MX" w:eastAsia="en-US"/>
        </w:rPr>
        <w:t>. 42</w:t>
      </w:r>
      <w:r w:rsidR="008F7034">
        <w:rPr>
          <w:rFonts w:eastAsia="Calibri"/>
          <w:sz w:val="20"/>
          <w:szCs w:val="20"/>
          <w:lang w:val="es-MX" w:eastAsia="en-US"/>
        </w:rPr>
        <w:t>;</w:t>
      </w:r>
      <w:r w:rsidRPr="002570D1">
        <w:rPr>
          <w:rFonts w:eastAsia="Calibri"/>
          <w:sz w:val="20"/>
          <w:szCs w:val="20"/>
          <w:lang w:val="es-MX" w:eastAsia="en-US"/>
        </w:rPr>
        <w:t xml:space="preserve"> el documento denominado “Normas y Documentos de Ética Médica”</w:t>
      </w:r>
      <w:r w:rsidR="008F7034">
        <w:rPr>
          <w:rFonts w:eastAsia="Calibri"/>
          <w:sz w:val="20"/>
          <w:szCs w:val="20"/>
          <w:lang w:val="es-MX" w:eastAsia="en-US"/>
        </w:rPr>
        <w:t>,</w:t>
      </w:r>
      <w:r w:rsidRPr="002570D1">
        <w:rPr>
          <w:rFonts w:eastAsia="Calibri"/>
          <w:sz w:val="20"/>
          <w:szCs w:val="20"/>
          <w:lang w:val="es-MX" w:eastAsia="en-US"/>
        </w:rPr>
        <w:t xml:space="preserve"> elaborado por el Colegio de Médicos</w:t>
      </w:r>
      <w:r w:rsidR="008F7034">
        <w:rPr>
          <w:rFonts w:eastAsia="Calibri"/>
          <w:sz w:val="20"/>
          <w:szCs w:val="20"/>
          <w:lang w:val="es-MX" w:eastAsia="en-US"/>
        </w:rPr>
        <w:t>;</w:t>
      </w:r>
      <w:r w:rsidRPr="002570D1">
        <w:rPr>
          <w:rFonts w:eastAsia="Calibri"/>
          <w:sz w:val="20"/>
          <w:szCs w:val="20"/>
          <w:lang w:val="es-MX" w:eastAsia="en-US"/>
        </w:rPr>
        <w:t xml:space="preserve"> la “Carta de Derechos al Paciente”</w:t>
      </w:r>
      <w:r w:rsidR="008F7034">
        <w:rPr>
          <w:rFonts w:eastAsia="Calibri"/>
          <w:sz w:val="20"/>
          <w:szCs w:val="20"/>
          <w:lang w:val="es-MX" w:eastAsia="en-US"/>
        </w:rPr>
        <w:t>,</w:t>
      </w:r>
      <w:r w:rsidRPr="002570D1">
        <w:rPr>
          <w:rFonts w:eastAsia="Calibri"/>
          <w:sz w:val="20"/>
          <w:szCs w:val="20"/>
          <w:lang w:val="es-MX" w:eastAsia="en-US"/>
        </w:rPr>
        <w:t xml:space="preserve"> del Fondo Nacional de Salud y el Ministerio de Salud, y los avances normativos recientes, como la Ley N. 20.584, que regula los derechos y deberes que las personas tienen en relación con acciones vinculadas a su atención de salud</w:t>
      </w:r>
      <w:r w:rsidR="008F7034">
        <w:rPr>
          <w:rFonts w:eastAsia="Calibri"/>
          <w:sz w:val="20"/>
          <w:szCs w:val="20"/>
          <w:lang w:val="es-MX" w:eastAsia="en-US"/>
        </w:rPr>
        <w:t>,</w:t>
      </w:r>
      <w:r w:rsidRPr="002570D1">
        <w:rPr>
          <w:rFonts w:eastAsia="Calibri"/>
          <w:sz w:val="20"/>
          <w:szCs w:val="20"/>
          <w:lang w:val="es-MX" w:eastAsia="en-US"/>
        </w:rPr>
        <w:t xml:space="preserve"> y el Decreto N</w:t>
      </w:r>
      <w:r w:rsidR="008F7034">
        <w:rPr>
          <w:rFonts w:eastAsia="Calibri"/>
          <w:sz w:val="20"/>
          <w:szCs w:val="20"/>
          <w:lang w:val="es-MX" w:eastAsia="en-US"/>
        </w:rPr>
        <w:t>úm</w:t>
      </w:r>
      <w:r w:rsidRPr="002570D1">
        <w:rPr>
          <w:rFonts w:eastAsia="Calibri"/>
          <w:sz w:val="20"/>
          <w:szCs w:val="20"/>
          <w:lang w:val="es-MX" w:eastAsia="en-US"/>
        </w:rPr>
        <w:t>. 31</w:t>
      </w:r>
      <w:r w:rsidR="008F7034">
        <w:rPr>
          <w:rFonts w:eastAsia="Calibri"/>
          <w:sz w:val="20"/>
          <w:szCs w:val="20"/>
          <w:lang w:val="es-MX" w:eastAsia="en-US"/>
        </w:rPr>
        <w:t>,</w:t>
      </w:r>
      <w:r w:rsidRPr="002570D1">
        <w:rPr>
          <w:rFonts w:eastAsia="Calibri"/>
          <w:sz w:val="20"/>
          <w:szCs w:val="20"/>
          <w:lang w:val="es-MX" w:eastAsia="en-US"/>
        </w:rPr>
        <w:t xml:space="preserve"> que aprueba el Reglamento sobre entrega de información y expresión de consentimiento informado en las atenciones de salud</w:t>
      </w:r>
      <w:r w:rsidR="008F7034">
        <w:rPr>
          <w:rFonts w:eastAsia="Calibri"/>
          <w:sz w:val="20"/>
          <w:szCs w:val="20"/>
          <w:lang w:val="es-MX" w:eastAsia="en-US"/>
        </w:rPr>
        <w:t>.</w:t>
      </w:r>
      <w:r w:rsidRPr="002570D1">
        <w:rPr>
          <w:rFonts w:eastAsia="Calibri"/>
          <w:sz w:val="20"/>
          <w:szCs w:val="20"/>
          <w:lang w:val="es-MX" w:eastAsia="en-US"/>
        </w:rPr>
        <w:t xml:space="preserve"> En sus alegatos finales</w:t>
      </w:r>
      <w:r w:rsidR="008F7034">
        <w:rPr>
          <w:rFonts w:eastAsia="Calibri"/>
          <w:sz w:val="20"/>
          <w:szCs w:val="20"/>
          <w:lang w:val="es-MX" w:eastAsia="en-US"/>
        </w:rPr>
        <w:t>,</w:t>
      </w:r>
      <w:r w:rsidRPr="002570D1">
        <w:rPr>
          <w:rFonts w:eastAsia="Calibri"/>
          <w:sz w:val="20"/>
          <w:szCs w:val="20"/>
          <w:lang w:val="es-MX" w:eastAsia="en-US"/>
        </w:rPr>
        <w:t xml:space="preserve"> el </w:t>
      </w:r>
      <w:r w:rsidRPr="007143B1">
        <w:rPr>
          <w:rFonts w:eastAsia="Calibri"/>
          <w:sz w:val="20"/>
          <w:szCs w:val="20"/>
          <w:lang w:val="es-MX" w:eastAsia="en-US"/>
        </w:rPr>
        <w:t xml:space="preserve">Estado </w:t>
      </w:r>
      <w:r w:rsidRPr="002570D1">
        <w:rPr>
          <w:rFonts w:eastAsia="Calibri"/>
          <w:sz w:val="20"/>
          <w:szCs w:val="20"/>
          <w:lang w:val="es-MX" w:eastAsia="en-US"/>
        </w:rPr>
        <w:t xml:space="preserve">mencionó la implementación de la Ley 19.966 de 2004, la cual incluye la regla del consentimiento informado, así como la Ley 20.584 de 2012, que regula los derechos y deberes que las personas tienen en relación con acciones vinculadas a su atención en salud, incluyendo el derecho al consentimiento informado y a la información en salud. </w:t>
      </w:r>
    </w:p>
    <w:p w14:paraId="74D76FE5" w14:textId="77777777" w:rsidR="002570D1" w:rsidRPr="002570D1" w:rsidRDefault="002570D1" w:rsidP="002570D1">
      <w:pPr>
        <w:contextualSpacing/>
        <w:rPr>
          <w:rFonts w:eastAsia="Calibri"/>
          <w:sz w:val="20"/>
          <w:szCs w:val="20"/>
          <w:lang w:val="es-MX" w:eastAsia="en-US"/>
        </w:rPr>
      </w:pPr>
    </w:p>
    <w:p w14:paraId="07ECA705" w14:textId="6369CE55" w:rsidR="002570D1" w:rsidRPr="002570D1" w:rsidRDefault="00483945" w:rsidP="002570D1">
      <w:pPr>
        <w:numPr>
          <w:ilvl w:val="0"/>
          <w:numId w:val="2"/>
        </w:numPr>
        <w:tabs>
          <w:tab w:val="left" w:pos="567"/>
          <w:tab w:val="num" w:pos="1569"/>
          <w:tab w:val="num" w:pos="12305"/>
        </w:tabs>
        <w:ind w:left="0" w:firstLine="0"/>
        <w:rPr>
          <w:rFonts w:eastAsia="Calibri" w:cs="Arial-ItalicMT"/>
          <w:b/>
          <w:iCs/>
          <w:sz w:val="20"/>
          <w:szCs w:val="20"/>
          <w:lang w:val="es-MX" w:eastAsia="en-US"/>
        </w:rPr>
      </w:pPr>
      <w:r>
        <w:rPr>
          <w:rFonts w:eastAsia="Calibri"/>
          <w:sz w:val="20"/>
          <w:szCs w:val="20"/>
          <w:lang w:val="es-MX" w:eastAsia="en-US"/>
        </w:rPr>
        <w:t>Por otra parte,</w:t>
      </w:r>
      <w:r w:rsidR="002570D1" w:rsidRPr="002570D1">
        <w:rPr>
          <w:rFonts w:eastAsia="Calibri"/>
          <w:sz w:val="20"/>
          <w:szCs w:val="20"/>
          <w:lang w:val="es-MX" w:eastAsia="en-US"/>
        </w:rPr>
        <w:t xml:space="preserve"> consideró que la violación de los derechos consagrados en los artículos 11 y 7 no son aplicables a los familiares “[d]</w:t>
      </w:r>
      <w:proofErr w:type="spellStart"/>
      <w:r w:rsidR="002570D1" w:rsidRPr="002570D1">
        <w:rPr>
          <w:rFonts w:eastAsia="Calibri"/>
          <w:sz w:val="20"/>
          <w:szCs w:val="20"/>
          <w:lang w:val="es-MX" w:eastAsia="en-US"/>
        </w:rPr>
        <w:t>ebido</w:t>
      </w:r>
      <w:proofErr w:type="spellEnd"/>
      <w:r w:rsidR="002570D1" w:rsidRPr="002570D1">
        <w:rPr>
          <w:rFonts w:eastAsia="Calibri"/>
          <w:sz w:val="20"/>
          <w:szCs w:val="20"/>
          <w:lang w:val="es-MX" w:eastAsia="en-US"/>
        </w:rPr>
        <w:t xml:space="preserve"> a que estos […] derechos son parte de la esfera individual de cada persona sin que puedan ser transmisibles a otras, [ni] que exista de manera fehaciente y convincente el deseo del paciente para proteger de forma adecuada sus derechos, al no estar en condiciones de ejercerlos por sí mismo, más aún en decisiones tan personales como las que pueden afectar su vida”. Añadió que “trasladar esta autonomía personal a los familiares es inaceptable, dado que no se cuentan con antecedentes de la existencia de un juicio sustitutivo o bien por subrogación, o la firma de una directriz anticipada o existencia de constancia en que el paciente exprese su voluntad de someterse a las decisiones de sus familiares”. </w:t>
      </w:r>
      <w:r w:rsidR="002570D1" w:rsidRPr="002570D1">
        <w:rPr>
          <w:rFonts w:eastAsia="Calibri" w:cs="Arial-ItalicMT"/>
          <w:iCs/>
          <w:sz w:val="20"/>
          <w:szCs w:val="20"/>
          <w:lang w:val="es-MX" w:eastAsia="en-US"/>
        </w:rPr>
        <w:t xml:space="preserve">Además, el </w:t>
      </w:r>
      <w:r w:rsidR="002570D1" w:rsidRPr="007143B1">
        <w:rPr>
          <w:rFonts w:eastAsia="Calibri" w:cs="Arial-ItalicMT"/>
          <w:iCs/>
          <w:sz w:val="20"/>
          <w:szCs w:val="20"/>
          <w:lang w:val="es-MX" w:eastAsia="en-US"/>
        </w:rPr>
        <w:t xml:space="preserve">Estado indicó que respecto de </w:t>
      </w:r>
      <w:r w:rsidRPr="007143B1">
        <w:rPr>
          <w:rFonts w:eastAsia="Calibri" w:cs="Arial-ItalicMT"/>
          <w:iCs/>
          <w:sz w:val="20"/>
          <w:szCs w:val="20"/>
          <w:lang w:val="es-MX" w:eastAsia="en-US"/>
        </w:rPr>
        <w:t>ésta</w:t>
      </w:r>
      <w:r w:rsidR="002570D1" w:rsidRPr="007143B1">
        <w:rPr>
          <w:rFonts w:eastAsia="Calibri" w:cs="Arial-ItalicMT"/>
          <w:iCs/>
          <w:sz w:val="20"/>
          <w:szCs w:val="20"/>
          <w:lang w:val="es-MX" w:eastAsia="en-US"/>
        </w:rPr>
        <w:t xml:space="preserve"> </w:t>
      </w:r>
      <w:r w:rsidRPr="00765E3D">
        <w:rPr>
          <w:rFonts w:eastAsia="Calibri" w:cs="Arial-ItalicMT"/>
          <w:iCs/>
          <w:sz w:val="20"/>
          <w:szCs w:val="20"/>
          <w:lang w:val="es-MX" w:eastAsia="en-US"/>
        </w:rPr>
        <w:t xml:space="preserve">vulneración a </w:t>
      </w:r>
      <w:r w:rsidR="002570D1" w:rsidRPr="00765E3D">
        <w:rPr>
          <w:rFonts w:eastAsia="Calibri" w:cs="Arial-ItalicMT"/>
          <w:iCs/>
          <w:sz w:val="20"/>
          <w:szCs w:val="20"/>
          <w:lang w:val="es-MX" w:eastAsia="en-US"/>
        </w:rPr>
        <w:t xml:space="preserve">los familiares en este caso, opera una figura distinta al caso de </w:t>
      </w:r>
      <w:r w:rsidR="002570D1" w:rsidRPr="000D77F2">
        <w:rPr>
          <w:rFonts w:eastAsia="Calibri" w:cs="Arial-ItalicMT"/>
          <w:i/>
          <w:iCs/>
          <w:sz w:val="20"/>
          <w:szCs w:val="20"/>
          <w:lang w:val="es-MX" w:eastAsia="en-US"/>
        </w:rPr>
        <w:t>I.V. Vs. Bolivia</w:t>
      </w:r>
      <w:r w:rsidR="002570D1" w:rsidRPr="007143B1">
        <w:rPr>
          <w:rFonts w:eastAsia="Calibri" w:cs="Arial-ItalicMT"/>
          <w:iCs/>
          <w:sz w:val="20"/>
          <w:szCs w:val="20"/>
          <w:lang w:val="es-MX" w:eastAsia="en-US"/>
        </w:rPr>
        <w:t xml:space="preserve">, ya que lo que opera es una figura que en algunas legislaciones es denominada como consentimiento informado por representación o sustitución. En este sentido, el </w:t>
      </w:r>
      <w:r w:rsidR="002570D1" w:rsidRPr="00A86D37">
        <w:rPr>
          <w:rFonts w:eastAsia="Calibri" w:cs="Arial-ItalicMT"/>
          <w:iCs/>
          <w:sz w:val="20"/>
          <w:szCs w:val="20"/>
          <w:lang w:val="es-MX" w:eastAsia="en-US"/>
        </w:rPr>
        <w:t>Estado argumentó</w:t>
      </w:r>
      <w:r w:rsidR="002570D1" w:rsidRPr="002570D1">
        <w:rPr>
          <w:rFonts w:eastAsia="Calibri" w:cs="Arial-ItalicMT"/>
          <w:iCs/>
          <w:sz w:val="20"/>
          <w:szCs w:val="20"/>
          <w:lang w:val="es-MX" w:eastAsia="en-US"/>
        </w:rPr>
        <w:t xml:space="preserve"> que la participación de estos en el proceso de comunicación se limita únicamente a brindar un testimonio de lo que podría constituir la voluntad del paciente</w:t>
      </w:r>
      <w:r w:rsidR="007C75A0">
        <w:rPr>
          <w:rFonts w:eastAsia="Calibri" w:cs="Arial-ItalicMT"/>
          <w:iCs/>
          <w:sz w:val="20"/>
          <w:szCs w:val="20"/>
          <w:lang w:val="es-MX" w:eastAsia="en-US"/>
        </w:rPr>
        <w:t>,</w:t>
      </w:r>
      <w:r w:rsidR="002570D1" w:rsidRPr="002570D1">
        <w:rPr>
          <w:rFonts w:eastAsia="Calibri" w:cs="Arial-ItalicMT"/>
          <w:iCs/>
          <w:sz w:val="20"/>
          <w:szCs w:val="20"/>
          <w:lang w:val="es-MX" w:eastAsia="en-US"/>
        </w:rPr>
        <w:t xml:space="preserve"> previo a su estado de inconsciencia. </w:t>
      </w:r>
    </w:p>
    <w:p w14:paraId="1CD023D7" w14:textId="77777777" w:rsidR="002570D1" w:rsidRDefault="002570D1" w:rsidP="002570D1">
      <w:pPr>
        <w:widowControl w:val="0"/>
        <w:tabs>
          <w:tab w:val="center" w:pos="567"/>
        </w:tabs>
        <w:autoSpaceDE w:val="0"/>
        <w:autoSpaceDN w:val="0"/>
        <w:adjustRightInd w:val="0"/>
        <w:contextualSpacing/>
        <w:rPr>
          <w:rFonts w:eastAsia="Calibri"/>
          <w:sz w:val="20"/>
          <w:szCs w:val="20"/>
          <w:lang w:val="es-MX" w:eastAsia="en-US"/>
        </w:rPr>
      </w:pPr>
    </w:p>
    <w:p w14:paraId="1AA796E0" w14:textId="77777777" w:rsidR="00796F18" w:rsidRDefault="00796F18" w:rsidP="002570D1">
      <w:pPr>
        <w:widowControl w:val="0"/>
        <w:tabs>
          <w:tab w:val="center" w:pos="567"/>
        </w:tabs>
        <w:autoSpaceDE w:val="0"/>
        <w:autoSpaceDN w:val="0"/>
        <w:adjustRightInd w:val="0"/>
        <w:contextualSpacing/>
        <w:rPr>
          <w:rFonts w:eastAsia="Calibri"/>
          <w:sz w:val="20"/>
          <w:szCs w:val="20"/>
          <w:lang w:val="es-MX" w:eastAsia="en-US"/>
        </w:rPr>
      </w:pPr>
    </w:p>
    <w:p w14:paraId="2A53DDAD" w14:textId="77777777" w:rsidR="00796F18" w:rsidRPr="002570D1" w:rsidRDefault="00796F18" w:rsidP="002570D1">
      <w:pPr>
        <w:widowControl w:val="0"/>
        <w:tabs>
          <w:tab w:val="center" w:pos="567"/>
        </w:tabs>
        <w:autoSpaceDE w:val="0"/>
        <w:autoSpaceDN w:val="0"/>
        <w:adjustRightInd w:val="0"/>
        <w:contextualSpacing/>
        <w:rPr>
          <w:rFonts w:eastAsia="Calibri"/>
          <w:sz w:val="20"/>
          <w:szCs w:val="20"/>
          <w:lang w:val="es-MX" w:eastAsia="en-US"/>
        </w:rPr>
      </w:pPr>
    </w:p>
    <w:p w14:paraId="77FBAB58" w14:textId="77777777" w:rsidR="002570D1" w:rsidRPr="00EB31AC" w:rsidRDefault="002570D1" w:rsidP="002726E0">
      <w:pPr>
        <w:pStyle w:val="Heading2"/>
        <w:numPr>
          <w:ilvl w:val="0"/>
          <w:numId w:val="18"/>
        </w:numPr>
      </w:pPr>
      <w:bookmarkStart w:id="76" w:name="_Toc513644465"/>
      <w:r w:rsidRPr="00EB31AC">
        <w:lastRenderedPageBreak/>
        <w:t>Consideraciones de la Corte</w:t>
      </w:r>
      <w:bookmarkEnd w:id="76"/>
    </w:p>
    <w:p w14:paraId="0CE950AC" w14:textId="77777777" w:rsidR="002570D1" w:rsidRPr="002570D1" w:rsidRDefault="002570D1" w:rsidP="002570D1">
      <w:pPr>
        <w:rPr>
          <w:rFonts w:eastAsia="Calibri"/>
          <w:b/>
          <w:sz w:val="20"/>
          <w:szCs w:val="20"/>
          <w:lang w:val="es-MX" w:eastAsia="en-US"/>
        </w:rPr>
      </w:pPr>
    </w:p>
    <w:p w14:paraId="6DC89A24" w14:textId="2B3D12C2" w:rsidR="002570D1" w:rsidRDefault="002570D1" w:rsidP="002570D1">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val="es-MX" w:eastAsia="en-US"/>
        </w:rPr>
        <w:t>En vista de las controversias presentada</w:t>
      </w:r>
      <w:r w:rsidR="009536AC">
        <w:rPr>
          <w:rFonts w:eastAsia="Calibri"/>
          <w:sz w:val="20"/>
          <w:szCs w:val="20"/>
          <w:lang w:val="es-MX" w:eastAsia="en-US"/>
        </w:rPr>
        <w:t>s</w:t>
      </w:r>
      <w:r w:rsidRPr="002570D1">
        <w:rPr>
          <w:rFonts w:eastAsia="Calibri"/>
          <w:sz w:val="20"/>
          <w:szCs w:val="20"/>
          <w:lang w:val="es-MX" w:eastAsia="en-US"/>
        </w:rPr>
        <w:t xml:space="preserve"> en relación con el tratamiento brindado por instituciones públicas </w:t>
      </w:r>
      <w:r w:rsidR="007143B1">
        <w:rPr>
          <w:rFonts w:eastAsia="Calibri"/>
          <w:sz w:val="20"/>
          <w:szCs w:val="20"/>
          <w:lang w:val="es-MX" w:eastAsia="en-US"/>
        </w:rPr>
        <w:t>que habrían derivado</w:t>
      </w:r>
      <w:r w:rsidRPr="002570D1">
        <w:rPr>
          <w:rFonts w:eastAsia="Calibri"/>
          <w:sz w:val="20"/>
          <w:szCs w:val="20"/>
          <w:lang w:val="es-MX" w:eastAsia="en-US"/>
        </w:rPr>
        <w:t xml:space="preserve"> en la muerte del señor Poblete Vilches, a continuación corresponde a la Corte pronunciarse </w:t>
      </w:r>
      <w:r w:rsidR="00FA0970">
        <w:rPr>
          <w:rFonts w:eastAsia="Calibri"/>
          <w:sz w:val="20"/>
          <w:szCs w:val="20"/>
          <w:lang w:val="es-MX" w:eastAsia="en-US"/>
        </w:rPr>
        <w:t xml:space="preserve">particularmente </w:t>
      </w:r>
      <w:r w:rsidR="009536AC">
        <w:rPr>
          <w:rFonts w:eastAsia="Calibri"/>
          <w:sz w:val="20"/>
          <w:szCs w:val="20"/>
          <w:lang w:val="es-MX" w:eastAsia="en-US"/>
        </w:rPr>
        <w:t xml:space="preserve">respecto del alcance </w:t>
      </w:r>
      <w:r w:rsidR="00FA0970">
        <w:rPr>
          <w:rFonts w:eastAsia="Calibri"/>
          <w:sz w:val="20"/>
          <w:szCs w:val="20"/>
          <w:lang w:val="es-MX" w:eastAsia="en-US"/>
        </w:rPr>
        <w:t xml:space="preserve">y componentes </w:t>
      </w:r>
      <w:r w:rsidR="009536AC">
        <w:rPr>
          <w:rFonts w:eastAsia="Calibri"/>
          <w:sz w:val="20"/>
          <w:szCs w:val="20"/>
          <w:lang w:val="es-MX" w:eastAsia="en-US"/>
        </w:rPr>
        <w:t xml:space="preserve">del derecho a la salud en </w:t>
      </w:r>
      <w:r w:rsidRPr="002570D1">
        <w:rPr>
          <w:rFonts w:eastAsia="Calibri"/>
          <w:sz w:val="20"/>
          <w:szCs w:val="20"/>
          <w:lang w:val="es-MX" w:eastAsia="en-US"/>
        </w:rPr>
        <w:t>los siguientes apartados</w:t>
      </w:r>
      <w:r w:rsidR="009536AC">
        <w:rPr>
          <w:rFonts w:eastAsia="Calibri"/>
          <w:sz w:val="20"/>
          <w:szCs w:val="20"/>
          <w:lang w:val="es-MX" w:eastAsia="en-US"/>
        </w:rPr>
        <w:t xml:space="preserve"> generales</w:t>
      </w:r>
      <w:r w:rsidRPr="002570D1">
        <w:rPr>
          <w:rFonts w:eastAsia="Calibri"/>
          <w:sz w:val="20"/>
          <w:szCs w:val="20"/>
          <w:lang w:val="es-MX" w:eastAsia="en-US"/>
        </w:rPr>
        <w:t>: 1) el derecho a la salud</w:t>
      </w:r>
      <w:r w:rsidR="009536AC">
        <w:rPr>
          <w:rFonts w:eastAsia="Calibri"/>
          <w:sz w:val="20"/>
          <w:szCs w:val="20"/>
          <w:lang w:val="es-MX" w:eastAsia="en-US"/>
        </w:rPr>
        <w:t xml:space="preserve"> protegido por la Convención</w:t>
      </w:r>
      <w:r w:rsidRPr="002570D1">
        <w:rPr>
          <w:rFonts w:eastAsia="Calibri"/>
          <w:sz w:val="20"/>
          <w:szCs w:val="20"/>
          <w:lang w:val="es-MX" w:eastAsia="en-US"/>
        </w:rPr>
        <w:t xml:space="preserve">; 2) </w:t>
      </w:r>
      <w:r w:rsidR="009536AC">
        <w:rPr>
          <w:rFonts w:eastAsia="Calibri"/>
          <w:sz w:val="20"/>
          <w:szCs w:val="20"/>
          <w:lang w:val="es-MX" w:eastAsia="en-US"/>
        </w:rPr>
        <w:t>los</w:t>
      </w:r>
      <w:r w:rsidRPr="002570D1">
        <w:rPr>
          <w:rFonts w:eastAsia="Calibri"/>
          <w:sz w:val="20"/>
          <w:szCs w:val="20"/>
          <w:lang w:val="es-MX" w:eastAsia="en-US"/>
        </w:rPr>
        <w:t xml:space="preserve"> derecho</w:t>
      </w:r>
      <w:r w:rsidR="009536AC">
        <w:rPr>
          <w:rFonts w:eastAsia="Calibri"/>
          <w:sz w:val="20"/>
          <w:szCs w:val="20"/>
          <w:lang w:val="es-MX" w:eastAsia="en-US"/>
        </w:rPr>
        <w:t>s</w:t>
      </w:r>
      <w:r w:rsidRPr="002570D1">
        <w:rPr>
          <w:rFonts w:eastAsia="Calibri"/>
          <w:sz w:val="20"/>
          <w:szCs w:val="20"/>
          <w:lang w:val="es-MX" w:eastAsia="en-US"/>
        </w:rPr>
        <w:t xml:space="preserve"> a la vida</w:t>
      </w:r>
      <w:r w:rsidR="009536AC">
        <w:rPr>
          <w:rFonts w:eastAsia="Calibri"/>
          <w:sz w:val="20"/>
          <w:szCs w:val="20"/>
          <w:lang w:val="es-MX" w:eastAsia="en-US"/>
        </w:rPr>
        <w:t xml:space="preserve"> e integridad</w:t>
      </w:r>
      <w:r w:rsidRPr="002570D1">
        <w:rPr>
          <w:rFonts w:eastAsia="Calibri"/>
          <w:sz w:val="20"/>
          <w:szCs w:val="20"/>
          <w:lang w:val="es-MX" w:eastAsia="en-US"/>
        </w:rPr>
        <w:t>, y 3) el consentimiento informado</w:t>
      </w:r>
      <w:r w:rsidR="009536AC">
        <w:rPr>
          <w:rFonts w:eastAsia="Calibri"/>
          <w:sz w:val="20"/>
          <w:szCs w:val="20"/>
          <w:lang w:val="es-MX" w:eastAsia="en-US"/>
        </w:rPr>
        <w:t xml:space="preserve"> </w:t>
      </w:r>
      <w:r w:rsidR="008E3F5D">
        <w:rPr>
          <w:rFonts w:eastAsia="Calibri"/>
          <w:sz w:val="20"/>
          <w:szCs w:val="20"/>
          <w:lang w:val="es-MX" w:eastAsia="en-US"/>
        </w:rPr>
        <w:t xml:space="preserve">y acceso a la información </w:t>
      </w:r>
      <w:r w:rsidR="009536AC">
        <w:rPr>
          <w:rFonts w:eastAsia="Calibri"/>
          <w:sz w:val="20"/>
          <w:szCs w:val="20"/>
          <w:lang w:val="es-MX" w:eastAsia="en-US"/>
        </w:rPr>
        <w:t>en materia de salud. Para efectos del presente caso, la Corte estima innecesario referirse adicionalmente al derecho a la seguridad social</w:t>
      </w:r>
      <w:r w:rsidR="008E3F5D">
        <w:rPr>
          <w:rFonts w:eastAsia="Calibri"/>
          <w:sz w:val="20"/>
          <w:szCs w:val="20"/>
          <w:lang w:val="es-MX" w:eastAsia="en-US"/>
        </w:rPr>
        <w:t xml:space="preserve"> aludido por las representantes</w:t>
      </w:r>
      <w:r w:rsidR="00386E16">
        <w:rPr>
          <w:rFonts w:eastAsia="Calibri"/>
          <w:sz w:val="20"/>
          <w:szCs w:val="20"/>
          <w:lang w:val="es-MX" w:eastAsia="en-US"/>
        </w:rPr>
        <w:t xml:space="preserve"> (</w:t>
      </w:r>
      <w:r w:rsidR="00386E16" w:rsidRPr="002A64C9">
        <w:rPr>
          <w:rFonts w:eastAsia="Calibri"/>
          <w:i/>
          <w:sz w:val="20"/>
          <w:szCs w:val="20"/>
          <w:lang w:val="es-MX" w:eastAsia="en-US"/>
        </w:rPr>
        <w:t>supra</w:t>
      </w:r>
      <w:r w:rsidR="00386E16">
        <w:rPr>
          <w:rFonts w:eastAsia="Calibri"/>
          <w:sz w:val="20"/>
          <w:szCs w:val="20"/>
          <w:lang w:val="es-MX" w:eastAsia="en-US"/>
        </w:rPr>
        <w:t xml:space="preserve"> párr. </w:t>
      </w:r>
      <w:r w:rsidR="002D6C48">
        <w:rPr>
          <w:rFonts w:eastAsia="Calibri"/>
          <w:sz w:val="20"/>
          <w:szCs w:val="20"/>
          <w:lang w:val="es-MX" w:eastAsia="en-US"/>
        </w:rPr>
        <w:t>86</w:t>
      </w:r>
      <w:r w:rsidR="00386E16">
        <w:rPr>
          <w:rFonts w:eastAsia="Calibri"/>
          <w:sz w:val="20"/>
          <w:szCs w:val="20"/>
          <w:lang w:val="es-MX" w:eastAsia="en-US"/>
        </w:rPr>
        <w:t>)</w:t>
      </w:r>
      <w:r w:rsidR="009536AC">
        <w:rPr>
          <w:rFonts w:eastAsia="Calibri"/>
          <w:sz w:val="20"/>
          <w:szCs w:val="20"/>
          <w:lang w:val="es-MX" w:eastAsia="en-US"/>
        </w:rPr>
        <w:t xml:space="preserve">. </w:t>
      </w:r>
    </w:p>
    <w:p w14:paraId="43CE581B" w14:textId="77777777" w:rsidR="002570D1" w:rsidRPr="006E1049" w:rsidRDefault="002570D1" w:rsidP="002570D1">
      <w:pPr>
        <w:rPr>
          <w:rFonts w:eastAsia="Calibri"/>
          <w:b/>
          <w:sz w:val="20"/>
          <w:szCs w:val="20"/>
          <w:lang w:val="es-MX" w:eastAsia="en-US"/>
        </w:rPr>
      </w:pPr>
    </w:p>
    <w:p w14:paraId="5E16D567" w14:textId="6056F371" w:rsidR="002570D1" w:rsidRPr="006E1049" w:rsidRDefault="002570D1" w:rsidP="006E1049">
      <w:pPr>
        <w:pStyle w:val="Heading3"/>
        <w:numPr>
          <w:ilvl w:val="0"/>
          <w:numId w:val="20"/>
        </w:numPr>
        <w:rPr>
          <w:b/>
          <w:smallCaps/>
        </w:rPr>
      </w:pPr>
      <w:r w:rsidRPr="006E1049">
        <w:rPr>
          <w:b/>
          <w:smallCaps/>
        </w:rPr>
        <w:t xml:space="preserve"> </w:t>
      </w:r>
      <w:bookmarkStart w:id="77" w:name="_Toc513644466"/>
      <w:r w:rsidR="009536AC" w:rsidRPr="006E1049">
        <w:rPr>
          <w:b/>
          <w:smallCaps/>
        </w:rPr>
        <w:t xml:space="preserve">El </w:t>
      </w:r>
      <w:r w:rsidR="00135E3E" w:rsidRPr="006E1049">
        <w:rPr>
          <w:b/>
          <w:smallCaps/>
        </w:rPr>
        <w:t>D</w:t>
      </w:r>
      <w:r w:rsidRPr="006E1049">
        <w:rPr>
          <w:b/>
          <w:smallCaps/>
        </w:rPr>
        <w:t>erecho a la Salud</w:t>
      </w:r>
      <w:bookmarkEnd w:id="77"/>
      <w:r w:rsidR="009536AC" w:rsidRPr="006E1049">
        <w:rPr>
          <w:b/>
          <w:smallCaps/>
        </w:rPr>
        <w:t xml:space="preserve"> </w:t>
      </w:r>
    </w:p>
    <w:p w14:paraId="2D05C934" w14:textId="77777777" w:rsidR="002570D1" w:rsidRPr="006E1049" w:rsidRDefault="002570D1" w:rsidP="006E1049">
      <w:pPr>
        <w:rPr>
          <w:rFonts w:eastAsia="Calibri"/>
          <w:b/>
          <w:sz w:val="20"/>
          <w:szCs w:val="20"/>
          <w:lang w:val="es-ES_tradnl" w:eastAsia="en-US"/>
        </w:rPr>
      </w:pPr>
    </w:p>
    <w:p w14:paraId="5204A23C" w14:textId="77777777" w:rsidR="002570D1" w:rsidRPr="002600F6" w:rsidRDefault="002570D1" w:rsidP="005415CD">
      <w:pPr>
        <w:pStyle w:val="Heading4"/>
        <w:spacing w:before="0"/>
        <w:ind w:left="2124"/>
        <w:rPr>
          <w:rFonts w:eastAsia="Calibri"/>
          <w:b/>
          <w:szCs w:val="20"/>
          <w:lang w:val="es-ES_tradnl" w:eastAsia="en-US"/>
        </w:rPr>
      </w:pPr>
      <w:bookmarkStart w:id="78" w:name="_Toc513644467"/>
      <w:r w:rsidRPr="006E1049">
        <w:rPr>
          <w:rFonts w:eastAsia="Calibri"/>
          <w:b/>
          <w:szCs w:val="20"/>
          <w:lang w:val="es-ES_tradnl" w:eastAsia="en-US"/>
        </w:rPr>
        <w:t xml:space="preserve">1.1 El derecho a la salud protegido </w:t>
      </w:r>
      <w:r w:rsidR="00FA0970" w:rsidRPr="002600F6">
        <w:rPr>
          <w:rFonts w:eastAsia="Calibri"/>
          <w:b/>
          <w:szCs w:val="20"/>
          <w:lang w:val="es-ES_tradnl" w:eastAsia="en-US"/>
        </w:rPr>
        <w:t>por</w:t>
      </w:r>
      <w:r w:rsidRPr="002600F6">
        <w:rPr>
          <w:rFonts w:eastAsia="Calibri"/>
          <w:b/>
          <w:szCs w:val="20"/>
          <w:lang w:val="es-ES_tradnl" w:eastAsia="en-US"/>
        </w:rPr>
        <w:t xml:space="preserve"> el artículo 26 de la Convención</w:t>
      </w:r>
      <w:bookmarkEnd w:id="78"/>
    </w:p>
    <w:p w14:paraId="16D0C98A" w14:textId="77777777" w:rsidR="002570D1" w:rsidRPr="005415CD" w:rsidRDefault="002570D1" w:rsidP="006E1049">
      <w:pPr>
        <w:rPr>
          <w:rFonts w:eastAsia="Calibri"/>
          <w:sz w:val="20"/>
          <w:szCs w:val="20"/>
          <w:lang w:val="es-GT" w:eastAsia="en-US"/>
        </w:rPr>
      </w:pPr>
    </w:p>
    <w:p w14:paraId="62D082A1" w14:textId="02C6313D" w:rsidR="002570D1" w:rsidRDefault="002570D1" w:rsidP="005430FF">
      <w:pPr>
        <w:numPr>
          <w:ilvl w:val="0"/>
          <w:numId w:val="2"/>
        </w:numPr>
        <w:tabs>
          <w:tab w:val="left" w:pos="567"/>
          <w:tab w:val="num" w:pos="1569"/>
          <w:tab w:val="num" w:pos="12305"/>
        </w:tabs>
        <w:ind w:left="0" w:firstLine="0"/>
        <w:rPr>
          <w:rFonts w:eastAsia="Calibri"/>
          <w:sz w:val="20"/>
          <w:szCs w:val="20"/>
          <w:lang w:eastAsia="en-US"/>
        </w:rPr>
      </w:pPr>
      <w:r w:rsidRPr="006E1049">
        <w:rPr>
          <w:rFonts w:eastAsia="Calibri"/>
          <w:sz w:val="20"/>
          <w:szCs w:val="20"/>
          <w:lang w:val="es-GT" w:eastAsia="en-US"/>
        </w:rPr>
        <w:t>E</w:t>
      </w:r>
      <w:r w:rsidRPr="002600F6">
        <w:rPr>
          <w:rFonts w:eastAsia="Calibri"/>
          <w:sz w:val="20"/>
          <w:szCs w:val="20"/>
          <w:lang w:val="es-ES_tradnl" w:eastAsia="en-US"/>
        </w:rPr>
        <w:t xml:space="preserve">n la sentencia </w:t>
      </w:r>
      <w:r w:rsidR="009536AC" w:rsidRPr="002600F6">
        <w:rPr>
          <w:rFonts w:eastAsia="Calibri"/>
          <w:sz w:val="20"/>
          <w:szCs w:val="20"/>
          <w:lang w:val="es-ES_tradnl" w:eastAsia="en-US"/>
        </w:rPr>
        <w:t>de</w:t>
      </w:r>
      <w:r w:rsidRPr="002600F6">
        <w:rPr>
          <w:rFonts w:eastAsia="Calibri"/>
          <w:sz w:val="20"/>
          <w:szCs w:val="20"/>
          <w:lang w:val="es-ES_tradnl" w:eastAsia="en-US"/>
        </w:rPr>
        <w:t>l caso</w:t>
      </w:r>
      <w:r w:rsidRPr="002600F6">
        <w:rPr>
          <w:rFonts w:eastAsia="Calibri"/>
          <w:i/>
          <w:sz w:val="20"/>
          <w:szCs w:val="20"/>
          <w:lang w:val="es-ES_tradnl" w:eastAsia="en-US"/>
        </w:rPr>
        <w:t xml:space="preserve"> Lagos del Campo Vs. Perú, </w:t>
      </w:r>
      <w:r w:rsidR="00FA0970" w:rsidRPr="002600F6">
        <w:rPr>
          <w:rFonts w:eastAsia="Calibri"/>
          <w:sz w:val="20"/>
          <w:szCs w:val="20"/>
          <w:lang w:val="es-ES_tradnl" w:eastAsia="en-US"/>
        </w:rPr>
        <w:t>la</w:t>
      </w:r>
      <w:r w:rsidRPr="002600F6">
        <w:rPr>
          <w:rFonts w:eastAsia="Calibri"/>
          <w:sz w:val="20"/>
          <w:szCs w:val="20"/>
          <w:lang w:val="es-ES_tradnl" w:eastAsia="en-US"/>
        </w:rPr>
        <w:t xml:space="preserve"> Corte </w:t>
      </w:r>
      <w:r w:rsidR="00FA0970" w:rsidRPr="002600F6">
        <w:rPr>
          <w:rFonts w:eastAsia="Calibri"/>
          <w:sz w:val="20"/>
          <w:szCs w:val="20"/>
          <w:lang w:val="es-ES_tradnl" w:eastAsia="en-US"/>
        </w:rPr>
        <w:t xml:space="preserve">desarrolló y concretó por primera vez una condena específica </w:t>
      </w:r>
      <w:r w:rsidRPr="004628B6">
        <w:rPr>
          <w:rFonts w:eastAsia="Calibri"/>
          <w:sz w:val="20"/>
          <w:szCs w:val="20"/>
          <w:lang w:val="es-ES_tradnl" w:eastAsia="en-US"/>
        </w:rPr>
        <w:t>en forma autónoma del artículo 26 de la Convención Americana</w:t>
      </w:r>
      <w:r w:rsidRPr="006E1049">
        <w:rPr>
          <w:rFonts w:eastAsia="Calibri"/>
          <w:sz w:val="20"/>
          <w:szCs w:val="20"/>
          <w:vertAlign w:val="superscript"/>
          <w:lang w:val="es-ES_tradnl" w:eastAsia="en-US"/>
        </w:rPr>
        <w:footnoteReference w:id="126"/>
      </w:r>
      <w:r w:rsidRPr="006E1049">
        <w:rPr>
          <w:rFonts w:eastAsia="Calibri"/>
          <w:sz w:val="20"/>
          <w:szCs w:val="20"/>
          <w:lang w:val="es-ES_tradnl" w:eastAsia="en-US"/>
        </w:rPr>
        <w:t>,</w:t>
      </w:r>
      <w:r w:rsidRPr="002600F6">
        <w:rPr>
          <w:rFonts w:eastAsia="Calibri"/>
          <w:i/>
          <w:sz w:val="20"/>
          <w:szCs w:val="20"/>
          <w:lang w:val="es-ES_tradnl" w:eastAsia="en-US"/>
        </w:rPr>
        <w:t xml:space="preserve"> </w:t>
      </w:r>
      <w:r w:rsidR="00FA0970" w:rsidRPr="002600F6">
        <w:rPr>
          <w:rFonts w:eastAsia="Calibri" w:cs="Verdana"/>
          <w:sz w:val="20"/>
          <w:szCs w:val="20"/>
          <w:lang w:val="es-ES_tradnl" w:eastAsia="es-MX"/>
        </w:rPr>
        <w:t>dispuesto en el Capítulo III, titulado</w:t>
      </w:r>
      <w:r w:rsidR="00FA0970" w:rsidRPr="00FA0970">
        <w:rPr>
          <w:rFonts w:eastAsia="Calibri" w:cs="Verdana"/>
          <w:sz w:val="20"/>
          <w:szCs w:val="20"/>
          <w:lang w:val="es-ES_tradnl" w:eastAsia="es-MX"/>
        </w:rPr>
        <w:t xml:space="preserve"> Derechos Económicos, Sociales y Culturales de este tratado.</w:t>
      </w:r>
      <w:r w:rsidR="00FA0970">
        <w:rPr>
          <w:rFonts w:eastAsia="Calibri" w:cs="Verdana"/>
          <w:sz w:val="20"/>
          <w:szCs w:val="20"/>
          <w:lang w:val="es-ES_tradnl" w:eastAsia="es-MX"/>
        </w:rPr>
        <w:t xml:space="preserve"> Así, e</w:t>
      </w:r>
      <w:r w:rsidR="00FA0970" w:rsidRPr="00FA0970">
        <w:rPr>
          <w:rFonts w:eastAsia="Calibri" w:cs="Verdana"/>
          <w:sz w:val="20"/>
          <w:szCs w:val="20"/>
          <w:lang w:val="es-ES_tradnl" w:eastAsia="es-MX"/>
        </w:rPr>
        <w:t>ste Tribunal reiteró</w:t>
      </w:r>
      <w:r w:rsidR="00FA0970" w:rsidRPr="002570D1">
        <w:rPr>
          <w:rFonts w:eastAsia="Calibri"/>
          <w:sz w:val="20"/>
          <w:szCs w:val="20"/>
          <w:vertAlign w:val="superscript"/>
          <w:lang w:val="es-ES_tradnl" w:eastAsia="en-US"/>
        </w:rPr>
        <w:footnoteReference w:id="127"/>
      </w:r>
      <w:r w:rsidR="00FA0970" w:rsidRPr="00FA0970">
        <w:rPr>
          <w:rFonts w:eastAsia="Calibri"/>
          <w:bCs/>
          <w:sz w:val="20"/>
          <w:szCs w:val="20"/>
          <w:lang w:val="es-ES_tradnl" w:eastAsia="en-US"/>
        </w:rPr>
        <w:t xml:space="preserve"> su competencia</w:t>
      </w:r>
      <w:r w:rsidR="00FA0970" w:rsidRPr="00FA0970">
        <w:rPr>
          <w:rFonts w:eastAsiaTheme="minorHAnsi" w:cs="Verdana"/>
          <w:color w:val="000000"/>
          <w:sz w:val="20"/>
          <w:szCs w:val="20"/>
          <w:lang w:eastAsia="en-US"/>
        </w:rPr>
        <w:t xml:space="preserve"> para conocer y resolver controversias relativas al artículo 26 de la Convención Americana, como parte integrante de los derechos enumerados en la misma, respecto de los cuales el artículo 1.1 confiere obligaciones generales de respeto y garantía a los Estados</w:t>
      </w:r>
      <w:r w:rsidRPr="005430FF">
        <w:rPr>
          <w:rFonts w:eastAsia="Calibri"/>
          <w:bCs/>
          <w:sz w:val="20"/>
          <w:szCs w:val="20"/>
          <w:vertAlign w:val="superscript"/>
          <w:lang w:val="es-ES_tradnl" w:eastAsia="en-US"/>
        </w:rPr>
        <w:footnoteReference w:id="128"/>
      </w:r>
      <w:r w:rsidRPr="00FA0970">
        <w:rPr>
          <w:rFonts w:eastAsia="Calibri" w:cs="Verdana"/>
          <w:sz w:val="20"/>
          <w:szCs w:val="20"/>
          <w:lang w:val="es-ES_tradnl" w:eastAsia="en-US"/>
        </w:rPr>
        <w:t xml:space="preserve">. Asimismo, la Corte reiteró la interdependencia entre los derechos civiles y políticos y los </w:t>
      </w:r>
      <w:r w:rsidR="00386E16">
        <w:rPr>
          <w:rFonts w:eastAsia="Calibri" w:cs="Verdana"/>
          <w:sz w:val="20"/>
          <w:szCs w:val="20"/>
          <w:lang w:val="es-ES_tradnl" w:eastAsia="en-US"/>
        </w:rPr>
        <w:t>derechos económicos, sociales, culturales y ambientales</w:t>
      </w:r>
      <w:r w:rsidR="0071485A">
        <w:rPr>
          <w:rFonts w:eastAsia="Calibri" w:cs="Verdana"/>
          <w:sz w:val="20"/>
          <w:szCs w:val="20"/>
          <w:lang w:val="es-ES_tradnl" w:eastAsia="en-US"/>
        </w:rPr>
        <w:t xml:space="preserve">, </w:t>
      </w:r>
      <w:r w:rsidR="0071485A" w:rsidRPr="0071485A">
        <w:rPr>
          <w:rFonts w:eastAsia="Calibri"/>
          <w:sz w:val="20"/>
          <w:szCs w:val="20"/>
          <w:lang w:eastAsia="en-US"/>
        </w:rPr>
        <w:t>puesto que deben ser entendidos integralmente y de forma conglobada como derechos humanos, sin jerarquía entre sí y exigibles en todos los casos ante aquellas autoridades que resulten competentes para ello</w:t>
      </w:r>
      <w:r w:rsidR="0071485A" w:rsidRPr="002570D1">
        <w:rPr>
          <w:rFonts w:eastAsia="Calibri"/>
          <w:sz w:val="20"/>
          <w:szCs w:val="20"/>
          <w:vertAlign w:val="superscript"/>
          <w:lang w:val="es-ES_tradnl" w:eastAsia="en-US"/>
        </w:rPr>
        <w:footnoteReference w:id="129"/>
      </w:r>
      <w:r w:rsidR="0071485A">
        <w:rPr>
          <w:rFonts w:eastAsia="Calibri"/>
          <w:sz w:val="20"/>
          <w:szCs w:val="20"/>
          <w:lang w:eastAsia="en-US"/>
        </w:rPr>
        <w:t>.</w:t>
      </w:r>
    </w:p>
    <w:p w14:paraId="74304FF9" w14:textId="77777777" w:rsidR="00D96547" w:rsidRDefault="00D96547" w:rsidP="005430FF">
      <w:pPr>
        <w:tabs>
          <w:tab w:val="left" w:pos="567"/>
        </w:tabs>
        <w:rPr>
          <w:rFonts w:eastAsia="Calibri"/>
          <w:sz w:val="20"/>
          <w:szCs w:val="20"/>
          <w:lang w:val="es-ES_tradnl" w:eastAsia="en-US"/>
        </w:rPr>
      </w:pPr>
    </w:p>
    <w:p w14:paraId="7C78FC76" w14:textId="3B6F7B3B" w:rsidR="00517B6B" w:rsidRPr="005430FF" w:rsidRDefault="00517B6B" w:rsidP="006B458C">
      <w:pPr>
        <w:numPr>
          <w:ilvl w:val="0"/>
          <w:numId w:val="2"/>
        </w:numPr>
        <w:tabs>
          <w:tab w:val="left" w:pos="567"/>
          <w:tab w:val="num" w:pos="1569"/>
          <w:tab w:val="num" w:pos="12305"/>
        </w:tabs>
        <w:ind w:left="0" w:firstLine="0"/>
        <w:rPr>
          <w:rFonts w:eastAsia="Calibri"/>
          <w:sz w:val="20"/>
          <w:szCs w:val="20"/>
          <w:lang w:eastAsia="en-US"/>
        </w:rPr>
      </w:pPr>
      <w:r>
        <w:rPr>
          <w:rFonts w:eastAsia="Calibri"/>
          <w:sz w:val="20"/>
          <w:szCs w:val="20"/>
          <w:lang w:val="es-ES_tradnl" w:eastAsia="en-US"/>
        </w:rPr>
        <w:t xml:space="preserve">Asimismo, en el caso </w:t>
      </w:r>
      <w:r w:rsidRPr="002570D1">
        <w:rPr>
          <w:rFonts w:eastAsia="Calibri"/>
          <w:i/>
          <w:sz w:val="20"/>
          <w:szCs w:val="20"/>
          <w:lang w:val="es-ES_tradnl" w:eastAsia="en-US"/>
        </w:rPr>
        <w:t>Acevedo Buendía</w:t>
      </w:r>
      <w:r>
        <w:rPr>
          <w:rFonts w:eastAsia="Calibri"/>
          <w:i/>
          <w:sz w:val="20"/>
          <w:szCs w:val="20"/>
          <w:lang w:val="es-ES_tradnl" w:eastAsia="en-US"/>
        </w:rPr>
        <w:t xml:space="preserve"> Vs. Perú</w:t>
      </w:r>
      <w:r w:rsidRPr="002570D1">
        <w:rPr>
          <w:rFonts w:eastAsia="Calibri"/>
          <w:sz w:val="20"/>
          <w:szCs w:val="20"/>
          <w:lang w:val="es-ES_tradnl" w:eastAsia="en-US"/>
        </w:rPr>
        <w:t>,</w:t>
      </w:r>
      <w:r w:rsidRPr="002570D1">
        <w:rPr>
          <w:rFonts w:eastAsia="Calibri"/>
          <w:i/>
          <w:sz w:val="20"/>
          <w:szCs w:val="20"/>
          <w:lang w:val="es-ES_tradnl" w:eastAsia="en-US"/>
        </w:rPr>
        <w:t xml:space="preserve"> </w:t>
      </w:r>
      <w:r w:rsidRPr="0059117C">
        <w:rPr>
          <w:rFonts w:eastAsia="Calibri"/>
          <w:sz w:val="20"/>
          <w:szCs w:val="20"/>
          <w:lang w:val="es-ES_tradnl" w:eastAsia="en-US"/>
        </w:rPr>
        <w:t xml:space="preserve">la Corte </w:t>
      </w:r>
      <w:r w:rsidRPr="002570D1">
        <w:rPr>
          <w:rFonts w:eastAsia="Calibri"/>
          <w:sz w:val="20"/>
          <w:szCs w:val="20"/>
          <w:lang w:val="es-ES_tradnl" w:eastAsia="en-US"/>
        </w:rPr>
        <w:t>se pronunció sobre los trabajos preparatorios de la Convención relativos al artículo 26, destacando inclusive la intervención</w:t>
      </w:r>
      <w:r w:rsidR="007C786B" w:rsidRPr="007C786B">
        <w:rPr>
          <w:rFonts w:eastAsia="Calibri"/>
          <w:sz w:val="20"/>
          <w:szCs w:val="20"/>
          <w:lang w:val="es-ES_tradnl" w:eastAsia="en-US"/>
        </w:rPr>
        <w:t xml:space="preserve"> </w:t>
      </w:r>
      <w:r w:rsidR="007C786B" w:rsidRPr="002570D1">
        <w:rPr>
          <w:rFonts w:eastAsia="Calibri"/>
          <w:sz w:val="20"/>
          <w:szCs w:val="20"/>
          <w:lang w:val="es-ES_tradnl" w:eastAsia="en-US"/>
        </w:rPr>
        <w:t>del Estado chileno</w:t>
      </w:r>
      <w:r>
        <w:rPr>
          <w:rFonts w:eastAsia="Calibri"/>
          <w:sz w:val="20"/>
          <w:szCs w:val="20"/>
          <w:lang w:val="es-ES_tradnl" w:eastAsia="en-US"/>
        </w:rPr>
        <w:t>,</w:t>
      </w:r>
      <w:r w:rsidRPr="002570D1">
        <w:rPr>
          <w:rFonts w:eastAsia="Calibri"/>
          <w:sz w:val="20"/>
          <w:szCs w:val="20"/>
          <w:lang w:val="es-ES_tradnl" w:eastAsia="en-US"/>
        </w:rPr>
        <w:t xml:space="preserve"> </w:t>
      </w:r>
      <w:r>
        <w:rPr>
          <w:rFonts w:eastAsia="Calibri"/>
          <w:sz w:val="20"/>
          <w:szCs w:val="20"/>
          <w:lang w:val="es-ES_tradnl" w:eastAsia="en-US"/>
        </w:rPr>
        <w:t xml:space="preserve">en esa ocasión, </w:t>
      </w:r>
      <w:r w:rsidRPr="002570D1">
        <w:rPr>
          <w:rFonts w:eastAsia="Calibri"/>
          <w:sz w:val="20"/>
          <w:szCs w:val="20"/>
          <w:lang w:val="es-ES_tradnl" w:eastAsia="en-US"/>
        </w:rPr>
        <w:t>en la tutela de</w:t>
      </w:r>
      <w:r>
        <w:rPr>
          <w:rFonts w:eastAsia="Calibri"/>
          <w:sz w:val="20"/>
          <w:szCs w:val="20"/>
          <w:lang w:val="es-ES_tradnl" w:eastAsia="en-US"/>
        </w:rPr>
        <w:t xml:space="preserve"> los derechos protegidos por esa norma</w:t>
      </w:r>
      <w:r w:rsidRPr="002570D1">
        <w:rPr>
          <w:rFonts w:eastAsia="Calibri"/>
          <w:sz w:val="18"/>
          <w:lang w:eastAsia="en-US"/>
        </w:rPr>
        <w:t xml:space="preserve"> </w:t>
      </w:r>
      <w:r>
        <w:rPr>
          <w:rFonts w:eastAsia="Calibri"/>
          <w:sz w:val="18"/>
          <w:szCs w:val="20"/>
          <w:lang w:val="es-ES_tradnl" w:eastAsia="en-US"/>
        </w:rPr>
        <w:t>[…]</w:t>
      </w:r>
      <w:r w:rsidRPr="002570D1">
        <w:rPr>
          <w:rFonts w:eastAsia="Calibri"/>
          <w:sz w:val="20"/>
          <w:szCs w:val="20"/>
          <w:vertAlign w:val="superscript"/>
          <w:lang w:val="es-ES_tradnl" w:eastAsia="en-US"/>
        </w:rPr>
        <w:footnoteReference w:id="130"/>
      </w:r>
      <w:r>
        <w:rPr>
          <w:rFonts w:eastAsia="Calibri"/>
          <w:sz w:val="20"/>
          <w:szCs w:val="20"/>
          <w:lang w:val="es-ES_tradnl" w:eastAsia="en-US"/>
        </w:rPr>
        <w:t>.</w:t>
      </w:r>
    </w:p>
    <w:p w14:paraId="487A488E" w14:textId="77777777" w:rsidR="002570D1" w:rsidRPr="002570D1" w:rsidRDefault="002570D1" w:rsidP="0059117C">
      <w:pPr>
        <w:contextualSpacing/>
        <w:rPr>
          <w:rFonts w:eastAsia="Calibri"/>
          <w:sz w:val="20"/>
          <w:szCs w:val="20"/>
          <w:lang w:val="es-ES_tradnl" w:eastAsia="en-US"/>
        </w:rPr>
      </w:pPr>
    </w:p>
    <w:p w14:paraId="163E5C03" w14:textId="77777777" w:rsidR="002570D1" w:rsidRPr="002570D1" w:rsidRDefault="0034044A" w:rsidP="0034044A">
      <w:pPr>
        <w:numPr>
          <w:ilvl w:val="0"/>
          <w:numId w:val="2"/>
        </w:numPr>
        <w:tabs>
          <w:tab w:val="left" w:pos="567"/>
          <w:tab w:val="num" w:pos="1569"/>
          <w:tab w:val="num" w:pos="12305"/>
        </w:tabs>
        <w:ind w:left="0" w:firstLine="0"/>
        <w:rPr>
          <w:rFonts w:eastAsia="Calibri"/>
          <w:sz w:val="20"/>
          <w:szCs w:val="20"/>
          <w:lang w:val="es-ES_tradnl" w:eastAsia="en-US"/>
        </w:rPr>
      </w:pPr>
      <w:r>
        <w:rPr>
          <w:rFonts w:eastAsia="Calibri"/>
          <w:sz w:val="20"/>
          <w:szCs w:val="20"/>
          <w:lang w:val="es-ES_tradnl" w:eastAsia="en-US"/>
        </w:rPr>
        <w:t>En este sentido</w:t>
      </w:r>
      <w:r w:rsidR="002570D1" w:rsidRPr="002570D1">
        <w:rPr>
          <w:rFonts w:eastAsia="Calibri"/>
          <w:sz w:val="20"/>
          <w:szCs w:val="20"/>
          <w:lang w:val="es-ES_tradnl" w:eastAsia="en-US"/>
        </w:rPr>
        <w:t xml:space="preserve">, </w:t>
      </w:r>
      <w:r>
        <w:rPr>
          <w:rFonts w:eastAsia="Calibri"/>
          <w:sz w:val="20"/>
          <w:szCs w:val="20"/>
          <w:lang w:val="es-ES_tradnl" w:eastAsia="en-US"/>
        </w:rPr>
        <w:t xml:space="preserve">la Corte resalta </w:t>
      </w:r>
      <w:r w:rsidR="002570D1" w:rsidRPr="002570D1">
        <w:rPr>
          <w:rFonts w:eastAsia="Calibri"/>
          <w:sz w:val="20"/>
          <w:szCs w:val="20"/>
          <w:lang w:val="es-ES_tradnl" w:eastAsia="en-US"/>
        </w:rPr>
        <w:t>el Preámbulo de la Convención Americana</w:t>
      </w:r>
      <w:r>
        <w:rPr>
          <w:rFonts w:eastAsia="Calibri"/>
          <w:sz w:val="20"/>
          <w:szCs w:val="20"/>
          <w:lang w:val="es-ES_tradnl" w:eastAsia="en-US"/>
        </w:rPr>
        <w:t>, el cual</w:t>
      </w:r>
      <w:r w:rsidR="002570D1" w:rsidRPr="002570D1">
        <w:rPr>
          <w:rFonts w:eastAsia="Calibri"/>
          <w:szCs w:val="20"/>
          <w:lang w:val="es-ES_tradnl" w:eastAsia="en-US"/>
        </w:rPr>
        <w:t xml:space="preserve"> </w:t>
      </w:r>
      <w:r w:rsidR="002570D1" w:rsidRPr="002570D1">
        <w:rPr>
          <w:rFonts w:eastAsia="Calibri"/>
          <w:sz w:val="20"/>
          <w:szCs w:val="20"/>
          <w:lang w:val="es-ES_tradnl" w:eastAsia="en-US"/>
        </w:rPr>
        <w:t xml:space="preserve">estableció </w:t>
      </w:r>
      <w:r w:rsidR="00FE58B5">
        <w:rPr>
          <w:rFonts w:eastAsia="Calibri"/>
          <w:sz w:val="20"/>
          <w:szCs w:val="20"/>
          <w:lang w:val="es-ES_tradnl" w:eastAsia="en-US"/>
        </w:rPr>
        <w:t>claramente la interdependencia y</w:t>
      </w:r>
      <w:r w:rsidR="002570D1" w:rsidRPr="002570D1">
        <w:rPr>
          <w:rFonts w:eastAsia="Calibri"/>
          <w:sz w:val="20"/>
          <w:szCs w:val="20"/>
          <w:lang w:val="es-ES_tradnl" w:eastAsia="en-US"/>
        </w:rPr>
        <w:t xml:space="preserve"> protección de tales derechos económicos y sociales en la Convención</w:t>
      </w:r>
      <w:r w:rsidR="000D7067">
        <w:rPr>
          <w:rFonts w:eastAsia="Calibri"/>
          <w:sz w:val="20"/>
          <w:szCs w:val="20"/>
          <w:lang w:val="es-ES_tradnl" w:eastAsia="en-US"/>
        </w:rPr>
        <w:t xml:space="preserve"> Americana</w:t>
      </w:r>
      <w:r w:rsidR="002570D1" w:rsidRPr="002570D1">
        <w:rPr>
          <w:rFonts w:eastAsia="Calibri"/>
          <w:sz w:val="20"/>
          <w:szCs w:val="20"/>
          <w:lang w:val="es-ES_tradnl" w:eastAsia="en-US"/>
        </w:rPr>
        <w:t xml:space="preserve">, al </w:t>
      </w:r>
      <w:r>
        <w:rPr>
          <w:rFonts w:eastAsia="Calibri"/>
          <w:sz w:val="20"/>
          <w:szCs w:val="20"/>
          <w:lang w:val="es-ES_tradnl" w:eastAsia="en-US"/>
        </w:rPr>
        <w:t>disponer</w:t>
      </w:r>
      <w:r w:rsidRPr="002570D1">
        <w:rPr>
          <w:rFonts w:eastAsia="Calibri"/>
          <w:sz w:val="20"/>
          <w:szCs w:val="20"/>
          <w:lang w:val="es-ES_tradnl" w:eastAsia="en-US"/>
        </w:rPr>
        <w:t xml:space="preserve"> </w:t>
      </w:r>
      <w:r w:rsidR="002570D1" w:rsidRPr="002570D1">
        <w:rPr>
          <w:rFonts w:eastAsia="Calibri"/>
          <w:sz w:val="20"/>
          <w:szCs w:val="20"/>
          <w:lang w:val="es-ES_tradnl" w:eastAsia="en-US"/>
        </w:rPr>
        <w:t>que:</w:t>
      </w:r>
    </w:p>
    <w:p w14:paraId="715C8C32" w14:textId="77777777" w:rsidR="002570D1" w:rsidRPr="002570D1" w:rsidRDefault="002570D1" w:rsidP="002570D1">
      <w:pPr>
        <w:ind w:left="-90" w:right="-360"/>
        <w:contextualSpacing/>
        <w:rPr>
          <w:rFonts w:eastAsia="Calibri" w:cs="Verdana"/>
          <w:sz w:val="20"/>
          <w:szCs w:val="20"/>
          <w:lang w:val="es-ES_tradnl" w:eastAsia="en-US"/>
        </w:rPr>
      </w:pPr>
    </w:p>
    <w:p w14:paraId="067B4158" w14:textId="77777777" w:rsidR="002570D1" w:rsidRPr="002570D1" w:rsidRDefault="002570D1" w:rsidP="002570D1">
      <w:pPr>
        <w:ind w:left="567" w:right="335"/>
        <w:rPr>
          <w:rFonts w:eastAsia="Calibri"/>
          <w:sz w:val="20"/>
          <w:szCs w:val="20"/>
          <w:lang w:val="es-ES_tradnl" w:eastAsia="en-US"/>
        </w:rPr>
      </w:pPr>
      <w:r w:rsidRPr="002570D1">
        <w:rPr>
          <w:rFonts w:eastAsia="Calibri"/>
          <w:sz w:val="20"/>
          <w:szCs w:val="20"/>
          <w:lang w:val="es-ES_tradnl" w:eastAsia="en-US"/>
        </w:rPr>
        <w:t xml:space="preserve">[…] </w:t>
      </w:r>
    </w:p>
    <w:p w14:paraId="41868517" w14:textId="77777777" w:rsidR="002570D1" w:rsidRPr="002570D1" w:rsidRDefault="002570D1" w:rsidP="002570D1">
      <w:pPr>
        <w:ind w:left="567" w:right="335"/>
        <w:rPr>
          <w:rFonts w:eastAsia="Calibri"/>
          <w:sz w:val="18"/>
          <w:szCs w:val="20"/>
          <w:lang w:val="es-ES_tradnl" w:eastAsia="en-US"/>
        </w:rPr>
      </w:pPr>
      <w:r w:rsidRPr="002570D1">
        <w:rPr>
          <w:rFonts w:eastAsia="Calibri"/>
          <w:sz w:val="18"/>
          <w:szCs w:val="20"/>
          <w:lang w:val="es-ES_tradnl" w:eastAsia="en-US"/>
        </w:rPr>
        <w:t>Los Estados Americanos signatarios de la presente Convención,</w:t>
      </w:r>
    </w:p>
    <w:p w14:paraId="175FBFB9" w14:textId="77777777" w:rsidR="000470EB" w:rsidRDefault="000470EB" w:rsidP="002570D1">
      <w:pPr>
        <w:ind w:left="567" w:right="335"/>
        <w:rPr>
          <w:rFonts w:eastAsia="Calibri"/>
          <w:sz w:val="18"/>
          <w:szCs w:val="20"/>
          <w:lang w:val="es-ES_tradnl" w:eastAsia="en-US"/>
        </w:rPr>
      </w:pPr>
    </w:p>
    <w:p w14:paraId="60AC9F11" w14:textId="73325D6B" w:rsidR="002570D1" w:rsidRPr="002570D1" w:rsidRDefault="000470EB" w:rsidP="002570D1">
      <w:pPr>
        <w:ind w:left="567" w:right="335"/>
        <w:rPr>
          <w:rFonts w:eastAsia="Calibri"/>
          <w:sz w:val="18"/>
          <w:szCs w:val="20"/>
          <w:u w:val="single"/>
          <w:lang w:val="es-ES_tradnl" w:eastAsia="en-US"/>
        </w:rPr>
      </w:pPr>
      <w:r>
        <w:rPr>
          <w:rFonts w:eastAsia="Calibri"/>
          <w:sz w:val="18"/>
          <w:szCs w:val="20"/>
          <w:lang w:val="es-ES_tradnl" w:eastAsia="en-US"/>
        </w:rPr>
        <w:t xml:space="preserve">[…] </w:t>
      </w:r>
      <w:r w:rsidR="002570D1" w:rsidRPr="002570D1">
        <w:rPr>
          <w:rFonts w:eastAsia="Calibri"/>
          <w:sz w:val="18"/>
          <w:szCs w:val="20"/>
          <w:lang w:val="es-ES_tradnl" w:eastAsia="en-US"/>
        </w:rPr>
        <w:t xml:space="preserve">Reiterando que, con arreglo a la Declaración Universal de los Derechos Humanos, sólo puede realizarse el ideal del ser humano libre, exento del temor y de la miseria, si se crean condiciones que permitan a </w:t>
      </w:r>
      <w:r w:rsidR="002570D1" w:rsidRPr="002570D1">
        <w:rPr>
          <w:rFonts w:eastAsia="Calibri"/>
          <w:sz w:val="18"/>
          <w:szCs w:val="20"/>
          <w:u w:val="single"/>
          <w:lang w:val="es-ES_tradnl" w:eastAsia="en-US"/>
        </w:rPr>
        <w:t>cada persona gozar de sus derechos económicos, sociales y culturales, tanto como de sus derechos civiles y políticos</w:t>
      </w:r>
      <w:r>
        <w:rPr>
          <w:rFonts w:eastAsia="Calibri"/>
          <w:sz w:val="18"/>
          <w:szCs w:val="20"/>
          <w:u w:val="single"/>
          <w:lang w:val="es-ES_tradnl" w:eastAsia="en-US"/>
        </w:rPr>
        <w:t>, y</w:t>
      </w:r>
    </w:p>
    <w:p w14:paraId="595F359A" w14:textId="77777777" w:rsidR="002570D1" w:rsidRPr="002570D1" w:rsidRDefault="002570D1" w:rsidP="002570D1">
      <w:pPr>
        <w:ind w:left="567" w:right="335"/>
        <w:rPr>
          <w:rFonts w:eastAsia="Calibri"/>
          <w:sz w:val="18"/>
          <w:szCs w:val="20"/>
          <w:lang w:val="es-ES_tradnl" w:eastAsia="en-US"/>
        </w:rPr>
      </w:pPr>
    </w:p>
    <w:p w14:paraId="5A5B1BFB" w14:textId="6E6B2862" w:rsidR="000470EB" w:rsidRDefault="002570D1" w:rsidP="002570D1">
      <w:pPr>
        <w:ind w:left="567" w:right="335"/>
        <w:rPr>
          <w:rFonts w:eastAsia="Calibri"/>
          <w:sz w:val="18"/>
          <w:szCs w:val="20"/>
          <w:lang w:val="es-ES_tradnl" w:eastAsia="en-US"/>
        </w:rPr>
      </w:pPr>
      <w:r w:rsidRPr="002570D1">
        <w:rPr>
          <w:rFonts w:eastAsia="Calibri"/>
          <w:sz w:val="18"/>
          <w:szCs w:val="20"/>
          <w:lang w:val="es-ES_tradnl" w:eastAsia="en-US"/>
        </w:rPr>
        <w:t xml:space="preserve">Considerando que la Tercera Conferencia Interamericana Extraordinaria (Buenos Aires, 1967) </w:t>
      </w:r>
      <w:r w:rsidRPr="002570D1">
        <w:rPr>
          <w:rFonts w:eastAsia="Calibri"/>
          <w:sz w:val="18"/>
          <w:szCs w:val="20"/>
          <w:u w:val="single"/>
          <w:lang w:val="es-ES_tradnl" w:eastAsia="en-US"/>
        </w:rPr>
        <w:t>aprobó la incorporación a la propia Carta de la Organización de normas más amplias sobre derechos económicos, sociales y educacionales y resolvió que una convención interamericana sobre derechos humanos determinara la estructura, competencia y procedimiento de los órganos encargados de esa materia</w:t>
      </w:r>
      <w:r w:rsidR="004F62EF">
        <w:rPr>
          <w:rFonts w:eastAsia="Calibri"/>
          <w:sz w:val="18"/>
          <w:szCs w:val="20"/>
          <w:u w:val="single"/>
          <w:lang w:val="es-ES_tradnl" w:eastAsia="en-US"/>
        </w:rPr>
        <w:t>,</w:t>
      </w:r>
    </w:p>
    <w:p w14:paraId="15518E8B" w14:textId="77777777" w:rsidR="000470EB" w:rsidRDefault="000470EB" w:rsidP="002570D1">
      <w:pPr>
        <w:ind w:left="567" w:right="335"/>
        <w:rPr>
          <w:rFonts w:eastAsia="Calibri"/>
          <w:sz w:val="18"/>
          <w:szCs w:val="20"/>
          <w:lang w:val="es-ES_tradnl" w:eastAsia="en-US"/>
        </w:rPr>
      </w:pPr>
    </w:p>
    <w:p w14:paraId="4F0532A5" w14:textId="3ED74E24" w:rsidR="002570D1" w:rsidRPr="002570D1" w:rsidRDefault="000470EB" w:rsidP="00765E3D">
      <w:pPr>
        <w:ind w:left="567" w:right="335"/>
        <w:rPr>
          <w:rFonts w:eastAsia="Calibri"/>
          <w:sz w:val="18"/>
          <w:szCs w:val="20"/>
          <w:lang w:val="es-ES_tradnl" w:eastAsia="en-US"/>
        </w:rPr>
      </w:pPr>
      <w:r w:rsidRPr="002570D1">
        <w:rPr>
          <w:rFonts w:eastAsia="Calibri"/>
          <w:sz w:val="18"/>
          <w:szCs w:val="20"/>
          <w:lang w:val="es-ES_tradnl" w:eastAsia="en-US"/>
        </w:rPr>
        <w:t>Han convenido en lo siguiente: […]</w:t>
      </w:r>
      <w:r w:rsidR="002A5452">
        <w:rPr>
          <w:rStyle w:val="FootnoteReference"/>
          <w:rFonts w:eastAsia="Calibri"/>
          <w:sz w:val="18"/>
          <w:szCs w:val="20"/>
          <w:lang w:val="es-ES_tradnl" w:eastAsia="en-US"/>
        </w:rPr>
        <w:footnoteReference w:id="131"/>
      </w:r>
      <w:r w:rsidR="00A15504">
        <w:rPr>
          <w:rFonts w:eastAsia="Calibri"/>
          <w:sz w:val="18"/>
          <w:szCs w:val="20"/>
          <w:lang w:val="es-ES_tradnl" w:eastAsia="en-US"/>
        </w:rPr>
        <w:t>.</w:t>
      </w:r>
    </w:p>
    <w:p w14:paraId="1574CABF" w14:textId="77777777" w:rsidR="002570D1" w:rsidRPr="002570D1" w:rsidRDefault="002570D1" w:rsidP="002570D1">
      <w:pPr>
        <w:rPr>
          <w:rFonts w:eastAsia="Calibri"/>
          <w:b/>
          <w:sz w:val="20"/>
          <w:szCs w:val="20"/>
          <w:lang w:val="es-ES_tradnl" w:eastAsia="en-US"/>
        </w:rPr>
      </w:pPr>
    </w:p>
    <w:p w14:paraId="3C92BCF5" w14:textId="5726FBE6" w:rsidR="002570D1" w:rsidRPr="008B0574" w:rsidRDefault="002570D1" w:rsidP="002570D1">
      <w:pPr>
        <w:numPr>
          <w:ilvl w:val="0"/>
          <w:numId w:val="2"/>
        </w:numPr>
        <w:tabs>
          <w:tab w:val="left" w:pos="567"/>
          <w:tab w:val="num" w:pos="1569"/>
          <w:tab w:val="num" w:pos="12305"/>
        </w:tabs>
        <w:ind w:left="0" w:firstLine="0"/>
        <w:rPr>
          <w:rFonts w:eastAsia="Calibri"/>
          <w:sz w:val="20"/>
          <w:szCs w:val="20"/>
          <w:lang w:val="es-ES_tradnl" w:eastAsia="en-US"/>
        </w:rPr>
      </w:pPr>
      <w:r w:rsidRPr="008B0574">
        <w:rPr>
          <w:rFonts w:eastAsia="Calibri"/>
          <w:sz w:val="20"/>
          <w:szCs w:val="20"/>
          <w:lang w:val="es-ES_tradnl" w:eastAsia="en-US"/>
        </w:rPr>
        <w:t xml:space="preserve">Así, resulta </w:t>
      </w:r>
      <w:r w:rsidR="000D7067" w:rsidRPr="008B0574">
        <w:rPr>
          <w:rFonts w:eastAsia="Calibri"/>
          <w:sz w:val="20"/>
          <w:szCs w:val="20"/>
          <w:lang w:val="es-ES_tradnl" w:eastAsia="en-US"/>
        </w:rPr>
        <w:t xml:space="preserve">claro </w:t>
      </w:r>
      <w:r w:rsidRPr="00132C26">
        <w:rPr>
          <w:rFonts w:eastAsia="Calibri"/>
          <w:sz w:val="20"/>
          <w:szCs w:val="20"/>
          <w:lang w:val="es-ES_tradnl" w:eastAsia="en-US"/>
        </w:rPr>
        <w:t>interpretar que la Convención Americana incorporó en su catálogo de derechos protegidos los denominados derecho</w:t>
      </w:r>
      <w:r w:rsidR="004F62EF">
        <w:rPr>
          <w:rFonts w:eastAsia="Calibri"/>
          <w:sz w:val="20"/>
          <w:szCs w:val="20"/>
          <w:lang w:val="es-ES_tradnl" w:eastAsia="en-US"/>
        </w:rPr>
        <w:t>s</w:t>
      </w:r>
      <w:r w:rsidRPr="00132C26">
        <w:rPr>
          <w:rFonts w:eastAsia="Calibri"/>
          <w:sz w:val="20"/>
          <w:szCs w:val="20"/>
          <w:lang w:val="es-ES_tradnl" w:eastAsia="en-US"/>
        </w:rPr>
        <w:t xml:space="preserve"> económicos, sociales, culturales y ambientales (DESCA)</w:t>
      </w:r>
      <w:r w:rsidRPr="008B0574">
        <w:rPr>
          <w:rFonts w:eastAsia="Calibri"/>
          <w:sz w:val="20"/>
          <w:szCs w:val="20"/>
          <w:vertAlign w:val="superscript"/>
          <w:lang w:val="es-ES_tradnl" w:eastAsia="en-US"/>
        </w:rPr>
        <w:footnoteReference w:id="132"/>
      </w:r>
      <w:r w:rsidRPr="008B0574">
        <w:rPr>
          <w:rFonts w:eastAsia="Calibri"/>
          <w:sz w:val="20"/>
          <w:szCs w:val="20"/>
          <w:lang w:val="es-ES_tradnl" w:eastAsia="en-US"/>
        </w:rPr>
        <w:t xml:space="preserve">, a través de una derivación </w:t>
      </w:r>
      <w:r w:rsidR="00AC0B60">
        <w:rPr>
          <w:rFonts w:eastAsia="Calibri"/>
          <w:sz w:val="20"/>
          <w:szCs w:val="20"/>
          <w:lang w:val="es-ES_tradnl" w:eastAsia="en-US"/>
        </w:rPr>
        <w:t>de</w:t>
      </w:r>
      <w:r w:rsidR="00AC0B60" w:rsidRPr="008B0574">
        <w:rPr>
          <w:rFonts w:eastAsia="Calibri"/>
          <w:sz w:val="20"/>
          <w:szCs w:val="20"/>
          <w:lang w:val="es-ES_tradnl" w:eastAsia="en-US"/>
        </w:rPr>
        <w:t xml:space="preserve"> </w:t>
      </w:r>
      <w:r w:rsidRPr="008B0574">
        <w:rPr>
          <w:rFonts w:eastAsia="Calibri"/>
          <w:sz w:val="20"/>
          <w:szCs w:val="20"/>
          <w:lang w:val="es-ES_tradnl" w:eastAsia="en-US"/>
        </w:rPr>
        <w:t xml:space="preserve">las normas reconocidas en la Carta de </w:t>
      </w:r>
      <w:proofErr w:type="spellStart"/>
      <w:r w:rsidRPr="008B0574">
        <w:rPr>
          <w:rFonts w:eastAsia="Calibri"/>
          <w:sz w:val="20"/>
          <w:szCs w:val="20"/>
          <w:lang w:val="es-ES_tradnl" w:eastAsia="en-US"/>
        </w:rPr>
        <w:t>la</w:t>
      </w:r>
      <w:r w:rsidR="00AC0B60">
        <w:rPr>
          <w:rFonts w:eastAsia="Calibri"/>
          <w:sz w:val="20"/>
          <w:szCs w:val="20"/>
          <w:lang w:val="es-ES_tradnl" w:eastAsia="en-US"/>
        </w:rPr>
        <w:t>Organización</w:t>
      </w:r>
      <w:proofErr w:type="spellEnd"/>
      <w:r w:rsidR="00AC0B60">
        <w:rPr>
          <w:rFonts w:eastAsia="Calibri"/>
          <w:sz w:val="20"/>
          <w:szCs w:val="20"/>
          <w:lang w:val="es-ES_tradnl" w:eastAsia="en-US"/>
        </w:rPr>
        <w:t xml:space="preserve"> de los Estados Americanos (OEA)</w:t>
      </w:r>
      <w:r w:rsidR="008B0574" w:rsidRPr="00C27894">
        <w:rPr>
          <w:rFonts w:eastAsia="Calibri"/>
          <w:sz w:val="20"/>
          <w:szCs w:val="20"/>
          <w:lang w:val="es-ES_tradnl" w:eastAsia="en-US"/>
        </w:rPr>
        <w:t xml:space="preserve">, así como </w:t>
      </w:r>
      <w:r w:rsidRPr="00132C26">
        <w:rPr>
          <w:rFonts w:eastAsia="Calibri"/>
          <w:sz w:val="20"/>
          <w:szCs w:val="20"/>
          <w:lang w:val="es-ES_tradnl" w:eastAsia="en-US"/>
        </w:rPr>
        <w:t>de las normas de interpretación dispuestas en el propio artículo 29 de la Convención</w:t>
      </w:r>
      <w:r w:rsidRPr="008B0574">
        <w:rPr>
          <w:rFonts w:eastAsia="Calibri"/>
          <w:sz w:val="20"/>
          <w:szCs w:val="20"/>
          <w:vertAlign w:val="superscript"/>
          <w:lang w:val="es-ES_tradnl" w:eastAsia="en-US"/>
        </w:rPr>
        <w:footnoteReference w:id="133"/>
      </w:r>
      <w:r w:rsidRPr="008B0574">
        <w:rPr>
          <w:rFonts w:eastAsia="Calibri"/>
          <w:sz w:val="20"/>
          <w:szCs w:val="20"/>
          <w:lang w:val="es-ES_tradnl" w:eastAsia="en-US"/>
        </w:rPr>
        <w:t xml:space="preserve">; particularmente, </w:t>
      </w:r>
      <w:r w:rsidR="008B0574" w:rsidRPr="00C27894">
        <w:rPr>
          <w:rFonts w:eastAsia="Calibri"/>
          <w:sz w:val="20"/>
          <w:szCs w:val="20"/>
          <w:lang w:val="es-ES_tradnl" w:eastAsia="en-US"/>
        </w:rPr>
        <w:t xml:space="preserve">que impide limitar o excluir el goce de </w:t>
      </w:r>
      <w:r w:rsidRPr="008B0574">
        <w:rPr>
          <w:rFonts w:eastAsia="Calibri"/>
          <w:sz w:val="20"/>
          <w:szCs w:val="20"/>
          <w:lang w:val="es-ES_tradnl" w:eastAsia="en-US"/>
        </w:rPr>
        <w:t>los derechos establecidos en la Declaración Americ</w:t>
      </w:r>
      <w:r w:rsidRPr="00132C26">
        <w:rPr>
          <w:rFonts w:eastAsia="Calibri"/>
          <w:sz w:val="20"/>
          <w:szCs w:val="20"/>
          <w:lang w:val="es-ES_tradnl" w:eastAsia="en-US"/>
        </w:rPr>
        <w:t>ana e inclusive los reconocidos en materia interna</w:t>
      </w:r>
      <w:r w:rsidR="00BF56F2">
        <w:rPr>
          <w:rFonts w:eastAsia="Calibri"/>
          <w:sz w:val="20"/>
          <w:szCs w:val="20"/>
          <w:lang w:val="es-ES_tradnl" w:eastAsia="en-US"/>
        </w:rPr>
        <w:t xml:space="preserve"> (</w:t>
      </w:r>
      <w:r w:rsidR="00BF56F2" w:rsidRPr="00C27894">
        <w:rPr>
          <w:rFonts w:eastAsia="Calibri"/>
          <w:i/>
          <w:sz w:val="20"/>
          <w:szCs w:val="20"/>
          <w:lang w:val="es-ES_tradnl" w:eastAsia="en-US"/>
        </w:rPr>
        <w:t>infra</w:t>
      </w:r>
      <w:r w:rsidR="00BF56F2">
        <w:rPr>
          <w:rFonts w:eastAsia="Calibri"/>
          <w:sz w:val="20"/>
          <w:szCs w:val="20"/>
          <w:lang w:val="es-ES_tradnl" w:eastAsia="en-US"/>
        </w:rPr>
        <w:t xml:space="preserve"> párr. </w:t>
      </w:r>
      <w:r w:rsidR="00263E42">
        <w:rPr>
          <w:rFonts w:eastAsia="Calibri"/>
          <w:sz w:val="20"/>
          <w:szCs w:val="20"/>
          <w:lang w:val="es-ES_tradnl" w:eastAsia="en-US"/>
        </w:rPr>
        <w:t>108)</w:t>
      </w:r>
      <w:r w:rsidR="00263E42" w:rsidRPr="00132C26">
        <w:rPr>
          <w:rFonts w:eastAsia="Calibri"/>
          <w:sz w:val="20"/>
          <w:szCs w:val="20"/>
          <w:lang w:val="es-ES_tradnl" w:eastAsia="en-US"/>
        </w:rPr>
        <w:t xml:space="preserve">. </w:t>
      </w:r>
      <w:r w:rsidRPr="00132C26">
        <w:rPr>
          <w:rFonts w:eastAsia="Calibri"/>
          <w:sz w:val="20"/>
          <w:szCs w:val="20"/>
          <w:lang w:val="es-ES_tradnl" w:eastAsia="en-US"/>
        </w:rPr>
        <w:t>Asimismo, de conformidad con una interpretación</w:t>
      </w:r>
      <w:r w:rsidRPr="008B0574">
        <w:rPr>
          <w:rFonts w:eastAsia="Calibri"/>
          <w:sz w:val="20"/>
          <w:szCs w:val="20"/>
          <w:vertAlign w:val="superscript"/>
          <w:lang w:val="es-ES_tradnl" w:eastAsia="en-US"/>
        </w:rPr>
        <w:footnoteReference w:id="134"/>
      </w:r>
      <w:r w:rsidRPr="008B0574">
        <w:rPr>
          <w:rFonts w:eastAsia="Calibri"/>
          <w:sz w:val="20"/>
          <w:szCs w:val="20"/>
          <w:lang w:val="es-ES_tradnl" w:eastAsia="en-US"/>
        </w:rPr>
        <w:t xml:space="preserve"> sistemática, teleológica y evolutiva, la Corte ha recurrido al </w:t>
      </w:r>
      <w:r w:rsidRPr="008B0574">
        <w:rPr>
          <w:rFonts w:eastAsia="Calibri"/>
          <w:i/>
          <w:sz w:val="20"/>
          <w:szCs w:val="20"/>
          <w:lang w:val="es-ES_tradnl" w:eastAsia="en-US"/>
        </w:rPr>
        <w:t xml:space="preserve">corpus iuris </w:t>
      </w:r>
      <w:r w:rsidRPr="00132C26">
        <w:rPr>
          <w:rFonts w:eastAsia="Calibri"/>
          <w:sz w:val="20"/>
          <w:szCs w:val="20"/>
          <w:lang w:val="es-ES_tradnl" w:eastAsia="en-US"/>
        </w:rPr>
        <w:t xml:space="preserve">internacional y nacional en </w:t>
      </w:r>
      <w:r w:rsidRPr="00AA7ACB">
        <w:rPr>
          <w:rFonts w:eastAsia="Calibri"/>
          <w:sz w:val="20"/>
          <w:szCs w:val="20"/>
          <w:lang w:val="es-ES_tradnl" w:eastAsia="en-US"/>
        </w:rPr>
        <w:t>la materia para dar contenido específico al alcance de los derechos tutelados por la Convención</w:t>
      </w:r>
      <w:r w:rsidRPr="008B0574">
        <w:rPr>
          <w:rFonts w:eastAsia="Calibri"/>
          <w:sz w:val="20"/>
          <w:szCs w:val="20"/>
          <w:vertAlign w:val="superscript"/>
          <w:lang w:val="es-ES_tradnl" w:eastAsia="en-US"/>
        </w:rPr>
        <w:footnoteReference w:id="135"/>
      </w:r>
      <w:r w:rsidR="00FE58B5" w:rsidRPr="008B0574">
        <w:rPr>
          <w:rFonts w:eastAsia="Calibri"/>
          <w:sz w:val="20"/>
          <w:szCs w:val="20"/>
          <w:lang w:val="es-ES_tradnl" w:eastAsia="en-US"/>
        </w:rPr>
        <w:t xml:space="preserve"> (</w:t>
      </w:r>
      <w:r w:rsidR="00FE58B5" w:rsidRPr="008B0574">
        <w:rPr>
          <w:rFonts w:eastAsia="Calibri"/>
          <w:i/>
          <w:sz w:val="20"/>
          <w:szCs w:val="20"/>
          <w:lang w:val="es-ES_tradnl" w:eastAsia="en-US"/>
        </w:rPr>
        <w:t>infra</w:t>
      </w:r>
      <w:r w:rsidR="00FE58B5" w:rsidRPr="008B0574">
        <w:rPr>
          <w:rFonts w:eastAsia="Calibri"/>
          <w:sz w:val="20"/>
          <w:szCs w:val="20"/>
          <w:lang w:val="es-ES_tradnl" w:eastAsia="en-US"/>
        </w:rPr>
        <w:t xml:space="preserve"> párr. </w:t>
      </w:r>
      <w:r w:rsidR="000D7067" w:rsidRPr="00132C26">
        <w:rPr>
          <w:rFonts w:eastAsia="Calibri"/>
          <w:sz w:val="20"/>
          <w:szCs w:val="20"/>
          <w:lang w:val="es-ES_tradnl" w:eastAsia="en-US"/>
        </w:rPr>
        <w:t>11</w:t>
      </w:r>
      <w:r w:rsidR="00765E3D">
        <w:rPr>
          <w:rFonts w:eastAsia="Calibri"/>
          <w:sz w:val="20"/>
          <w:szCs w:val="20"/>
          <w:lang w:val="es-ES_tradnl" w:eastAsia="en-US"/>
        </w:rPr>
        <w:t>4</w:t>
      </w:r>
      <w:r w:rsidR="00FE58B5" w:rsidRPr="00AA7ACB">
        <w:rPr>
          <w:rFonts w:eastAsia="Calibri"/>
          <w:sz w:val="20"/>
          <w:szCs w:val="20"/>
          <w:lang w:val="es-ES_tradnl" w:eastAsia="en-US"/>
        </w:rPr>
        <w:t>)</w:t>
      </w:r>
      <w:r w:rsidR="00D315EA" w:rsidRPr="00C27894">
        <w:rPr>
          <w:rFonts w:eastAsia="Calibri"/>
          <w:sz w:val="20"/>
          <w:szCs w:val="20"/>
          <w:lang w:val="es-ES_tradnl" w:eastAsia="en-US"/>
        </w:rPr>
        <w:t xml:space="preserve">, a fin de derivar el alcance de las obligaciones específicas de cada derecho. </w:t>
      </w:r>
    </w:p>
    <w:p w14:paraId="6467C5FD" w14:textId="77777777" w:rsidR="002570D1" w:rsidRPr="001C4D75" w:rsidRDefault="002570D1" w:rsidP="002570D1">
      <w:pPr>
        <w:ind w:right="-360"/>
        <w:contextualSpacing/>
        <w:rPr>
          <w:rFonts w:eastAsia="Calibri"/>
          <w:sz w:val="20"/>
          <w:szCs w:val="20"/>
          <w:lang w:val="es-ES_tradnl" w:eastAsia="en-US"/>
        </w:rPr>
      </w:pPr>
    </w:p>
    <w:p w14:paraId="7C236395" w14:textId="0D9A7A8D" w:rsidR="00A23D78" w:rsidRPr="007E5CD5" w:rsidRDefault="002570D1" w:rsidP="00A23D78">
      <w:pPr>
        <w:numPr>
          <w:ilvl w:val="0"/>
          <w:numId w:val="2"/>
        </w:numPr>
        <w:tabs>
          <w:tab w:val="left" w:pos="567"/>
          <w:tab w:val="num" w:pos="1569"/>
          <w:tab w:val="num" w:pos="12305"/>
        </w:tabs>
        <w:ind w:left="0" w:firstLine="0"/>
        <w:rPr>
          <w:rFonts w:eastAsia="Calibri"/>
          <w:sz w:val="20"/>
          <w:szCs w:val="20"/>
          <w:lang w:val="es-ES_tradnl" w:eastAsia="en-US"/>
        </w:rPr>
      </w:pPr>
      <w:r w:rsidRPr="007E5CD5">
        <w:rPr>
          <w:rFonts w:eastAsia="Calibri"/>
          <w:sz w:val="20"/>
          <w:szCs w:val="20"/>
          <w:lang w:val="es-ES_tradnl" w:eastAsia="en-US"/>
        </w:rPr>
        <w:t xml:space="preserve">Asimismo, este Tribunal destaca que del contenido del artículo 26 se desprenden dos tipos de obligaciones. Por un lado, la adopción de medidas generales de manera </w:t>
      </w:r>
      <w:r w:rsidRPr="007E5CD5">
        <w:rPr>
          <w:rFonts w:eastAsia="Calibri"/>
          <w:i/>
          <w:sz w:val="20"/>
          <w:lang w:val="es-ES_tradnl"/>
        </w:rPr>
        <w:t>progresiva</w:t>
      </w:r>
      <w:r w:rsidRPr="007E5CD5">
        <w:rPr>
          <w:rFonts w:eastAsia="Calibri"/>
          <w:sz w:val="20"/>
          <w:szCs w:val="20"/>
          <w:lang w:val="es-ES_tradnl" w:eastAsia="en-US"/>
        </w:rPr>
        <w:t xml:space="preserve"> y por otro lado la adopción de medidas de carácter </w:t>
      </w:r>
      <w:r w:rsidRPr="007E5CD5">
        <w:rPr>
          <w:rFonts w:eastAsia="Calibri"/>
          <w:i/>
          <w:sz w:val="20"/>
          <w:lang w:val="es-ES_tradnl"/>
        </w:rPr>
        <w:t>inmediato</w:t>
      </w:r>
      <w:r w:rsidRPr="007E5CD5">
        <w:rPr>
          <w:rFonts w:eastAsia="Calibri"/>
          <w:sz w:val="20"/>
          <w:szCs w:val="20"/>
          <w:lang w:val="es-ES_tradnl" w:eastAsia="en-US"/>
        </w:rPr>
        <w:t>. Respecto de las primeras, a las cu</w:t>
      </w:r>
      <w:r w:rsidR="00662D92">
        <w:rPr>
          <w:rFonts w:eastAsia="Calibri"/>
          <w:sz w:val="20"/>
          <w:szCs w:val="20"/>
          <w:lang w:val="es-ES_tradnl" w:eastAsia="en-US"/>
        </w:rPr>
        <w:t>a</w:t>
      </w:r>
      <w:r w:rsidRPr="007E5CD5">
        <w:rPr>
          <w:rFonts w:eastAsia="Calibri"/>
          <w:sz w:val="20"/>
          <w:szCs w:val="20"/>
          <w:lang w:val="es-ES_tradnl" w:eastAsia="en-US"/>
        </w:rPr>
        <w:t>les hizo referencia el Estado en el presente caso, la realización progresiva significa que los Estados partes tienen la obligación concreta y constante de avanzar lo más expedita y eficazmente posible hacia la plena efectividad de los DESCA</w:t>
      </w:r>
      <w:r w:rsidRPr="007E5CD5">
        <w:rPr>
          <w:rFonts w:eastAsia="Calibri"/>
          <w:sz w:val="20"/>
          <w:szCs w:val="20"/>
          <w:vertAlign w:val="superscript"/>
          <w:lang w:val="es-ES_tradnl" w:eastAsia="en-US"/>
        </w:rPr>
        <w:footnoteReference w:id="136"/>
      </w:r>
      <w:r w:rsidRPr="007E5CD5">
        <w:rPr>
          <w:rFonts w:eastAsia="Calibri"/>
          <w:sz w:val="20"/>
          <w:szCs w:val="20"/>
          <w:lang w:val="es-ES_tradnl" w:eastAsia="en-US"/>
        </w:rPr>
        <w:t xml:space="preserve">, </w:t>
      </w:r>
      <w:r w:rsidR="0084234E" w:rsidRPr="007E5CD5">
        <w:rPr>
          <w:rFonts w:eastAsia="Calibri"/>
          <w:sz w:val="20"/>
          <w:szCs w:val="20"/>
          <w:lang w:val="es-ES_tradnl" w:eastAsia="en-US"/>
        </w:rPr>
        <w:t>ello</w:t>
      </w:r>
      <w:r w:rsidRPr="007E5CD5">
        <w:rPr>
          <w:rFonts w:eastAsia="Calibri"/>
          <w:sz w:val="20"/>
          <w:szCs w:val="20"/>
          <w:lang w:val="es-ES_tradnl" w:eastAsia="en-US"/>
        </w:rPr>
        <w:t xml:space="preserve"> no debe interpretarse en el sentido que</w:t>
      </w:r>
      <w:r w:rsidR="00722D08">
        <w:rPr>
          <w:rFonts w:eastAsia="Calibri"/>
          <w:sz w:val="20"/>
          <w:szCs w:val="20"/>
          <w:lang w:val="es-ES_tradnl" w:eastAsia="en-US"/>
        </w:rPr>
        <w:t>,</w:t>
      </w:r>
      <w:r w:rsidRPr="007E5CD5">
        <w:rPr>
          <w:rFonts w:eastAsia="Calibri"/>
          <w:sz w:val="20"/>
          <w:szCs w:val="20"/>
          <w:lang w:val="es-ES_tradnl" w:eastAsia="en-US"/>
        </w:rPr>
        <w:t xml:space="preserve"> </w:t>
      </w:r>
      <w:r w:rsidRPr="007E5CD5">
        <w:rPr>
          <w:rFonts w:eastAsia="Calibri"/>
          <w:sz w:val="20"/>
          <w:szCs w:val="20"/>
          <w:lang w:val="es-ES_tradnl" w:eastAsia="en-US"/>
        </w:rPr>
        <w:lastRenderedPageBreak/>
        <w:t xml:space="preserve">durante su periodo de </w:t>
      </w:r>
      <w:r w:rsidR="00454BB3" w:rsidRPr="007E5CD5">
        <w:rPr>
          <w:rFonts w:eastAsia="Calibri"/>
          <w:sz w:val="20"/>
          <w:szCs w:val="20"/>
          <w:lang w:val="es-ES_tradnl" w:eastAsia="en-US"/>
        </w:rPr>
        <w:t>implementación</w:t>
      </w:r>
      <w:r w:rsidRPr="007E5CD5">
        <w:rPr>
          <w:rFonts w:eastAsia="Calibri"/>
          <w:sz w:val="20"/>
          <w:szCs w:val="20"/>
          <w:lang w:val="es-ES_tradnl" w:eastAsia="en-US"/>
        </w:rPr>
        <w:t>, dichas obligaciones se priv</w:t>
      </w:r>
      <w:r w:rsidR="000D7067" w:rsidRPr="007E5CD5">
        <w:rPr>
          <w:rFonts w:eastAsia="Calibri"/>
          <w:sz w:val="20"/>
          <w:szCs w:val="20"/>
          <w:lang w:val="es-ES_tradnl" w:eastAsia="en-US"/>
        </w:rPr>
        <w:t>e</w:t>
      </w:r>
      <w:r w:rsidRPr="007E5CD5">
        <w:rPr>
          <w:rFonts w:eastAsia="Calibri"/>
          <w:sz w:val="20"/>
          <w:szCs w:val="20"/>
          <w:lang w:val="es-ES_tradnl" w:eastAsia="en-US"/>
        </w:rPr>
        <w:t>n de contenido</w:t>
      </w:r>
      <w:r w:rsidR="00454BB3" w:rsidRPr="007E5CD5">
        <w:rPr>
          <w:rFonts w:eastAsia="Calibri"/>
          <w:sz w:val="20"/>
          <w:szCs w:val="20"/>
          <w:lang w:val="es-ES_tradnl" w:eastAsia="en-US"/>
        </w:rPr>
        <w:t xml:space="preserve"> específico</w:t>
      </w:r>
      <w:r w:rsidRPr="007E5CD5">
        <w:rPr>
          <w:rFonts w:eastAsia="Calibri"/>
          <w:sz w:val="20"/>
          <w:szCs w:val="20"/>
          <w:lang w:val="es-ES_tradnl" w:eastAsia="en-US"/>
        </w:rPr>
        <w:t>, lo cual tampoco implica que los Estados puedan aplazar indefinidamente la adopción de medidas para hacer efectivos los derechos en cuestión</w:t>
      </w:r>
      <w:r w:rsidR="00386E16" w:rsidRPr="007E5CD5">
        <w:rPr>
          <w:rFonts w:eastAsia="Calibri"/>
          <w:sz w:val="20"/>
          <w:szCs w:val="20"/>
          <w:lang w:val="es-ES_tradnl" w:eastAsia="en-US"/>
        </w:rPr>
        <w:t>, máxime luego de casi cuarenta años de la entrada en vigor del tratado</w:t>
      </w:r>
      <w:r w:rsidR="00713D68">
        <w:rPr>
          <w:rFonts w:eastAsia="Calibri"/>
          <w:sz w:val="20"/>
          <w:szCs w:val="20"/>
          <w:lang w:val="es-ES_tradnl" w:eastAsia="en-US"/>
        </w:rPr>
        <w:t xml:space="preserve"> interamericano</w:t>
      </w:r>
      <w:r w:rsidRPr="007E5CD5">
        <w:rPr>
          <w:rFonts w:eastAsia="Calibri"/>
          <w:sz w:val="20"/>
          <w:szCs w:val="20"/>
          <w:lang w:val="es-ES_tradnl" w:eastAsia="en-US"/>
        </w:rPr>
        <w:t xml:space="preserve">. Asimismo, se impone por tanto, la obligación de </w:t>
      </w:r>
      <w:r w:rsidRPr="007E5CD5">
        <w:rPr>
          <w:rFonts w:eastAsia="Calibri"/>
          <w:i/>
          <w:sz w:val="20"/>
          <w:szCs w:val="20"/>
          <w:lang w:val="es-ES_tradnl" w:eastAsia="en-US"/>
        </w:rPr>
        <w:t xml:space="preserve">no </w:t>
      </w:r>
      <w:r w:rsidRPr="009C34A2">
        <w:rPr>
          <w:rFonts w:eastAsia="Calibri"/>
          <w:i/>
          <w:sz w:val="20"/>
          <w:szCs w:val="20"/>
          <w:lang w:val="es-ES_tradnl" w:eastAsia="en-US"/>
        </w:rPr>
        <w:t>regresividad</w:t>
      </w:r>
      <w:r w:rsidRPr="00C26032">
        <w:rPr>
          <w:rFonts w:eastAsia="Calibri"/>
          <w:sz w:val="20"/>
          <w:szCs w:val="20"/>
          <w:lang w:val="es-ES_tradnl" w:eastAsia="en-US"/>
        </w:rPr>
        <w:t xml:space="preserve"> frente a la r</w:t>
      </w:r>
      <w:r w:rsidRPr="005415CD">
        <w:rPr>
          <w:rFonts w:eastAsia="Calibri"/>
          <w:sz w:val="20"/>
          <w:szCs w:val="20"/>
          <w:lang w:val="es-ES_tradnl" w:eastAsia="en-US"/>
        </w:rPr>
        <w:t>ealización de los derechos alcanzados</w:t>
      </w:r>
      <w:r w:rsidRPr="005415CD">
        <w:rPr>
          <w:rFonts w:eastAsia="Calibri"/>
          <w:sz w:val="20"/>
          <w:szCs w:val="20"/>
          <w:vertAlign w:val="superscript"/>
          <w:lang w:val="es-ES_tradnl" w:eastAsia="en-US"/>
        </w:rPr>
        <w:footnoteReference w:id="137"/>
      </w:r>
      <w:r w:rsidRPr="005415CD">
        <w:rPr>
          <w:rFonts w:eastAsia="Calibri"/>
          <w:sz w:val="20"/>
          <w:szCs w:val="20"/>
          <w:lang w:val="es-ES_tradnl" w:eastAsia="en-US"/>
        </w:rPr>
        <w:t xml:space="preserve">. </w:t>
      </w:r>
      <w:r w:rsidR="00E85806" w:rsidRPr="005415CD">
        <w:rPr>
          <w:rFonts w:eastAsia="Calibri"/>
          <w:sz w:val="20"/>
          <w:szCs w:val="20"/>
          <w:lang w:val="es-ES_tradnl"/>
        </w:rPr>
        <w:t xml:space="preserve">Respecto de las obligaciones de carácter </w:t>
      </w:r>
      <w:r w:rsidR="00E85806" w:rsidRPr="005415CD">
        <w:rPr>
          <w:rFonts w:eastAsia="Calibri"/>
          <w:i/>
          <w:sz w:val="20"/>
          <w:szCs w:val="20"/>
          <w:lang w:val="es-ES_tradnl"/>
        </w:rPr>
        <w:t>inmediato</w:t>
      </w:r>
      <w:r w:rsidR="00E85806" w:rsidRPr="005415CD">
        <w:rPr>
          <w:rFonts w:eastAsia="Calibri"/>
          <w:sz w:val="20"/>
          <w:szCs w:val="20"/>
          <w:lang w:val="es-ES_tradnl"/>
        </w:rPr>
        <w:t>, éstas consisten en adoptar medidas</w:t>
      </w:r>
      <w:r w:rsidR="009B3B3C" w:rsidRPr="005415CD">
        <w:rPr>
          <w:rFonts w:eastAsia="Calibri"/>
          <w:sz w:val="20"/>
          <w:szCs w:val="20"/>
          <w:lang w:val="es-ES_tradnl"/>
        </w:rPr>
        <w:t xml:space="preserve"> </w:t>
      </w:r>
      <w:r w:rsidR="009C34A2" w:rsidRPr="005415CD">
        <w:rPr>
          <w:rFonts w:eastAsia="Calibri"/>
          <w:sz w:val="20"/>
          <w:szCs w:val="20"/>
          <w:lang w:val="es-ES_tradnl"/>
        </w:rPr>
        <w:t>eficaces</w:t>
      </w:r>
      <w:r w:rsidR="00E85806" w:rsidRPr="009C34A2">
        <w:rPr>
          <w:rFonts w:eastAsia="Calibri"/>
          <w:sz w:val="20"/>
          <w:szCs w:val="20"/>
          <w:lang w:val="es-ES_tradnl"/>
        </w:rPr>
        <w:t xml:space="preserve">, </w:t>
      </w:r>
      <w:r w:rsidR="009B3B3C" w:rsidRPr="00C26032">
        <w:rPr>
          <w:rFonts w:eastAsia="Calibri"/>
          <w:sz w:val="20"/>
          <w:szCs w:val="20"/>
          <w:lang w:val="es-ES_tradnl"/>
        </w:rPr>
        <w:t xml:space="preserve">a fin de garantizar el acceso sin discriminación </w:t>
      </w:r>
      <w:r w:rsidR="001C4D75" w:rsidRPr="005415CD">
        <w:rPr>
          <w:rFonts w:eastAsia="Calibri"/>
          <w:sz w:val="20"/>
          <w:szCs w:val="20"/>
          <w:lang w:val="es-ES_tradnl"/>
        </w:rPr>
        <w:t>a</w:t>
      </w:r>
      <w:r w:rsidR="009B3B3C" w:rsidRPr="005415CD">
        <w:rPr>
          <w:rFonts w:eastAsia="Calibri"/>
          <w:sz w:val="20"/>
          <w:szCs w:val="20"/>
          <w:lang w:val="es-ES_tradnl"/>
        </w:rPr>
        <w:t xml:space="preserve"> las prestaciones </w:t>
      </w:r>
      <w:r w:rsidR="001C4D75" w:rsidRPr="005415CD">
        <w:rPr>
          <w:rFonts w:eastAsia="Calibri"/>
          <w:sz w:val="20"/>
          <w:szCs w:val="20"/>
          <w:lang w:val="es-ES_tradnl"/>
        </w:rPr>
        <w:t>reconocidas para</w:t>
      </w:r>
      <w:r w:rsidR="009B3B3C" w:rsidRPr="005415CD">
        <w:rPr>
          <w:rFonts w:eastAsia="Calibri"/>
          <w:sz w:val="20"/>
          <w:szCs w:val="20"/>
          <w:lang w:val="es-ES_tradnl"/>
        </w:rPr>
        <w:t xml:space="preserve"> cada derecho. Dichas medidas deben ser adecuadas, deliberadas y concretas en aras de la plena realización de tales derechos</w:t>
      </w:r>
      <w:r w:rsidR="00E85806" w:rsidRPr="005415CD">
        <w:rPr>
          <w:rFonts w:eastAsia="Calibri"/>
          <w:sz w:val="20"/>
          <w:szCs w:val="20"/>
          <w:vertAlign w:val="superscript"/>
          <w:lang w:val="es-ES_tradnl"/>
        </w:rPr>
        <w:footnoteReference w:id="138"/>
      </w:r>
      <w:r w:rsidR="00E85806" w:rsidRPr="005415CD">
        <w:rPr>
          <w:rFonts w:eastAsia="Calibri"/>
          <w:sz w:val="20"/>
          <w:szCs w:val="20"/>
          <w:lang w:val="es-ES_tradnl"/>
        </w:rPr>
        <w:t xml:space="preserve">. </w:t>
      </w:r>
      <w:r w:rsidR="00A4129C" w:rsidRPr="005415CD">
        <w:rPr>
          <w:rFonts w:eastAsia="Calibri"/>
          <w:sz w:val="20"/>
          <w:szCs w:val="20"/>
          <w:lang w:val="es-ES_tradnl" w:eastAsia="en-US"/>
        </w:rPr>
        <w:t>En</w:t>
      </w:r>
      <w:r w:rsidR="00A4129C" w:rsidRPr="007E5CD5">
        <w:rPr>
          <w:rFonts w:eastAsia="Calibri"/>
          <w:sz w:val="20"/>
          <w:szCs w:val="20"/>
          <w:lang w:val="es-ES_tradnl" w:eastAsia="en-US"/>
        </w:rPr>
        <w:t xml:space="preserve"> virtud de lo anterior</w:t>
      </w:r>
      <w:r w:rsidR="0084234E" w:rsidRPr="007E5CD5">
        <w:rPr>
          <w:rFonts w:eastAsia="Calibri"/>
          <w:sz w:val="20"/>
          <w:szCs w:val="20"/>
          <w:lang w:val="es-ES_tradnl" w:eastAsia="en-US"/>
        </w:rPr>
        <w:t>, l</w:t>
      </w:r>
      <w:r w:rsidR="00D96547" w:rsidRPr="007E5CD5">
        <w:rPr>
          <w:rFonts w:eastAsia="Calibri"/>
          <w:sz w:val="20"/>
          <w:szCs w:val="20"/>
          <w:lang w:val="es-ES_tradnl" w:eastAsia="en-US"/>
        </w:rPr>
        <w:t>as obligaciones</w:t>
      </w:r>
      <w:r w:rsidR="00D96547" w:rsidRPr="00832A80">
        <w:rPr>
          <w:rFonts w:eastAsia="Calibri"/>
          <w:sz w:val="20"/>
          <w:szCs w:val="20"/>
          <w:lang w:val="es-ES_tradnl" w:eastAsia="en-US"/>
        </w:rPr>
        <w:t xml:space="preserve"> </w:t>
      </w:r>
      <w:r w:rsidR="00832A80">
        <w:rPr>
          <w:rFonts w:eastAsia="Calibri"/>
          <w:sz w:val="20"/>
          <w:szCs w:val="20"/>
          <w:lang w:val="es-ES_tradnl" w:eastAsia="en-US"/>
        </w:rPr>
        <w:t>convencionales</w:t>
      </w:r>
      <w:r w:rsidR="00832A80" w:rsidRPr="007E5CD5">
        <w:rPr>
          <w:rFonts w:eastAsia="Calibri"/>
          <w:sz w:val="20"/>
          <w:szCs w:val="20"/>
          <w:lang w:val="es-ES_tradnl" w:eastAsia="en-US"/>
        </w:rPr>
        <w:t xml:space="preserve"> </w:t>
      </w:r>
      <w:r w:rsidR="00D96547" w:rsidRPr="007E5CD5">
        <w:rPr>
          <w:rFonts w:eastAsia="Calibri"/>
          <w:sz w:val="20"/>
          <w:szCs w:val="20"/>
          <w:lang w:val="es-ES_tradnl" w:eastAsia="en-US"/>
        </w:rPr>
        <w:t xml:space="preserve">de respeto y garantía, así como de adopción de medidas de derecho interno </w:t>
      </w:r>
      <w:r w:rsidR="00E22B60" w:rsidRPr="007E5CD5">
        <w:rPr>
          <w:rFonts w:eastAsia="Calibri"/>
          <w:sz w:val="20"/>
          <w:szCs w:val="20"/>
          <w:lang w:val="es-ES_tradnl" w:eastAsia="en-US"/>
        </w:rPr>
        <w:t>(artículos 1.1</w:t>
      </w:r>
      <w:r w:rsidR="00D96547" w:rsidRPr="007E5CD5">
        <w:rPr>
          <w:rFonts w:eastAsia="Calibri"/>
          <w:sz w:val="20"/>
          <w:szCs w:val="20"/>
          <w:lang w:val="es-ES_tradnl" w:eastAsia="en-US"/>
        </w:rPr>
        <w:t xml:space="preserve"> y 2), resultan fundamentales para </w:t>
      </w:r>
      <w:r w:rsidR="00E00F6E" w:rsidRPr="007E5CD5">
        <w:rPr>
          <w:rFonts w:eastAsia="Calibri"/>
          <w:sz w:val="20"/>
          <w:szCs w:val="20"/>
          <w:lang w:val="es-ES_tradnl" w:eastAsia="en-US"/>
        </w:rPr>
        <w:t>alcanzar</w:t>
      </w:r>
      <w:r w:rsidR="00D96547" w:rsidRPr="007E5CD5">
        <w:rPr>
          <w:rFonts w:eastAsia="Calibri"/>
          <w:sz w:val="20"/>
          <w:szCs w:val="20"/>
          <w:lang w:val="es-ES_tradnl" w:eastAsia="en-US"/>
        </w:rPr>
        <w:t xml:space="preserve"> su </w:t>
      </w:r>
      <w:r w:rsidR="00A4129C" w:rsidRPr="007E5CD5">
        <w:rPr>
          <w:rFonts w:eastAsia="Calibri"/>
          <w:sz w:val="20"/>
          <w:szCs w:val="20"/>
          <w:lang w:val="es-ES_tradnl" w:eastAsia="en-US"/>
        </w:rPr>
        <w:t>efectividad</w:t>
      </w:r>
      <w:r w:rsidR="00D96547" w:rsidRPr="007E5CD5">
        <w:rPr>
          <w:rFonts w:eastAsia="Calibri"/>
          <w:sz w:val="20"/>
          <w:szCs w:val="20"/>
          <w:lang w:val="es-ES_tradnl" w:eastAsia="en-US"/>
        </w:rPr>
        <w:t xml:space="preserve">. </w:t>
      </w:r>
    </w:p>
    <w:p w14:paraId="74B041D0" w14:textId="77777777" w:rsidR="002570D1" w:rsidRPr="002570D1" w:rsidRDefault="002570D1" w:rsidP="002570D1">
      <w:pPr>
        <w:ind w:left="-90" w:right="-360"/>
        <w:contextualSpacing/>
        <w:rPr>
          <w:rFonts w:eastAsia="Calibri"/>
          <w:sz w:val="20"/>
          <w:szCs w:val="20"/>
          <w:lang w:val="es-ES_tradnl" w:eastAsia="en-US"/>
        </w:rPr>
      </w:pPr>
    </w:p>
    <w:p w14:paraId="28D9BDFA" w14:textId="60ADC1A7" w:rsidR="002570D1" w:rsidRPr="002570D1" w:rsidRDefault="002570D1" w:rsidP="002570D1">
      <w:pPr>
        <w:numPr>
          <w:ilvl w:val="0"/>
          <w:numId w:val="2"/>
        </w:numPr>
        <w:tabs>
          <w:tab w:val="left" w:pos="567"/>
          <w:tab w:val="num" w:pos="1569"/>
          <w:tab w:val="num" w:pos="12305"/>
        </w:tabs>
        <w:ind w:left="0" w:firstLine="0"/>
        <w:rPr>
          <w:rFonts w:eastAsia="Calibri"/>
          <w:sz w:val="20"/>
          <w:szCs w:val="20"/>
          <w:lang w:val="es-ES_tradnl" w:eastAsia="en-US"/>
        </w:rPr>
      </w:pPr>
      <w:r w:rsidRPr="002570D1">
        <w:rPr>
          <w:rFonts w:eastAsia="Calibri"/>
          <w:sz w:val="20"/>
          <w:szCs w:val="20"/>
          <w:lang w:val="es-ES_tradnl" w:eastAsia="en-US"/>
        </w:rPr>
        <w:t xml:space="preserve">Una vez establecido lo anterior, y siendo que </w:t>
      </w:r>
      <w:r w:rsidR="00E00F6E">
        <w:rPr>
          <w:rFonts w:eastAsia="Calibri"/>
          <w:sz w:val="20"/>
          <w:szCs w:val="20"/>
          <w:lang w:val="es-ES_tradnl" w:eastAsia="en-US"/>
        </w:rPr>
        <w:t>esta Corte se</w:t>
      </w:r>
      <w:r w:rsidRPr="002570D1">
        <w:rPr>
          <w:rFonts w:eastAsia="Calibri"/>
          <w:sz w:val="20"/>
          <w:szCs w:val="20"/>
          <w:lang w:val="es-ES_tradnl" w:eastAsia="en-US"/>
        </w:rPr>
        <w:t xml:space="preserve"> pronunciará por primera ocasión respecto el derecho a la salud</w:t>
      </w:r>
      <w:r w:rsidR="00454BB3">
        <w:rPr>
          <w:rFonts w:eastAsia="Calibri"/>
          <w:sz w:val="20"/>
          <w:szCs w:val="20"/>
          <w:lang w:val="es-ES_tradnl" w:eastAsia="en-US"/>
        </w:rPr>
        <w:t xml:space="preserve"> de manera autónoma</w:t>
      </w:r>
      <w:r w:rsidRPr="002570D1">
        <w:rPr>
          <w:rFonts w:eastAsia="Calibri"/>
          <w:sz w:val="20"/>
          <w:szCs w:val="20"/>
          <w:lang w:val="es-ES_tradnl" w:eastAsia="en-US"/>
        </w:rPr>
        <w:t xml:space="preserve">, </w:t>
      </w:r>
      <w:r w:rsidR="00454BB3">
        <w:rPr>
          <w:rFonts w:eastAsia="Calibri"/>
          <w:sz w:val="20"/>
          <w:szCs w:val="20"/>
          <w:lang w:val="es-ES_tradnl" w:eastAsia="en-US"/>
        </w:rPr>
        <w:t xml:space="preserve">como parte integrante de los DESCA, </w:t>
      </w:r>
      <w:r w:rsidR="00E00F6E">
        <w:rPr>
          <w:rFonts w:eastAsia="Calibri"/>
          <w:sz w:val="20"/>
          <w:szCs w:val="20"/>
          <w:lang w:val="es-ES_tradnl" w:eastAsia="en-US"/>
        </w:rPr>
        <w:t xml:space="preserve">el Tribunal </w:t>
      </w:r>
      <w:r w:rsidRPr="002570D1">
        <w:rPr>
          <w:rFonts w:eastAsia="Calibri"/>
          <w:sz w:val="20"/>
          <w:szCs w:val="20"/>
          <w:lang w:val="es-ES_tradnl" w:eastAsia="en-US"/>
        </w:rPr>
        <w:t xml:space="preserve">procede a verificar la consolidación de </w:t>
      </w:r>
      <w:r w:rsidR="00E00F6E">
        <w:rPr>
          <w:rFonts w:eastAsia="Calibri"/>
          <w:sz w:val="20"/>
          <w:szCs w:val="20"/>
          <w:lang w:val="es-ES_tradnl" w:eastAsia="en-US"/>
        </w:rPr>
        <w:t>é</w:t>
      </w:r>
      <w:r w:rsidRPr="002570D1">
        <w:rPr>
          <w:rFonts w:eastAsia="Calibri"/>
          <w:sz w:val="20"/>
          <w:szCs w:val="20"/>
          <w:lang w:val="es-ES_tradnl" w:eastAsia="en-US"/>
        </w:rPr>
        <w:t xml:space="preserve">ste como derecho </w:t>
      </w:r>
      <w:r w:rsidR="00E85806" w:rsidRPr="00B1523A">
        <w:rPr>
          <w:rFonts w:eastAsia="Calibri"/>
          <w:sz w:val="20"/>
          <w:szCs w:val="20"/>
          <w:lang w:val="es-ES_tradnl" w:eastAsia="en-US"/>
        </w:rPr>
        <w:t>justiciable</w:t>
      </w:r>
      <w:r w:rsidR="00E85806" w:rsidRPr="00BD2E79">
        <w:rPr>
          <w:rFonts w:eastAsia="Calibri"/>
          <w:sz w:val="20"/>
          <w:szCs w:val="20"/>
          <w:lang w:val="es-ES_tradnl" w:eastAsia="en-US"/>
        </w:rPr>
        <w:t xml:space="preserve"> </w:t>
      </w:r>
      <w:r w:rsidR="00ED6CD4" w:rsidRPr="00B1523A">
        <w:rPr>
          <w:rFonts w:eastAsia="Calibri"/>
          <w:sz w:val="20"/>
          <w:szCs w:val="20"/>
          <w:lang w:val="es-ES_tradnl" w:eastAsia="en-US"/>
        </w:rPr>
        <w:t>a</w:t>
      </w:r>
      <w:r w:rsidRPr="00B1523A">
        <w:rPr>
          <w:rFonts w:eastAsia="Calibri"/>
          <w:sz w:val="20"/>
          <w:szCs w:val="20"/>
          <w:lang w:val="es-ES_tradnl" w:eastAsia="en-US"/>
        </w:rPr>
        <w:t xml:space="preserve"> la</w:t>
      </w:r>
      <w:r w:rsidR="00ED6CD4" w:rsidRPr="00B1523A">
        <w:rPr>
          <w:rFonts w:eastAsia="Calibri"/>
          <w:sz w:val="20"/>
          <w:szCs w:val="20"/>
          <w:lang w:val="es-ES_tradnl" w:eastAsia="en-US"/>
        </w:rPr>
        <w:t xml:space="preserve"> luz de la</w:t>
      </w:r>
      <w:r w:rsidRPr="00BD2E79">
        <w:rPr>
          <w:rFonts w:eastAsia="Calibri"/>
          <w:sz w:val="20"/>
          <w:szCs w:val="20"/>
          <w:lang w:val="es-ES_tradnl" w:eastAsia="en-US"/>
        </w:rPr>
        <w:t xml:space="preserve"> Convención</w:t>
      </w:r>
      <w:r w:rsidR="000D7067">
        <w:rPr>
          <w:rFonts w:eastAsia="Calibri"/>
          <w:sz w:val="20"/>
          <w:szCs w:val="20"/>
          <w:lang w:val="es-ES_tradnl" w:eastAsia="en-US"/>
        </w:rPr>
        <w:t xml:space="preserve">, a través de los siguientes </w:t>
      </w:r>
      <w:r w:rsidR="00E00F6E">
        <w:rPr>
          <w:rFonts w:eastAsia="Calibri"/>
          <w:sz w:val="20"/>
          <w:szCs w:val="20"/>
          <w:lang w:val="es-ES_tradnl" w:eastAsia="en-US"/>
        </w:rPr>
        <w:t>puntos</w:t>
      </w:r>
      <w:r w:rsidR="00A86D37">
        <w:rPr>
          <w:rFonts w:eastAsia="Calibri"/>
          <w:sz w:val="20"/>
          <w:szCs w:val="20"/>
          <w:lang w:val="es-ES_tradnl" w:eastAsia="en-US"/>
        </w:rPr>
        <w:t xml:space="preserve"> de análisis</w:t>
      </w:r>
      <w:r w:rsidRPr="002570D1">
        <w:rPr>
          <w:rFonts w:eastAsia="Calibri"/>
          <w:sz w:val="20"/>
          <w:szCs w:val="20"/>
          <w:lang w:val="es-ES_tradnl" w:eastAsia="en-US"/>
        </w:rPr>
        <w:t xml:space="preserve">.  </w:t>
      </w:r>
    </w:p>
    <w:p w14:paraId="4459EB93" w14:textId="77777777" w:rsidR="002570D1" w:rsidRPr="002570D1" w:rsidRDefault="002570D1" w:rsidP="002570D1">
      <w:pPr>
        <w:rPr>
          <w:rFonts w:eastAsia="Calibri"/>
          <w:b/>
          <w:i/>
          <w:sz w:val="20"/>
          <w:szCs w:val="20"/>
          <w:lang w:val="es-ES_tradnl" w:eastAsia="en-US"/>
        </w:rPr>
      </w:pPr>
    </w:p>
    <w:p w14:paraId="48AF3261" w14:textId="77777777" w:rsidR="002570D1" w:rsidRPr="002570D1" w:rsidRDefault="002570D1" w:rsidP="00EB31AC">
      <w:pPr>
        <w:numPr>
          <w:ilvl w:val="0"/>
          <w:numId w:val="16"/>
        </w:numPr>
        <w:ind w:right="-360"/>
        <w:contextualSpacing/>
        <w:rPr>
          <w:rFonts w:eastAsia="Calibri"/>
          <w:i/>
          <w:sz w:val="20"/>
          <w:szCs w:val="20"/>
          <w:lang w:val="es-ES_tradnl" w:eastAsia="en-US"/>
        </w:rPr>
      </w:pPr>
      <w:r w:rsidRPr="002570D1">
        <w:rPr>
          <w:rFonts w:eastAsia="Calibri"/>
          <w:i/>
          <w:sz w:val="20"/>
          <w:szCs w:val="20"/>
          <w:lang w:val="es-ES_tradnl" w:eastAsia="en-US"/>
        </w:rPr>
        <w:t>Derivación a la Carta de la OEA</w:t>
      </w:r>
    </w:p>
    <w:p w14:paraId="042C9420" w14:textId="77777777" w:rsidR="002570D1" w:rsidRPr="002570D1" w:rsidRDefault="002570D1" w:rsidP="002570D1">
      <w:pPr>
        <w:ind w:left="630" w:right="-360"/>
        <w:contextualSpacing/>
        <w:rPr>
          <w:rFonts w:eastAsia="Calibri"/>
          <w:i/>
          <w:sz w:val="20"/>
          <w:szCs w:val="20"/>
          <w:lang w:val="es-ES_tradnl" w:eastAsia="en-US"/>
        </w:rPr>
      </w:pPr>
    </w:p>
    <w:p w14:paraId="3D3B3DC8" w14:textId="652CD113" w:rsidR="002E6860" w:rsidRPr="0059117C" w:rsidRDefault="002570D1" w:rsidP="002570D1">
      <w:pPr>
        <w:numPr>
          <w:ilvl w:val="0"/>
          <w:numId w:val="2"/>
        </w:numPr>
        <w:tabs>
          <w:tab w:val="left" w:pos="567"/>
          <w:tab w:val="num" w:pos="1569"/>
          <w:tab w:val="num" w:pos="12305"/>
        </w:tabs>
        <w:ind w:left="0" w:firstLine="0"/>
        <w:rPr>
          <w:rFonts w:eastAsia="Calibri" w:cs="Arial"/>
          <w:sz w:val="20"/>
          <w:szCs w:val="20"/>
          <w:lang w:val="es-ES_tradnl" w:eastAsia="en-US"/>
        </w:rPr>
      </w:pPr>
      <w:r w:rsidRPr="002570D1">
        <w:rPr>
          <w:rFonts w:eastAsia="Calibri"/>
          <w:sz w:val="20"/>
          <w:szCs w:val="20"/>
          <w:lang w:val="es-ES_tradnl" w:eastAsia="en-US"/>
        </w:rPr>
        <w:t>Respecto al derecho a la salud protegido por el artículo 26 de la Convención Americana, la Corte observa que los términos del mismo indica</w:t>
      </w:r>
      <w:r w:rsidR="00FE58B5">
        <w:rPr>
          <w:rFonts w:eastAsia="Calibri"/>
          <w:sz w:val="20"/>
          <w:szCs w:val="20"/>
          <w:lang w:val="es-ES_tradnl" w:eastAsia="en-US"/>
        </w:rPr>
        <w:t>n</w:t>
      </w:r>
      <w:r w:rsidRPr="002570D1">
        <w:rPr>
          <w:rFonts w:eastAsia="Calibri"/>
          <w:sz w:val="20"/>
          <w:szCs w:val="20"/>
          <w:lang w:val="es-ES_tradnl" w:eastAsia="en-US"/>
        </w:rPr>
        <w:t xml:space="preserve"> que </w:t>
      </w:r>
      <w:r w:rsidR="00FE58B5">
        <w:rPr>
          <w:rFonts w:eastAsia="Calibri"/>
          <w:sz w:val="20"/>
          <w:szCs w:val="20"/>
          <w:lang w:val="es-ES_tradnl" w:eastAsia="en-US"/>
        </w:rPr>
        <w:t>se trata de</w:t>
      </w:r>
      <w:r w:rsidRPr="002570D1">
        <w:rPr>
          <w:rFonts w:eastAsia="Calibri"/>
          <w:sz w:val="20"/>
          <w:szCs w:val="20"/>
          <w:lang w:val="es-ES_tradnl" w:eastAsia="en-US"/>
        </w:rPr>
        <w:t xml:space="preserve"> aquel derecho que se deriva de las normas económicas, sociales y sobre educación, ciencia y cultura contenidas en la Carta de la OEA. Ahora bien, </w:t>
      </w:r>
      <w:r w:rsidR="00FE58B5">
        <w:rPr>
          <w:rFonts w:eastAsia="Calibri"/>
          <w:sz w:val="20"/>
          <w:szCs w:val="20"/>
          <w:lang w:val="es-ES_tradnl" w:eastAsia="en-US"/>
        </w:rPr>
        <w:t xml:space="preserve">el </w:t>
      </w:r>
      <w:r w:rsidRPr="002570D1">
        <w:rPr>
          <w:rFonts w:eastAsia="Calibri"/>
          <w:sz w:val="20"/>
          <w:szCs w:val="20"/>
          <w:lang w:val="es-ES_tradnl" w:eastAsia="en-US"/>
        </w:rPr>
        <w:t>artículo 34.i</w:t>
      </w:r>
      <w:r w:rsidR="001D5FD5">
        <w:rPr>
          <w:rFonts w:eastAsia="Calibri"/>
          <w:sz w:val="20"/>
          <w:szCs w:val="20"/>
          <w:lang w:val="es-ES_tradnl" w:eastAsia="en-US"/>
        </w:rPr>
        <w:t xml:space="preserve"> y </w:t>
      </w:r>
      <w:r w:rsidR="002E6860">
        <w:rPr>
          <w:rFonts w:eastAsia="Calibri"/>
          <w:sz w:val="20"/>
          <w:szCs w:val="20"/>
          <w:lang w:val="es-ES_tradnl" w:eastAsia="en-US"/>
        </w:rPr>
        <w:t>34.</w:t>
      </w:r>
      <w:r w:rsidR="001D5FD5">
        <w:rPr>
          <w:rFonts w:eastAsia="Calibri"/>
          <w:sz w:val="20"/>
          <w:szCs w:val="20"/>
          <w:lang w:val="es-ES_tradnl" w:eastAsia="en-US"/>
        </w:rPr>
        <w:t>l</w:t>
      </w:r>
      <w:r w:rsidRPr="002570D1">
        <w:rPr>
          <w:rFonts w:eastAsia="Calibri"/>
          <w:sz w:val="20"/>
          <w:szCs w:val="20"/>
          <w:vertAlign w:val="superscript"/>
          <w:lang w:val="es-ES_tradnl" w:eastAsia="en-US"/>
        </w:rPr>
        <w:footnoteReference w:id="139"/>
      </w:r>
      <w:r w:rsidRPr="002570D1">
        <w:rPr>
          <w:rFonts w:eastAsia="Calibri"/>
          <w:sz w:val="20"/>
          <w:szCs w:val="20"/>
          <w:lang w:val="es-ES_tradnl" w:eastAsia="en-US"/>
        </w:rPr>
        <w:t xml:space="preserve"> de la Carta establece</w:t>
      </w:r>
      <w:r w:rsidR="007C786B">
        <w:rPr>
          <w:rFonts w:eastAsia="Calibri"/>
          <w:sz w:val="20"/>
          <w:szCs w:val="20"/>
          <w:lang w:val="es-ES_tradnl" w:eastAsia="en-US"/>
        </w:rPr>
        <w:t>,</w:t>
      </w:r>
      <w:r w:rsidRPr="002570D1">
        <w:rPr>
          <w:rFonts w:eastAsia="Calibri"/>
          <w:sz w:val="20"/>
          <w:szCs w:val="20"/>
          <w:lang w:val="es-ES_tradnl" w:eastAsia="en-US"/>
        </w:rPr>
        <w:t xml:space="preserve"> </w:t>
      </w:r>
      <w:r w:rsidRPr="002570D1">
        <w:rPr>
          <w:rFonts w:eastAsia="Calibri" w:cs="Arial"/>
          <w:sz w:val="20"/>
          <w:szCs w:val="20"/>
          <w:lang w:val="es-ES_tradnl" w:eastAsia="en-US"/>
        </w:rPr>
        <w:t xml:space="preserve">entre los objetivos básicos del desarrollo integral, el de la “defensa del potencial humano mediante la extensión y aplicación de los modernos conocimientos de la ciencia médica”, </w:t>
      </w:r>
      <w:r w:rsidR="001D5FD5">
        <w:rPr>
          <w:rFonts w:eastAsia="Calibri" w:cs="Arial"/>
          <w:sz w:val="20"/>
          <w:szCs w:val="20"/>
          <w:lang w:val="es-ES_tradnl" w:eastAsia="en-US"/>
        </w:rPr>
        <w:t xml:space="preserve">así como de las condiciones </w:t>
      </w:r>
      <w:r w:rsidR="001D5FD5">
        <w:rPr>
          <w:rFonts w:eastAsia="Calibri" w:cs="Arial"/>
          <w:sz w:val="20"/>
          <w:szCs w:val="20"/>
          <w:lang w:val="es-ES_tradnl" w:eastAsia="en-US"/>
        </w:rPr>
        <w:lastRenderedPageBreak/>
        <w:t>que hagan posible una vida sana, productiva y digna. P</w:t>
      </w:r>
      <w:r w:rsidRPr="002570D1">
        <w:rPr>
          <w:rFonts w:eastAsia="Calibri" w:cs="Arial"/>
          <w:sz w:val="20"/>
          <w:szCs w:val="20"/>
          <w:lang w:val="es-ES_tradnl" w:eastAsia="en-US"/>
        </w:rPr>
        <w:t>or su parte</w:t>
      </w:r>
      <w:r w:rsidR="001D5FD5">
        <w:rPr>
          <w:rFonts w:eastAsia="Calibri" w:cs="Arial"/>
          <w:sz w:val="20"/>
          <w:szCs w:val="20"/>
          <w:lang w:val="es-ES_tradnl" w:eastAsia="en-US"/>
        </w:rPr>
        <w:t>,</w:t>
      </w:r>
      <w:r w:rsidRPr="002570D1">
        <w:rPr>
          <w:rFonts w:eastAsia="Calibri" w:cs="Arial"/>
          <w:sz w:val="20"/>
          <w:szCs w:val="20"/>
          <w:lang w:val="es-ES_tradnl" w:eastAsia="en-US"/>
        </w:rPr>
        <w:t xml:space="preserve"> el </w:t>
      </w:r>
      <w:r w:rsidR="00FE58B5">
        <w:rPr>
          <w:rFonts w:eastAsia="Calibri"/>
          <w:sz w:val="20"/>
          <w:szCs w:val="20"/>
          <w:lang w:val="es-ES_tradnl" w:eastAsia="en-US"/>
        </w:rPr>
        <w:t xml:space="preserve">artículo </w:t>
      </w:r>
      <w:r w:rsidR="00FE58B5" w:rsidRPr="002570D1">
        <w:rPr>
          <w:rFonts w:eastAsia="Calibri"/>
          <w:sz w:val="20"/>
          <w:szCs w:val="20"/>
          <w:lang w:val="es-ES_tradnl" w:eastAsia="en-US"/>
        </w:rPr>
        <w:t>45.h</w:t>
      </w:r>
      <w:r w:rsidR="00FE58B5" w:rsidRPr="002570D1">
        <w:rPr>
          <w:rFonts w:eastAsia="Calibri"/>
          <w:sz w:val="20"/>
          <w:szCs w:val="20"/>
          <w:vertAlign w:val="superscript"/>
          <w:lang w:val="es-ES_tradnl" w:eastAsia="en-US"/>
        </w:rPr>
        <w:footnoteReference w:id="140"/>
      </w:r>
      <w:r w:rsidR="00FE58B5" w:rsidRPr="002570D1">
        <w:rPr>
          <w:rFonts w:eastAsia="Calibri"/>
          <w:sz w:val="20"/>
          <w:szCs w:val="20"/>
          <w:lang w:val="es-ES_tradnl" w:eastAsia="en-US"/>
        </w:rPr>
        <w:t xml:space="preserve"> </w:t>
      </w:r>
      <w:r w:rsidRPr="002570D1">
        <w:rPr>
          <w:rFonts w:eastAsia="Calibri" w:cs="Arial"/>
          <w:sz w:val="20"/>
          <w:szCs w:val="20"/>
          <w:lang w:val="es-ES_tradnl" w:eastAsia="en-US"/>
        </w:rPr>
        <w:t>destaca</w:t>
      </w:r>
      <w:r w:rsidRPr="002570D1">
        <w:rPr>
          <w:rFonts w:eastAsia="Calibri"/>
          <w:sz w:val="20"/>
          <w:szCs w:val="20"/>
          <w:lang w:val="es-ES_tradnl" w:eastAsia="en-US"/>
        </w:rPr>
        <w:t xml:space="preserve"> que </w:t>
      </w:r>
      <w:r w:rsidR="00FE58B5">
        <w:rPr>
          <w:rFonts w:eastAsia="Calibri"/>
          <w:sz w:val="20"/>
          <w:szCs w:val="20"/>
          <w:lang w:val="es-ES_tradnl" w:eastAsia="en-US"/>
        </w:rPr>
        <w:t>“[la persona]</w:t>
      </w:r>
      <w:r w:rsidRPr="002570D1">
        <w:rPr>
          <w:rFonts w:eastAsia="Calibri"/>
          <w:sz w:val="20"/>
          <w:szCs w:val="20"/>
          <w:lang w:val="es-ES_tradnl" w:eastAsia="en-US"/>
        </w:rPr>
        <w:t xml:space="preserve"> solo puede alcanzar la plena realización de sus aspiraciones </w:t>
      </w:r>
      <w:r w:rsidRPr="002570D1">
        <w:rPr>
          <w:rFonts w:eastAsia="Calibri" w:cs="Arial"/>
          <w:sz w:val="20"/>
          <w:szCs w:val="20"/>
          <w:lang w:val="es-ES_tradnl" w:eastAsia="en-US"/>
        </w:rPr>
        <w:t>mediante la aplicación de principios y mecanismos</w:t>
      </w:r>
      <w:r w:rsidR="00FE58B5">
        <w:rPr>
          <w:rFonts w:eastAsia="Calibri" w:cs="Arial"/>
          <w:sz w:val="20"/>
          <w:szCs w:val="20"/>
          <w:lang w:val="es-ES_tradnl" w:eastAsia="en-US"/>
        </w:rPr>
        <w:t>”</w:t>
      </w:r>
      <w:r w:rsidRPr="002570D1">
        <w:rPr>
          <w:rFonts w:eastAsia="Calibri" w:cs="Arial"/>
          <w:sz w:val="20"/>
          <w:szCs w:val="20"/>
          <w:lang w:val="es-ES_tradnl" w:eastAsia="en-US"/>
        </w:rPr>
        <w:t>, entre ellos</w:t>
      </w:r>
      <w:r w:rsidR="001D5FD5">
        <w:rPr>
          <w:rFonts w:eastAsia="Calibri" w:cs="Arial"/>
          <w:sz w:val="20"/>
          <w:szCs w:val="20"/>
          <w:lang w:val="es-ES_tradnl" w:eastAsia="en-US"/>
        </w:rPr>
        <w:t xml:space="preserve"> el</w:t>
      </w:r>
      <w:r w:rsidRPr="002570D1">
        <w:rPr>
          <w:rFonts w:eastAsia="Calibri" w:cs="Arial"/>
          <w:sz w:val="20"/>
          <w:szCs w:val="20"/>
          <w:lang w:val="es-ES_tradnl" w:eastAsia="en-US"/>
        </w:rPr>
        <w:t>: “h) Desarrollo de una política eficiente de seguridad social</w:t>
      </w:r>
      <w:r w:rsidR="00FE58B5">
        <w:rPr>
          <w:rFonts w:eastAsia="Calibri" w:cs="Arial"/>
          <w:sz w:val="20"/>
          <w:szCs w:val="20"/>
          <w:lang w:val="es-ES_tradnl" w:eastAsia="en-US"/>
        </w:rPr>
        <w:t>”</w:t>
      </w:r>
      <w:r w:rsidRPr="002570D1">
        <w:rPr>
          <w:rFonts w:eastAsia="Calibri" w:cs="Arial"/>
          <w:sz w:val="20"/>
          <w:szCs w:val="20"/>
          <w:lang w:val="es-ES_tradnl" w:eastAsia="en-US"/>
        </w:rPr>
        <w:t>.</w:t>
      </w:r>
      <w:r w:rsidRPr="002570D1">
        <w:rPr>
          <w:rFonts w:eastAsia="Calibri"/>
          <w:color w:val="000000"/>
          <w:sz w:val="20"/>
          <w:szCs w:val="20"/>
          <w:lang w:val="es-ES_tradnl" w:eastAsia="en-US"/>
        </w:rPr>
        <w:t xml:space="preserve"> </w:t>
      </w:r>
    </w:p>
    <w:p w14:paraId="24BDF74D" w14:textId="77777777" w:rsidR="002570D1" w:rsidRPr="002570D1" w:rsidRDefault="002570D1" w:rsidP="0059117C">
      <w:pPr>
        <w:autoSpaceDE w:val="0"/>
        <w:autoSpaceDN w:val="0"/>
        <w:adjustRightInd w:val="0"/>
        <w:ind w:right="390"/>
        <w:rPr>
          <w:rFonts w:eastAsiaTheme="minorHAnsi" w:cs="Verdana"/>
          <w:sz w:val="18"/>
          <w:szCs w:val="20"/>
          <w:lang w:eastAsia="en-US"/>
        </w:rPr>
      </w:pPr>
    </w:p>
    <w:p w14:paraId="26C5100D" w14:textId="77777777" w:rsidR="002570D1" w:rsidRPr="002570D1" w:rsidRDefault="002570D1" w:rsidP="00EB31AC">
      <w:pPr>
        <w:numPr>
          <w:ilvl w:val="0"/>
          <w:numId w:val="16"/>
        </w:numPr>
        <w:autoSpaceDE w:val="0"/>
        <w:autoSpaceDN w:val="0"/>
        <w:adjustRightInd w:val="0"/>
        <w:ind w:right="390"/>
        <w:contextualSpacing/>
        <w:rPr>
          <w:rFonts w:eastAsiaTheme="minorHAnsi" w:cs="Verdana"/>
          <w:sz w:val="20"/>
          <w:szCs w:val="20"/>
          <w:lang w:eastAsia="en-US"/>
        </w:rPr>
      </w:pPr>
      <w:r w:rsidRPr="002570D1">
        <w:rPr>
          <w:rFonts w:eastAsiaTheme="minorHAnsi" w:cs="Verdana"/>
          <w:i/>
          <w:sz w:val="20"/>
          <w:szCs w:val="20"/>
          <w:lang w:val="es-ES_tradnl" w:eastAsia="en-US"/>
        </w:rPr>
        <w:t>Declaración Americana</w:t>
      </w:r>
      <w:r w:rsidR="00E22B60">
        <w:rPr>
          <w:rFonts w:eastAsiaTheme="minorHAnsi" w:cs="Verdana"/>
          <w:i/>
          <w:sz w:val="20"/>
          <w:szCs w:val="20"/>
          <w:lang w:val="es-ES_tradnl" w:eastAsia="en-US"/>
        </w:rPr>
        <w:t xml:space="preserve"> </w:t>
      </w:r>
    </w:p>
    <w:p w14:paraId="71059CB5" w14:textId="77777777" w:rsidR="002570D1" w:rsidRPr="002570D1" w:rsidRDefault="002570D1" w:rsidP="002570D1">
      <w:pPr>
        <w:autoSpaceDE w:val="0"/>
        <w:autoSpaceDN w:val="0"/>
        <w:adjustRightInd w:val="0"/>
        <w:ind w:right="390"/>
        <w:rPr>
          <w:rFonts w:eastAsiaTheme="minorHAnsi" w:cs="Verdana"/>
          <w:sz w:val="18"/>
          <w:szCs w:val="20"/>
          <w:lang w:eastAsia="en-US"/>
        </w:rPr>
      </w:pPr>
    </w:p>
    <w:p w14:paraId="7F59D1B9" w14:textId="77777777" w:rsidR="002E6860" w:rsidRPr="002570D1" w:rsidRDefault="002E6860" w:rsidP="002E6860">
      <w:pPr>
        <w:numPr>
          <w:ilvl w:val="0"/>
          <w:numId w:val="2"/>
        </w:numPr>
        <w:tabs>
          <w:tab w:val="left" w:pos="567"/>
          <w:tab w:val="num" w:pos="1569"/>
          <w:tab w:val="num" w:pos="12305"/>
        </w:tabs>
        <w:ind w:left="0" w:firstLine="0"/>
        <w:rPr>
          <w:rFonts w:eastAsia="Calibri" w:cs="Arial"/>
          <w:sz w:val="20"/>
          <w:szCs w:val="20"/>
          <w:lang w:val="es-ES_tradnl" w:eastAsia="en-US"/>
        </w:rPr>
      </w:pPr>
      <w:r>
        <w:rPr>
          <w:rFonts w:eastAsia="Calibri"/>
          <w:color w:val="000000"/>
          <w:sz w:val="20"/>
          <w:szCs w:val="20"/>
          <w:lang w:val="es-ES_tradnl" w:eastAsia="en-US"/>
        </w:rPr>
        <w:t xml:space="preserve">Asimismo, la Corte ha reiterado la integración de la Declaración Americana en la interpretación de la Carta de la OEA. Así, </w:t>
      </w:r>
      <w:r>
        <w:rPr>
          <w:rFonts w:eastAsia="Calibri" w:cs="Arial"/>
          <w:sz w:val="20"/>
          <w:szCs w:val="20"/>
          <w:lang w:val="es-ES_tradnl" w:eastAsia="en-US"/>
        </w:rPr>
        <w:t>d</w:t>
      </w:r>
      <w:r w:rsidRPr="002570D1">
        <w:rPr>
          <w:rFonts w:eastAsia="Calibri" w:cs="Arial"/>
          <w:sz w:val="20"/>
          <w:szCs w:val="20"/>
          <w:lang w:val="es-ES_tradnl" w:eastAsia="en-US"/>
        </w:rPr>
        <w:t xml:space="preserve">esde su Opinión Consultiva </w:t>
      </w:r>
      <w:r w:rsidRPr="002570D1">
        <w:rPr>
          <w:rFonts w:eastAsia="Calibri" w:cs="Arial"/>
          <w:sz w:val="20"/>
          <w:szCs w:val="20"/>
          <w:lang w:eastAsia="en-US"/>
        </w:rPr>
        <w:t>OC-10/89</w:t>
      </w:r>
      <w:r w:rsidRPr="002570D1">
        <w:rPr>
          <w:rFonts w:eastAsia="Calibri" w:cs="Arial"/>
          <w:sz w:val="20"/>
          <w:szCs w:val="20"/>
          <w:lang w:val="es-ES_tradnl" w:eastAsia="en-US"/>
        </w:rPr>
        <w:t xml:space="preserve">, la Corte señaló que: </w:t>
      </w:r>
    </w:p>
    <w:p w14:paraId="33CF9DB8" w14:textId="77777777" w:rsidR="002E6860" w:rsidRPr="002570D1" w:rsidRDefault="002E6860" w:rsidP="002E6860">
      <w:pPr>
        <w:ind w:left="-90" w:right="-360"/>
        <w:contextualSpacing/>
        <w:rPr>
          <w:rFonts w:eastAsia="Calibri" w:cs="Arial"/>
          <w:sz w:val="20"/>
          <w:szCs w:val="20"/>
          <w:lang w:val="es-ES_tradnl" w:eastAsia="en-US"/>
        </w:rPr>
      </w:pPr>
    </w:p>
    <w:p w14:paraId="3EE26AE5" w14:textId="2C7F532A" w:rsidR="002E6860" w:rsidRPr="002570D1" w:rsidRDefault="002E6860" w:rsidP="002E6860">
      <w:pPr>
        <w:autoSpaceDE w:val="0"/>
        <w:autoSpaceDN w:val="0"/>
        <w:adjustRightInd w:val="0"/>
        <w:ind w:left="708" w:right="390"/>
        <w:rPr>
          <w:rFonts w:eastAsiaTheme="minorHAnsi" w:cs="Verdana"/>
          <w:sz w:val="18"/>
          <w:szCs w:val="20"/>
          <w:lang w:eastAsia="en-US"/>
        </w:rPr>
      </w:pPr>
      <w:r w:rsidRPr="002570D1">
        <w:rPr>
          <w:rFonts w:eastAsiaTheme="minorHAnsi" w:cs="Verdana"/>
          <w:sz w:val="18"/>
          <w:szCs w:val="20"/>
          <w:lang w:eastAsia="en-US"/>
        </w:rPr>
        <w:t xml:space="preserve">[…] </w:t>
      </w:r>
      <w:r w:rsidR="005B681C">
        <w:rPr>
          <w:rFonts w:eastAsiaTheme="minorHAnsi" w:cs="Verdana"/>
          <w:sz w:val="18"/>
          <w:szCs w:val="20"/>
          <w:lang w:eastAsia="en-US"/>
        </w:rPr>
        <w:t>[</w:t>
      </w:r>
      <w:r w:rsidRPr="002570D1">
        <w:rPr>
          <w:rFonts w:eastAsiaTheme="minorHAnsi" w:cs="Verdana"/>
          <w:sz w:val="18"/>
          <w:szCs w:val="20"/>
          <w:lang w:eastAsia="en-US"/>
        </w:rPr>
        <w:t>L</w:t>
      </w:r>
      <w:r w:rsidR="005B681C">
        <w:rPr>
          <w:rFonts w:eastAsiaTheme="minorHAnsi" w:cs="Verdana"/>
          <w:sz w:val="18"/>
          <w:szCs w:val="20"/>
          <w:lang w:eastAsia="en-US"/>
        </w:rPr>
        <w:t>]</w:t>
      </w:r>
      <w:r w:rsidRPr="002570D1">
        <w:rPr>
          <w:rFonts w:eastAsiaTheme="minorHAnsi" w:cs="Verdana"/>
          <w:sz w:val="18"/>
          <w:szCs w:val="20"/>
          <w:lang w:eastAsia="en-US"/>
        </w:rPr>
        <w:t>os Estados Miembros han entendido que la Declaración contiene y define aquellos derechos humanos esenciales a los que la Carta se refiere, de manera que no se puede interpretar y aplicar la Carta de la Organización en materia de derechos humanos, sin integrar las normas pertinentes de ella con las correspondientes disposiciones de la Declaración, como resulta de la práctica seguida por los órganos de la OEA</w:t>
      </w:r>
      <w:r w:rsidRPr="002570D1">
        <w:rPr>
          <w:rFonts w:eastAsiaTheme="minorHAnsi"/>
          <w:sz w:val="20"/>
          <w:szCs w:val="20"/>
          <w:vertAlign w:val="superscript"/>
          <w:lang w:eastAsia="en-US"/>
        </w:rPr>
        <w:footnoteReference w:id="141"/>
      </w:r>
      <w:r w:rsidRPr="002570D1">
        <w:rPr>
          <w:rFonts w:eastAsiaTheme="minorHAnsi" w:cs="Verdana"/>
          <w:sz w:val="18"/>
          <w:szCs w:val="20"/>
          <w:lang w:eastAsia="en-US"/>
        </w:rPr>
        <w:t>.</w:t>
      </w:r>
    </w:p>
    <w:p w14:paraId="0F2B9EDF" w14:textId="77777777" w:rsidR="002E6860" w:rsidRDefault="002E6860" w:rsidP="0059117C">
      <w:pPr>
        <w:tabs>
          <w:tab w:val="left" w:pos="567"/>
        </w:tabs>
        <w:rPr>
          <w:rFonts w:eastAsia="Calibri"/>
          <w:sz w:val="20"/>
          <w:szCs w:val="20"/>
          <w:lang w:val="es-ES_tradnl" w:eastAsia="en-US"/>
        </w:rPr>
      </w:pPr>
    </w:p>
    <w:p w14:paraId="177A9606" w14:textId="22588A47" w:rsidR="002E6860" w:rsidRPr="0059117C" w:rsidRDefault="002E6860" w:rsidP="0059117C">
      <w:pPr>
        <w:numPr>
          <w:ilvl w:val="0"/>
          <w:numId w:val="2"/>
        </w:numPr>
        <w:tabs>
          <w:tab w:val="left" w:pos="567"/>
          <w:tab w:val="num" w:pos="1569"/>
          <w:tab w:val="num" w:pos="12305"/>
        </w:tabs>
        <w:ind w:left="0" w:firstLine="0"/>
        <w:rPr>
          <w:rFonts w:eastAsia="Calibri"/>
          <w:sz w:val="20"/>
          <w:szCs w:val="20"/>
          <w:lang w:val="es-ES_tradnl" w:eastAsia="en-US"/>
        </w:rPr>
      </w:pPr>
      <w:r w:rsidRPr="00BE1C1B">
        <w:rPr>
          <w:rFonts w:eastAsia="Calibri"/>
          <w:sz w:val="20"/>
          <w:szCs w:val="20"/>
          <w:lang w:val="es-ES_tradnl" w:eastAsia="en-US"/>
        </w:rPr>
        <w:t xml:space="preserve">Por su parte, el artículo 29.d de la Convención Americana dispone expresamente que: </w:t>
      </w:r>
      <w:r w:rsidRPr="0059117C">
        <w:rPr>
          <w:rFonts w:eastAsia="Calibri"/>
          <w:sz w:val="20"/>
          <w:szCs w:val="20"/>
          <w:lang w:val="es-ES_tradnl" w:eastAsia="en-US"/>
        </w:rPr>
        <w:t>“[n]</w:t>
      </w:r>
      <w:proofErr w:type="spellStart"/>
      <w:r w:rsidRPr="0059117C">
        <w:rPr>
          <w:rFonts w:eastAsia="Calibri"/>
          <w:sz w:val="20"/>
          <w:szCs w:val="20"/>
          <w:lang w:val="es-ES_tradnl" w:eastAsia="en-US"/>
        </w:rPr>
        <w:t>inguna</w:t>
      </w:r>
      <w:proofErr w:type="spellEnd"/>
      <w:r w:rsidRPr="0059117C">
        <w:rPr>
          <w:rFonts w:eastAsia="Calibri"/>
          <w:sz w:val="20"/>
          <w:szCs w:val="20"/>
          <w:lang w:val="es-ES_tradnl" w:eastAsia="en-US"/>
        </w:rPr>
        <w:t xml:space="preserve"> disposición de la presente Convención puede ser interpretada en el sentido de: […]</w:t>
      </w:r>
      <w:r w:rsidRPr="00BE1C1B">
        <w:rPr>
          <w:rFonts w:eastAsia="Calibri"/>
          <w:sz w:val="20"/>
          <w:szCs w:val="20"/>
          <w:lang w:val="es-ES_tradnl" w:eastAsia="en-US"/>
        </w:rPr>
        <w:t xml:space="preserve"> </w:t>
      </w:r>
      <w:r w:rsidRPr="0059117C">
        <w:rPr>
          <w:rFonts w:eastAsia="Calibri"/>
          <w:sz w:val="20"/>
          <w:szCs w:val="20"/>
          <w:lang w:val="es-ES_tradnl" w:eastAsia="en-US"/>
        </w:rPr>
        <w:t xml:space="preserve">d) </w:t>
      </w:r>
      <w:r w:rsidR="005B681C">
        <w:rPr>
          <w:rFonts w:eastAsia="Calibri"/>
          <w:sz w:val="20"/>
          <w:szCs w:val="20"/>
          <w:lang w:val="es-ES_tradnl" w:eastAsia="en-US"/>
        </w:rPr>
        <w:t>e</w:t>
      </w:r>
      <w:r w:rsidRPr="0059117C">
        <w:rPr>
          <w:rFonts w:eastAsia="Calibri"/>
          <w:sz w:val="20"/>
          <w:szCs w:val="20"/>
          <w:lang w:val="es-ES_tradnl" w:eastAsia="en-US"/>
        </w:rPr>
        <w:t>xcluir o limitar el efecto que puedan producir la Declaración Americana de Derechos y Deberes del Hombre y otros actos internacionales de la misma naturaleza”</w:t>
      </w:r>
      <w:r w:rsidRPr="00BE1C1B">
        <w:rPr>
          <w:rFonts w:eastAsia="Calibri"/>
          <w:sz w:val="20"/>
          <w:szCs w:val="20"/>
          <w:lang w:val="es-ES_tradnl" w:eastAsia="en-US"/>
        </w:rPr>
        <w:t>.</w:t>
      </w:r>
    </w:p>
    <w:p w14:paraId="54DA22D2" w14:textId="77777777" w:rsidR="002E6860" w:rsidRDefault="002E6860" w:rsidP="0059117C">
      <w:pPr>
        <w:tabs>
          <w:tab w:val="left" w:pos="567"/>
        </w:tabs>
        <w:rPr>
          <w:rFonts w:eastAsia="Calibri"/>
          <w:sz w:val="20"/>
          <w:szCs w:val="20"/>
          <w:lang w:val="es-ES_tradnl" w:eastAsia="en-US"/>
        </w:rPr>
      </w:pPr>
    </w:p>
    <w:p w14:paraId="4F76A66F" w14:textId="77777777" w:rsidR="002570D1" w:rsidRDefault="002570D1" w:rsidP="002570D1">
      <w:pPr>
        <w:numPr>
          <w:ilvl w:val="0"/>
          <w:numId w:val="2"/>
        </w:numPr>
        <w:tabs>
          <w:tab w:val="left" w:pos="567"/>
          <w:tab w:val="num" w:pos="1569"/>
          <w:tab w:val="num" w:pos="12305"/>
        </w:tabs>
        <w:ind w:left="0" w:firstLine="0"/>
        <w:rPr>
          <w:rFonts w:eastAsia="Calibri"/>
          <w:sz w:val="20"/>
          <w:szCs w:val="20"/>
          <w:lang w:val="es-ES_tradnl" w:eastAsia="en-US"/>
        </w:rPr>
      </w:pPr>
      <w:r w:rsidRPr="002570D1">
        <w:rPr>
          <w:rFonts w:eastAsia="Calibri"/>
          <w:sz w:val="20"/>
          <w:szCs w:val="20"/>
          <w:lang w:val="es-ES_tradnl" w:eastAsia="en-US"/>
        </w:rPr>
        <w:t>En este sentido, el artículo XI de la Declaración Americana permite identificar el derecho a la salud al referir que toda persona tiene derecho “a que su salud sea preservada por medidas sanitarias y sociales, relativas a la alimentación, el vestido, la vivienda y la asistencia médica, correspondientes al nivel que permitan los recursos públicos y los de la comunidad”. Tal disposición resulta relevante para definir el alcance del artículo 26, dado que “la Declaración Americana, constituye, en lo pertinente y en relación con la Carta de la Organización, una fuente de obligaciones internacionales”</w:t>
      </w:r>
      <w:r w:rsidRPr="002570D1">
        <w:rPr>
          <w:rFonts w:eastAsia="Calibri"/>
          <w:sz w:val="20"/>
          <w:szCs w:val="20"/>
          <w:vertAlign w:val="superscript"/>
          <w:lang w:val="es-ES_tradnl" w:eastAsia="en-US"/>
        </w:rPr>
        <w:footnoteReference w:id="142"/>
      </w:r>
      <w:r w:rsidRPr="002570D1">
        <w:rPr>
          <w:rFonts w:eastAsia="Calibri"/>
          <w:sz w:val="20"/>
          <w:szCs w:val="20"/>
          <w:lang w:val="es-ES_tradnl" w:eastAsia="en-US"/>
        </w:rPr>
        <w:t xml:space="preserve">. </w:t>
      </w:r>
    </w:p>
    <w:p w14:paraId="15DBC97E" w14:textId="77777777" w:rsidR="00BE1C1B" w:rsidRDefault="00BE1C1B" w:rsidP="0059117C">
      <w:pPr>
        <w:tabs>
          <w:tab w:val="left" w:pos="567"/>
        </w:tabs>
        <w:rPr>
          <w:rFonts w:eastAsia="Calibri"/>
          <w:sz w:val="20"/>
          <w:szCs w:val="20"/>
          <w:lang w:val="es-ES_tradnl" w:eastAsia="en-US"/>
        </w:rPr>
      </w:pPr>
    </w:p>
    <w:p w14:paraId="2BCDA018" w14:textId="43AE11B7" w:rsidR="00BE1C1B" w:rsidRDefault="00BE1C1B" w:rsidP="002570D1">
      <w:pPr>
        <w:numPr>
          <w:ilvl w:val="0"/>
          <w:numId w:val="2"/>
        </w:numPr>
        <w:tabs>
          <w:tab w:val="left" w:pos="567"/>
          <w:tab w:val="num" w:pos="1569"/>
          <w:tab w:val="num" w:pos="12305"/>
        </w:tabs>
        <w:ind w:left="0" w:firstLine="0"/>
        <w:rPr>
          <w:rFonts w:eastAsia="Calibri"/>
          <w:sz w:val="20"/>
          <w:szCs w:val="20"/>
          <w:lang w:val="es-ES_tradnl" w:eastAsia="en-US"/>
        </w:rPr>
      </w:pPr>
      <w:r>
        <w:rPr>
          <w:rFonts w:eastAsia="Calibri"/>
          <w:sz w:val="20"/>
          <w:szCs w:val="20"/>
          <w:lang w:val="es-ES_tradnl" w:eastAsia="en-US"/>
        </w:rPr>
        <w:t xml:space="preserve">En vista de lo anterior, la Corte </w:t>
      </w:r>
      <w:r w:rsidR="007D6301">
        <w:rPr>
          <w:rFonts w:eastAsia="Calibri"/>
          <w:sz w:val="20"/>
          <w:szCs w:val="20"/>
          <w:lang w:val="es-ES_tradnl" w:eastAsia="en-US"/>
        </w:rPr>
        <w:t xml:space="preserve">considera </w:t>
      </w:r>
      <w:r>
        <w:rPr>
          <w:rFonts w:eastAsia="Calibri"/>
          <w:sz w:val="20"/>
          <w:szCs w:val="20"/>
          <w:lang w:val="es-ES_tradnl" w:eastAsia="en-US"/>
        </w:rPr>
        <w:t>que el derecho a la salud es un derecho protegido por el artículo 26 de la Convención. A continuación</w:t>
      </w:r>
      <w:r w:rsidR="00525F0E">
        <w:rPr>
          <w:rFonts w:eastAsia="Calibri"/>
          <w:sz w:val="20"/>
          <w:szCs w:val="20"/>
          <w:lang w:val="es-ES_tradnl" w:eastAsia="en-US"/>
        </w:rPr>
        <w:t>,</w:t>
      </w:r>
      <w:r>
        <w:rPr>
          <w:rFonts w:eastAsia="Calibri"/>
          <w:sz w:val="20"/>
          <w:szCs w:val="20"/>
          <w:lang w:val="es-ES_tradnl" w:eastAsia="en-US"/>
        </w:rPr>
        <w:t xml:space="preserve"> </w:t>
      </w:r>
      <w:r w:rsidR="00525F0E">
        <w:rPr>
          <w:rFonts w:eastAsia="Calibri"/>
          <w:sz w:val="20"/>
          <w:szCs w:val="20"/>
          <w:lang w:val="es-ES_tradnl" w:eastAsia="en-US"/>
        </w:rPr>
        <w:t xml:space="preserve">este Tribunal </w:t>
      </w:r>
      <w:r>
        <w:rPr>
          <w:rFonts w:eastAsia="Calibri"/>
          <w:sz w:val="20"/>
          <w:szCs w:val="20"/>
          <w:lang w:val="es-ES_tradnl" w:eastAsia="en-US"/>
        </w:rPr>
        <w:t>procede a veri</w:t>
      </w:r>
      <w:r w:rsidR="00E00F6E">
        <w:rPr>
          <w:rFonts w:eastAsia="Calibri"/>
          <w:sz w:val="20"/>
          <w:szCs w:val="20"/>
          <w:lang w:val="es-ES_tradnl" w:eastAsia="en-US"/>
        </w:rPr>
        <w:t>ficar el alcance y contenido</w:t>
      </w:r>
      <w:r>
        <w:rPr>
          <w:rFonts w:eastAsia="Calibri"/>
          <w:sz w:val="20"/>
          <w:szCs w:val="20"/>
          <w:lang w:val="es-ES_tradnl" w:eastAsia="en-US"/>
        </w:rPr>
        <w:t xml:space="preserve"> de este derecho para efectos </w:t>
      </w:r>
      <w:r w:rsidR="00E00F6E">
        <w:rPr>
          <w:rFonts w:eastAsia="Calibri"/>
          <w:sz w:val="20"/>
          <w:szCs w:val="20"/>
          <w:lang w:val="es-ES_tradnl" w:eastAsia="en-US"/>
        </w:rPr>
        <w:t>del</w:t>
      </w:r>
      <w:r>
        <w:rPr>
          <w:rFonts w:eastAsia="Calibri"/>
          <w:sz w:val="20"/>
          <w:szCs w:val="20"/>
          <w:lang w:val="es-ES_tradnl" w:eastAsia="en-US"/>
        </w:rPr>
        <w:t xml:space="preserve"> presente caso. </w:t>
      </w:r>
    </w:p>
    <w:p w14:paraId="0A8390D7" w14:textId="77777777" w:rsidR="002E6860" w:rsidRPr="002570D1" w:rsidRDefault="002E6860" w:rsidP="0059117C">
      <w:pPr>
        <w:ind w:right="-360"/>
        <w:contextualSpacing/>
        <w:rPr>
          <w:rFonts w:eastAsia="Calibri"/>
          <w:sz w:val="20"/>
          <w:szCs w:val="20"/>
          <w:lang w:val="es-ES_tradnl" w:eastAsia="en-US"/>
        </w:rPr>
      </w:pPr>
    </w:p>
    <w:p w14:paraId="74582C98" w14:textId="77777777" w:rsidR="002570D1" w:rsidRPr="002570D1" w:rsidRDefault="002E6860" w:rsidP="00EB31AC">
      <w:pPr>
        <w:numPr>
          <w:ilvl w:val="0"/>
          <w:numId w:val="16"/>
        </w:numPr>
        <w:ind w:right="-360"/>
        <w:contextualSpacing/>
        <w:rPr>
          <w:rFonts w:eastAsia="Calibri"/>
          <w:i/>
          <w:sz w:val="20"/>
          <w:szCs w:val="20"/>
          <w:lang w:val="es-ES_tradnl" w:eastAsia="en-US"/>
        </w:rPr>
      </w:pPr>
      <w:r>
        <w:rPr>
          <w:rFonts w:eastAsia="Calibri"/>
          <w:i/>
          <w:sz w:val="20"/>
          <w:szCs w:val="20"/>
          <w:lang w:val="es-ES_tradnl" w:eastAsia="en-US"/>
        </w:rPr>
        <w:t>Legislación interna</w:t>
      </w:r>
    </w:p>
    <w:p w14:paraId="75B3AEAA" w14:textId="77777777" w:rsidR="002570D1" w:rsidRPr="002570D1" w:rsidRDefault="002570D1" w:rsidP="002570D1">
      <w:pPr>
        <w:ind w:left="630" w:right="-360"/>
        <w:contextualSpacing/>
        <w:rPr>
          <w:rFonts w:eastAsia="Calibri"/>
          <w:i/>
          <w:sz w:val="20"/>
          <w:szCs w:val="20"/>
          <w:lang w:val="es-ES_tradnl" w:eastAsia="en-US"/>
        </w:rPr>
      </w:pPr>
    </w:p>
    <w:p w14:paraId="09409BBC" w14:textId="36C22824" w:rsidR="00556BEA" w:rsidRPr="0059117C" w:rsidRDefault="00BE1C1B" w:rsidP="0059117C">
      <w:pPr>
        <w:numPr>
          <w:ilvl w:val="0"/>
          <w:numId w:val="2"/>
        </w:numPr>
        <w:tabs>
          <w:tab w:val="left" w:pos="567"/>
          <w:tab w:val="num" w:pos="1569"/>
          <w:tab w:val="num" w:pos="12305"/>
        </w:tabs>
        <w:ind w:left="0" w:firstLine="0"/>
        <w:rPr>
          <w:rFonts w:eastAsia="Calibri"/>
          <w:sz w:val="20"/>
          <w:szCs w:val="18"/>
          <w:lang w:val="es-ES_tradnl" w:eastAsia="en-US"/>
        </w:rPr>
      </w:pPr>
      <w:r>
        <w:rPr>
          <w:rFonts w:eastAsia="Calibri"/>
          <w:sz w:val="20"/>
          <w:szCs w:val="20"/>
          <w:lang w:val="es-ES_tradnl" w:eastAsia="en-US"/>
        </w:rPr>
        <w:t>E</w:t>
      </w:r>
      <w:r w:rsidR="002570D1" w:rsidRPr="002570D1">
        <w:rPr>
          <w:rFonts w:eastAsia="Calibri"/>
          <w:sz w:val="20"/>
          <w:szCs w:val="20"/>
          <w:lang w:val="es-ES_tradnl" w:eastAsia="en-US"/>
        </w:rPr>
        <w:t>l artículo 29.</w:t>
      </w:r>
      <w:r w:rsidR="002E6860">
        <w:rPr>
          <w:rFonts w:eastAsia="Calibri"/>
          <w:sz w:val="20"/>
          <w:szCs w:val="20"/>
          <w:lang w:val="es-ES_tradnl" w:eastAsia="en-US"/>
        </w:rPr>
        <w:t>b</w:t>
      </w:r>
      <w:r w:rsidR="002570D1" w:rsidRPr="002570D1">
        <w:rPr>
          <w:rFonts w:eastAsia="Calibri"/>
          <w:sz w:val="20"/>
          <w:szCs w:val="20"/>
          <w:lang w:val="es-ES_tradnl" w:eastAsia="en-US"/>
        </w:rPr>
        <w:t xml:space="preserve"> de la Convención Americana dispone expresamente</w:t>
      </w:r>
      <w:r w:rsidR="00BD2E79">
        <w:rPr>
          <w:rFonts w:eastAsia="Calibri"/>
          <w:sz w:val="20"/>
          <w:szCs w:val="20"/>
          <w:lang w:val="es-ES_tradnl" w:eastAsia="en-US"/>
        </w:rPr>
        <w:t xml:space="preserve"> </w:t>
      </w:r>
      <w:r w:rsidR="002570D1" w:rsidRPr="00B1523A">
        <w:rPr>
          <w:rFonts w:eastAsia="Calibri"/>
          <w:sz w:val="20"/>
          <w:szCs w:val="20"/>
          <w:lang w:val="es-ES_tradnl" w:eastAsia="en-US"/>
        </w:rPr>
        <w:t>que</w:t>
      </w:r>
      <w:r w:rsidR="00BD2E79">
        <w:rPr>
          <w:rFonts w:eastAsia="Calibri"/>
          <w:sz w:val="20"/>
          <w:szCs w:val="20"/>
          <w:lang w:val="es-ES_tradnl" w:eastAsia="en-US"/>
        </w:rPr>
        <w:t xml:space="preserve"> </w:t>
      </w:r>
      <w:r w:rsidR="002570D1" w:rsidRPr="00BD2E79">
        <w:rPr>
          <w:rFonts w:eastAsia="Calibri"/>
          <w:sz w:val="20"/>
          <w:szCs w:val="20"/>
          <w:lang w:val="es-ES_tradnl" w:eastAsia="en-US"/>
        </w:rPr>
        <w:t>“</w:t>
      </w:r>
      <w:r w:rsidR="002570D1" w:rsidRPr="0059117C">
        <w:rPr>
          <w:rFonts w:eastAsia="Calibri"/>
          <w:sz w:val="20"/>
          <w:szCs w:val="18"/>
          <w:lang w:val="es-ES_tradnl" w:eastAsia="en-US"/>
        </w:rPr>
        <w:t>[n]</w:t>
      </w:r>
      <w:proofErr w:type="spellStart"/>
      <w:r w:rsidR="002570D1" w:rsidRPr="0059117C">
        <w:rPr>
          <w:rFonts w:eastAsia="Calibri"/>
          <w:sz w:val="20"/>
          <w:szCs w:val="18"/>
          <w:lang w:val="es-ES_tradnl" w:eastAsia="en-US"/>
        </w:rPr>
        <w:t>inguna</w:t>
      </w:r>
      <w:proofErr w:type="spellEnd"/>
      <w:r w:rsidR="002570D1" w:rsidRPr="0059117C">
        <w:rPr>
          <w:rFonts w:eastAsia="Calibri"/>
          <w:sz w:val="20"/>
          <w:szCs w:val="18"/>
          <w:lang w:val="es-ES_tradnl" w:eastAsia="en-US"/>
        </w:rPr>
        <w:t xml:space="preserve"> disposición de la presente Convención puede ser interpretada en el sentido de: […]</w:t>
      </w:r>
      <w:r w:rsidR="002E6860" w:rsidRPr="0059117C">
        <w:rPr>
          <w:rFonts w:eastAsia="Calibri"/>
          <w:sz w:val="20"/>
          <w:szCs w:val="18"/>
          <w:lang w:val="es-ES_tradnl" w:eastAsia="en-US"/>
        </w:rPr>
        <w:t xml:space="preserve"> </w:t>
      </w:r>
      <w:r w:rsidR="002570D1" w:rsidRPr="0059117C">
        <w:rPr>
          <w:rFonts w:eastAsia="Calibri"/>
          <w:sz w:val="20"/>
          <w:szCs w:val="18"/>
          <w:lang w:val="es-ES_tradnl" w:eastAsia="en-US"/>
        </w:rPr>
        <w:t xml:space="preserve">b) </w:t>
      </w:r>
      <w:r w:rsidR="00BD2E79">
        <w:rPr>
          <w:rFonts w:eastAsia="Calibri"/>
          <w:sz w:val="20"/>
          <w:szCs w:val="18"/>
          <w:lang w:val="es-ES_tradnl" w:eastAsia="en-US"/>
        </w:rPr>
        <w:t>l</w:t>
      </w:r>
      <w:r w:rsidR="002570D1" w:rsidRPr="0059117C">
        <w:rPr>
          <w:rFonts w:eastAsia="Calibri"/>
          <w:sz w:val="20"/>
          <w:szCs w:val="18"/>
          <w:lang w:val="es-ES_tradnl" w:eastAsia="en-US"/>
        </w:rPr>
        <w:t>imitar el goce y ejercicio de cualquier derecho o libertad que pueda estar reconocido de acuerdo con las leyes de cualquiera de los Estados Partes o de acuerdo con otra convención en que sea parte uno de dichos Estados</w:t>
      </w:r>
      <w:r w:rsidR="002E6860" w:rsidRPr="0059117C">
        <w:rPr>
          <w:rFonts w:eastAsia="Calibri"/>
          <w:sz w:val="20"/>
          <w:szCs w:val="18"/>
          <w:lang w:val="es-ES_tradnl" w:eastAsia="en-US"/>
        </w:rPr>
        <w:t>”</w:t>
      </w:r>
      <w:r w:rsidR="00BD2E79">
        <w:rPr>
          <w:rFonts w:eastAsia="Calibri"/>
          <w:sz w:val="20"/>
          <w:szCs w:val="18"/>
          <w:lang w:val="es-ES_tradnl" w:eastAsia="en-US"/>
        </w:rPr>
        <w:t xml:space="preserve"> […]</w:t>
      </w:r>
      <w:r w:rsidR="00556BEA" w:rsidRPr="0059117C">
        <w:rPr>
          <w:rFonts w:eastAsia="Calibri"/>
          <w:sz w:val="20"/>
          <w:szCs w:val="18"/>
          <w:lang w:val="es-ES_tradnl" w:eastAsia="en-US"/>
        </w:rPr>
        <w:t>.</w:t>
      </w:r>
    </w:p>
    <w:p w14:paraId="0EA32509" w14:textId="77777777" w:rsidR="00556BEA" w:rsidRDefault="00556BEA" w:rsidP="002570D1">
      <w:pPr>
        <w:ind w:left="567" w:right="335"/>
        <w:rPr>
          <w:rFonts w:eastAsia="Calibri"/>
          <w:sz w:val="18"/>
          <w:szCs w:val="18"/>
          <w:lang w:val="es-ES_tradnl" w:eastAsia="en-US"/>
        </w:rPr>
      </w:pPr>
    </w:p>
    <w:p w14:paraId="23D0846A" w14:textId="604AEB7F" w:rsidR="002570D1" w:rsidRPr="00383565" w:rsidRDefault="00556BEA" w:rsidP="00383565">
      <w:pPr>
        <w:numPr>
          <w:ilvl w:val="0"/>
          <w:numId w:val="2"/>
        </w:numPr>
        <w:tabs>
          <w:tab w:val="left" w:pos="567"/>
          <w:tab w:val="num" w:pos="1569"/>
          <w:tab w:val="num" w:pos="12305"/>
        </w:tabs>
        <w:ind w:left="0" w:firstLine="0"/>
        <w:rPr>
          <w:rFonts w:eastAsia="Calibri"/>
          <w:sz w:val="20"/>
          <w:lang w:val="es-ES_tradnl" w:eastAsia="en-US"/>
        </w:rPr>
      </w:pPr>
      <w:r w:rsidRPr="00383565">
        <w:rPr>
          <w:rFonts w:eastAsia="Calibri"/>
          <w:sz w:val="20"/>
          <w:szCs w:val="20"/>
          <w:lang w:val="es-ES_tradnl" w:eastAsia="en-US"/>
        </w:rPr>
        <w:lastRenderedPageBreak/>
        <w:t>Al respecto</w:t>
      </w:r>
      <w:r w:rsidR="004A1B76">
        <w:rPr>
          <w:rFonts w:eastAsia="Calibri"/>
          <w:sz w:val="20"/>
          <w:szCs w:val="20"/>
          <w:lang w:val="es-ES_tradnl" w:eastAsia="en-US"/>
        </w:rPr>
        <w:t>,</w:t>
      </w:r>
      <w:r w:rsidRPr="00383565">
        <w:rPr>
          <w:rFonts w:eastAsia="Calibri"/>
          <w:sz w:val="20"/>
          <w:szCs w:val="20"/>
          <w:lang w:val="es-ES_tradnl" w:eastAsia="en-US"/>
        </w:rPr>
        <w:t xml:space="preserve"> en </w:t>
      </w:r>
      <w:r w:rsidR="001D5FD5">
        <w:rPr>
          <w:rFonts w:eastAsia="Calibri"/>
          <w:sz w:val="20"/>
          <w:szCs w:val="20"/>
          <w:lang w:val="es-ES_tradnl" w:eastAsia="en-US"/>
        </w:rPr>
        <w:t xml:space="preserve">la </w:t>
      </w:r>
      <w:r w:rsidRPr="00383565">
        <w:rPr>
          <w:rFonts w:eastAsia="Calibri"/>
          <w:sz w:val="20"/>
          <w:szCs w:val="20"/>
          <w:lang w:val="es-ES_tradnl" w:eastAsia="en-US"/>
        </w:rPr>
        <w:t>Constitución</w:t>
      </w:r>
      <w:r w:rsidR="001D5FD5" w:rsidRPr="001D5FD5">
        <w:rPr>
          <w:rFonts w:eastAsia="Calibri"/>
          <w:sz w:val="20"/>
          <w:szCs w:val="20"/>
          <w:lang w:val="es-ES_tradnl" w:eastAsia="en-US"/>
        </w:rPr>
        <w:t xml:space="preserve"> </w:t>
      </w:r>
      <w:r w:rsidR="001D5FD5">
        <w:rPr>
          <w:rFonts w:eastAsia="Calibri"/>
          <w:sz w:val="20"/>
          <w:szCs w:val="20"/>
          <w:lang w:val="es-ES_tradnl" w:eastAsia="en-US"/>
        </w:rPr>
        <w:t>chilena</w:t>
      </w:r>
      <w:r w:rsidR="00F83123" w:rsidRPr="00F83123">
        <w:rPr>
          <w:rFonts w:eastAsia="Calibri"/>
          <w:sz w:val="20"/>
          <w:szCs w:val="20"/>
          <w:lang w:val="es-ES_tradnl" w:eastAsia="en-US"/>
        </w:rPr>
        <w:t xml:space="preserve"> </w:t>
      </w:r>
      <w:r w:rsidR="00F83123">
        <w:rPr>
          <w:rFonts w:eastAsia="Calibri"/>
          <w:sz w:val="20"/>
          <w:szCs w:val="20"/>
          <w:lang w:val="es-ES_tradnl" w:eastAsia="en-US"/>
        </w:rPr>
        <w:t>vigente</w:t>
      </w:r>
      <w:r w:rsidR="00F83123" w:rsidRPr="00383565">
        <w:rPr>
          <w:rFonts w:eastAsia="Calibri"/>
          <w:sz w:val="20"/>
          <w:szCs w:val="20"/>
          <w:lang w:val="es-ES_tradnl" w:eastAsia="en-US"/>
        </w:rPr>
        <w:t xml:space="preserve"> al momento de los hechos y en la actualidad</w:t>
      </w:r>
      <w:r w:rsidRPr="00383565">
        <w:rPr>
          <w:rFonts w:eastAsiaTheme="minorHAnsi"/>
          <w:sz w:val="20"/>
          <w:szCs w:val="20"/>
          <w:vertAlign w:val="superscript"/>
          <w:lang w:eastAsia="en-US"/>
        </w:rPr>
        <w:footnoteReference w:id="143"/>
      </w:r>
      <w:r w:rsidR="001D5FD5">
        <w:rPr>
          <w:rFonts w:eastAsia="Calibri"/>
          <w:sz w:val="20"/>
          <w:szCs w:val="20"/>
          <w:lang w:val="es-ES_tradnl" w:eastAsia="en-US"/>
        </w:rPr>
        <w:t>, se dispone</w:t>
      </w:r>
      <w:r w:rsidR="001D5FD5" w:rsidRPr="00383565">
        <w:rPr>
          <w:rFonts w:eastAsia="Calibri"/>
          <w:sz w:val="20"/>
          <w:szCs w:val="20"/>
          <w:lang w:val="es-ES_tradnl" w:eastAsia="en-US"/>
        </w:rPr>
        <w:t xml:space="preserve"> </w:t>
      </w:r>
      <w:r w:rsidRPr="00383565">
        <w:rPr>
          <w:rFonts w:eastAsia="Calibri"/>
          <w:sz w:val="20"/>
          <w:szCs w:val="20"/>
          <w:lang w:val="es-ES_tradnl" w:eastAsia="en-US"/>
        </w:rPr>
        <w:t>en su artículo 19, inciso 9</w:t>
      </w:r>
      <w:r w:rsidR="001D5FD5">
        <w:rPr>
          <w:rFonts w:eastAsia="Calibri"/>
          <w:sz w:val="20"/>
          <w:szCs w:val="20"/>
          <w:lang w:val="es-ES_tradnl" w:eastAsia="en-US"/>
        </w:rPr>
        <w:t>,</w:t>
      </w:r>
      <w:r w:rsidRPr="00383565">
        <w:rPr>
          <w:rFonts w:eastAsia="Calibri"/>
          <w:sz w:val="20"/>
          <w:szCs w:val="20"/>
          <w:lang w:val="es-ES_tradnl" w:eastAsia="en-US"/>
        </w:rPr>
        <w:t xml:space="preserve"> </w:t>
      </w:r>
      <w:r w:rsidR="00A86D37">
        <w:rPr>
          <w:rFonts w:eastAsia="Calibri"/>
          <w:sz w:val="20"/>
          <w:szCs w:val="20"/>
          <w:lang w:val="es-ES_tradnl" w:eastAsia="en-US"/>
        </w:rPr>
        <w:t>“</w:t>
      </w:r>
      <w:r w:rsidR="001D5FD5">
        <w:rPr>
          <w:rFonts w:eastAsia="Calibri"/>
          <w:sz w:val="20"/>
          <w:szCs w:val="20"/>
          <w:lang w:val="es-ES_tradnl" w:eastAsia="en-US"/>
        </w:rPr>
        <w:t xml:space="preserve">asegurar </w:t>
      </w:r>
      <w:r w:rsidRPr="00383565">
        <w:rPr>
          <w:rFonts w:eastAsia="Calibri"/>
          <w:sz w:val="20"/>
          <w:szCs w:val="20"/>
          <w:lang w:val="es-ES_tradnl" w:eastAsia="en-US"/>
        </w:rPr>
        <w:t>a todas las personas el derecho a la protección de la salud, protegiendo el libre e igualitario acceso a las acciones de promoción, protección y recuperación de la salud y de rehabilitación del individuo</w:t>
      </w:r>
      <w:r w:rsidR="00A86D37">
        <w:rPr>
          <w:rFonts w:eastAsia="Calibri"/>
          <w:sz w:val="20"/>
          <w:szCs w:val="20"/>
          <w:lang w:val="es-ES_tradnl" w:eastAsia="en-US"/>
        </w:rPr>
        <w:t>”</w:t>
      </w:r>
      <w:r w:rsidRPr="00383565">
        <w:rPr>
          <w:rFonts w:eastAsia="Calibri"/>
          <w:sz w:val="20"/>
          <w:szCs w:val="20"/>
          <w:lang w:val="es-ES_tradnl" w:eastAsia="en-US"/>
        </w:rPr>
        <w:t>.</w:t>
      </w:r>
      <w:r w:rsidR="00795461">
        <w:rPr>
          <w:rFonts w:eastAsia="Calibri"/>
          <w:sz w:val="20"/>
          <w:szCs w:val="20"/>
          <w:lang w:val="es-ES_tradnl" w:eastAsia="en-US"/>
        </w:rPr>
        <w:t xml:space="preserve"> Asimismo, la regulación interna también desarrolla el alcance de este derecho</w:t>
      </w:r>
      <w:r w:rsidR="00795461">
        <w:rPr>
          <w:rStyle w:val="FootnoteReference"/>
          <w:rFonts w:eastAsia="Calibri"/>
          <w:sz w:val="20"/>
          <w:szCs w:val="20"/>
          <w:lang w:val="es-ES_tradnl" w:eastAsia="en-US"/>
        </w:rPr>
        <w:footnoteReference w:id="144"/>
      </w:r>
      <w:r w:rsidR="00795461">
        <w:rPr>
          <w:rFonts w:eastAsia="Calibri"/>
          <w:sz w:val="20"/>
          <w:szCs w:val="20"/>
          <w:lang w:val="es-ES_tradnl" w:eastAsia="en-US"/>
        </w:rPr>
        <w:t xml:space="preserve">. </w:t>
      </w:r>
    </w:p>
    <w:p w14:paraId="1174AE8D" w14:textId="77777777" w:rsidR="002570D1" w:rsidRPr="002570D1" w:rsidRDefault="002570D1" w:rsidP="0059117C">
      <w:pPr>
        <w:ind w:right="-360"/>
        <w:contextualSpacing/>
        <w:rPr>
          <w:rFonts w:eastAsia="Calibri"/>
          <w:sz w:val="20"/>
          <w:szCs w:val="20"/>
          <w:lang w:val="es-ES_tradnl" w:eastAsia="en-US"/>
        </w:rPr>
      </w:pPr>
    </w:p>
    <w:p w14:paraId="44591B1C" w14:textId="3E14CB86" w:rsidR="002570D1" w:rsidRPr="00AB1E03" w:rsidRDefault="002570D1" w:rsidP="0059117C">
      <w:pPr>
        <w:numPr>
          <w:ilvl w:val="0"/>
          <w:numId w:val="2"/>
        </w:numPr>
        <w:tabs>
          <w:tab w:val="left" w:pos="567"/>
          <w:tab w:val="num" w:pos="1569"/>
          <w:tab w:val="num" w:pos="12305"/>
        </w:tabs>
        <w:ind w:left="0" w:right="-360" w:firstLine="0"/>
        <w:contextualSpacing/>
        <w:rPr>
          <w:rFonts w:eastAsiaTheme="minorHAnsi" w:cs="Verdana"/>
          <w:sz w:val="18"/>
          <w:szCs w:val="20"/>
          <w:lang w:eastAsia="en-US"/>
        </w:rPr>
      </w:pPr>
      <w:r w:rsidRPr="00E73984">
        <w:rPr>
          <w:rFonts w:eastAsia="Calibri"/>
          <w:sz w:val="20"/>
          <w:szCs w:val="20"/>
          <w:lang w:val="es-ES_tradnl" w:eastAsia="en-US"/>
        </w:rPr>
        <w:t>Además</w:t>
      </w:r>
      <w:r w:rsidR="00BE1C1B" w:rsidRPr="00094003">
        <w:rPr>
          <w:rFonts w:eastAsia="Calibri"/>
          <w:sz w:val="20"/>
          <w:szCs w:val="20"/>
          <w:lang w:val="es-ES_tradnl" w:eastAsia="en-US"/>
        </w:rPr>
        <w:t xml:space="preserve">, la Corte observa un amplio consenso regional en la consolidación del </w:t>
      </w:r>
      <w:r w:rsidRPr="00094003">
        <w:rPr>
          <w:rFonts w:eastAsia="Calibri"/>
          <w:sz w:val="20"/>
          <w:szCs w:val="20"/>
          <w:lang w:val="es-ES_tradnl" w:eastAsia="en-US"/>
        </w:rPr>
        <w:t>derecho a la salud</w:t>
      </w:r>
      <w:r w:rsidR="00BE1C1B" w:rsidRPr="00094003">
        <w:rPr>
          <w:rFonts w:eastAsia="Calibri"/>
          <w:sz w:val="20"/>
          <w:szCs w:val="20"/>
          <w:lang w:val="es-ES_tradnl" w:eastAsia="en-US"/>
        </w:rPr>
        <w:t>, el cual se encuentra</w:t>
      </w:r>
      <w:r w:rsidRPr="00094003">
        <w:rPr>
          <w:rFonts w:eastAsia="Calibri"/>
          <w:sz w:val="20"/>
          <w:szCs w:val="20"/>
          <w:lang w:val="es-ES_tradnl" w:eastAsia="en-US"/>
        </w:rPr>
        <w:t xml:space="preserve"> reconocido explícitamente en diversas </w:t>
      </w:r>
      <w:r w:rsidR="00A86D37">
        <w:rPr>
          <w:rFonts w:eastAsia="Calibri"/>
          <w:sz w:val="20"/>
          <w:szCs w:val="20"/>
          <w:lang w:val="es-ES_tradnl" w:eastAsia="en-US"/>
        </w:rPr>
        <w:t>con</w:t>
      </w:r>
      <w:r w:rsidR="00091F07">
        <w:rPr>
          <w:rFonts w:eastAsia="Calibri"/>
          <w:sz w:val="20"/>
          <w:szCs w:val="20"/>
          <w:lang w:val="es-ES_tradnl" w:eastAsia="en-US"/>
        </w:rPr>
        <w:t>s</w:t>
      </w:r>
      <w:r w:rsidR="00A86D37">
        <w:rPr>
          <w:rFonts w:eastAsia="Calibri"/>
          <w:sz w:val="20"/>
          <w:szCs w:val="20"/>
          <w:lang w:val="es-ES_tradnl" w:eastAsia="en-US"/>
        </w:rPr>
        <w:t xml:space="preserve">tituciones y </w:t>
      </w:r>
      <w:r w:rsidRPr="00094003">
        <w:rPr>
          <w:rFonts w:eastAsia="Calibri"/>
          <w:iCs/>
          <w:sz w:val="20"/>
          <w:szCs w:val="20"/>
          <w:lang w:val="es-CO" w:eastAsia="en-US"/>
        </w:rPr>
        <w:t>leyes internas de los Estados de la región</w:t>
      </w:r>
      <w:r w:rsidR="008D5A60" w:rsidRPr="00094003">
        <w:rPr>
          <w:rFonts w:eastAsia="Calibri"/>
          <w:iCs/>
          <w:sz w:val="20"/>
          <w:szCs w:val="20"/>
          <w:lang w:val="es-CO" w:eastAsia="en-US"/>
        </w:rPr>
        <w:t xml:space="preserve">, </w:t>
      </w:r>
      <w:r w:rsidR="00BE1C1B" w:rsidRPr="00094003">
        <w:rPr>
          <w:rFonts w:eastAsia="Calibri"/>
          <w:iCs/>
          <w:sz w:val="20"/>
          <w:szCs w:val="20"/>
          <w:lang w:val="es-CO" w:eastAsia="en-US"/>
        </w:rPr>
        <w:t>entre ellas:</w:t>
      </w:r>
      <w:r w:rsidR="00FA60EC" w:rsidRPr="00094003">
        <w:rPr>
          <w:rFonts w:eastAsia="Calibri"/>
          <w:iCs/>
          <w:sz w:val="20"/>
          <w:szCs w:val="20"/>
          <w:lang w:val="es-CO" w:eastAsia="en-US"/>
        </w:rPr>
        <w:t xml:space="preserve"> Argentina, </w:t>
      </w:r>
      <w:r w:rsidR="00A86D37" w:rsidRPr="00094003">
        <w:rPr>
          <w:rFonts w:eastAsia="Calibri"/>
          <w:iCs/>
          <w:sz w:val="20"/>
          <w:szCs w:val="20"/>
          <w:lang w:val="es-CO" w:eastAsia="en-US"/>
        </w:rPr>
        <w:t xml:space="preserve">Barbados, </w:t>
      </w:r>
      <w:r w:rsidR="00FA60EC" w:rsidRPr="00094003">
        <w:rPr>
          <w:rFonts w:eastAsia="Calibri"/>
          <w:iCs/>
          <w:sz w:val="20"/>
          <w:szCs w:val="20"/>
          <w:lang w:val="es-CO" w:eastAsia="en-US"/>
        </w:rPr>
        <w:t xml:space="preserve">Bolivia, </w:t>
      </w:r>
      <w:r w:rsidR="00A86D37" w:rsidRPr="00094003">
        <w:rPr>
          <w:rFonts w:eastAsia="Calibri"/>
          <w:iCs/>
          <w:sz w:val="20"/>
          <w:szCs w:val="20"/>
          <w:lang w:val="es-CO" w:eastAsia="en-US"/>
        </w:rPr>
        <w:t>Brasil</w:t>
      </w:r>
      <w:r w:rsidR="00A86D37">
        <w:rPr>
          <w:rFonts w:eastAsia="Calibri"/>
          <w:iCs/>
          <w:sz w:val="20"/>
          <w:szCs w:val="20"/>
          <w:lang w:val="es-CO" w:eastAsia="en-US"/>
        </w:rPr>
        <w:t>,</w:t>
      </w:r>
      <w:r w:rsidR="00A86D37" w:rsidRPr="00094003">
        <w:rPr>
          <w:rFonts w:eastAsia="Calibri"/>
          <w:iCs/>
          <w:sz w:val="20"/>
          <w:szCs w:val="20"/>
          <w:lang w:val="es-CO" w:eastAsia="en-US"/>
        </w:rPr>
        <w:t xml:space="preserve"> </w:t>
      </w:r>
      <w:r w:rsidR="00FA60EC" w:rsidRPr="00094003">
        <w:rPr>
          <w:rFonts w:eastAsia="Calibri"/>
          <w:iCs/>
          <w:sz w:val="20"/>
          <w:szCs w:val="20"/>
          <w:lang w:val="es-CO" w:eastAsia="en-US"/>
        </w:rPr>
        <w:t>Colombia, Costa Rica, Ecuador, El Salvador, Guatemala, Haití, Honduras, México, Nicaragua, Panamá, Paraguay, Perú, República Dominicana, Surinam, Uruguay</w:t>
      </w:r>
      <w:r w:rsidR="00094003" w:rsidRPr="00094003">
        <w:rPr>
          <w:rFonts w:eastAsia="Calibri"/>
          <w:iCs/>
          <w:sz w:val="20"/>
          <w:szCs w:val="20"/>
          <w:lang w:val="es-CO" w:eastAsia="en-US"/>
        </w:rPr>
        <w:t xml:space="preserve"> y </w:t>
      </w:r>
      <w:r w:rsidR="00FA60EC" w:rsidRPr="00094003">
        <w:rPr>
          <w:rFonts w:eastAsia="Calibri"/>
          <w:iCs/>
          <w:sz w:val="20"/>
          <w:szCs w:val="20"/>
          <w:lang w:val="es-CO" w:eastAsia="en-US"/>
        </w:rPr>
        <w:t>Venezuela</w:t>
      </w:r>
      <w:r w:rsidR="00FA60EC" w:rsidRPr="001E145A">
        <w:rPr>
          <w:rFonts w:eastAsia="Calibri"/>
          <w:iCs/>
          <w:sz w:val="22"/>
          <w:vertAlign w:val="superscript"/>
          <w:lang w:val="es-CO" w:eastAsia="en-US"/>
        </w:rPr>
        <w:footnoteReference w:id="145"/>
      </w:r>
      <w:r w:rsidR="00FA60EC" w:rsidRPr="001E145A">
        <w:rPr>
          <w:rFonts w:eastAsia="Calibri"/>
          <w:iCs/>
          <w:sz w:val="18"/>
          <w:szCs w:val="20"/>
          <w:lang w:val="es-CO" w:eastAsia="en-US"/>
        </w:rPr>
        <w:t xml:space="preserve">. </w:t>
      </w:r>
    </w:p>
    <w:p w14:paraId="6A1421D7" w14:textId="77777777" w:rsidR="003B52C8" w:rsidRPr="00E73984" w:rsidRDefault="003B52C8" w:rsidP="00AB1E03">
      <w:pPr>
        <w:tabs>
          <w:tab w:val="left" w:pos="567"/>
        </w:tabs>
        <w:ind w:right="-360"/>
        <w:contextualSpacing/>
        <w:rPr>
          <w:rFonts w:eastAsiaTheme="minorHAnsi" w:cs="Verdana"/>
          <w:sz w:val="18"/>
          <w:szCs w:val="20"/>
          <w:lang w:eastAsia="en-US"/>
        </w:rPr>
      </w:pPr>
    </w:p>
    <w:p w14:paraId="2971CA61" w14:textId="0C4FEF10" w:rsidR="002570D1" w:rsidRPr="002570D1" w:rsidRDefault="002570D1" w:rsidP="00EB31AC">
      <w:pPr>
        <w:numPr>
          <w:ilvl w:val="0"/>
          <w:numId w:val="16"/>
        </w:numPr>
        <w:autoSpaceDE w:val="0"/>
        <w:autoSpaceDN w:val="0"/>
        <w:adjustRightInd w:val="0"/>
        <w:ind w:right="390"/>
        <w:contextualSpacing/>
        <w:rPr>
          <w:rFonts w:eastAsiaTheme="minorHAnsi" w:cs="Verdana"/>
          <w:i/>
          <w:sz w:val="20"/>
          <w:szCs w:val="20"/>
          <w:lang w:eastAsia="en-US"/>
        </w:rPr>
      </w:pPr>
      <w:r w:rsidRPr="002570D1">
        <w:rPr>
          <w:rFonts w:eastAsiaTheme="minorHAnsi" w:cs="Verdana"/>
          <w:i/>
          <w:sz w:val="20"/>
          <w:szCs w:val="20"/>
          <w:lang w:val="es-ES_tradnl" w:eastAsia="en-US"/>
        </w:rPr>
        <w:t>Corpus iuris internacional</w:t>
      </w:r>
      <w:r w:rsidR="002C6D1C">
        <w:rPr>
          <w:rFonts w:eastAsiaTheme="minorHAnsi" w:cs="Verdana"/>
          <w:i/>
          <w:sz w:val="20"/>
          <w:szCs w:val="20"/>
          <w:lang w:val="es-ES_tradnl" w:eastAsia="en-US"/>
        </w:rPr>
        <w:t xml:space="preserve"> </w:t>
      </w:r>
      <w:r w:rsidR="00A34C6F">
        <w:rPr>
          <w:rFonts w:eastAsiaTheme="minorHAnsi" w:cs="Verdana"/>
          <w:i/>
          <w:sz w:val="20"/>
          <w:szCs w:val="20"/>
          <w:lang w:val="es-ES_tradnl" w:eastAsia="en-US"/>
        </w:rPr>
        <w:t>sobre el</w:t>
      </w:r>
      <w:r w:rsidR="002C6D1C">
        <w:rPr>
          <w:rFonts w:eastAsiaTheme="minorHAnsi" w:cs="Verdana"/>
          <w:i/>
          <w:sz w:val="20"/>
          <w:szCs w:val="20"/>
          <w:lang w:val="es-ES_tradnl" w:eastAsia="en-US"/>
        </w:rPr>
        <w:t xml:space="preserve"> derecho a la salud</w:t>
      </w:r>
    </w:p>
    <w:p w14:paraId="5B9E7C51" w14:textId="77777777" w:rsidR="003B52C8" w:rsidRPr="002570D1" w:rsidRDefault="003B52C8" w:rsidP="002570D1">
      <w:pPr>
        <w:autoSpaceDE w:val="0"/>
        <w:autoSpaceDN w:val="0"/>
        <w:adjustRightInd w:val="0"/>
        <w:ind w:left="270" w:right="390"/>
        <w:rPr>
          <w:rFonts w:eastAsiaTheme="minorHAnsi" w:cs="Verdana"/>
          <w:i/>
          <w:sz w:val="20"/>
          <w:szCs w:val="20"/>
          <w:lang w:eastAsia="en-US"/>
        </w:rPr>
      </w:pPr>
    </w:p>
    <w:p w14:paraId="4417E581" w14:textId="117C3E7E" w:rsidR="002570D1" w:rsidRPr="0059117C" w:rsidRDefault="002570D1" w:rsidP="0059117C">
      <w:pPr>
        <w:numPr>
          <w:ilvl w:val="0"/>
          <w:numId w:val="2"/>
        </w:numPr>
        <w:tabs>
          <w:tab w:val="left" w:pos="567"/>
          <w:tab w:val="num" w:pos="1569"/>
          <w:tab w:val="num" w:pos="12305"/>
        </w:tabs>
        <w:ind w:left="0" w:firstLine="0"/>
        <w:rPr>
          <w:rFonts w:eastAsia="Calibri"/>
          <w:sz w:val="20"/>
          <w:szCs w:val="20"/>
          <w:lang w:val="es-AR" w:eastAsia="en-US"/>
        </w:rPr>
      </w:pPr>
      <w:r w:rsidRPr="002570D1">
        <w:rPr>
          <w:rFonts w:eastAsia="Calibri"/>
          <w:sz w:val="20"/>
          <w:szCs w:val="20"/>
          <w:lang w:val="es-ES_tradnl" w:eastAsia="en-US"/>
        </w:rPr>
        <w:t xml:space="preserve">Asimismo, el derecho a la salud está consagrado por un vasto </w:t>
      </w:r>
      <w:r w:rsidRPr="002570D1">
        <w:rPr>
          <w:rFonts w:eastAsia="Calibri"/>
          <w:i/>
          <w:sz w:val="20"/>
          <w:szCs w:val="20"/>
          <w:lang w:val="es-ES_tradnl" w:eastAsia="en-US"/>
        </w:rPr>
        <w:t>corpus iuris</w:t>
      </w:r>
      <w:r w:rsidRPr="002570D1">
        <w:rPr>
          <w:rFonts w:eastAsia="Calibri"/>
          <w:sz w:val="20"/>
          <w:szCs w:val="20"/>
          <w:lang w:val="es-ES_tradnl" w:eastAsia="en-US"/>
        </w:rPr>
        <w:t xml:space="preserve"> internacional; </w:t>
      </w:r>
      <w:r w:rsidRPr="002570D1">
        <w:rPr>
          <w:rFonts w:eastAsia="Calibri"/>
          <w:i/>
          <w:sz w:val="20"/>
          <w:szCs w:val="20"/>
          <w:lang w:val="es-ES_tradnl" w:eastAsia="en-US"/>
        </w:rPr>
        <w:t xml:space="preserve">inter </w:t>
      </w:r>
      <w:proofErr w:type="spellStart"/>
      <w:r w:rsidRPr="002570D1">
        <w:rPr>
          <w:rFonts w:eastAsia="Calibri"/>
          <w:i/>
          <w:sz w:val="20"/>
          <w:szCs w:val="20"/>
          <w:lang w:val="es-ES_tradnl" w:eastAsia="en-US"/>
        </w:rPr>
        <w:t>alia</w:t>
      </w:r>
      <w:proofErr w:type="spellEnd"/>
      <w:r w:rsidRPr="002570D1">
        <w:rPr>
          <w:rFonts w:eastAsia="Calibri"/>
          <w:sz w:val="20"/>
          <w:szCs w:val="20"/>
          <w:lang w:val="es-ES_tradnl" w:eastAsia="en-US"/>
        </w:rPr>
        <w:t xml:space="preserve">: </w:t>
      </w:r>
      <w:r w:rsidR="00525F0E" w:rsidRPr="002570D1">
        <w:rPr>
          <w:rFonts w:eastAsia="Calibri"/>
          <w:sz w:val="20"/>
          <w:szCs w:val="20"/>
          <w:lang w:val="es-ES_tradnl" w:eastAsia="en-US"/>
        </w:rPr>
        <w:t>el artículo 25.1 de la Declaración Universal de Derechos Humanos</w:t>
      </w:r>
      <w:r w:rsidR="00525F0E" w:rsidRPr="002570D1">
        <w:rPr>
          <w:rFonts w:eastAsia="Calibri"/>
          <w:iCs/>
          <w:sz w:val="20"/>
          <w:vertAlign w:val="superscript"/>
          <w:lang w:eastAsia="en-US"/>
        </w:rPr>
        <w:footnoteReference w:id="146"/>
      </w:r>
      <w:r w:rsidR="00525F0E">
        <w:rPr>
          <w:rFonts w:eastAsia="Calibri"/>
          <w:sz w:val="20"/>
          <w:szCs w:val="20"/>
          <w:lang w:val="es-ES_tradnl" w:eastAsia="en-US"/>
        </w:rPr>
        <w:t xml:space="preserve">; </w:t>
      </w:r>
      <w:r w:rsidRPr="002570D1">
        <w:rPr>
          <w:rFonts w:eastAsia="Calibri"/>
          <w:sz w:val="20"/>
          <w:szCs w:val="20"/>
          <w:lang w:val="es-ES_tradnl" w:eastAsia="en-US"/>
        </w:rPr>
        <w:t>el artículo 12 del Pacto Internacional de Derechos Económicos, Sociales y Culturales</w:t>
      </w:r>
      <w:r w:rsidRPr="002570D1">
        <w:rPr>
          <w:rFonts w:eastAsia="Calibri"/>
          <w:iCs/>
          <w:sz w:val="20"/>
          <w:vertAlign w:val="superscript"/>
          <w:lang w:eastAsia="en-US"/>
        </w:rPr>
        <w:footnoteReference w:id="147"/>
      </w:r>
      <w:r w:rsidRPr="002570D1">
        <w:rPr>
          <w:rFonts w:eastAsia="Calibri"/>
          <w:sz w:val="20"/>
          <w:szCs w:val="20"/>
          <w:lang w:val="es-ES_tradnl" w:eastAsia="en-US"/>
        </w:rPr>
        <w:t>, el artículo 10 del Protocolo Adicional a la Convención Americana sobre Derechos Económicos, Sociales y Culturales</w:t>
      </w:r>
      <w:r w:rsidRPr="002570D1">
        <w:rPr>
          <w:rFonts w:eastAsia="Calibri"/>
          <w:iCs/>
          <w:sz w:val="20"/>
          <w:vertAlign w:val="superscript"/>
          <w:lang w:eastAsia="en-US"/>
        </w:rPr>
        <w:footnoteReference w:id="148"/>
      </w:r>
      <w:r w:rsidR="001218A0">
        <w:rPr>
          <w:rFonts w:eastAsia="Calibri"/>
          <w:sz w:val="20"/>
          <w:szCs w:val="20"/>
          <w:lang w:val="es-ES_tradnl" w:eastAsia="en-US"/>
        </w:rPr>
        <w:t>.</w:t>
      </w:r>
      <w:r w:rsidRPr="002570D1">
        <w:rPr>
          <w:rFonts w:eastAsia="Calibri"/>
          <w:sz w:val="20"/>
          <w:szCs w:val="20"/>
          <w:lang w:val="es-ES_tradnl" w:eastAsia="en-US"/>
        </w:rPr>
        <w:t xml:space="preserve"> </w:t>
      </w:r>
      <w:r w:rsidRPr="00E00F6E">
        <w:rPr>
          <w:rFonts w:eastAsia="Calibri"/>
          <w:sz w:val="20"/>
          <w:szCs w:val="20"/>
          <w:lang w:val="es-ES_tradnl" w:eastAsia="en-US"/>
        </w:rPr>
        <w:t xml:space="preserve">Además, el derecho a la salud se reconoce en </w:t>
      </w:r>
      <w:r w:rsidR="000B2169" w:rsidRPr="0059117C">
        <w:rPr>
          <w:rFonts w:eastAsia="Calibri"/>
          <w:sz w:val="20"/>
          <w:szCs w:val="20"/>
          <w:lang w:val="es-ES_tradnl" w:eastAsia="en-US"/>
        </w:rPr>
        <w:t>el artículo 5 apartado e</w:t>
      </w:r>
      <w:r w:rsidR="00A86D37">
        <w:rPr>
          <w:rFonts w:eastAsia="Calibri"/>
          <w:sz w:val="20"/>
          <w:szCs w:val="20"/>
          <w:lang w:val="es-ES_tradnl" w:eastAsia="en-US"/>
        </w:rPr>
        <w:t>)</w:t>
      </w:r>
      <w:r w:rsidR="000B2169" w:rsidRPr="0059117C">
        <w:rPr>
          <w:rFonts w:eastAsia="Calibri"/>
          <w:sz w:val="20"/>
          <w:szCs w:val="20"/>
          <w:lang w:val="es-ES_tradnl" w:eastAsia="en-US"/>
        </w:rPr>
        <w:t xml:space="preserve"> de </w:t>
      </w:r>
      <w:r w:rsidRPr="00E00F6E">
        <w:rPr>
          <w:rFonts w:eastAsia="Calibri"/>
          <w:sz w:val="20"/>
          <w:szCs w:val="20"/>
          <w:lang w:val="es-ES_tradnl" w:eastAsia="en-US"/>
        </w:rPr>
        <w:t xml:space="preserve">la </w:t>
      </w:r>
      <w:r w:rsidRPr="00E00F6E">
        <w:rPr>
          <w:rFonts w:eastAsia="Calibri"/>
          <w:sz w:val="20"/>
          <w:szCs w:val="20"/>
          <w:lang w:val="es-ES_tradnl" w:eastAsia="en-US"/>
        </w:rPr>
        <w:lastRenderedPageBreak/>
        <w:t xml:space="preserve">Convención </w:t>
      </w:r>
      <w:r w:rsidR="00525F0E">
        <w:rPr>
          <w:rFonts w:eastAsia="Calibri"/>
          <w:sz w:val="20"/>
          <w:szCs w:val="20"/>
          <w:lang w:val="es-ES_tradnl" w:eastAsia="en-US"/>
        </w:rPr>
        <w:t>I</w:t>
      </w:r>
      <w:r w:rsidRPr="00E00F6E">
        <w:rPr>
          <w:rFonts w:eastAsia="Calibri"/>
          <w:sz w:val="20"/>
          <w:szCs w:val="20"/>
          <w:lang w:val="es-ES_tradnl" w:eastAsia="en-US"/>
        </w:rPr>
        <w:t xml:space="preserve">nternacional sobre la </w:t>
      </w:r>
      <w:r w:rsidR="00956078">
        <w:rPr>
          <w:rFonts w:eastAsia="Calibri"/>
          <w:sz w:val="20"/>
          <w:szCs w:val="20"/>
          <w:lang w:val="es-ES_tradnl" w:eastAsia="en-US"/>
        </w:rPr>
        <w:t>E</w:t>
      </w:r>
      <w:r w:rsidRPr="00E00F6E">
        <w:rPr>
          <w:rFonts w:eastAsia="Calibri"/>
          <w:sz w:val="20"/>
          <w:szCs w:val="20"/>
          <w:lang w:val="es-ES_tradnl" w:eastAsia="en-US"/>
        </w:rPr>
        <w:t xml:space="preserve">liminación de </w:t>
      </w:r>
      <w:r w:rsidR="00956078">
        <w:rPr>
          <w:rFonts w:eastAsia="Calibri"/>
          <w:sz w:val="20"/>
          <w:szCs w:val="20"/>
          <w:lang w:val="es-ES_tradnl" w:eastAsia="en-US"/>
        </w:rPr>
        <w:t>T</w:t>
      </w:r>
      <w:r w:rsidRPr="00E00F6E">
        <w:rPr>
          <w:rFonts w:eastAsia="Calibri"/>
          <w:sz w:val="20"/>
          <w:szCs w:val="20"/>
          <w:lang w:val="es-ES_tradnl" w:eastAsia="en-US"/>
        </w:rPr>
        <w:t xml:space="preserve">odas las </w:t>
      </w:r>
      <w:r w:rsidR="00956078">
        <w:rPr>
          <w:rFonts w:eastAsia="Calibri"/>
          <w:sz w:val="20"/>
          <w:szCs w:val="20"/>
          <w:lang w:val="es-ES_tradnl" w:eastAsia="en-US"/>
        </w:rPr>
        <w:t>F</w:t>
      </w:r>
      <w:r w:rsidRPr="00E00F6E">
        <w:rPr>
          <w:rFonts w:eastAsia="Calibri"/>
          <w:sz w:val="20"/>
          <w:szCs w:val="20"/>
          <w:lang w:val="es-ES_tradnl" w:eastAsia="en-US"/>
        </w:rPr>
        <w:t xml:space="preserve">ormas de </w:t>
      </w:r>
      <w:r w:rsidR="00956078">
        <w:rPr>
          <w:rFonts w:eastAsia="Calibri"/>
          <w:sz w:val="20"/>
          <w:szCs w:val="20"/>
          <w:lang w:val="es-ES_tradnl" w:eastAsia="en-US"/>
        </w:rPr>
        <w:t>D</w:t>
      </w:r>
      <w:r w:rsidRPr="00E00F6E">
        <w:rPr>
          <w:rFonts w:eastAsia="Calibri"/>
          <w:sz w:val="20"/>
          <w:szCs w:val="20"/>
          <w:lang w:val="es-ES_tradnl" w:eastAsia="en-US"/>
        </w:rPr>
        <w:t xml:space="preserve">iscriminación </w:t>
      </w:r>
      <w:r w:rsidR="00956078">
        <w:rPr>
          <w:rFonts w:eastAsia="Calibri"/>
          <w:sz w:val="20"/>
          <w:szCs w:val="20"/>
          <w:lang w:val="es-ES_tradnl" w:eastAsia="en-US"/>
        </w:rPr>
        <w:t>R</w:t>
      </w:r>
      <w:r w:rsidRPr="00E00F6E">
        <w:rPr>
          <w:rFonts w:eastAsia="Calibri"/>
          <w:sz w:val="20"/>
          <w:szCs w:val="20"/>
          <w:lang w:val="es-ES_tradnl" w:eastAsia="en-US"/>
        </w:rPr>
        <w:t>acial</w:t>
      </w:r>
      <w:r w:rsidRPr="00E00F6E">
        <w:rPr>
          <w:rFonts w:eastAsia="Calibri"/>
          <w:iCs/>
          <w:sz w:val="20"/>
          <w:vertAlign w:val="superscript"/>
          <w:lang w:eastAsia="en-US"/>
        </w:rPr>
        <w:footnoteReference w:id="149"/>
      </w:r>
      <w:r w:rsidR="00956078">
        <w:rPr>
          <w:rFonts w:eastAsia="Calibri"/>
          <w:sz w:val="20"/>
          <w:szCs w:val="20"/>
          <w:lang w:val="es-ES_tradnl" w:eastAsia="en-US"/>
        </w:rPr>
        <w:t>;</w:t>
      </w:r>
      <w:r w:rsidRPr="00E00F6E">
        <w:rPr>
          <w:rFonts w:eastAsia="Calibri"/>
          <w:sz w:val="20"/>
          <w:szCs w:val="20"/>
          <w:lang w:val="es-ES_tradnl" w:eastAsia="en-US"/>
        </w:rPr>
        <w:t xml:space="preserve"> </w:t>
      </w:r>
      <w:r w:rsidR="000B2169" w:rsidRPr="0059117C">
        <w:rPr>
          <w:rFonts w:eastAsia="Calibri"/>
          <w:sz w:val="20"/>
          <w:szCs w:val="20"/>
          <w:lang w:val="es-ES_tradnl" w:eastAsia="en-US"/>
        </w:rPr>
        <w:t xml:space="preserve">el artículo 12.1 de </w:t>
      </w:r>
      <w:r w:rsidR="00FE58B5" w:rsidRPr="00E00F6E">
        <w:rPr>
          <w:rFonts w:eastAsia="Calibri"/>
          <w:sz w:val="20"/>
          <w:szCs w:val="20"/>
          <w:lang w:val="es-ES_tradnl" w:eastAsia="en-US"/>
        </w:rPr>
        <w:t>l</w:t>
      </w:r>
      <w:r w:rsidRPr="00E00F6E">
        <w:rPr>
          <w:rFonts w:eastAsia="Calibri"/>
          <w:sz w:val="20"/>
          <w:szCs w:val="20"/>
          <w:lang w:val="es-ES_tradnl" w:eastAsia="en-US"/>
        </w:rPr>
        <w:t xml:space="preserve">a Convención sobre la </w:t>
      </w:r>
      <w:r w:rsidR="00956078">
        <w:rPr>
          <w:rFonts w:eastAsia="Calibri"/>
          <w:sz w:val="20"/>
          <w:szCs w:val="20"/>
          <w:lang w:val="es-ES_tradnl" w:eastAsia="en-US"/>
        </w:rPr>
        <w:t>E</w:t>
      </w:r>
      <w:r w:rsidRPr="00E00F6E">
        <w:rPr>
          <w:rFonts w:eastAsia="Calibri"/>
          <w:sz w:val="20"/>
          <w:szCs w:val="20"/>
          <w:lang w:val="es-ES_tradnl" w:eastAsia="en-US"/>
        </w:rPr>
        <w:t xml:space="preserve">liminación de </w:t>
      </w:r>
      <w:r w:rsidR="00956078">
        <w:rPr>
          <w:rFonts w:eastAsia="Calibri"/>
          <w:sz w:val="20"/>
          <w:szCs w:val="20"/>
          <w:lang w:val="es-ES_tradnl" w:eastAsia="en-US"/>
        </w:rPr>
        <w:t>T</w:t>
      </w:r>
      <w:r w:rsidRPr="00E00F6E">
        <w:rPr>
          <w:rFonts w:eastAsia="Calibri"/>
          <w:sz w:val="20"/>
          <w:szCs w:val="20"/>
          <w:lang w:val="es-ES_tradnl" w:eastAsia="en-US"/>
        </w:rPr>
        <w:t xml:space="preserve">odas las </w:t>
      </w:r>
      <w:r w:rsidR="00956078">
        <w:rPr>
          <w:rFonts w:eastAsia="Calibri"/>
          <w:sz w:val="20"/>
          <w:szCs w:val="20"/>
          <w:lang w:val="es-ES_tradnl" w:eastAsia="en-US"/>
        </w:rPr>
        <w:t>F</w:t>
      </w:r>
      <w:r w:rsidRPr="00E00F6E">
        <w:rPr>
          <w:rFonts w:eastAsia="Calibri"/>
          <w:sz w:val="20"/>
          <w:szCs w:val="20"/>
          <w:lang w:val="es-ES_tradnl" w:eastAsia="en-US"/>
        </w:rPr>
        <w:t xml:space="preserve">ormas de </w:t>
      </w:r>
      <w:r w:rsidR="00956078">
        <w:rPr>
          <w:rFonts w:eastAsia="Calibri"/>
          <w:sz w:val="20"/>
          <w:szCs w:val="20"/>
          <w:lang w:val="es-ES_tradnl" w:eastAsia="en-US"/>
        </w:rPr>
        <w:t>D</w:t>
      </w:r>
      <w:r w:rsidRPr="00E00F6E">
        <w:rPr>
          <w:rFonts w:eastAsia="Calibri"/>
          <w:sz w:val="20"/>
          <w:szCs w:val="20"/>
          <w:lang w:val="es-ES_tradnl" w:eastAsia="en-US"/>
        </w:rPr>
        <w:t xml:space="preserve">iscriminación </w:t>
      </w:r>
      <w:r w:rsidR="00956078">
        <w:rPr>
          <w:rFonts w:eastAsia="Calibri"/>
          <w:sz w:val="20"/>
          <w:szCs w:val="20"/>
          <w:lang w:val="es-ES_tradnl" w:eastAsia="en-US"/>
        </w:rPr>
        <w:t>c</w:t>
      </w:r>
      <w:r w:rsidRPr="00E00F6E">
        <w:rPr>
          <w:rFonts w:eastAsia="Calibri"/>
          <w:sz w:val="20"/>
          <w:szCs w:val="20"/>
          <w:lang w:val="es-ES_tradnl" w:eastAsia="en-US"/>
        </w:rPr>
        <w:t xml:space="preserve">ontra la </w:t>
      </w:r>
      <w:r w:rsidR="00956078">
        <w:rPr>
          <w:rFonts w:eastAsia="Calibri"/>
          <w:sz w:val="20"/>
          <w:szCs w:val="20"/>
          <w:lang w:val="es-ES_tradnl" w:eastAsia="en-US"/>
        </w:rPr>
        <w:t>M</w:t>
      </w:r>
      <w:r w:rsidRPr="00E00F6E">
        <w:rPr>
          <w:rFonts w:eastAsia="Calibri"/>
          <w:sz w:val="20"/>
          <w:szCs w:val="20"/>
          <w:lang w:val="es-ES_tradnl" w:eastAsia="en-US"/>
        </w:rPr>
        <w:t>ujer</w:t>
      </w:r>
      <w:r w:rsidRPr="00E00F6E">
        <w:rPr>
          <w:rFonts w:eastAsia="Calibri"/>
          <w:iCs/>
          <w:sz w:val="20"/>
          <w:vertAlign w:val="superscript"/>
          <w:lang w:eastAsia="en-US"/>
        </w:rPr>
        <w:footnoteReference w:id="150"/>
      </w:r>
      <w:r w:rsidR="00956078">
        <w:rPr>
          <w:rFonts w:eastAsia="Calibri"/>
          <w:sz w:val="20"/>
          <w:szCs w:val="20"/>
          <w:lang w:val="es-ES_tradnl" w:eastAsia="en-US"/>
        </w:rPr>
        <w:t>;</w:t>
      </w:r>
      <w:r w:rsidRPr="00E00F6E">
        <w:rPr>
          <w:rFonts w:eastAsia="Calibri"/>
          <w:sz w:val="20"/>
          <w:szCs w:val="20"/>
          <w:lang w:val="es-ES_tradnl" w:eastAsia="en-US"/>
        </w:rPr>
        <w:t xml:space="preserve"> </w:t>
      </w:r>
      <w:r w:rsidR="000B2169" w:rsidRPr="0059117C">
        <w:rPr>
          <w:rFonts w:eastAsia="Calibri"/>
          <w:sz w:val="20"/>
          <w:szCs w:val="20"/>
          <w:lang w:val="es-ES_tradnl" w:eastAsia="en-US"/>
        </w:rPr>
        <w:t xml:space="preserve">el artículo 24.1 de </w:t>
      </w:r>
      <w:r w:rsidR="00FE58B5" w:rsidRPr="00E00F6E">
        <w:rPr>
          <w:rFonts w:eastAsia="Calibri"/>
          <w:sz w:val="20"/>
          <w:szCs w:val="20"/>
          <w:lang w:val="es-ES_tradnl" w:eastAsia="en-US"/>
        </w:rPr>
        <w:t>l</w:t>
      </w:r>
      <w:r w:rsidRPr="00E00F6E">
        <w:rPr>
          <w:rFonts w:eastAsia="Calibri"/>
          <w:sz w:val="20"/>
          <w:szCs w:val="20"/>
          <w:lang w:val="es-ES_tradnl" w:eastAsia="en-US"/>
        </w:rPr>
        <w:t xml:space="preserve">a Convención sobre los </w:t>
      </w:r>
      <w:r w:rsidR="00956078">
        <w:rPr>
          <w:rFonts w:eastAsia="Calibri"/>
          <w:sz w:val="20"/>
          <w:szCs w:val="20"/>
          <w:lang w:val="es-ES_tradnl" w:eastAsia="en-US"/>
        </w:rPr>
        <w:t>D</w:t>
      </w:r>
      <w:r w:rsidRPr="00E00F6E">
        <w:rPr>
          <w:rFonts w:eastAsia="Calibri"/>
          <w:sz w:val="20"/>
          <w:szCs w:val="20"/>
          <w:lang w:val="es-ES_tradnl" w:eastAsia="en-US"/>
        </w:rPr>
        <w:t xml:space="preserve">erechos del </w:t>
      </w:r>
      <w:r w:rsidR="00956078">
        <w:rPr>
          <w:rFonts w:eastAsia="Calibri"/>
          <w:sz w:val="20"/>
          <w:szCs w:val="20"/>
          <w:lang w:val="es-ES_tradnl" w:eastAsia="en-US"/>
        </w:rPr>
        <w:t>N</w:t>
      </w:r>
      <w:r w:rsidRPr="00E00F6E">
        <w:rPr>
          <w:rFonts w:eastAsia="Calibri"/>
          <w:sz w:val="20"/>
          <w:szCs w:val="20"/>
          <w:lang w:val="es-ES_tradnl" w:eastAsia="en-US"/>
        </w:rPr>
        <w:t>iño</w:t>
      </w:r>
      <w:r w:rsidRPr="00E00F6E">
        <w:rPr>
          <w:rFonts w:eastAsia="Calibri"/>
          <w:iCs/>
          <w:sz w:val="20"/>
          <w:vertAlign w:val="superscript"/>
          <w:lang w:eastAsia="en-US"/>
        </w:rPr>
        <w:footnoteReference w:id="151"/>
      </w:r>
      <w:r w:rsidR="00956078">
        <w:rPr>
          <w:rFonts w:eastAsia="Calibri"/>
          <w:sz w:val="20"/>
          <w:szCs w:val="20"/>
          <w:lang w:val="es-ES_tradnl" w:eastAsia="en-US"/>
        </w:rPr>
        <w:t>;</w:t>
      </w:r>
      <w:r w:rsidRPr="00E00F6E">
        <w:rPr>
          <w:rFonts w:eastAsia="Calibri"/>
          <w:sz w:val="20"/>
          <w:szCs w:val="20"/>
          <w:lang w:val="es-ES_tradnl" w:eastAsia="en-US"/>
        </w:rPr>
        <w:t xml:space="preserve"> </w:t>
      </w:r>
      <w:r w:rsidR="000B2169" w:rsidRPr="0059117C">
        <w:rPr>
          <w:rFonts w:eastAsia="Calibri"/>
          <w:sz w:val="20"/>
          <w:szCs w:val="20"/>
          <w:lang w:val="es-ES_tradnl" w:eastAsia="en-US"/>
        </w:rPr>
        <w:t xml:space="preserve">el artículo 28 de </w:t>
      </w:r>
      <w:r w:rsidR="00FE58B5" w:rsidRPr="00E00F6E">
        <w:rPr>
          <w:rFonts w:eastAsia="Calibri"/>
          <w:sz w:val="20"/>
          <w:szCs w:val="20"/>
          <w:lang w:val="es-ES_tradnl" w:eastAsia="en-US"/>
        </w:rPr>
        <w:t>l</w:t>
      </w:r>
      <w:r w:rsidRPr="00E00F6E">
        <w:rPr>
          <w:rFonts w:eastAsia="Calibri"/>
          <w:sz w:val="20"/>
          <w:szCs w:val="20"/>
          <w:lang w:val="es-ES_tradnl" w:eastAsia="en-US"/>
        </w:rPr>
        <w:t xml:space="preserve">a Convención sobre la </w:t>
      </w:r>
      <w:r w:rsidR="00956078">
        <w:rPr>
          <w:rFonts w:eastAsia="Calibri"/>
          <w:sz w:val="20"/>
          <w:szCs w:val="20"/>
          <w:lang w:val="es-ES_tradnl" w:eastAsia="en-US"/>
        </w:rPr>
        <w:t>P</w:t>
      </w:r>
      <w:r w:rsidRPr="00E00F6E">
        <w:rPr>
          <w:rFonts w:eastAsia="Calibri"/>
          <w:sz w:val="20"/>
          <w:szCs w:val="20"/>
          <w:lang w:val="es-ES_tradnl" w:eastAsia="en-US"/>
        </w:rPr>
        <w:t xml:space="preserve">rotección de los </w:t>
      </w:r>
      <w:r w:rsidR="00956078">
        <w:rPr>
          <w:rFonts w:eastAsia="Calibri"/>
          <w:sz w:val="20"/>
          <w:szCs w:val="20"/>
          <w:lang w:val="es-ES_tradnl" w:eastAsia="en-US"/>
        </w:rPr>
        <w:t>T</w:t>
      </w:r>
      <w:r w:rsidRPr="00E00F6E">
        <w:rPr>
          <w:rFonts w:eastAsia="Calibri"/>
          <w:sz w:val="20"/>
          <w:szCs w:val="20"/>
          <w:lang w:val="es-ES_tradnl" w:eastAsia="en-US"/>
        </w:rPr>
        <w:t xml:space="preserve">rabajadores </w:t>
      </w:r>
      <w:r w:rsidR="00956078">
        <w:rPr>
          <w:rFonts w:eastAsia="Calibri"/>
          <w:sz w:val="20"/>
          <w:szCs w:val="20"/>
          <w:lang w:val="es-ES_tradnl" w:eastAsia="en-US"/>
        </w:rPr>
        <w:t>M</w:t>
      </w:r>
      <w:r w:rsidRPr="00E00F6E">
        <w:rPr>
          <w:rFonts w:eastAsia="Calibri"/>
          <w:sz w:val="20"/>
          <w:szCs w:val="20"/>
          <w:lang w:val="es-ES_tradnl" w:eastAsia="en-US"/>
        </w:rPr>
        <w:t xml:space="preserve">igratorios y sus </w:t>
      </w:r>
      <w:r w:rsidR="00956078">
        <w:rPr>
          <w:rFonts w:eastAsia="Calibri"/>
          <w:sz w:val="20"/>
          <w:szCs w:val="20"/>
          <w:lang w:val="es-ES_tradnl" w:eastAsia="en-US"/>
        </w:rPr>
        <w:t>F</w:t>
      </w:r>
      <w:r w:rsidRPr="00E00F6E">
        <w:rPr>
          <w:rFonts w:eastAsia="Calibri"/>
          <w:sz w:val="20"/>
          <w:szCs w:val="20"/>
          <w:lang w:val="es-ES_tradnl" w:eastAsia="en-US"/>
        </w:rPr>
        <w:t>amilia</w:t>
      </w:r>
      <w:r w:rsidR="00956078">
        <w:rPr>
          <w:rFonts w:eastAsia="Calibri"/>
          <w:sz w:val="20"/>
          <w:szCs w:val="20"/>
          <w:lang w:val="es-ES_tradnl" w:eastAsia="en-US"/>
        </w:rPr>
        <w:t>re</w:t>
      </w:r>
      <w:r w:rsidRPr="00E00F6E">
        <w:rPr>
          <w:rFonts w:eastAsia="Calibri"/>
          <w:sz w:val="20"/>
          <w:szCs w:val="20"/>
          <w:lang w:val="es-ES_tradnl" w:eastAsia="en-US"/>
        </w:rPr>
        <w:t>s</w:t>
      </w:r>
      <w:r w:rsidRPr="00E00F6E">
        <w:rPr>
          <w:rFonts w:eastAsia="Calibri"/>
          <w:iCs/>
          <w:sz w:val="20"/>
          <w:vertAlign w:val="superscript"/>
          <w:lang w:eastAsia="en-US"/>
        </w:rPr>
        <w:footnoteReference w:id="152"/>
      </w:r>
      <w:r w:rsidR="00956078">
        <w:rPr>
          <w:rFonts w:eastAsia="Calibri"/>
          <w:sz w:val="20"/>
          <w:szCs w:val="20"/>
          <w:lang w:val="es-ES_tradnl" w:eastAsia="en-US"/>
        </w:rPr>
        <w:t>, y</w:t>
      </w:r>
      <w:r w:rsidRPr="00E00F6E">
        <w:rPr>
          <w:rFonts w:eastAsia="Calibri"/>
          <w:sz w:val="20"/>
          <w:szCs w:val="20"/>
          <w:lang w:val="es-ES_tradnl" w:eastAsia="en-US"/>
        </w:rPr>
        <w:t xml:space="preserve"> </w:t>
      </w:r>
      <w:r w:rsidR="000B2169" w:rsidRPr="0059117C">
        <w:rPr>
          <w:rFonts w:eastAsia="Calibri"/>
          <w:sz w:val="20"/>
          <w:szCs w:val="20"/>
          <w:lang w:val="es-ES_tradnl" w:eastAsia="en-US"/>
        </w:rPr>
        <w:t xml:space="preserve">el artículo 25 de </w:t>
      </w:r>
      <w:r w:rsidR="00FE58B5" w:rsidRPr="00E00F6E">
        <w:rPr>
          <w:rFonts w:eastAsia="Calibri"/>
          <w:sz w:val="20"/>
          <w:szCs w:val="20"/>
          <w:lang w:val="es-ES_tradnl" w:eastAsia="en-US"/>
        </w:rPr>
        <w:t>l</w:t>
      </w:r>
      <w:r w:rsidRPr="00E00F6E">
        <w:rPr>
          <w:rFonts w:eastAsia="Calibri"/>
          <w:sz w:val="20"/>
          <w:szCs w:val="20"/>
          <w:lang w:val="es-ES_tradnl" w:eastAsia="en-US"/>
        </w:rPr>
        <w:t xml:space="preserve">a Convención sobre los </w:t>
      </w:r>
      <w:r w:rsidR="00956078">
        <w:rPr>
          <w:rFonts w:eastAsia="Calibri"/>
          <w:sz w:val="20"/>
          <w:szCs w:val="20"/>
          <w:lang w:val="es-ES_tradnl" w:eastAsia="en-US"/>
        </w:rPr>
        <w:t>D</w:t>
      </w:r>
      <w:r w:rsidRPr="00E00F6E">
        <w:rPr>
          <w:rFonts w:eastAsia="Calibri"/>
          <w:sz w:val="20"/>
          <w:szCs w:val="20"/>
          <w:lang w:val="es-ES_tradnl" w:eastAsia="en-US"/>
        </w:rPr>
        <w:t xml:space="preserve">erechos de las </w:t>
      </w:r>
      <w:r w:rsidR="00956078">
        <w:rPr>
          <w:rFonts w:eastAsia="Calibri"/>
          <w:sz w:val="20"/>
          <w:szCs w:val="20"/>
          <w:lang w:val="es-ES_tradnl" w:eastAsia="en-US"/>
        </w:rPr>
        <w:t>P</w:t>
      </w:r>
      <w:r w:rsidRPr="00E00F6E">
        <w:rPr>
          <w:rFonts w:eastAsia="Calibri"/>
          <w:sz w:val="20"/>
          <w:szCs w:val="20"/>
          <w:lang w:val="es-ES_tradnl" w:eastAsia="en-US"/>
        </w:rPr>
        <w:t xml:space="preserve">ersonas con </w:t>
      </w:r>
      <w:r w:rsidR="00956078">
        <w:rPr>
          <w:rFonts w:eastAsia="Calibri"/>
          <w:sz w:val="20"/>
          <w:szCs w:val="20"/>
          <w:lang w:val="es-ES_tradnl" w:eastAsia="en-US"/>
        </w:rPr>
        <w:t>D</w:t>
      </w:r>
      <w:r w:rsidRPr="00E00F6E">
        <w:rPr>
          <w:rFonts w:eastAsia="Calibri"/>
          <w:sz w:val="20"/>
          <w:szCs w:val="20"/>
          <w:lang w:val="es-ES_tradnl" w:eastAsia="en-US"/>
        </w:rPr>
        <w:t>iscapacidad</w:t>
      </w:r>
      <w:r w:rsidRPr="00E00F6E">
        <w:rPr>
          <w:rFonts w:eastAsia="Calibri"/>
          <w:iCs/>
          <w:sz w:val="20"/>
          <w:vertAlign w:val="superscript"/>
          <w:lang w:eastAsia="en-US"/>
        </w:rPr>
        <w:footnoteReference w:id="153"/>
      </w:r>
      <w:r w:rsidR="00752710" w:rsidRPr="00AB1E03">
        <w:rPr>
          <w:rFonts w:eastAsia="Calibri"/>
          <w:iCs/>
          <w:sz w:val="20"/>
          <w:lang w:eastAsia="en-US"/>
        </w:rPr>
        <w:t>.</w:t>
      </w:r>
      <w:r w:rsidRPr="00E00F6E">
        <w:rPr>
          <w:rFonts w:eastAsia="Calibri"/>
          <w:sz w:val="20"/>
          <w:szCs w:val="20"/>
          <w:lang w:val="es-ES_tradnl" w:eastAsia="en-US"/>
        </w:rPr>
        <w:t xml:space="preserve"> </w:t>
      </w:r>
      <w:r w:rsidR="00FE58B5" w:rsidRPr="00E00F6E">
        <w:rPr>
          <w:rFonts w:eastAsia="Calibri"/>
          <w:sz w:val="20"/>
          <w:szCs w:val="20"/>
          <w:lang w:val="es-ES_tradnl" w:eastAsia="en-US"/>
        </w:rPr>
        <w:t>Este derecho también se encuentra plasmado en v</w:t>
      </w:r>
      <w:r w:rsidRPr="00E00F6E">
        <w:rPr>
          <w:rFonts w:eastAsia="Calibri"/>
          <w:sz w:val="20"/>
          <w:szCs w:val="20"/>
          <w:lang w:val="es-ES_tradnl" w:eastAsia="en-US"/>
        </w:rPr>
        <w:t>arios instrumentos regionales de derechos humanos, como</w:t>
      </w:r>
      <w:r w:rsidR="000B2169" w:rsidRPr="0059117C">
        <w:rPr>
          <w:rFonts w:eastAsia="Calibri"/>
          <w:sz w:val="20"/>
          <w:szCs w:val="20"/>
          <w:lang w:val="es-ES_tradnl" w:eastAsia="en-US"/>
        </w:rPr>
        <w:t xml:space="preserve"> en el artículo 17 de</w:t>
      </w:r>
      <w:r w:rsidRPr="00E00F6E">
        <w:rPr>
          <w:rFonts w:eastAsia="Calibri"/>
          <w:sz w:val="20"/>
          <w:szCs w:val="20"/>
          <w:lang w:val="es-ES_tradnl" w:eastAsia="en-US"/>
        </w:rPr>
        <w:t xml:space="preserve"> </w:t>
      </w:r>
      <w:r w:rsidR="00795461" w:rsidRPr="00E00F6E">
        <w:rPr>
          <w:rFonts w:eastAsia="Calibri"/>
          <w:sz w:val="20"/>
          <w:szCs w:val="20"/>
          <w:lang w:val="es-ES_tradnl" w:eastAsia="en-US"/>
        </w:rPr>
        <w:t xml:space="preserve">la Carta Social </w:t>
      </w:r>
      <w:r w:rsidR="003946BF">
        <w:rPr>
          <w:rFonts w:eastAsia="Calibri"/>
          <w:sz w:val="20"/>
          <w:szCs w:val="20"/>
          <w:lang w:val="es-ES_tradnl" w:eastAsia="en-US"/>
        </w:rPr>
        <w:t xml:space="preserve">de las </w:t>
      </w:r>
      <w:r w:rsidR="00795461" w:rsidRPr="00E00F6E">
        <w:rPr>
          <w:rFonts w:eastAsia="Calibri"/>
          <w:sz w:val="20"/>
          <w:szCs w:val="20"/>
          <w:lang w:val="es-ES_tradnl" w:eastAsia="en-US"/>
        </w:rPr>
        <w:t>Am</w:t>
      </w:r>
      <w:r w:rsidR="003946BF">
        <w:rPr>
          <w:rFonts w:eastAsia="Calibri"/>
          <w:sz w:val="20"/>
          <w:szCs w:val="20"/>
          <w:lang w:val="es-ES_tradnl" w:eastAsia="en-US"/>
        </w:rPr>
        <w:t>é</w:t>
      </w:r>
      <w:r w:rsidR="00795461" w:rsidRPr="00E00F6E">
        <w:rPr>
          <w:rFonts w:eastAsia="Calibri"/>
          <w:sz w:val="20"/>
          <w:szCs w:val="20"/>
          <w:lang w:val="es-ES_tradnl" w:eastAsia="en-US"/>
        </w:rPr>
        <w:t>rica</w:t>
      </w:r>
      <w:r w:rsidR="003946BF">
        <w:rPr>
          <w:rFonts w:eastAsia="Calibri"/>
          <w:sz w:val="20"/>
          <w:szCs w:val="20"/>
          <w:lang w:val="es-ES_tradnl" w:eastAsia="en-US"/>
        </w:rPr>
        <w:t>s</w:t>
      </w:r>
      <w:r w:rsidR="00795461" w:rsidRPr="00E00F6E">
        <w:rPr>
          <w:rFonts w:eastAsia="Calibri"/>
          <w:sz w:val="20"/>
          <w:szCs w:val="20"/>
          <w:vertAlign w:val="superscript"/>
          <w:lang w:val="es-ES_tradnl" w:eastAsia="en-US"/>
        </w:rPr>
        <w:footnoteReference w:id="154"/>
      </w:r>
      <w:r w:rsidR="00DA3BE8">
        <w:rPr>
          <w:rFonts w:eastAsia="Calibri"/>
          <w:sz w:val="20"/>
          <w:szCs w:val="20"/>
          <w:lang w:val="es-ES_tradnl" w:eastAsia="en-US"/>
        </w:rPr>
        <w:t>;</w:t>
      </w:r>
      <w:r w:rsidR="00795461" w:rsidRPr="00E00F6E">
        <w:rPr>
          <w:rFonts w:eastAsia="Calibri"/>
          <w:sz w:val="20"/>
          <w:szCs w:val="20"/>
          <w:lang w:val="es-ES_tradnl" w:eastAsia="en-US"/>
        </w:rPr>
        <w:t xml:space="preserve"> </w:t>
      </w:r>
      <w:r w:rsidR="000B2169" w:rsidRPr="0059117C">
        <w:rPr>
          <w:rFonts w:eastAsia="Calibri"/>
          <w:sz w:val="20"/>
          <w:szCs w:val="20"/>
          <w:lang w:val="es-ES_tradnl" w:eastAsia="en-US"/>
        </w:rPr>
        <w:t xml:space="preserve">el artículo 11 de </w:t>
      </w:r>
      <w:r w:rsidR="00795461" w:rsidRPr="00E00F6E">
        <w:rPr>
          <w:rFonts w:eastAsia="Calibri"/>
          <w:sz w:val="20"/>
          <w:szCs w:val="20"/>
          <w:lang w:val="es-ES_tradnl" w:eastAsia="en-US"/>
        </w:rPr>
        <w:t xml:space="preserve">la </w:t>
      </w:r>
      <w:r w:rsidRPr="00E00F6E">
        <w:rPr>
          <w:rFonts w:eastAsia="Calibri"/>
          <w:sz w:val="20"/>
          <w:szCs w:val="20"/>
          <w:lang w:val="es-ES_tradnl" w:eastAsia="en-US"/>
        </w:rPr>
        <w:t>Carta Social Europea</w:t>
      </w:r>
      <w:r w:rsidR="006823B8" w:rsidRPr="006823B8">
        <w:rPr>
          <w:rFonts w:eastAsia="Calibri"/>
          <w:sz w:val="20"/>
          <w:szCs w:val="20"/>
          <w:lang w:val="es-ES_tradnl" w:eastAsia="en-US"/>
        </w:rPr>
        <w:t xml:space="preserve"> </w:t>
      </w:r>
      <w:r w:rsidR="006823B8" w:rsidRPr="00E00F6E">
        <w:rPr>
          <w:rFonts w:eastAsia="Calibri"/>
          <w:sz w:val="20"/>
          <w:szCs w:val="20"/>
          <w:lang w:val="es-ES_tradnl" w:eastAsia="en-US"/>
        </w:rPr>
        <w:t>de 1961</w:t>
      </w:r>
      <w:r w:rsidR="00B1523A">
        <w:rPr>
          <w:rStyle w:val="FootnoteReference"/>
          <w:rFonts w:eastAsia="Calibri"/>
          <w:sz w:val="20"/>
          <w:szCs w:val="20"/>
          <w:lang w:val="es-ES_tradnl" w:eastAsia="en-US"/>
        </w:rPr>
        <w:footnoteReference w:id="155"/>
      </w:r>
      <w:r w:rsidRPr="00E00F6E">
        <w:rPr>
          <w:rFonts w:eastAsia="Calibri"/>
          <w:sz w:val="20"/>
          <w:szCs w:val="20"/>
          <w:lang w:val="es-ES_tradnl" w:eastAsia="en-US"/>
        </w:rPr>
        <w:t>, en su forma revisada</w:t>
      </w:r>
      <w:r w:rsidR="00DA3BE8">
        <w:rPr>
          <w:rFonts w:eastAsia="Calibri"/>
          <w:sz w:val="20"/>
          <w:szCs w:val="20"/>
          <w:lang w:val="es-ES_tradnl" w:eastAsia="en-US"/>
        </w:rPr>
        <w:t>;</w:t>
      </w:r>
      <w:r w:rsidR="006E74B8" w:rsidRPr="0059117C">
        <w:rPr>
          <w:rFonts w:eastAsia="Calibri"/>
          <w:sz w:val="20"/>
          <w:szCs w:val="20"/>
          <w:lang w:val="es-ES_tradnl" w:eastAsia="en-US"/>
        </w:rPr>
        <w:t xml:space="preserve"> el artículo 16 de</w:t>
      </w:r>
      <w:r w:rsidR="00577C37" w:rsidRPr="00E00F6E">
        <w:rPr>
          <w:rFonts w:eastAsia="Calibri"/>
          <w:sz w:val="20"/>
          <w:szCs w:val="20"/>
          <w:lang w:val="es-ES_tradnl" w:eastAsia="en-US"/>
        </w:rPr>
        <w:t xml:space="preserve"> </w:t>
      </w:r>
      <w:r w:rsidRPr="00E00F6E">
        <w:rPr>
          <w:rFonts w:eastAsia="Calibri"/>
          <w:sz w:val="20"/>
          <w:szCs w:val="20"/>
          <w:lang w:val="es-ES_tradnl" w:eastAsia="en-US"/>
        </w:rPr>
        <w:t>la Carta Africana de Derechos Humanos y de los Pueblos</w:t>
      </w:r>
      <w:r w:rsidRPr="00E00F6E">
        <w:rPr>
          <w:rFonts w:eastAsia="Calibri"/>
          <w:iCs/>
          <w:sz w:val="20"/>
          <w:vertAlign w:val="superscript"/>
          <w:lang w:eastAsia="en-US"/>
        </w:rPr>
        <w:footnoteReference w:id="156"/>
      </w:r>
      <w:r w:rsidR="00525F0E">
        <w:rPr>
          <w:rFonts w:eastAsia="Calibri"/>
          <w:sz w:val="20"/>
          <w:szCs w:val="20"/>
          <w:lang w:val="es-ES_tradnl" w:eastAsia="en-US"/>
        </w:rPr>
        <w:t xml:space="preserve">, y recientemente en la </w:t>
      </w:r>
      <w:r w:rsidR="00525F0E" w:rsidRPr="002570D1">
        <w:rPr>
          <w:rFonts w:eastAsia="Calibri"/>
          <w:sz w:val="20"/>
          <w:szCs w:val="20"/>
          <w:lang w:val="es-MX" w:eastAsia="en-US"/>
        </w:rPr>
        <w:t>C</w:t>
      </w:r>
      <w:r w:rsidR="00525F0E">
        <w:rPr>
          <w:rFonts w:eastAsia="Calibri"/>
          <w:sz w:val="20"/>
          <w:szCs w:val="20"/>
          <w:lang w:val="es-MX" w:eastAsia="en-US"/>
        </w:rPr>
        <w:t xml:space="preserve">onvención Interamericana sobre </w:t>
      </w:r>
      <w:r w:rsidR="00DA3BE8">
        <w:rPr>
          <w:rFonts w:eastAsia="Calibri"/>
          <w:sz w:val="20"/>
          <w:szCs w:val="20"/>
          <w:lang w:val="es-MX" w:eastAsia="en-US"/>
        </w:rPr>
        <w:t>la P</w:t>
      </w:r>
      <w:r w:rsidR="00525F0E">
        <w:rPr>
          <w:rFonts w:eastAsia="Calibri"/>
          <w:sz w:val="20"/>
          <w:szCs w:val="20"/>
          <w:lang w:val="es-MX" w:eastAsia="en-US"/>
        </w:rPr>
        <w:t xml:space="preserve">rotección de los </w:t>
      </w:r>
      <w:r w:rsidR="00DA3BE8">
        <w:rPr>
          <w:rFonts w:eastAsia="Calibri"/>
          <w:sz w:val="20"/>
          <w:szCs w:val="20"/>
          <w:lang w:val="es-MX" w:eastAsia="en-US"/>
        </w:rPr>
        <w:t>D</w:t>
      </w:r>
      <w:r w:rsidR="00525F0E">
        <w:rPr>
          <w:rFonts w:eastAsia="Calibri"/>
          <w:sz w:val="20"/>
          <w:szCs w:val="20"/>
          <w:lang w:val="es-MX" w:eastAsia="en-US"/>
        </w:rPr>
        <w:t xml:space="preserve">erechos </w:t>
      </w:r>
      <w:r w:rsidR="00DA3BE8">
        <w:rPr>
          <w:rFonts w:eastAsia="Calibri"/>
          <w:sz w:val="20"/>
          <w:szCs w:val="20"/>
          <w:lang w:val="es-MX" w:eastAsia="en-US"/>
        </w:rPr>
        <w:t>H</w:t>
      </w:r>
      <w:r w:rsidR="00525F0E">
        <w:rPr>
          <w:rFonts w:eastAsia="Calibri"/>
          <w:sz w:val="20"/>
          <w:szCs w:val="20"/>
          <w:lang w:val="es-MX" w:eastAsia="en-US"/>
        </w:rPr>
        <w:t xml:space="preserve">umanos de las </w:t>
      </w:r>
      <w:r w:rsidR="00DA3BE8">
        <w:rPr>
          <w:rFonts w:eastAsia="Calibri"/>
          <w:sz w:val="20"/>
          <w:szCs w:val="20"/>
          <w:lang w:val="es-MX" w:eastAsia="en-US"/>
        </w:rPr>
        <w:t>P</w:t>
      </w:r>
      <w:r w:rsidR="00525F0E">
        <w:rPr>
          <w:rFonts w:eastAsia="Calibri"/>
          <w:sz w:val="20"/>
          <w:szCs w:val="20"/>
          <w:lang w:val="es-MX" w:eastAsia="en-US"/>
        </w:rPr>
        <w:t xml:space="preserve">ersonas </w:t>
      </w:r>
      <w:r w:rsidR="00DA3BE8">
        <w:rPr>
          <w:rFonts w:eastAsia="Calibri"/>
          <w:sz w:val="20"/>
          <w:szCs w:val="20"/>
          <w:lang w:val="es-MX" w:eastAsia="en-US"/>
        </w:rPr>
        <w:t>M</w:t>
      </w:r>
      <w:r w:rsidR="00525F0E" w:rsidRPr="002570D1">
        <w:rPr>
          <w:rFonts w:eastAsia="Calibri"/>
          <w:sz w:val="20"/>
          <w:szCs w:val="20"/>
          <w:lang w:val="es-MX" w:eastAsia="en-US"/>
        </w:rPr>
        <w:t>ayores</w:t>
      </w:r>
      <w:r w:rsidR="00525F0E" w:rsidRPr="002570D1">
        <w:rPr>
          <w:rFonts w:eastAsia="Calibri"/>
          <w:sz w:val="20"/>
          <w:szCs w:val="20"/>
          <w:vertAlign w:val="superscript"/>
          <w:lang w:val="es-MX" w:eastAsia="en-US"/>
        </w:rPr>
        <w:footnoteReference w:id="157"/>
      </w:r>
      <w:r w:rsidR="00577C37" w:rsidRPr="00E00F6E">
        <w:rPr>
          <w:rFonts w:eastAsia="Calibri"/>
          <w:sz w:val="20"/>
          <w:szCs w:val="20"/>
          <w:lang w:eastAsia="en-US"/>
        </w:rPr>
        <w:t xml:space="preserve"> </w:t>
      </w:r>
      <w:r w:rsidR="00A86D37">
        <w:rPr>
          <w:rFonts w:eastAsia="Calibri"/>
          <w:sz w:val="20"/>
          <w:szCs w:val="20"/>
          <w:lang w:eastAsia="en-US"/>
        </w:rPr>
        <w:t>(</w:t>
      </w:r>
      <w:r w:rsidR="004A1B76" w:rsidRPr="00B1523A">
        <w:rPr>
          <w:rFonts w:eastAsia="Calibri"/>
          <w:sz w:val="20"/>
          <w:szCs w:val="20"/>
          <w:lang w:val="es-MX"/>
        </w:rPr>
        <w:t>cabe señalar que</w:t>
      </w:r>
      <w:r w:rsidR="004A1B76">
        <w:rPr>
          <w:rFonts w:eastAsia="Calibri"/>
          <w:sz w:val="20"/>
          <w:szCs w:val="20"/>
          <w:lang w:val="es-MX"/>
        </w:rPr>
        <w:t>,</w:t>
      </w:r>
      <w:r w:rsidR="004A1B76" w:rsidRPr="00A86D37">
        <w:rPr>
          <w:rFonts w:eastAsia="Calibri"/>
          <w:sz w:val="20"/>
          <w:szCs w:val="20"/>
          <w:lang w:val="es-MX"/>
        </w:rPr>
        <w:t xml:space="preserve"> </w:t>
      </w:r>
      <w:r w:rsidR="00A86D37" w:rsidRPr="00A86D37">
        <w:rPr>
          <w:rFonts w:eastAsia="Calibri"/>
          <w:sz w:val="20"/>
          <w:szCs w:val="20"/>
          <w:lang w:val="es-MX"/>
        </w:rPr>
        <w:t>sobre</w:t>
      </w:r>
      <w:r w:rsidR="00E85806" w:rsidRPr="00B1523A">
        <w:rPr>
          <w:rFonts w:eastAsia="Calibri"/>
          <w:sz w:val="20"/>
          <w:szCs w:val="20"/>
          <w:lang w:val="es-MX"/>
        </w:rPr>
        <w:t xml:space="preserve"> </w:t>
      </w:r>
      <w:r w:rsidR="00E85806" w:rsidRPr="00B1523A">
        <w:rPr>
          <w:rFonts w:eastAsia="Calibri"/>
          <w:sz w:val="20"/>
          <w:szCs w:val="20"/>
          <w:lang w:val="es-MX"/>
        </w:rPr>
        <w:lastRenderedPageBreak/>
        <w:t>est</w:t>
      </w:r>
      <w:r w:rsidR="00A86D37">
        <w:rPr>
          <w:rFonts w:eastAsia="Calibri"/>
          <w:sz w:val="20"/>
          <w:szCs w:val="20"/>
          <w:lang w:val="es-MX"/>
        </w:rPr>
        <w:t>a</w:t>
      </w:r>
      <w:r w:rsidR="00E85806" w:rsidRPr="00B1523A">
        <w:rPr>
          <w:rFonts w:eastAsia="Calibri"/>
          <w:sz w:val="20"/>
          <w:szCs w:val="20"/>
          <w:lang w:val="es-MX"/>
        </w:rPr>
        <w:t xml:space="preserve"> últim</w:t>
      </w:r>
      <w:r w:rsidR="00A86D37">
        <w:rPr>
          <w:rFonts w:eastAsia="Calibri"/>
          <w:sz w:val="20"/>
          <w:szCs w:val="20"/>
          <w:lang w:val="es-MX"/>
        </w:rPr>
        <w:t>a</w:t>
      </w:r>
      <w:r w:rsidR="004A1B76">
        <w:rPr>
          <w:rFonts w:eastAsia="Calibri"/>
          <w:sz w:val="20"/>
          <w:szCs w:val="20"/>
          <w:lang w:val="es-MX"/>
        </w:rPr>
        <w:t xml:space="preserve">, por razones de temporalidad, </w:t>
      </w:r>
      <w:r w:rsidR="00E85806" w:rsidRPr="00B1523A">
        <w:rPr>
          <w:rFonts w:eastAsia="Calibri"/>
          <w:sz w:val="20"/>
          <w:szCs w:val="20"/>
          <w:lang w:val="es-MX"/>
        </w:rPr>
        <w:t>no resulta exigible en relación con los hechos del caso en análisis</w:t>
      </w:r>
      <w:r w:rsidR="00A86D37">
        <w:rPr>
          <w:rFonts w:eastAsia="Calibri"/>
          <w:sz w:val="20"/>
          <w:szCs w:val="20"/>
          <w:lang w:val="es-MX"/>
        </w:rPr>
        <w:t>)</w:t>
      </w:r>
      <w:r w:rsidR="00E85806" w:rsidRPr="00B1523A">
        <w:rPr>
          <w:rFonts w:eastAsia="Calibri"/>
          <w:sz w:val="20"/>
          <w:szCs w:val="20"/>
        </w:rPr>
        <w:t>.</w:t>
      </w:r>
      <w:r w:rsidR="00E85806" w:rsidRPr="00832A80">
        <w:rPr>
          <w:rFonts w:eastAsia="Calibri"/>
          <w:b/>
          <w:sz w:val="20"/>
          <w:szCs w:val="20"/>
        </w:rPr>
        <w:t xml:space="preserve"> </w:t>
      </w:r>
      <w:r w:rsidR="007864DA" w:rsidRPr="00B1523A">
        <w:rPr>
          <w:rFonts w:eastAsia="Calibri"/>
          <w:sz w:val="20"/>
          <w:szCs w:val="20"/>
          <w:lang w:val="es-ES_tradnl" w:eastAsia="en-US"/>
        </w:rPr>
        <w:t>Ad</w:t>
      </w:r>
      <w:r w:rsidR="005D383C" w:rsidRPr="00B1523A">
        <w:rPr>
          <w:rFonts w:eastAsia="Calibri"/>
          <w:sz w:val="20"/>
          <w:szCs w:val="20"/>
          <w:lang w:val="es-ES_tradnl" w:eastAsia="en-US"/>
        </w:rPr>
        <w:t>emás</w:t>
      </w:r>
      <w:r w:rsidRPr="00685E58">
        <w:rPr>
          <w:rFonts w:eastAsia="Calibri"/>
          <w:sz w:val="20"/>
          <w:szCs w:val="20"/>
          <w:lang w:val="es-ES_tradnl" w:eastAsia="en-US"/>
        </w:rPr>
        <w:t>,</w:t>
      </w:r>
      <w:r w:rsidRPr="00E00F6E">
        <w:rPr>
          <w:rFonts w:eastAsia="Calibri"/>
          <w:sz w:val="20"/>
          <w:szCs w:val="20"/>
          <w:lang w:val="es-ES_tradnl" w:eastAsia="en-US"/>
        </w:rPr>
        <w:t xml:space="preserve"> el derecho a la salud ha sido </w:t>
      </w:r>
      <w:r w:rsidR="00795461" w:rsidRPr="00E00F6E">
        <w:rPr>
          <w:rFonts w:eastAsia="Calibri"/>
          <w:sz w:val="20"/>
          <w:szCs w:val="20"/>
          <w:lang w:val="es-ES_tradnl" w:eastAsia="en-US"/>
        </w:rPr>
        <w:t xml:space="preserve">reconocido </w:t>
      </w:r>
      <w:r w:rsidR="006E74B8" w:rsidRPr="0059117C">
        <w:rPr>
          <w:rFonts w:eastAsia="Calibri"/>
          <w:sz w:val="20"/>
          <w:szCs w:val="20"/>
          <w:lang w:val="es-ES_tradnl" w:eastAsia="en-US"/>
        </w:rPr>
        <w:t>en la sección II, apartado</w:t>
      </w:r>
      <w:r w:rsidR="003B52C8">
        <w:rPr>
          <w:rFonts w:eastAsia="Calibri"/>
          <w:sz w:val="20"/>
          <w:szCs w:val="20"/>
          <w:lang w:val="es-ES_tradnl" w:eastAsia="en-US"/>
        </w:rPr>
        <w:t xml:space="preserve"> </w:t>
      </w:r>
      <w:r w:rsidR="006E74B8" w:rsidRPr="0059117C">
        <w:rPr>
          <w:rFonts w:eastAsia="Calibri"/>
          <w:sz w:val="20"/>
          <w:szCs w:val="20"/>
          <w:lang w:val="es-ES_tradnl" w:eastAsia="en-US"/>
        </w:rPr>
        <w:t>41</w:t>
      </w:r>
      <w:r w:rsidR="00685E58">
        <w:rPr>
          <w:rFonts w:eastAsia="Calibri"/>
          <w:sz w:val="20"/>
          <w:szCs w:val="20"/>
          <w:lang w:val="es-ES_tradnl" w:eastAsia="en-US"/>
        </w:rPr>
        <w:t>,</w:t>
      </w:r>
      <w:r w:rsidR="006E74B8" w:rsidRPr="0059117C">
        <w:rPr>
          <w:rFonts w:eastAsia="Calibri"/>
          <w:sz w:val="20"/>
          <w:szCs w:val="20"/>
          <w:lang w:val="es-ES_tradnl" w:eastAsia="en-US"/>
        </w:rPr>
        <w:t xml:space="preserve"> de </w:t>
      </w:r>
      <w:r w:rsidRPr="00E00F6E">
        <w:rPr>
          <w:rFonts w:eastAsia="Calibri"/>
          <w:sz w:val="20"/>
          <w:szCs w:val="20"/>
          <w:lang w:val="es-ES_tradnl" w:eastAsia="en-US"/>
        </w:rPr>
        <w:t>la Declaración y Programa de Acción de Viena</w:t>
      </w:r>
      <w:r w:rsidRPr="00E00F6E">
        <w:rPr>
          <w:rFonts w:eastAsia="Calibri"/>
          <w:iCs/>
          <w:sz w:val="20"/>
          <w:vertAlign w:val="superscript"/>
          <w:lang w:eastAsia="en-US"/>
        </w:rPr>
        <w:footnoteReference w:id="158"/>
      </w:r>
      <w:r w:rsidRPr="00E00F6E">
        <w:rPr>
          <w:rFonts w:eastAsia="Calibri"/>
          <w:sz w:val="20"/>
          <w:szCs w:val="20"/>
          <w:lang w:val="es-ES_tradnl" w:eastAsia="en-US"/>
        </w:rPr>
        <w:t>,</w:t>
      </w:r>
      <w:r w:rsidRPr="00E00F6E">
        <w:rPr>
          <w:rFonts w:eastAsia="Calibri"/>
          <w:sz w:val="20"/>
          <w:vertAlign w:val="superscript"/>
          <w:lang w:eastAsia="en-US"/>
        </w:rPr>
        <w:t xml:space="preserve"> </w:t>
      </w:r>
      <w:r w:rsidRPr="00E00F6E">
        <w:rPr>
          <w:rFonts w:eastAsia="Calibri"/>
          <w:sz w:val="20"/>
          <w:szCs w:val="20"/>
          <w:lang w:val="es-ES_tradnl" w:eastAsia="en-US"/>
        </w:rPr>
        <w:t>y en otros instrumentos y decisiones internacionales</w:t>
      </w:r>
      <w:r w:rsidRPr="00E00F6E">
        <w:rPr>
          <w:rFonts w:eastAsia="Calibri"/>
          <w:iCs/>
          <w:sz w:val="20"/>
          <w:vertAlign w:val="superscript"/>
          <w:lang w:eastAsia="en-US"/>
        </w:rPr>
        <w:footnoteReference w:id="159"/>
      </w:r>
      <w:r w:rsidRPr="00E00F6E">
        <w:rPr>
          <w:rFonts w:eastAsia="Calibri"/>
          <w:sz w:val="20"/>
          <w:szCs w:val="20"/>
          <w:lang w:val="es-ES_tradnl" w:eastAsia="en-US"/>
        </w:rPr>
        <w:t xml:space="preserve">. </w:t>
      </w:r>
    </w:p>
    <w:p w14:paraId="63CC4DA5" w14:textId="77777777" w:rsidR="00A23D78" w:rsidRPr="0059117C" w:rsidRDefault="00A23D78" w:rsidP="0059117C">
      <w:pPr>
        <w:tabs>
          <w:tab w:val="left" w:pos="567"/>
        </w:tabs>
        <w:rPr>
          <w:rFonts w:eastAsia="Calibri"/>
          <w:sz w:val="20"/>
          <w:szCs w:val="20"/>
          <w:lang w:val="es-AR" w:eastAsia="en-US"/>
        </w:rPr>
      </w:pPr>
    </w:p>
    <w:p w14:paraId="2FCB8D3B" w14:textId="5C7F35D5" w:rsidR="002E06CD" w:rsidRPr="002A64C9" w:rsidRDefault="00B37825" w:rsidP="0059117C">
      <w:pPr>
        <w:numPr>
          <w:ilvl w:val="0"/>
          <w:numId w:val="2"/>
        </w:numPr>
        <w:tabs>
          <w:tab w:val="left" w:pos="567"/>
          <w:tab w:val="num" w:pos="1569"/>
          <w:tab w:val="num" w:pos="12305"/>
        </w:tabs>
        <w:ind w:left="0" w:firstLine="0"/>
        <w:rPr>
          <w:rFonts w:eastAsia="Calibri"/>
          <w:sz w:val="20"/>
          <w:szCs w:val="20"/>
          <w:lang w:val="es-AR" w:eastAsia="en-US"/>
        </w:rPr>
      </w:pPr>
      <w:r w:rsidRPr="00C64243">
        <w:rPr>
          <w:rFonts w:eastAsia="Calibri"/>
          <w:sz w:val="20"/>
          <w:szCs w:val="20"/>
          <w:lang w:val="es-ES_tradnl" w:eastAsia="en-US"/>
        </w:rPr>
        <w:t xml:space="preserve">Por su parte, el Comité </w:t>
      </w:r>
      <w:r w:rsidR="00A86D37">
        <w:rPr>
          <w:rFonts w:eastAsia="Calibri"/>
          <w:sz w:val="20"/>
          <w:szCs w:val="20"/>
          <w:lang w:val="es-ES_tradnl" w:eastAsia="en-US"/>
        </w:rPr>
        <w:t xml:space="preserve">de Derechos, Económicos, Sociales y Culturales de la </w:t>
      </w:r>
      <w:r w:rsidR="00594717">
        <w:rPr>
          <w:rFonts w:eastAsia="Calibri"/>
          <w:sz w:val="20"/>
          <w:szCs w:val="20"/>
          <w:lang w:val="es-ES_tradnl" w:eastAsia="en-US"/>
        </w:rPr>
        <w:t xml:space="preserve">Organización de las Naciones Unidas </w:t>
      </w:r>
      <w:r w:rsidR="00A86D37">
        <w:rPr>
          <w:rFonts w:eastAsia="Calibri"/>
          <w:sz w:val="20"/>
          <w:szCs w:val="20"/>
          <w:lang w:val="es-ES_tradnl" w:eastAsia="en-US"/>
        </w:rPr>
        <w:t xml:space="preserve">(en adelante Comité </w:t>
      </w:r>
      <w:r w:rsidRPr="00C64243">
        <w:rPr>
          <w:rFonts w:eastAsia="Calibri"/>
          <w:sz w:val="20"/>
          <w:szCs w:val="20"/>
          <w:lang w:val="es-ES_tradnl" w:eastAsia="en-US"/>
        </w:rPr>
        <w:t>DESC</w:t>
      </w:r>
      <w:r w:rsidR="00A86D37">
        <w:rPr>
          <w:rFonts w:eastAsia="Calibri"/>
          <w:sz w:val="20"/>
          <w:szCs w:val="20"/>
          <w:lang w:val="es-ES_tradnl" w:eastAsia="en-US"/>
        </w:rPr>
        <w:t>)</w:t>
      </w:r>
      <w:r w:rsidRPr="00C64243">
        <w:rPr>
          <w:rFonts w:eastAsia="Calibri"/>
          <w:sz w:val="20"/>
          <w:szCs w:val="20"/>
          <w:lang w:val="es-ES_tradnl" w:eastAsia="en-US"/>
        </w:rPr>
        <w:t xml:space="preserve"> </w:t>
      </w:r>
      <w:r w:rsidRPr="00A23D78">
        <w:rPr>
          <w:rFonts w:eastAsia="Calibri"/>
          <w:sz w:val="20"/>
          <w:szCs w:val="20"/>
          <w:lang w:val="es-ES_tradnl" w:eastAsia="en-US"/>
        </w:rPr>
        <w:t>se ha pronunciado sobre los deberes de</w:t>
      </w:r>
      <w:r>
        <w:rPr>
          <w:rFonts w:eastAsia="Calibri"/>
          <w:sz w:val="20"/>
          <w:szCs w:val="20"/>
          <w:lang w:val="es-ES_tradnl" w:eastAsia="en-US"/>
        </w:rPr>
        <w:t xml:space="preserve"> los Estado en materia de salud, principalmente en su </w:t>
      </w:r>
      <w:r w:rsidRPr="00CE105F">
        <w:rPr>
          <w:rFonts w:eastAsia="Calibri"/>
          <w:sz w:val="20"/>
          <w:szCs w:val="20"/>
          <w:lang w:val="es-ES_tradnl" w:eastAsia="en-US"/>
        </w:rPr>
        <w:t>Observación General N° 14</w:t>
      </w:r>
      <w:r>
        <w:rPr>
          <w:rFonts w:eastAsia="Calibri"/>
          <w:sz w:val="20"/>
          <w:szCs w:val="20"/>
          <w:lang w:val="es-ES_tradnl" w:eastAsia="en-US"/>
        </w:rPr>
        <w:t xml:space="preserve"> sobre </w:t>
      </w:r>
      <w:r w:rsidRPr="00B37825">
        <w:rPr>
          <w:color w:val="000000"/>
          <w:sz w:val="20"/>
          <w:szCs w:val="16"/>
          <w:lang w:val="es-MX"/>
        </w:rPr>
        <w:t>el derecho al disfrute del más alto nivel posible de salud</w:t>
      </w:r>
      <w:r w:rsidRPr="00CE105F">
        <w:rPr>
          <w:rFonts w:eastAsia="Calibri"/>
          <w:sz w:val="20"/>
          <w:szCs w:val="20"/>
          <w:vertAlign w:val="superscript"/>
          <w:lang w:val="es-ES_tradnl" w:eastAsia="en-US"/>
        </w:rPr>
        <w:footnoteReference w:id="160"/>
      </w:r>
      <w:r>
        <w:rPr>
          <w:rFonts w:eastAsia="Calibri"/>
          <w:sz w:val="20"/>
          <w:szCs w:val="20"/>
          <w:lang w:val="es-ES_tradnl" w:eastAsia="en-US"/>
        </w:rPr>
        <w:t>. Asimismo</w:t>
      </w:r>
      <w:r w:rsidR="004A1B76">
        <w:rPr>
          <w:rFonts w:eastAsia="Calibri"/>
          <w:sz w:val="20"/>
          <w:szCs w:val="20"/>
          <w:lang w:val="es-ES_tradnl" w:eastAsia="en-US"/>
        </w:rPr>
        <w:t>,</w:t>
      </w:r>
      <w:r>
        <w:rPr>
          <w:rFonts w:eastAsia="Calibri"/>
          <w:sz w:val="20"/>
          <w:szCs w:val="20"/>
          <w:lang w:val="es-ES_tradnl" w:eastAsia="en-US"/>
        </w:rPr>
        <w:t xml:space="preserve"> se ha pronunciado sobre componentes del derecho a la salud en sucesivas Observaciones </w:t>
      </w:r>
      <w:r w:rsidR="00685E58">
        <w:rPr>
          <w:rFonts w:eastAsia="Calibri"/>
          <w:sz w:val="20"/>
          <w:szCs w:val="20"/>
          <w:lang w:val="es-ES_tradnl" w:eastAsia="en-US"/>
        </w:rPr>
        <w:t xml:space="preserve">Generales </w:t>
      </w:r>
      <w:r w:rsidR="00172F23">
        <w:rPr>
          <w:rFonts w:eastAsia="Calibri"/>
          <w:sz w:val="20"/>
          <w:szCs w:val="20"/>
          <w:lang w:val="es-ES_tradnl" w:eastAsia="en-US"/>
        </w:rPr>
        <w:t>N</w:t>
      </w:r>
      <w:r w:rsidR="00525F0E">
        <w:rPr>
          <w:rFonts w:eastAsia="Calibri"/>
          <w:sz w:val="20"/>
          <w:szCs w:val="20"/>
          <w:lang w:val="es-ES_tradnl" w:eastAsia="en-US"/>
        </w:rPr>
        <w:t>úmeros:</w:t>
      </w:r>
      <w:r w:rsidRPr="00350A3F">
        <w:rPr>
          <w:rFonts w:eastAsia="Calibri"/>
          <w:sz w:val="20"/>
          <w:szCs w:val="20"/>
          <w:lang w:val="es-ES_tradnl" w:eastAsia="en-US"/>
        </w:rPr>
        <w:t xml:space="preserve"> 3</w:t>
      </w:r>
      <w:r w:rsidRPr="00350A3F">
        <w:rPr>
          <w:rFonts w:eastAsia="Calibri"/>
          <w:sz w:val="20"/>
          <w:szCs w:val="20"/>
          <w:vertAlign w:val="superscript"/>
          <w:lang w:val="es-ES_tradnl" w:eastAsia="en-US"/>
        </w:rPr>
        <w:footnoteReference w:id="161"/>
      </w:r>
      <w:r w:rsidRPr="00350A3F">
        <w:rPr>
          <w:rFonts w:eastAsia="Calibri"/>
          <w:sz w:val="20"/>
          <w:szCs w:val="20"/>
          <w:lang w:val="es-ES_tradnl" w:eastAsia="en-US"/>
        </w:rPr>
        <w:t>, 4</w:t>
      </w:r>
      <w:r w:rsidRPr="00350A3F">
        <w:rPr>
          <w:rFonts w:eastAsia="Calibri"/>
          <w:sz w:val="20"/>
          <w:szCs w:val="20"/>
          <w:vertAlign w:val="superscript"/>
          <w:lang w:val="es-ES_tradnl" w:eastAsia="en-US"/>
        </w:rPr>
        <w:footnoteReference w:id="162"/>
      </w:r>
      <w:r w:rsidRPr="00350A3F">
        <w:rPr>
          <w:rFonts w:eastAsia="Calibri"/>
          <w:sz w:val="20"/>
          <w:szCs w:val="20"/>
          <w:lang w:val="es-ES_tradnl" w:eastAsia="en-US"/>
        </w:rPr>
        <w:t>, 5</w:t>
      </w:r>
      <w:r w:rsidRPr="00350A3F">
        <w:rPr>
          <w:rFonts w:eastAsia="Calibri"/>
          <w:sz w:val="20"/>
          <w:szCs w:val="20"/>
          <w:vertAlign w:val="superscript"/>
          <w:lang w:val="es-ES_tradnl" w:eastAsia="en-US"/>
        </w:rPr>
        <w:footnoteReference w:id="163"/>
      </w:r>
      <w:r w:rsidRPr="00350A3F">
        <w:rPr>
          <w:rFonts w:eastAsia="Calibri"/>
          <w:sz w:val="20"/>
          <w:szCs w:val="20"/>
          <w:lang w:val="es-ES_tradnl" w:eastAsia="en-US"/>
        </w:rPr>
        <w:t>, 6</w:t>
      </w:r>
      <w:r w:rsidRPr="00350A3F">
        <w:rPr>
          <w:rFonts w:eastAsia="Calibri"/>
          <w:sz w:val="20"/>
          <w:szCs w:val="20"/>
          <w:vertAlign w:val="superscript"/>
          <w:lang w:val="es-ES_tradnl" w:eastAsia="en-US"/>
        </w:rPr>
        <w:footnoteReference w:id="164"/>
      </w:r>
      <w:r w:rsidRPr="00350A3F">
        <w:rPr>
          <w:rFonts w:eastAsia="Calibri"/>
          <w:sz w:val="20"/>
          <w:szCs w:val="20"/>
          <w:lang w:val="es-ES_tradnl" w:eastAsia="en-US"/>
        </w:rPr>
        <w:t>,</w:t>
      </w:r>
      <w:r>
        <w:rPr>
          <w:rFonts w:eastAsia="Calibri"/>
          <w:sz w:val="20"/>
          <w:szCs w:val="20"/>
          <w:lang w:val="es-ES_tradnl" w:eastAsia="en-US"/>
        </w:rPr>
        <w:t xml:space="preserve"> 15</w:t>
      </w:r>
      <w:r w:rsidRPr="00350A3F">
        <w:rPr>
          <w:rFonts w:eastAsia="Calibri"/>
          <w:sz w:val="20"/>
          <w:szCs w:val="20"/>
          <w:vertAlign w:val="superscript"/>
          <w:lang w:val="es-ES_tradnl" w:eastAsia="en-US"/>
        </w:rPr>
        <w:footnoteReference w:id="165"/>
      </w:r>
      <w:r w:rsidRPr="00350A3F">
        <w:rPr>
          <w:rFonts w:eastAsia="Calibri"/>
          <w:sz w:val="20"/>
          <w:szCs w:val="20"/>
          <w:lang w:val="es-ES_tradnl" w:eastAsia="en-US"/>
        </w:rPr>
        <w:t>,</w:t>
      </w:r>
      <w:r>
        <w:rPr>
          <w:rFonts w:eastAsia="Calibri"/>
          <w:sz w:val="20"/>
          <w:szCs w:val="20"/>
          <w:lang w:val="es-ES_tradnl" w:eastAsia="en-US"/>
        </w:rPr>
        <w:t xml:space="preserve"> 16</w:t>
      </w:r>
      <w:r w:rsidRPr="00350A3F">
        <w:rPr>
          <w:rFonts w:eastAsia="Calibri"/>
          <w:sz w:val="20"/>
          <w:szCs w:val="20"/>
          <w:vertAlign w:val="superscript"/>
          <w:lang w:val="es-ES_tradnl" w:eastAsia="en-US"/>
        </w:rPr>
        <w:footnoteReference w:id="166"/>
      </w:r>
      <w:r w:rsidRPr="00350A3F">
        <w:rPr>
          <w:rFonts w:eastAsia="Calibri"/>
          <w:sz w:val="20"/>
          <w:szCs w:val="20"/>
          <w:lang w:val="es-ES_tradnl" w:eastAsia="en-US"/>
        </w:rPr>
        <w:t>,</w:t>
      </w:r>
      <w:r>
        <w:rPr>
          <w:rFonts w:eastAsia="Calibri"/>
          <w:sz w:val="20"/>
          <w:szCs w:val="20"/>
          <w:lang w:val="es-ES_tradnl" w:eastAsia="en-US"/>
        </w:rPr>
        <w:t xml:space="preserve"> 18</w:t>
      </w:r>
      <w:r w:rsidRPr="00350A3F">
        <w:rPr>
          <w:rFonts w:eastAsia="Calibri"/>
          <w:sz w:val="20"/>
          <w:szCs w:val="20"/>
          <w:vertAlign w:val="superscript"/>
          <w:lang w:val="es-ES_tradnl" w:eastAsia="en-US"/>
        </w:rPr>
        <w:footnoteReference w:id="167"/>
      </w:r>
      <w:r w:rsidRPr="00350A3F">
        <w:rPr>
          <w:rFonts w:eastAsia="Calibri"/>
          <w:sz w:val="20"/>
          <w:szCs w:val="20"/>
          <w:lang w:val="es-ES_tradnl" w:eastAsia="en-US"/>
        </w:rPr>
        <w:t>,</w:t>
      </w:r>
      <w:r>
        <w:rPr>
          <w:rFonts w:eastAsia="Calibri"/>
          <w:sz w:val="20"/>
          <w:szCs w:val="20"/>
          <w:lang w:val="es-ES_tradnl" w:eastAsia="en-US"/>
        </w:rPr>
        <w:t xml:space="preserve"> 19</w:t>
      </w:r>
      <w:r w:rsidRPr="00350A3F">
        <w:rPr>
          <w:rFonts w:eastAsia="Calibri"/>
          <w:sz w:val="20"/>
          <w:szCs w:val="20"/>
          <w:vertAlign w:val="superscript"/>
          <w:lang w:val="es-ES_tradnl" w:eastAsia="en-US"/>
        </w:rPr>
        <w:footnoteReference w:id="168"/>
      </w:r>
      <w:r w:rsidRPr="00350A3F">
        <w:rPr>
          <w:rFonts w:eastAsia="Calibri"/>
          <w:sz w:val="20"/>
          <w:szCs w:val="20"/>
          <w:lang w:val="es-ES_tradnl" w:eastAsia="en-US"/>
        </w:rPr>
        <w:t xml:space="preserve"> y </w:t>
      </w:r>
      <w:r>
        <w:rPr>
          <w:rFonts w:eastAsia="Calibri"/>
          <w:sz w:val="20"/>
          <w:szCs w:val="20"/>
          <w:lang w:val="es-ES_tradnl" w:eastAsia="en-US"/>
        </w:rPr>
        <w:t>20</w:t>
      </w:r>
      <w:r w:rsidRPr="00350A3F">
        <w:rPr>
          <w:rFonts w:eastAsia="Calibri"/>
          <w:sz w:val="20"/>
          <w:szCs w:val="20"/>
          <w:vertAlign w:val="superscript"/>
          <w:lang w:val="es-ES_tradnl" w:eastAsia="en-US"/>
        </w:rPr>
        <w:footnoteReference w:id="169"/>
      </w:r>
      <w:r w:rsidRPr="00350A3F">
        <w:rPr>
          <w:rFonts w:eastAsia="Calibri"/>
          <w:sz w:val="20"/>
          <w:szCs w:val="20"/>
          <w:lang w:val="es-ES_tradnl" w:eastAsia="en-US"/>
        </w:rPr>
        <w:t>.</w:t>
      </w:r>
      <w:r>
        <w:rPr>
          <w:rFonts w:eastAsia="Calibri"/>
          <w:sz w:val="20"/>
          <w:szCs w:val="20"/>
          <w:lang w:val="es-ES_tradnl" w:eastAsia="en-US"/>
        </w:rPr>
        <w:t xml:space="preserve"> En la región americana, el</w:t>
      </w:r>
      <w:r w:rsidRPr="00430EB8">
        <w:rPr>
          <w:rFonts w:eastAsia="Calibri"/>
          <w:sz w:val="20"/>
          <w:szCs w:val="20"/>
          <w:lang w:val="es-ES_tradnl" w:eastAsia="en-US"/>
        </w:rPr>
        <w:t xml:space="preserve"> Grupo de </w:t>
      </w:r>
      <w:r w:rsidR="005D402A">
        <w:rPr>
          <w:rFonts w:eastAsia="Calibri"/>
          <w:sz w:val="20"/>
          <w:szCs w:val="20"/>
          <w:lang w:val="es-ES_tradnl" w:eastAsia="en-US"/>
        </w:rPr>
        <w:t>T</w:t>
      </w:r>
      <w:r w:rsidRPr="00430EB8">
        <w:rPr>
          <w:rFonts w:eastAsia="Calibri"/>
          <w:sz w:val="20"/>
          <w:szCs w:val="20"/>
          <w:lang w:val="es-ES_tradnl" w:eastAsia="en-US"/>
        </w:rPr>
        <w:t>rabajo de la OEA para el análisis de los Informes Anuales</w:t>
      </w:r>
      <w:r>
        <w:rPr>
          <w:rFonts w:eastAsia="Calibri"/>
          <w:sz w:val="20"/>
          <w:szCs w:val="20"/>
          <w:lang w:val="es-ES_tradnl" w:eastAsia="en-US"/>
        </w:rPr>
        <w:t xml:space="preserve"> sobre </w:t>
      </w:r>
      <w:r w:rsidR="0020728F">
        <w:rPr>
          <w:rFonts w:eastAsia="Calibri"/>
          <w:sz w:val="20"/>
          <w:szCs w:val="20"/>
          <w:lang w:val="es-ES_tradnl" w:eastAsia="en-US"/>
        </w:rPr>
        <w:t>I</w:t>
      </w:r>
      <w:r>
        <w:rPr>
          <w:rFonts w:eastAsia="Calibri"/>
          <w:sz w:val="20"/>
          <w:szCs w:val="20"/>
          <w:lang w:val="es-ES_tradnl" w:eastAsia="en-US"/>
        </w:rPr>
        <w:t xml:space="preserve">ndicadores de </w:t>
      </w:r>
      <w:r w:rsidR="0020728F">
        <w:rPr>
          <w:rFonts w:eastAsia="Calibri"/>
          <w:sz w:val="20"/>
          <w:szCs w:val="20"/>
          <w:lang w:val="es-ES_tradnl" w:eastAsia="en-US"/>
        </w:rPr>
        <w:t>P</w:t>
      </w:r>
      <w:r w:rsidRPr="00430EB8">
        <w:rPr>
          <w:rFonts w:eastAsia="Calibri"/>
          <w:sz w:val="20"/>
          <w:szCs w:val="20"/>
          <w:lang w:val="es-ES_tradnl" w:eastAsia="en-US"/>
        </w:rPr>
        <w:t xml:space="preserve">rogreso, </w:t>
      </w:r>
      <w:r w:rsidR="00A86D37">
        <w:rPr>
          <w:rFonts w:eastAsia="Calibri"/>
          <w:sz w:val="20"/>
          <w:szCs w:val="20"/>
          <w:lang w:val="es-ES_tradnl" w:eastAsia="en-US"/>
        </w:rPr>
        <w:t xml:space="preserve">también </w:t>
      </w:r>
      <w:r>
        <w:rPr>
          <w:rFonts w:eastAsia="Calibri"/>
          <w:sz w:val="20"/>
          <w:szCs w:val="20"/>
          <w:lang w:val="es-ES_tradnl" w:eastAsia="en-US"/>
        </w:rPr>
        <w:t xml:space="preserve">se ha referido al </w:t>
      </w:r>
      <w:r w:rsidRPr="00430EB8">
        <w:rPr>
          <w:rFonts w:eastAsia="Calibri"/>
          <w:sz w:val="20"/>
          <w:szCs w:val="20"/>
          <w:lang w:val="es-ES_tradnl" w:eastAsia="en-US"/>
        </w:rPr>
        <w:t>análisis del derecho a la salud</w:t>
      </w:r>
      <w:r w:rsidRPr="00430EB8">
        <w:rPr>
          <w:rFonts w:eastAsia="Calibri"/>
          <w:sz w:val="20"/>
          <w:szCs w:val="20"/>
          <w:vertAlign w:val="superscript"/>
          <w:lang w:val="es-ES_tradnl" w:eastAsia="en-US"/>
        </w:rPr>
        <w:footnoteReference w:id="170"/>
      </w:r>
      <w:r w:rsidRPr="00430EB8">
        <w:rPr>
          <w:rFonts w:eastAsia="Calibri"/>
          <w:sz w:val="20"/>
          <w:szCs w:val="20"/>
          <w:lang w:val="es-ES_tradnl" w:eastAsia="en-US"/>
        </w:rPr>
        <w:t>.</w:t>
      </w:r>
    </w:p>
    <w:p w14:paraId="55ED2011" w14:textId="77777777" w:rsidR="00525F0E" w:rsidRPr="005570C8" w:rsidRDefault="00525F0E" w:rsidP="002A64C9">
      <w:pPr>
        <w:tabs>
          <w:tab w:val="left" w:pos="567"/>
        </w:tabs>
        <w:rPr>
          <w:rFonts w:eastAsia="Calibri"/>
          <w:sz w:val="20"/>
          <w:szCs w:val="20"/>
          <w:lang w:val="es-AR" w:eastAsia="en-US"/>
        </w:rPr>
      </w:pPr>
    </w:p>
    <w:p w14:paraId="2EF5E58E" w14:textId="77A8871F" w:rsidR="00A23D78" w:rsidRPr="007E5CD5" w:rsidRDefault="00A23D78" w:rsidP="00A23D78">
      <w:pPr>
        <w:numPr>
          <w:ilvl w:val="0"/>
          <w:numId w:val="2"/>
        </w:numPr>
        <w:tabs>
          <w:tab w:val="left" w:pos="567"/>
          <w:tab w:val="num" w:pos="1569"/>
          <w:tab w:val="num" w:pos="12305"/>
        </w:tabs>
        <w:ind w:left="0" w:firstLine="0"/>
        <w:rPr>
          <w:rFonts w:eastAsia="Calibri"/>
          <w:sz w:val="20"/>
          <w:szCs w:val="20"/>
          <w:lang w:val="es-ES_tradnl" w:eastAsia="en-US"/>
        </w:rPr>
      </w:pPr>
      <w:r w:rsidRPr="005570C8">
        <w:rPr>
          <w:rFonts w:eastAsia="Calibri"/>
          <w:sz w:val="20"/>
          <w:szCs w:val="20"/>
          <w:lang w:val="es-MX" w:eastAsia="en-US"/>
        </w:rPr>
        <w:t>Tomando en cuenta</w:t>
      </w:r>
      <w:r w:rsidR="00C20994" w:rsidRPr="003F402C">
        <w:rPr>
          <w:rFonts w:eastAsia="Calibri"/>
          <w:sz w:val="20"/>
          <w:szCs w:val="20"/>
          <w:lang w:val="es-MX" w:eastAsia="en-US"/>
        </w:rPr>
        <w:t xml:space="preserve"> lo anterior, la Corte considera que </w:t>
      </w:r>
      <w:r w:rsidRPr="003F402C">
        <w:rPr>
          <w:rFonts w:eastAsia="Calibri"/>
          <w:sz w:val="20"/>
          <w:szCs w:val="20"/>
          <w:lang w:val="es-MX" w:eastAsia="en-US"/>
        </w:rPr>
        <w:t>de la consolidación del derecho a la salud se derivan diversos estánda</w:t>
      </w:r>
      <w:r w:rsidR="00E00F6E" w:rsidRPr="003F402C">
        <w:rPr>
          <w:rFonts w:eastAsia="Calibri"/>
          <w:sz w:val="20"/>
          <w:szCs w:val="20"/>
          <w:lang w:val="es-MX" w:eastAsia="en-US"/>
        </w:rPr>
        <w:t>res aplicables al presente caso,</w:t>
      </w:r>
      <w:r w:rsidRPr="00AA65C5">
        <w:rPr>
          <w:rFonts w:eastAsia="Calibri"/>
          <w:sz w:val="20"/>
          <w:szCs w:val="20"/>
          <w:lang w:val="es-ES_tradnl" w:eastAsia="en-US"/>
        </w:rPr>
        <w:t xml:space="preserve"> relativo</w:t>
      </w:r>
      <w:r w:rsidR="00A86D37">
        <w:rPr>
          <w:rFonts w:eastAsia="Calibri"/>
          <w:sz w:val="20"/>
          <w:szCs w:val="20"/>
          <w:lang w:val="es-ES_tradnl" w:eastAsia="en-US"/>
        </w:rPr>
        <w:t>s</w:t>
      </w:r>
      <w:r w:rsidRPr="00AA65C5">
        <w:rPr>
          <w:rFonts w:eastAsia="Calibri"/>
          <w:sz w:val="20"/>
          <w:szCs w:val="20"/>
          <w:lang w:val="es-ES_tradnl" w:eastAsia="en-US"/>
        </w:rPr>
        <w:t xml:space="preserve"> a prestaciones </w:t>
      </w:r>
      <w:r w:rsidR="00E00F6E" w:rsidRPr="00AA65C5">
        <w:rPr>
          <w:rFonts w:eastAsia="Calibri"/>
          <w:sz w:val="20"/>
          <w:szCs w:val="20"/>
          <w:lang w:val="es-ES_tradnl" w:eastAsia="en-US"/>
        </w:rPr>
        <w:lastRenderedPageBreak/>
        <w:t xml:space="preserve">básicas y </w:t>
      </w:r>
      <w:r w:rsidRPr="00AA65C5">
        <w:rPr>
          <w:rFonts w:eastAsia="Calibri"/>
          <w:sz w:val="20"/>
          <w:szCs w:val="20"/>
          <w:lang w:val="es-ES_tradnl" w:eastAsia="en-US"/>
        </w:rPr>
        <w:t>específicas de salud</w:t>
      </w:r>
      <w:r w:rsidR="00A4129C" w:rsidRPr="00AA65C5">
        <w:rPr>
          <w:rFonts w:eastAsia="Calibri"/>
          <w:sz w:val="20"/>
          <w:szCs w:val="20"/>
          <w:lang w:val="es-ES_tradnl" w:eastAsia="en-US"/>
        </w:rPr>
        <w:t xml:space="preserve">, </w:t>
      </w:r>
      <w:r w:rsidR="00A86D37" w:rsidRPr="00AA65C5">
        <w:rPr>
          <w:rFonts w:eastAsia="Calibri"/>
          <w:sz w:val="20"/>
          <w:szCs w:val="20"/>
          <w:lang w:val="es-ES_tradnl" w:eastAsia="en-US"/>
        </w:rPr>
        <w:t>p</w:t>
      </w:r>
      <w:r w:rsidR="00A86D37">
        <w:rPr>
          <w:rFonts w:eastAsia="Calibri"/>
          <w:sz w:val="20"/>
          <w:szCs w:val="20"/>
          <w:lang w:val="es-ES_tradnl" w:eastAsia="en-US"/>
        </w:rPr>
        <w:t>articularmente</w:t>
      </w:r>
      <w:r w:rsidR="00A86D37" w:rsidRPr="007E5CD5">
        <w:rPr>
          <w:rFonts w:eastAsia="Calibri"/>
          <w:sz w:val="20"/>
          <w:szCs w:val="20"/>
          <w:lang w:val="es-ES_tradnl" w:eastAsia="en-US"/>
        </w:rPr>
        <w:t xml:space="preserve"> </w:t>
      </w:r>
      <w:r w:rsidRPr="007E5CD5">
        <w:rPr>
          <w:rFonts w:eastAsia="Calibri"/>
          <w:sz w:val="20"/>
          <w:szCs w:val="20"/>
          <w:lang w:val="es-ES_tradnl" w:eastAsia="en-US"/>
        </w:rPr>
        <w:t>frente a situaci</w:t>
      </w:r>
      <w:r w:rsidR="008D1152" w:rsidRPr="007E5CD5">
        <w:rPr>
          <w:rFonts w:eastAsia="Calibri"/>
          <w:sz w:val="20"/>
          <w:szCs w:val="20"/>
          <w:lang w:val="es-ES_tradnl" w:eastAsia="en-US"/>
        </w:rPr>
        <w:t>ones</w:t>
      </w:r>
      <w:r w:rsidRPr="007E5CD5">
        <w:rPr>
          <w:rFonts w:eastAsia="Calibri"/>
          <w:sz w:val="20"/>
          <w:szCs w:val="20"/>
          <w:lang w:val="es-ES_tradnl" w:eastAsia="en-US"/>
        </w:rPr>
        <w:t xml:space="preserve"> de </w:t>
      </w:r>
      <w:r w:rsidR="00525F0E" w:rsidRPr="007E5CD5">
        <w:rPr>
          <w:rFonts w:eastAsia="Calibri"/>
          <w:sz w:val="20"/>
          <w:szCs w:val="20"/>
          <w:lang w:val="es-ES_tradnl" w:eastAsia="en-US"/>
        </w:rPr>
        <w:t xml:space="preserve">urgencia o </w:t>
      </w:r>
      <w:r w:rsidRPr="007E5CD5">
        <w:rPr>
          <w:rFonts w:eastAsia="Calibri"/>
          <w:sz w:val="20"/>
          <w:szCs w:val="20"/>
          <w:lang w:val="es-ES_tradnl" w:eastAsia="en-US"/>
        </w:rPr>
        <w:t>emergencia</w:t>
      </w:r>
      <w:r w:rsidR="00A86D37">
        <w:rPr>
          <w:rFonts w:eastAsia="Calibri"/>
          <w:sz w:val="20"/>
          <w:szCs w:val="20"/>
          <w:lang w:val="es-ES_tradnl" w:eastAsia="en-US"/>
        </w:rPr>
        <w:t xml:space="preserve"> médica</w:t>
      </w:r>
      <w:r w:rsidR="00E00F6E" w:rsidRPr="007E5CD5">
        <w:rPr>
          <w:rFonts w:eastAsia="Calibri"/>
          <w:sz w:val="20"/>
          <w:szCs w:val="20"/>
          <w:lang w:val="es-ES_tradnl" w:eastAsia="en-US"/>
        </w:rPr>
        <w:t xml:space="preserve">. </w:t>
      </w:r>
    </w:p>
    <w:p w14:paraId="5DF7F10C" w14:textId="77777777" w:rsidR="009A08AB" w:rsidRPr="005570C8" w:rsidRDefault="009A08AB" w:rsidP="00016220">
      <w:pPr>
        <w:tabs>
          <w:tab w:val="left" w:pos="567"/>
        </w:tabs>
        <w:rPr>
          <w:rFonts w:eastAsia="Calibri"/>
          <w:sz w:val="20"/>
          <w:szCs w:val="20"/>
          <w:lang w:val="es-ES_tradnl" w:eastAsia="en-US"/>
        </w:rPr>
      </w:pPr>
    </w:p>
    <w:p w14:paraId="2A743940" w14:textId="23DB127B" w:rsidR="00C20994" w:rsidRPr="009A08AB" w:rsidRDefault="009A08AB" w:rsidP="00016220">
      <w:pPr>
        <w:numPr>
          <w:ilvl w:val="0"/>
          <w:numId w:val="2"/>
        </w:numPr>
        <w:tabs>
          <w:tab w:val="left" w:pos="567"/>
          <w:tab w:val="num" w:pos="1569"/>
          <w:tab w:val="num" w:pos="12305"/>
        </w:tabs>
        <w:ind w:left="0" w:firstLine="0"/>
        <w:rPr>
          <w:rFonts w:eastAsia="Calibri"/>
          <w:sz w:val="20"/>
          <w:szCs w:val="20"/>
          <w:lang w:val="es-MX" w:eastAsia="en-US"/>
        </w:rPr>
      </w:pPr>
      <w:r>
        <w:rPr>
          <w:rFonts w:eastAsia="Calibri"/>
          <w:sz w:val="20"/>
          <w:szCs w:val="20"/>
          <w:lang w:val="es-ES_tradnl" w:eastAsia="en-US"/>
        </w:rPr>
        <w:t>Para ello, a continuación la Corte analizará los estándares relacionados co</w:t>
      </w:r>
      <w:r w:rsidR="004A1B76">
        <w:rPr>
          <w:rFonts w:eastAsia="Calibri"/>
          <w:sz w:val="20"/>
          <w:szCs w:val="20"/>
          <w:lang w:val="es-ES_tradnl" w:eastAsia="en-US"/>
        </w:rPr>
        <w:t>n el derecho a la salud en situaciones</w:t>
      </w:r>
      <w:r>
        <w:rPr>
          <w:rFonts w:eastAsia="Calibri"/>
          <w:sz w:val="20"/>
          <w:szCs w:val="20"/>
          <w:lang w:val="es-ES_tradnl" w:eastAsia="en-US"/>
        </w:rPr>
        <w:t xml:space="preserve"> de </w:t>
      </w:r>
      <w:r w:rsidR="002A64C9">
        <w:rPr>
          <w:rFonts w:eastAsia="Calibri"/>
          <w:sz w:val="20"/>
          <w:szCs w:val="20"/>
          <w:lang w:val="es-ES_tradnl" w:eastAsia="en-US"/>
        </w:rPr>
        <w:t xml:space="preserve">urgencias </w:t>
      </w:r>
      <w:r>
        <w:rPr>
          <w:rFonts w:eastAsia="Calibri"/>
          <w:sz w:val="20"/>
          <w:szCs w:val="20"/>
          <w:lang w:val="es-ES_tradnl" w:eastAsia="en-US"/>
        </w:rPr>
        <w:t>médicas</w:t>
      </w:r>
      <w:r w:rsidR="004A1B76">
        <w:rPr>
          <w:rFonts w:eastAsia="Calibri"/>
          <w:sz w:val="20"/>
          <w:szCs w:val="20"/>
          <w:lang w:val="es-ES_tradnl" w:eastAsia="en-US"/>
        </w:rPr>
        <w:t xml:space="preserve"> (</w:t>
      </w:r>
      <w:proofErr w:type="spellStart"/>
      <w:r w:rsidR="004A1B76">
        <w:rPr>
          <w:rFonts w:eastAsia="Calibri"/>
          <w:sz w:val="20"/>
          <w:szCs w:val="20"/>
          <w:lang w:val="es-ES_tradnl" w:eastAsia="en-US"/>
        </w:rPr>
        <w:t>párrs</w:t>
      </w:r>
      <w:proofErr w:type="spellEnd"/>
      <w:r w:rsidR="004A1B76">
        <w:rPr>
          <w:rFonts w:eastAsia="Calibri"/>
          <w:sz w:val="20"/>
          <w:szCs w:val="20"/>
          <w:lang w:val="es-ES_tradnl" w:eastAsia="en-US"/>
        </w:rPr>
        <w:t>. 118 a 124)</w:t>
      </w:r>
      <w:r>
        <w:rPr>
          <w:rFonts w:eastAsia="Calibri"/>
          <w:sz w:val="20"/>
          <w:szCs w:val="20"/>
          <w:lang w:val="es-ES_tradnl" w:eastAsia="en-US"/>
        </w:rPr>
        <w:t xml:space="preserve">, así como respecto de </w:t>
      </w:r>
      <w:r w:rsidR="0001661C" w:rsidRPr="00B1523A">
        <w:rPr>
          <w:rFonts w:eastAsia="Calibri"/>
          <w:sz w:val="20"/>
          <w:szCs w:val="20"/>
          <w:lang w:val="es-ES_tradnl" w:eastAsia="en-US"/>
        </w:rPr>
        <w:t>las personas</w:t>
      </w:r>
      <w:r w:rsidR="0001661C" w:rsidRPr="00AB1E03">
        <w:rPr>
          <w:rFonts w:eastAsia="Calibri"/>
          <w:b/>
          <w:sz w:val="20"/>
          <w:szCs w:val="20"/>
          <w:lang w:val="es-ES_tradnl" w:eastAsia="en-US"/>
        </w:rPr>
        <w:t xml:space="preserve"> </w:t>
      </w:r>
      <w:r>
        <w:rPr>
          <w:rFonts w:eastAsia="Calibri"/>
          <w:sz w:val="20"/>
          <w:szCs w:val="20"/>
          <w:lang w:val="es-ES_tradnl" w:eastAsia="en-US"/>
        </w:rPr>
        <w:t>mayores</w:t>
      </w:r>
      <w:r w:rsidR="004A1B76">
        <w:rPr>
          <w:rFonts w:eastAsia="Calibri"/>
          <w:sz w:val="20"/>
          <w:szCs w:val="20"/>
          <w:lang w:val="es-ES_tradnl" w:eastAsia="en-US"/>
        </w:rPr>
        <w:t xml:space="preserve"> (</w:t>
      </w:r>
      <w:proofErr w:type="spellStart"/>
      <w:r w:rsidR="004A1B76">
        <w:rPr>
          <w:rFonts w:eastAsia="Calibri"/>
          <w:sz w:val="20"/>
          <w:szCs w:val="20"/>
          <w:lang w:val="es-ES_tradnl" w:eastAsia="en-US"/>
        </w:rPr>
        <w:t>párrs</w:t>
      </w:r>
      <w:proofErr w:type="spellEnd"/>
      <w:r w:rsidR="004A1B76">
        <w:rPr>
          <w:rFonts w:eastAsia="Calibri"/>
          <w:sz w:val="20"/>
          <w:szCs w:val="20"/>
          <w:lang w:val="es-ES_tradnl" w:eastAsia="en-US"/>
        </w:rPr>
        <w:t>. 125 a 132)</w:t>
      </w:r>
      <w:r>
        <w:rPr>
          <w:rFonts w:eastAsia="Calibri"/>
          <w:sz w:val="20"/>
          <w:szCs w:val="20"/>
          <w:lang w:val="es-ES_tradnl" w:eastAsia="en-US"/>
        </w:rPr>
        <w:t xml:space="preserve">, para luego realizar las valoraciones correspondientes aplicables al </w:t>
      </w:r>
      <w:r w:rsidR="001E5513">
        <w:rPr>
          <w:rFonts w:eastAsia="Calibri"/>
          <w:sz w:val="20"/>
          <w:szCs w:val="20"/>
          <w:lang w:val="es-ES_tradnl" w:eastAsia="en-US"/>
        </w:rPr>
        <w:t>presente caso</w:t>
      </w:r>
      <w:r w:rsidR="004A1B76">
        <w:rPr>
          <w:rFonts w:eastAsia="Calibri"/>
          <w:sz w:val="20"/>
          <w:szCs w:val="20"/>
          <w:lang w:val="es-ES_tradnl" w:eastAsia="en-US"/>
        </w:rPr>
        <w:t xml:space="preserve"> (</w:t>
      </w:r>
      <w:proofErr w:type="spellStart"/>
      <w:r w:rsidR="004A1B76">
        <w:rPr>
          <w:rFonts w:eastAsia="Calibri"/>
          <w:sz w:val="20"/>
          <w:szCs w:val="20"/>
          <w:lang w:val="es-ES_tradnl" w:eastAsia="en-US"/>
        </w:rPr>
        <w:t>párrs</w:t>
      </w:r>
      <w:proofErr w:type="spellEnd"/>
      <w:r w:rsidR="004A1B76">
        <w:rPr>
          <w:rFonts w:eastAsia="Calibri"/>
          <w:sz w:val="20"/>
          <w:szCs w:val="20"/>
          <w:lang w:val="es-ES_tradnl" w:eastAsia="en-US"/>
        </w:rPr>
        <w:t>. 133 a 143)</w:t>
      </w:r>
      <w:r>
        <w:rPr>
          <w:rFonts w:eastAsia="Calibri"/>
          <w:sz w:val="20"/>
          <w:szCs w:val="20"/>
          <w:lang w:val="es-ES_tradnl" w:eastAsia="en-US"/>
        </w:rPr>
        <w:t xml:space="preserve">. </w:t>
      </w:r>
    </w:p>
    <w:p w14:paraId="275487D6" w14:textId="754A0C70" w:rsidR="002C6D1C" w:rsidRPr="00A34C6F" w:rsidRDefault="002C6D1C" w:rsidP="008D1152">
      <w:pPr>
        <w:pStyle w:val="Heading4"/>
        <w:ind w:left="2124"/>
        <w:rPr>
          <w:rFonts w:eastAsia="Calibri"/>
          <w:b/>
          <w:lang w:val="es-MX" w:eastAsia="en-US"/>
        </w:rPr>
      </w:pPr>
      <w:bookmarkStart w:id="79" w:name="_Toc513644468"/>
      <w:r w:rsidRPr="00A34C6F">
        <w:rPr>
          <w:rFonts w:eastAsia="Calibri"/>
          <w:b/>
          <w:lang w:val="es-MX" w:eastAsia="en-US"/>
        </w:rPr>
        <w:t>1.1.1 Estándar</w:t>
      </w:r>
      <w:r w:rsidR="00A34C6F" w:rsidRPr="00A34C6F">
        <w:rPr>
          <w:rFonts w:eastAsia="Calibri"/>
          <w:b/>
          <w:lang w:val="es-MX" w:eastAsia="en-US"/>
        </w:rPr>
        <w:t>es</w:t>
      </w:r>
      <w:r w:rsidRPr="00A34C6F">
        <w:rPr>
          <w:rFonts w:eastAsia="Calibri"/>
          <w:b/>
          <w:lang w:val="es-MX" w:eastAsia="en-US"/>
        </w:rPr>
        <w:t xml:space="preserve"> </w:t>
      </w:r>
      <w:r w:rsidR="00317E0D">
        <w:rPr>
          <w:rFonts w:eastAsia="Calibri"/>
          <w:b/>
          <w:lang w:val="es-MX" w:eastAsia="en-US"/>
        </w:rPr>
        <w:t>sobre el</w:t>
      </w:r>
      <w:r w:rsidRPr="00A34C6F">
        <w:rPr>
          <w:rFonts w:eastAsia="Calibri"/>
          <w:b/>
          <w:lang w:val="es-MX" w:eastAsia="en-US"/>
        </w:rPr>
        <w:t xml:space="preserve"> derecho a </w:t>
      </w:r>
      <w:proofErr w:type="gramStart"/>
      <w:r w:rsidRPr="00A34C6F">
        <w:rPr>
          <w:rFonts w:eastAsia="Calibri"/>
          <w:b/>
          <w:lang w:val="es-MX" w:eastAsia="en-US"/>
        </w:rPr>
        <w:t>la salud aplicable</w:t>
      </w:r>
      <w:r w:rsidR="00A34C6F" w:rsidRPr="00A34C6F">
        <w:rPr>
          <w:rFonts w:eastAsia="Calibri"/>
          <w:b/>
          <w:lang w:val="es-MX" w:eastAsia="en-US"/>
        </w:rPr>
        <w:t>s</w:t>
      </w:r>
      <w:proofErr w:type="gramEnd"/>
      <w:r w:rsidRPr="00A34C6F">
        <w:rPr>
          <w:rFonts w:eastAsia="Calibri"/>
          <w:b/>
          <w:lang w:val="es-MX" w:eastAsia="en-US"/>
        </w:rPr>
        <w:t xml:space="preserve"> a</w:t>
      </w:r>
      <w:r w:rsidR="008D1152">
        <w:rPr>
          <w:rFonts w:eastAsia="Calibri"/>
          <w:b/>
          <w:lang w:val="es-MX" w:eastAsia="en-US"/>
        </w:rPr>
        <w:t xml:space="preserve"> situaciones de</w:t>
      </w:r>
      <w:r w:rsidRPr="00A34C6F">
        <w:rPr>
          <w:rFonts w:eastAsia="Calibri"/>
          <w:b/>
          <w:lang w:val="es-MX" w:eastAsia="en-US"/>
        </w:rPr>
        <w:t xml:space="preserve"> </w:t>
      </w:r>
      <w:r w:rsidR="008D1152">
        <w:rPr>
          <w:rFonts w:eastAsia="Calibri"/>
          <w:b/>
          <w:lang w:val="es-MX" w:eastAsia="en-US"/>
        </w:rPr>
        <w:t>urgencia</w:t>
      </w:r>
      <w:r w:rsidRPr="00A34C6F">
        <w:rPr>
          <w:rFonts w:eastAsia="Calibri"/>
          <w:b/>
          <w:lang w:val="es-MX" w:eastAsia="en-US"/>
        </w:rPr>
        <w:t xml:space="preserve"> médica</w:t>
      </w:r>
      <w:bookmarkEnd w:id="79"/>
    </w:p>
    <w:p w14:paraId="6FEBC231" w14:textId="77777777" w:rsidR="002570D1" w:rsidRPr="005430FF" w:rsidRDefault="002570D1" w:rsidP="002570D1">
      <w:pPr>
        <w:ind w:left="-90" w:right="-360"/>
        <w:contextualSpacing/>
        <w:rPr>
          <w:rFonts w:eastAsia="Calibri"/>
          <w:sz w:val="20"/>
          <w:szCs w:val="20"/>
          <w:lang w:val="es-ES_tradnl" w:eastAsia="en-US"/>
        </w:rPr>
      </w:pPr>
    </w:p>
    <w:p w14:paraId="4285BB9A" w14:textId="3BAE6644" w:rsidR="002570D1" w:rsidRPr="002570D1" w:rsidRDefault="002570D1" w:rsidP="002570D1">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val="es-ES_tradnl" w:eastAsia="en-US"/>
        </w:rPr>
        <w:t xml:space="preserve">La Corte </w:t>
      </w:r>
      <w:r w:rsidR="00F57486">
        <w:rPr>
          <w:rFonts w:eastAsia="Calibri"/>
          <w:sz w:val="20"/>
          <w:szCs w:val="20"/>
          <w:lang w:val="es-ES_tradnl" w:eastAsia="en-US"/>
        </w:rPr>
        <w:t xml:space="preserve">estima </w:t>
      </w:r>
      <w:r w:rsidRPr="002570D1">
        <w:rPr>
          <w:rFonts w:eastAsia="Calibri"/>
          <w:sz w:val="20"/>
          <w:szCs w:val="20"/>
          <w:lang w:val="es-ES_tradnl" w:eastAsia="en-US"/>
        </w:rPr>
        <w:t xml:space="preserve">que la salud es un derecho humano fundamental e indispensable para el ejercicio </w:t>
      </w:r>
      <w:r w:rsidR="00636C77">
        <w:rPr>
          <w:rFonts w:eastAsia="Calibri"/>
          <w:sz w:val="20"/>
          <w:szCs w:val="20"/>
          <w:lang w:val="es-ES_tradnl" w:eastAsia="en-US"/>
        </w:rPr>
        <w:t xml:space="preserve">adecuado </w:t>
      </w:r>
      <w:r w:rsidRPr="002570D1">
        <w:rPr>
          <w:rFonts w:eastAsia="Calibri"/>
          <w:sz w:val="20"/>
          <w:szCs w:val="20"/>
          <w:lang w:val="es-ES_tradnl" w:eastAsia="en-US"/>
        </w:rPr>
        <w:t>de los demás derechos humanos. Todo ser humano tiene derecho al disfrute del más alto nivel posible de salud que le permita vivir dignamente</w:t>
      </w:r>
      <w:r w:rsidRPr="002570D1">
        <w:rPr>
          <w:rFonts w:eastAsia="Calibri"/>
          <w:sz w:val="20"/>
          <w:szCs w:val="20"/>
          <w:vertAlign w:val="superscript"/>
          <w:lang w:val="es-ES_tradnl" w:eastAsia="en-US"/>
        </w:rPr>
        <w:footnoteReference w:id="171"/>
      </w:r>
      <w:r w:rsidR="00FE1316">
        <w:rPr>
          <w:rFonts w:eastAsia="Calibri"/>
          <w:sz w:val="20"/>
          <w:szCs w:val="20"/>
          <w:lang w:val="es-ES_tradnl" w:eastAsia="en-US"/>
        </w:rPr>
        <w:t>, entendid</w:t>
      </w:r>
      <w:r w:rsidR="00EC5CFC">
        <w:rPr>
          <w:rFonts w:eastAsia="Calibri"/>
          <w:sz w:val="20"/>
          <w:szCs w:val="20"/>
          <w:lang w:val="es-ES_tradnl" w:eastAsia="en-US"/>
        </w:rPr>
        <w:t>a</w:t>
      </w:r>
      <w:r w:rsidR="00FE1316">
        <w:rPr>
          <w:rFonts w:eastAsia="Calibri"/>
          <w:sz w:val="20"/>
          <w:szCs w:val="20"/>
          <w:lang w:val="es-ES_tradnl" w:eastAsia="en-US"/>
        </w:rPr>
        <w:t xml:space="preserve"> la salud</w:t>
      </w:r>
      <w:r w:rsidR="007158CA" w:rsidRPr="00B1523A">
        <w:rPr>
          <w:rStyle w:val="FootnoteReference"/>
          <w:rFonts w:eastAsia="Calibri"/>
          <w:sz w:val="20"/>
          <w:szCs w:val="20"/>
          <w:lang w:val="es-ES_tradnl" w:eastAsia="en-US"/>
        </w:rPr>
        <w:footnoteReference w:id="172"/>
      </w:r>
      <w:r w:rsidR="00FE1316">
        <w:rPr>
          <w:rFonts w:eastAsia="Calibri"/>
          <w:sz w:val="20"/>
          <w:szCs w:val="20"/>
          <w:lang w:val="es-ES_tradnl" w:eastAsia="en-US"/>
        </w:rPr>
        <w:t xml:space="preserve">, no sólo como la ausencia de </w:t>
      </w:r>
      <w:r w:rsidR="007158CA" w:rsidRPr="00B1523A">
        <w:rPr>
          <w:rFonts w:eastAsia="Calibri"/>
          <w:sz w:val="20"/>
          <w:szCs w:val="20"/>
          <w:lang w:val="es-ES_tradnl" w:eastAsia="en-US"/>
        </w:rPr>
        <w:t xml:space="preserve">afecciones o </w:t>
      </w:r>
      <w:r w:rsidR="00FE1316" w:rsidRPr="008952D9">
        <w:rPr>
          <w:rFonts w:eastAsia="Calibri"/>
          <w:sz w:val="20"/>
          <w:szCs w:val="20"/>
          <w:lang w:val="es-ES_tradnl" w:eastAsia="en-US"/>
        </w:rPr>
        <w:t xml:space="preserve">enfermedades, sino también </w:t>
      </w:r>
      <w:r w:rsidR="000F49A2">
        <w:rPr>
          <w:rFonts w:eastAsia="Calibri"/>
          <w:sz w:val="20"/>
          <w:szCs w:val="20"/>
          <w:lang w:val="es-ES_tradnl" w:eastAsia="en-US"/>
        </w:rPr>
        <w:t>a</w:t>
      </w:r>
      <w:r w:rsidR="000F49A2" w:rsidRPr="008952D9">
        <w:rPr>
          <w:rFonts w:eastAsia="Calibri"/>
          <w:sz w:val="20"/>
          <w:szCs w:val="20"/>
          <w:lang w:val="es-ES_tradnl" w:eastAsia="en-US"/>
        </w:rPr>
        <w:t xml:space="preserve"> </w:t>
      </w:r>
      <w:r w:rsidR="00FE1316" w:rsidRPr="008952D9">
        <w:rPr>
          <w:rFonts w:eastAsia="Calibri"/>
          <w:sz w:val="20"/>
          <w:szCs w:val="20"/>
          <w:lang w:val="es-ES_tradnl" w:eastAsia="en-US"/>
        </w:rPr>
        <w:t xml:space="preserve">un estado </w:t>
      </w:r>
      <w:r w:rsidR="007158CA" w:rsidRPr="00B1523A">
        <w:rPr>
          <w:rFonts w:eastAsia="Calibri"/>
          <w:sz w:val="20"/>
          <w:szCs w:val="20"/>
          <w:lang w:val="es-ES_tradnl" w:eastAsia="en-US"/>
        </w:rPr>
        <w:t>completo</w:t>
      </w:r>
      <w:r w:rsidR="007158CA" w:rsidRPr="008952D9">
        <w:rPr>
          <w:rFonts w:eastAsia="Calibri"/>
          <w:sz w:val="20"/>
          <w:szCs w:val="20"/>
          <w:lang w:val="es-ES_tradnl" w:eastAsia="en-US"/>
        </w:rPr>
        <w:t xml:space="preserve"> </w:t>
      </w:r>
      <w:r w:rsidR="00FE1316" w:rsidRPr="008952D9">
        <w:rPr>
          <w:rFonts w:eastAsia="Calibri"/>
          <w:sz w:val="20"/>
          <w:szCs w:val="20"/>
          <w:lang w:val="es-ES_tradnl" w:eastAsia="en-US"/>
        </w:rPr>
        <w:t>de bienestar</w:t>
      </w:r>
      <w:r w:rsidR="007158CA" w:rsidRPr="008952D9">
        <w:rPr>
          <w:rFonts w:eastAsia="Calibri"/>
          <w:sz w:val="20"/>
          <w:szCs w:val="20"/>
          <w:lang w:val="es-ES_tradnl" w:eastAsia="en-US"/>
        </w:rPr>
        <w:t xml:space="preserve"> </w:t>
      </w:r>
      <w:r w:rsidR="007158CA" w:rsidRPr="00B1523A">
        <w:rPr>
          <w:rFonts w:eastAsia="Calibri"/>
          <w:sz w:val="20"/>
          <w:szCs w:val="20"/>
          <w:lang w:val="es-ES_tradnl" w:eastAsia="en-US"/>
        </w:rPr>
        <w:t>físico, mental y social,</w:t>
      </w:r>
      <w:r w:rsidR="00FE1316">
        <w:rPr>
          <w:rFonts w:eastAsia="Calibri"/>
          <w:sz w:val="20"/>
          <w:szCs w:val="20"/>
          <w:lang w:val="es-ES_tradnl" w:eastAsia="en-US"/>
        </w:rPr>
        <w:t xml:space="preserve"> derivado de un estilo de vida que permita alcanzar a las personas un balance integral</w:t>
      </w:r>
      <w:r w:rsidR="00FE1316" w:rsidRPr="007158CA">
        <w:rPr>
          <w:rFonts w:eastAsia="Calibri"/>
          <w:sz w:val="20"/>
          <w:szCs w:val="20"/>
          <w:lang w:val="es-ES_tradnl" w:eastAsia="en-US"/>
        </w:rPr>
        <w:t>.</w:t>
      </w:r>
      <w:r w:rsidRPr="002570D1">
        <w:rPr>
          <w:rFonts w:eastAsia="Calibri"/>
          <w:sz w:val="20"/>
          <w:szCs w:val="20"/>
          <w:lang w:val="es-MX" w:eastAsia="en-US"/>
        </w:rPr>
        <w:t xml:space="preserve"> </w:t>
      </w:r>
      <w:r w:rsidR="00ED348B">
        <w:rPr>
          <w:rFonts w:eastAsia="Calibri"/>
          <w:sz w:val="20"/>
          <w:szCs w:val="20"/>
          <w:lang w:val="es-MX" w:eastAsia="en-US"/>
        </w:rPr>
        <w:t>E</w:t>
      </w:r>
      <w:r w:rsidRPr="002570D1">
        <w:rPr>
          <w:rFonts w:eastAsia="Calibri"/>
          <w:sz w:val="20"/>
          <w:szCs w:val="20"/>
          <w:lang w:val="es-MX" w:eastAsia="en-US"/>
        </w:rPr>
        <w:t xml:space="preserve">l </w:t>
      </w:r>
      <w:r w:rsidR="0080260D">
        <w:rPr>
          <w:rFonts w:eastAsia="Calibri"/>
          <w:sz w:val="20"/>
          <w:szCs w:val="20"/>
          <w:lang w:val="es-MX" w:eastAsia="en-US"/>
        </w:rPr>
        <w:t>T</w:t>
      </w:r>
      <w:r w:rsidRPr="002570D1">
        <w:rPr>
          <w:rFonts w:eastAsia="Calibri"/>
          <w:sz w:val="20"/>
          <w:szCs w:val="20"/>
          <w:lang w:val="es-MX" w:eastAsia="en-US"/>
        </w:rPr>
        <w:t xml:space="preserve">ribunal ha precisado que la obligación </w:t>
      </w:r>
      <w:r w:rsidR="00E00F6E">
        <w:rPr>
          <w:rFonts w:eastAsia="Calibri"/>
          <w:sz w:val="20"/>
          <w:szCs w:val="20"/>
          <w:lang w:val="es-MX" w:eastAsia="en-US"/>
        </w:rPr>
        <w:t xml:space="preserve">general </w:t>
      </w:r>
      <w:r w:rsidRPr="002570D1">
        <w:rPr>
          <w:rFonts w:eastAsia="Calibri"/>
          <w:sz w:val="20"/>
          <w:szCs w:val="20"/>
          <w:lang w:val="es-MX" w:eastAsia="en-US"/>
        </w:rPr>
        <w:t xml:space="preserve">se traduce en el deber estatal de asegurar el acceso de las personas a servicios </w:t>
      </w:r>
      <w:r w:rsidR="00907AE0">
        <w:rPr>
          <w:rFonts w:eastAsia="Calibri"/>
          <w:sz w:val="20"/>
          <w:szCs w:val="20"/>
          <w:lang w:val="es-MX" w:eastAsia="en-US"/>
        </w:rPr>
        <w:t xml:space="preserve">esenciales </w:t>
      </w:r>
      <w:r w:rsidRPr="002570D1">
        <w:rPr>
          <w:rFonts w:eastAsia="Calibri"/>
          <w:sz w:val="20"/>
          <w:szCs w:val="20"/>
          <w:lang w:val="es-MX" w:eastAsia="en-US"/>
        </w:rPr>
        <w:t>de salud</w:t>
      </w:r>
      <w:r w:rsidRPr="002570D1">
        <w:rPr>
          <w:rFonts w:eastAsia="Calibri"/>
          <w:sz w:val="20"/>
          <w:szCs w:val="20"/>
          <w:vertAlign w:val="superscript"/>
          <w:lang w:val="es-MX" w:eastAsia="en-US"/>
        </w:rPr>
        <w:footnoteReference w:id="173"/>
      </w:r>
      <w:r w:rsidR="00ED348B">
        <w:rPr>
          <w:rFonts w:eastAsia="Calibri"/>
          <w:sz w:val="20"/>
          <w:szCs w:val="20"/>
          <w:lang w:val="es-MX" w:eastAsia="en-US"/>
        </w:rPr>
        <w:t xml:space="preserve">, </w:t>
      </w:r>
      <w:r w:rsidR="007E023E">
        <w:rPr>
          <w:rFonts w:eastAsia="Calibri"/>
          <w:sz w:val="20"/>
          <w:szCs w:val="20"/>
          <w:lang w:val="es-MX" w:eastAsia="en-US"/>
        </w:rPr>
        <w:t>garantizando</w:t>
      </w:r>
      <w:r w:rsidR="007E023E" w:rsidRPr="002570D1">
        <w:rPr>
          <w:rFonts w:eastAsia="Calibri"/>
          <w:sz w:val="20"/>
          <w:szCs w:val="20"/>
          <w:lang w:val="es-MX" w:eastAsia="en-US"/>
        </w:rPr>
        <w:t xml:space="preserve"> </w:t>
      </w:r>
      <w:r w:rsidR="00ED348B" w:rsidRPr="002570D1">
        <w:rPr>
          <w:rFonts w:eastAsia="Calibri"/>
          <w:sz w:val="20"/>
          <w:szCs w:val="20"/>
          <w:lang w:val="es-MX" w:eastAsia="en-US"/>
        </w:rPr>
        <w:t xml:space="preserve">una prestación médica </w:t>
      </w:r>
      <w:r w:rsidR="00ED348B">
        <w:rPr>
          <w:rFonts w:eastAsia="Calibri"/>
          <w:sz w:val="20"/>
          <w:szCs w:val="20"/>
          <w:lang w:val="es-MX" w:eastAsia="en-US"/>
        </w:rPr>
        <w:t>de calidad y eficaz, así como de impulsar el mejoramiento de las condiciones de salud de la población</w:t>
      </w:r>
      <w:r w:rsidRPr="002570D1">
        <w:rPr>
          <w:rFonts w:eastAsia="Calibri"/>
          <w:sz w:val="20"/>
          <w:szCs w:val="20"/>
          <w:lang w:val="es-MX" w:eastAsia="en-US"/>
        </w:rPr>
        <w:t>.</w:t>
      </w:r>
    </w:p>
    <w:p w14:paraId="1F7AC8B5" w14:textId="77777777" w:rsidR="002570D1" w:rsidRPr="002570D1" w:rsidRDefault="002570D1" w:rsidP="002570D1">
      <w:pPr>
        <w:ind w:left="-90" w:right="-360"/>
        <w:contextualSpacing/>
        <w:rPr>
          <w:rFonts w:eastAsia="Calibri"/>
          <w:sz w:val="20"/>
          <w:szCs w:val="20"/>
          <w:lang w:val="es-MX" w:eastAsia="en-US"/>
        </w:rPr>
      </w:pPr>
    </w:p>
    <w:p w14:paraId="44727F5A" w14:textId="77777777" w:rsidR="002570D1" w:rsidRPr="002570D1" w:rsidRDefault="002570D1" w:rsidP="002570D1">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val="es-MX" w:eastAsia="en-US"/>
        </w:rPr>
        <w:t xml:space="preserve"> En primer lugar, </w:t>
      </w:r>
      <w:r w:rsidR="00E00F6E">
        <w:rPr>
          <w:rFonts w:eastAsia="Calibri"/>
          <w:sz w:val="20"/>
          <w:szCs w:val="20"/>
          <w:lang w:val="es-MX" w:eastAsia="en-US"/>
        </w:rPr>
        <w:t xml:space="preserve">la operatividad de </w:t>
      </w:r>
      <w:r w:rsidRPr="002570D1">
        <w:rPr>
          <w:rFonts w:eastAsia="Calibri"/>
          <w:sz w:val="20"/>
          <w:szCs w:val="20"/>
          <w:lang w:val="es-MX" w:eastAsia="en-US"/>
        </w:rPr>
        <w:t>dicha obligación comienza con el deber de regulación</w:t>
      </w:r>
      <w:r w:rsidR="00E25B0F">
        <w:rPr>
          <w:rFonts w:eastAsia="Calibri"/>
          <w:sz w:val="20"/>
          <w:szCs w:val="20"/>
          <w:lang w:val="es-MX" w:eastAsia="en-US"/>
        </w:rPr>
        <w:t>,</w:t>
      </w:r>
      <w:r w:rsidRPr="002570D1">
        <w:rPr>
          <w:rFonts w:eastAsia="Calibri"/>
          <w:sz w:val="20"/>
          <w:szCs w:val="20"/>
          <w:lang w:val="es-MX" w:eastAsia="en-US"/>
        </w:rPr>
        <w:t xml:space="preserve"> por lo que la Corte ha indicado que los Estados son responsables de regular con carácter permanente la prestación de servicios </w:t>
      </w:r>
      <w:r w:rsidR="00E25B0F">
        <w:rPr>
          <w:rFonts w:eastAsia="Calibri"/>
          <w:sz w:val="20"/>
          <w:szCs w:val="20"/>
          <w:lang w:val="es-MX" w:eastAsia="en-US"/>
        </w:rPr>
        <w:t xml:space="preserve">(tanto públicos como privados) </w:t>
      </w:r>
      <w:r w:rsidRPr="002570D1">
        <w:rPr>
          <w:rFonts w:eastAsia="Calibri"/>
          <w:sz w:val="20"/>
          <w:szCs w:val="20"/>
          <w:lang w:val="es-MX" w:eastAsia="en-US"/>
        </w:rPr>
        <w:t>y la ejecución de programas nacionales relativos al logro de una prestación de servicios de calidad</w:t>
      </w:r>
      <w:r w:rsidRPr="002570D1">
        <w:rPr>
          <w:rFonts w:eastAsia="Calibri"/>
          <w:sz w:val="20"/>
          <w:szCs w:val="20"/>
          <w:vertAlign w:val="superscript"/>
          <w:lang w:val="es-MX" w:eastAsia="en-US"/>
        </w:rPr>
        <w:footnoteReference w:id="174"/>
      </w:r>
      <w:r w:rsidRPr="002570D1">
        <w:rPr>
          <w:rFonts w:eastAsia="Calibri"/>
          <w:sz w:val="20"/>
          <w:szCs w:val="20"/>
          <w:lang w:val="es-MX" w:eastAsia="en-US"/>
        </w:rPr>
        <w:t xml:space="preserve">. </w:t>
      </w:r>
    </w:p>
    <w:p w14:paraId="778C70FD" w14:textId="77777777" w:rsidR="002570D1" w:rsidRPr="002570D1" w:rsidRDefault="002570D1" w:rsidP="002570D1">
      <w:pPr>
        <w:ind w:right="-360"/>
        <w:contextualSpacing/>
        <w:rPr>
          <w:rFonts w:eastAsia="Calibri"/>
          <w:sz w:val="20"/>
          <w:szCs w:val="20"/>
          <w:lang w:val="es-AR" w:eastAsia="en-US"/>
        </w:rPr>
      </w:pPr>
    </w:p>
    <w:p w14:paraId="61D79D2F" w14:textId="244AF647" w:rsidR="00911089" w:rsidRPr="0059117C" w:rsidRDefault="00911089" w:rsidP="0059117C">
      <w:pPr>
        <w:numPr>
          <w:ilvl w:val="0"/>
          <w:numId w:val="2"/>
        </w:numPr>
        <w:tabs>
          <w:tab w:val="left" w:pos="567"/>
          <w:tab w:val="num" w:pos="1569"/>
          <w:tab w:val="num" w:pos="12305"/>
        </w:tabs>
        <w:ind w:left="0" w:firstLine="0"/>
        <w:rPr>
          <w:rFonts w:eastAsia="Calibri"/>
          <w:sz w:val="20"/>
          <w:szCs w:val="20"/>
          <w:lang w:val="es-ES_tradnl"/>
        </w:rPr>
      </w:pPr>
      <w:r w:rsidRPr="00DF1B7D">
        <w:rPr>
          <w:rFonts w:eastAsia="Calibri"/>
          <w:sz w:val="20"/>
          <w:szCs w:val="20"/>
          <w:lang w:val="es-ES_tradnl"/>
        </w:rPr>
        <w:t xml:space="preserve">En segundo lugar, </w:t>
      </w:r>
      <w:r w:rsidR="009455C8">
        <w:rPr>
          <w:rFonts w:eastAsia="Calibri"/>
          <w:sz w:val="20"/>
          <w:szCs w:val="20"/>
          <w:lang w:val="es-ES_tradnl"/>
        </w:rPr>
        <w:t>tomado en cu</w:t>
      </w:r>
      <w:r w:rsidR="00E73984">
        <w:rPr>
          <w:rFonts w:eastAsia="Calibri"/>
          <w:sz w:val="20"/>
          <w:szCs w:val="20"/>
          <w:lang w:val="es-ES_tradnl"/>
        </w:rPr>
        <w:t>e</w:t>
      </w:r>
      <w:r w:rsidR="009455C8">
        <w:rPr>
          <w:rFonts w:eastAsia="Calibri"/>
          <w:sz w:val="20"/>
          <w:szCs w:val="20"/>
          <w:lang w:val="es-ES_tradnl"/>
        </w:rPr>
        <w:t xml:space="preserve">nta la </w:t>
      </w:r>
      <w:r w:rsidR="009455C8" w:rsidRPr="00DF1B7D">
        <w:rPr>
          <w:rFonts w:eastAsia="Calibri"/>
          <w:sz w:val="20"/>
          <w:szCs w:val="20"/>
          <w:lang w:val="es-ES_tradnl"/>
        </w:rPr>
        <w:t>Observación General N</w:t>
      </w:r>
      <w:r w:rsidR="00FF6030">
        <w:rPr>
          <w:rFonts w:eastAsia="Calibri"/>
          <w:sz w:val="20"/>
          <w:szCs w:val="20"/>
          <w:lang w:val="es-ES_tradnl"/>
        </w:rPr>
        <w:t xml:space="preserve">o. </w:t>
      </w:r>
      <w:r w:rsidR="009455C8" w:rsidRPr="00DF1B7D">
        <w:rPr>
          <w:rFonts w:eastAsia="Calibri"/>
          <w:sz w:val="20"/>
          <w:szCs w:val="20"/>
          <w:lang w:val="es-ES_tradnl"/>
        </w:rPr>
        <w:t xml:space="preserve">14 del Comité </w:t>
      </w:r>
      <w:r w:rsidR="009455C8">
        <w:rPr>
          <w:rFonts w:eastAsia="Calibri"/>
          <w:sz w:val="20"/>
          <w:szCs w:val="20"/>
          <w:lang w:val="es-ES_tradnl"/>
        </w:rPr>
        <w:t>DESC</w:t>
      </w:r>
      <w:r w:rsidR="009455C8">
        <w:rPr>
          <w:rStyle w:val="FootnoteReference"/>
          <w:rFonts w:eastAsia="Calibri"/>
          <w:lang w:val="es-ES_tradnl"/>
        </w:rPr>
        <w:footnoteReference w:id="175"/>
      </w:r>
      <w:r w:rsidR="009455C8">
        <w:rPr>
          <w:rFonts w:eastAsia="Calibri"/>
          <w:sz w:val="20"/>
          <w:szCs w:val="20"/>
          <w:lang w:val="es-ES_tradnl"/>
        </w:rPr>
        <w:t>, este Tribunal</w:t>
      </w:r>
      <w:r w:rsidR="00E00F6E">
        <w:rPr>
          <w:rFonts w:eastAsia="Calibri"/>
          <w:sz w:val="20"/>
          <w:szCs w:val="20"/>
          <w:lang w:val="es-ES_tradnl"/>
        </w:rPr>
        <w:t xml:space="preserve"> se ha referido </w:t>
      </w:r>
      <w:r w:rsidR="009455C8">
        <w:rPr>
          <w:rFonts w:eastAsia="Calibri"/>
          <w:sz w:val="20"/>
          <w:szCs w:val="20"/>
          <w:lang w:val="es-ES_tradnl"/>
        </w:rPr>
        <w:t xml:space="preserve">a </w:t>
      </w:r>
      <w:r w:rsidRPr="00DF1B7D">
        <w:rPr>
          <w:rFonts w:eastAsia="Calibri"/>
          <w:sz w:val="20"/>
          <w:szCs w:val="20"/>
          <w:lang w:val="es-ES_tradnl"/>
        </w:rPr>
        <w:t xml:space="preserve">una serie de elementos esenciales e interrelacionados, que deben </w:t>
      </w:r>
      <w:r w:rsidRPr="00DF1B7D">
        <w:rPr>
          <w:rFonts w:eastAsia="Calibri"/>
          <w:sz w:val="20"/>
          <w:szCs w:val="20"/>
          <w:lang w:val="es-ES_tradnl"/>
        </w:rPr>
        <w:lastRenderedPageBreak/>
        <w:t>satisfacerse en materia de salud</w:t>
      </w:r>
      <w:r>
        <w:rPr>
          <w:rFonts w:eastAsia="Calibri"/>
          <w:sz w:val="20"/>
          <w:szCs w:val="20"/>
          <w:lang w:val="es-ES_tradnl"/>
        </w:rPr>
        <w:t xml:space="preserve">. </w:t>
      </w:r>
      <w:r w:rsidRPr="008A3678">
        <w:rPr>
          <w:rFonts w:eastAsia="Calibri"/>
          <w:sz w:val="20"/>
          <w:szCs w:val="20"/>
          <w:lang w:val="es-ES_tradnl"/>
        </w:rPr>
        <w:t xml:space="preserve">A saber: </w:t>
      </w:r>
      <w:r w:rsidRPr="008A3678">
        <w:rPr>
          <w:rFonts w:eastAsia="Calibri"/>
          <w:i/>
          <w:sz w:val="20"/>
          <w:szCs w:val="20"/>
          <w:lang w:val="es-ES_tradnl"/>
        </w:rPr>
        <w:t>disponibilidad, accesibilidad, aceptabilidad y calidad</w:t>
      </w:r>
      <w:r w:rsidRPr="0059117C">
        <w:rPr>
          <w:rFonts w:eastAsia="Calibri"/>
          <w:sz w:val="20"/>
          <w:szCs w:val="20"/>
          <w:vertAlign w:val="superscript"/>
          <w:lang w:val="es-ES_tradnl"/>
        </w:rPr>
        <w:footnoteReference w:id="176"/>
      </w:r>
      <w:r>
        <w:rPr>
          <w:rFonts w:eastAsia="Calibri"/>
          <w:i/>
          <w:sz w:val="20"/>
          <w:szCs w:val="20"/>
          <w:lang w:val="es-ES_tradnl"/>
        </w:rPr>
        <w:t xml:space="preserve">. </w:t>
      </w:r>
    </w:p>
    <w:p w14:paraId="27B5F6E8" w14:textId="77777777" w:rsidR="00911089" w:rsidRPr="0059117C" w:rsidRDefault="00911089" w:rsidP="0059117C">
      <w:pPr>
        <w:tabs>
          <w:tab w:val="left" w:pos="567"/>
        </w:tabs>
        <w:rPr>
          <w:rFonts w:eastAsia="Calibri"/>
          <w:sz w:val="20"/>
          <w:szCs w:val="20"/>
          <w:lang w:val="es-ES_tradnl"/>
        </w:rPr>
      </w:pPr>
    </w:p>
    <w:p w14:paraId="0ACDEC2A" w14:textId="0062DDD9" w:rsidR="00911089" w:rsidRDefault="00911089" w:rsidP="0059117C">
      <w:pPr>
        <w:numPr>
          <w:ilvl w:val="0"/>
          <w:numId w:val="2"/>
        </w:numPr>
        <w:tabs>
          <w:tab w:val="left" w:pos="567"/>
          <w:tab w:val="num" w:pos="1569"/>
          <w:tab w:val="num" w:pos="12305"/>
        </w:tabs>
        <w:ind w:left="0" w:firstLine="0"/>
        <w:rPr>
          <w:rFonts w:eastAsia="Calibri"/>
          <w:sz w:val="20"/>
          <w:szCs w:val="20"/>
          <w:lang w:val="es-ES_tradnl"/>
        </w:rPr>
      </w:pPr>
      <w:r w:rsidRPr="008A3678">
        <w:rPr>
          <w:rFonts w:eastAsia="Calibri"/>
          <w:sz w:val="20"/>
          <w:szCs w:val="20"/>
          <w:lang w:val="es-ES_tradnl"/>
        </w:rPr>
        <w:t xml:space="preserve"> </w:t>
      </w:r>
      <w:r>
        <w:rPr>
          <w:rFonts w:eastAsia="Calibri"/>
          <w:sz w:val="20"/>
          <w:szCs w:val="20"/>
          <w:lang w:val="es-ES_tradnl"/>
        </w:rPr>
        <w:t xml:space="preserve">En vista de ello, esta Corte estima que </w:t>
      </w:r>
      <w:r w:rsidRPr="008A3678">
        <w:rPr>
          <w:rFonts w:eastAsia="Calibri"/>
          <w:sz w:val="20"/>
          <w:szCs w:val="20"/>
          <w:lang w:val="es-ES_tradnl"/>
        </w:rPr>
        <w:t>para efectos de las p</w:t>
      </w:r>
      <w:r>
        <w:rPr>
          <w:rFonts w:eastAsia="Calibri"/>
          <w:sz w:val="20"/>
          <w:szCs w:val="20"/>
          <w:lang w:val="es-ES_tradnl"/>
        </w:rPr>
        <w:t>restaciones médicas de urgencia, los Estados deben garantizar</w:t>
      </w:r>
      <w:r w:rsidR="004A1B76">
        <w:rPr>
          <w:rFonts w:eastAsia="Calibri"/>
          <w:sz w:val="20"/>
          <w:szCs w:val="20"/>
          <w:lang w:val="es-ES_tradnl"/>
        </w:rPr>
        <w:t>, al menos,</w:t>
      </w:r>
      <w:r>
        <w:rPr>
          <w:rFonts w:eastAsia="Calibri"/>
          <w:sz w:val="20"/>
          <w:szCs w:val="20"/>
          <w:lang w:val="es-ES_tradnl"/>
        </w:rPr>
        <w:t xml:space="preserve"> los siguientes estándares:</w:t>
      </w:r>
      <w:r w:rsidRPr="00DF1B7D">
        <w:rPr>
          <w:rFonts w:eastAsia="Calibri"/>
          <w:sz w:val="20"/>
          <w:szCs w:val="20"/>
          <w:lang w:val="es-ES_tradnl"/>
        </w:rPr>
        <w:t xml:space="preserve"> </w:t>
      </w:r>
    </w:p>
    <w:p w14:paraId="18E9BE7C" w14:textId="77777777" w:rsidR="00911089" w:rsidRDefault="00911089" w:rsidP="00911089">
      <w:pPr>
        <w:ind w:right="-360"/>
        <w:contextualSpacing/>
        <w:rPr>
          <w:rFonts w:eastAsia="Calibri"/>
          <w:sz w:val="20"/>
          <w:szCs w:val="20"/>
          <w:lang w:val="es-ES_tradnl"/>
        </w:rPr>
      </w:pPr>
    </w:p>
    <w:p w14:paraId="5A3D4980" w14:textId="6AD6BBA3" w:rsidR="00911089" w:rsidRPr="008A3678" w:rsidRDefault="00911089" w:rsidP="00911089">
      <w:pPr>
        <w:numPr>
          <w:ilvl w:val="0"/>
          <w:numId w:val="17"/>
        </w:numPr>
        <w:ind w:right="-360"/>
        <w:contextualSpacing/>
        <w:rPr>
          <w:rFonts w:eastAsia="Calibri"/>
          <w:sz w:val="20"/>
          <w:szCs w:val="20"/>
          <w:lang w:val="es-MX"/>
        </w:rPr>
      </w:pPr>
      <w:r w:rsidRPr="008A3678">
        <w:rPr>
          <w:rFonts w:eastAsia="Calibri"/>
          <w:sz w:val="20"/>
          <w:szCs w:val="20"/>
          <w:lang w:val="es-AR"/>
        </w:rPr>
        <w:t>Respecto</w:t>
      </w:r>
      <w:r w:rsidRPr="008A3678">
        <w:rPr>
          <w:rFonts w:eastAsia="Calibri"/>
          <w:sz w:val="20"/>
          <w:szCs w:val="20"/>
          <w:lang w:val="es-ES_tradnl"/>
        </w:rPr>
        <w:t xml:space="preserve"> a la</w:t>
      </w:r>
      <w:r w:rsidRPr="008A3678">
        <w:rPr>
          <w:rFonts w:eastAsia="Calibri"/>
          <w:i/>
          <w:sz w:val="20"/>
          <w:szCs w:val="20"/>
          <w:lang w:val="es-ES_tradnl"/>
        </w:rPr>
        <w:t xml:space="preserve"> calidad</w:t>
      </w:r>
      <w:r w:rsidRPr="008A3678">
        <w:rPr>
          <w:rFonts w:eastAsia="Calibri"/>
          <w:sz w:val="20"/>
          <w:szCs w:val="20"/>
          <w:lang w:val="es-ES_tradnl"/>
        </w:rPr>
        <w:t xml:space="preserve">, </w:t>
      </w:r>
      <w:r w:rsidRPr="008A3678">
        <w:rPr>
          <w:rFonts w:eastAsia="Calibri"/>
          <w:sz w:val="20"/>
          <w:szCs w:val="20"/>
          <w:lang w:val="es-MX"/>
        </w:rPr>
        <w:t xml:space="preserve">se debe contar con la infraestructura adecuada y necesaria para satisfacer las necesidades básicas y urgentes. Esto incluye cualquier tipo de herramienta o soporte vital, así </w:t>
      </w:r>
      <w:r w:rsidR="006823B8" w:rsidRPr="008A3678">
        <w:rPr>
          <w:rFonts w:eastAsia="Calibri"/>
          <w:sz w:val="20"/>
          <w:szCs w:val="20"/>
          <w:lang w:val="es-MX"/>
        </w:rPr>
        <w:t xml:space="preserve">como </w:t>
      </w:r>
      <w:r w:rsidRPr="008A3678">
        <w:rPr>
          <w:rFonts w:eastAsia="Calibri"/>
          <w:sz w:val="20"/>
          <w:szCs w:val="20"/>
          <w:lang w:val="es-MX"/>
        </w:rPr>
        <w:t xml:space="preserve">también disponer de recurso humano calificado para responder ante </w:t>
      </w:r>
      <w:r w:rsidR="002A64C9">
        <w:rPr>
          <w:rFonts w:eastAsia="Calibri"/>
          <w:sz w:val="20"/>
          <w:szCs w:val="20"/>
          <w:lang w:val="es-MX"/>
        </w:rPr>
        <w:t>urgencias</w:t>
      </w:r>
      <w:r w:rsidR="002A64C9" w:rsidRPr="008A3678">
        <w:rPr>
          <w:rFonts w:eastAsia="Calibri"/>
          <w:sz w:val="20"/>
          <w:szCs w:val="20"/>
          <w:lang w:val="es-MX"/>
        </w:rPr>
        <w:t xml:space="preserve"> </w:t>
      </w:r>
      <w:r w:rsidRPr="008A3678">
        <w:rPr>
          <w:rFonts w:eastAsia="Calibri"/>
          <w:sz w:val="20"/>
          <w:szCs w:val="20"/>
          <w:lang w:val="es-MX"/>
        </w:rPr>
        <w:t xml:space="preserve">médicas. </w:t>
      </w:r>
    </w:p>
    <w:p w14:paraId="7C39A503" w14:textId="77777777" w:rsidR="00911089" w:rsidRPr="008A3678" w:rsidRDefault="00911089" w:rsidP="00911089">
      <w:pPr>
        <w:ind w:right="-360"/>
        <w:contextualSpacing/>
        <w:rPr>
          <w:rFonts w:eastAsia="Calibri"/>
          <w:sz w:val="20"/>
          <w:szCs w:val="20"/>
          <w:lang w:val="es-MX"/>
        </w:rPr>
      </w:pPr>
    </w:p>
    <w:p w14:paraId="4A7C6B69" w14:textId="6E61CC24" w:rsidR="00911089" w:rsidRPr="008A3678" w:rsidRDefault="00911089" w:rsidP="00911089">
      <w:pPr>
        <w:numPr>
          <w:ilvl w:val="0"/>
          <w:numId w:val="17"/>
        </w:numPr>
        <w:ind w:right="-360"/>
        <w:contextualSpacing/>
        <w:rPr>
          <w:rFonts w:eastAsia="Calibri"/>
          <w:sz w:val="20"/>
          <w:szCs w:val="20"/>
          <w:lang w:val="es-AR"/>
        </w:rPr>
      </w:pPr>
      <w:r w:rsidRPr="008A3678">
        <w:rPr>
          <w:rFonts w:eastAsia="Calibri"/>
          <w:sz w:val="20"/>
          <w:szCs w:val="20"/>
          <w:lang w:val="es-MX"/>
        </w:rPr>
        <w:t xml:space="preserve">Respecto a la </w:t>
      </w:r>
      <w:r w:rsidRPr="008A3678">
        <w:rPr>
          <w:rFonts w:eastAsia="Calibri"/>
          <w:i/>
          <w:sz w:val="20"/>
          <w:szCs w:val="20"/>
          <w:lang w:val="es-MX"/>
        </w:rPr>
        <w:t>accesibilidad</w:t>
      </w:r>
      <w:r w:rsidRPr="008A3678">
        <w:rPr>
          <w:rFonts w:eastAsia="Calibri"/>
          <w:sz w:val="20"/>
          <w:szCs w:val="20"/>
          <w:vertAlign w:val="superscript"/>
          <w:lang w:val="es-MX"/>
        </w:rPr>
        <w:footnoteReference w:id="177"/>
      </w:r>
      <w:r w:rsidRPr="008A3678">
        <w:rPr>
          <w:rFonts w:eastAsia="Calibri"/>
          <w:sz w:val="20"/>
          <w:szCs w:val="20"/>
          <w:lang w:val="es-MX"/>
        </w:rPr>
        <w:t>,</w:t>
      </w:r>
      <w:r w:rsidRPr="008A3678">
        <w:rPr>
          <w:rFonts w:eastAsia="Calibri"/>
          <w:sz w:val="20"/>
          <w:szCs w:val="20"/>
          <w:lang w:val="es-AR"/>
        </w:rPr>
        <w:t xml:space="preserve"> los establecimientos, bienes y servicios de emergencias de salu</w:t>
      </w:r>
      <w:r w:rsidR="004A1B76">
        <w:rPr>
          <w:rFonts w:eastAsia="Calibri"/>
          <w:sz w:val="20"/>
          <w:szCs w:val="20"/>
          <w:lang w:val="es-AR"/>
        </w:rPr>
        <w:t>d deben ser accesibles a toda</w:t>
      </w:r>
      <w:r w:rsidRPr="008A3678">
        <w:rPr>
          <w:rFonts w:eastAsia="Calibri"/>
          <w:sz w:val="20"/>
          <w:szCs w:val="20"/>
          <w:lang w:val="es-AR"/>
        </w:rPr>
        <w:t>s</w:t>
      </w:r>
      <w:r w:rsidR="004A1B76">
        <w:rPr>
          <w:rFonts w:eastAsia="Calibri"/>
          <w:sz w:val="20"/>
          <w:szCs w:val="20"/>
          <w:lang w:val="es-AR"/>
        </w:rPr>
        <w:t xml:space="preserve"> las personas</w:t>
      </w:r>
      <w:r w:rsidRPr="008A3678">
        <w:rPr>
          <w:rFonts w:eastAsia="Calibri"/>
          <w:sz w:val="20"/>
          <w:szCs w:val="20"/>
          <w:lang w:val="es-AR"/>
        </w:rPr>
        <w:t>. La accesibilidad entendida desde las dimensiones superpuestas de no discriminación, accesibilidad física, accesibilidad económica y a</w:t>
      </w:r>
      <w:r w:rsidR="004A1B76">
        <w:rPr>
          <w:rFonts w:eastAsia="Calibri"/>
          <w:sz w:val="20"/>
          <w:szCs w:val="20"/>
          <w:lang w:val="es-AR"/>
        </w:rPr>
        <w:t xml:space="preserve">cceso a la información. </w:t>
      </w:r>
      <w:proofErr w:type="spellStart"/>
      <w:r w:rsidR="004A1B76">
        <w:rPr>
          <w:rFonts w:eastAsia="Calibri"/>
          <w:sz w:val="20"/>
          <w:szCs w:val="20"/>
          <w:lang w:val="es-AR"/>
        </w:rPr>
        <w:t>Proveiendo</w:t>
      </w:r>
      <w:proofErr w:type="spellEnd"/>
      <w:r w:rsidRPr="008A3678">
        <w:rPr>
          <w:rFonts w:eastAsia="Calibri"/>
          <w:sz w:val="20"/>
          <w:szCs w:val="20"/>
          <w:lang w:val="es-AR"/>
        </w:rPr>
        <w:t xml:space="preserve"> de esta forma un sistema de salud inclusivo basado en los derechos humanos</w:t>
      </w:r>
      <w:r w:rsidRPr="008A3678">
        <w:rPr>
          <w:rFonts w:eastAsia="Calibri"/>
          <w:sz w:val="20"/>
          <w:szCs w:val="20"/>
          <w:vertAlign w:val="superscript"/>
          <w:lang w:val="es-AR"/>
        </w:rPr>
        <w:footnoteReference w:id="178"/>
      </w:r>
      <w:r w:rsidRPr="008A3678">
        <w:rPr>
          <w:rFonts w:eastAsia="Calibri"/>
          <w:sz w:val="20"/>
          <w:szCs w:val="20"/>
          <w:lang w:val="es-AR"/>
        </w:rPr>
        <w:t xml:space="preserve">. </w:t>
      </w:r>
    </w:p>
    <w:p w14:paraId="223176A2" w14:textId="77777777" w:rsidR="00911089" w:rsidRPr="008A3678" w:rsidRDefault="00911089" w:rsidP="00911089">
      <w:pPr>
        <w:ind w:right="-360"/>
        <w:contextualSpacing/>
        <w:rPr>
          <w:rFonts w:eastAsia="Calibri"/>
          <w:sz w:val="20"/>
          <w:szCs w:val="20"/>
          <w:lang w:val="es-AR"/>
        </w:rPr>
      </w:pPr>
    </w:p>
    <w:p w14:paraId="5EA0F65F" w14:textId="743F7BC6" w:rsidR="00911089" w:rsidRPr="008A3678" w:rsidRDefault="00911089" w:rsidP="00911089">
      <w:pPr>
        <w:numPr>
          <w:ilvl w:val="0"/>
          <w:numId w:val="17"/>
        </w:numPr>
        <w:ind w:right="-360"/>
        <w:contextualSpacing/>
        <w:rPr>
          <w:rFonts w:eastAsia="Calibri"/>
          <w:sz w:val="20"/>
          <w:szCs w:val="20"/>
          <w:lang w:val="es-ES_tradnl"/>
        </w:rPr>
      </w:pPr>
      <w:r w:rsidRPr="008A3678">
        <w:rPr>
          <w:rFonts w:eastAsia="Calibri"/>
          <w:sz w:val="20"/>
          <w:szCs w:val="20"/>
          <w:lang w:val="es-AR"/>
        </w:rPr>
        <w:t>R</w:t>
      </w:r>
      <w:proofErr w:type="spellStart"/>
      <w:r>
        <w:rPr>
          <w:rFonts w:eastAsia="Calibri"/>
          <w:sz w:val="20"/>
          <w:szCs w:val="20"/>
          <w:lang w:val="es-MX"/>
        </w:rPr>
        <w:t>especto</w:t>
      </w:r>
      <w:proofErr w:type="spellEnd"/>
      <w:r w:rsidRPr="008A3678">
        <w:rPr>
          <w:rFonts w:eastAsia="Calibri"/>
          <w:sz w:val="20"/>
          <w:szCs w:val="20"/>
          <w:lang w:val="es-MX"/>
        </w:rPr>
        <w:t xml:space="preserve"> a </w:t>
      </w:r>
      <w:r w:rsidR="006823B8">
        <w:rPr>
          <w:rFonts w:eastAsia="Calibri"/>
          <w:sz w:val="20"/>
          <w:szCs w:val="20"/>
          <w:lang w:val="es-MX"/>
        </w:rPr>
        <w:t xml:space="preserve">la </w:t>
      </w:r>
      <w:r w:rsidRPr="008A3678">
        <w:rPr>
          <w:rFonts w:eastAsia="Calibri"/>
          <w:i/>
          <w:sz w:val="20"/>
          <w:szCs w:val="20"/>
          <w:lang w:val="es-MX"/>
        </w:rPr>
        <w:t>disponibilidad,</w:t>
      </w:r>
      <w:r w:rsidRPr="008A3678">
        <w:rPr>
          <w:rFonts w:eastAsia="Calibri"/>
          <w:sz w:val="20"/>
          <w:szCs w:val="20"/>
          <w:lang w:val="es-MX"/>
        </w:rPr>
        <w:t xml:space="preserve"> </w:t>
      </w:r>
      <w:r w:rsidRPr="008A3678">
        <w:rPr>
          <w:rFonts w:eastAsia="Calibri"/>
          <w:sz w:val="20"/>
          <w:szCs w:val="20"/>
          <w:lang w:val="es-ES_tradnl"/>
        </w:rPr>
        <w:t xml:space="preserve">se debe contar con un número suficiente de establecimientos, bienes y servicios públicos de salud, así como de programas integrales de salud. La coordinación entre establecimientos del sistema resulta relevante para cubrir de manera integrada las necesidades básicas de la población.  </w:t>
      </w:r>
    </w:p>
    <w:p w14:paraId="60188C53" w14:textId="77777777" w:rsidR="00911089" w:rsidRPr="008A3678" w:rsidRDefault="00911089" w:rsidP="00911089">
      <w:pPr>
        <w:ind w:right="-360"/>
        <w:contextualSpacing/>
        <w:rPr>
          <w:rFonts w:eastAsia="Calibri"/>
          <w:sz w:val="20"/>
          <w:szCs w:val="20"/>
          <w:lang w:val="es-ES_tradnl"/>
        </w:rPr>
      </w:pPr>
    </w:p>
    <w:p w14:paraId="28CC48FC" w14:textId="2FA83A71" w:rsidR="00911089" w:rsidRPr="008A3678" w:rsidRDefault="00911089" w:rsidP="00911089">
      <w:pPr>
        <w:numPr>
          <w:ilvl w:val="0"/>
          <w:numId w:val="17"/>
        </w:numPr>
        <w:ind w:right="-360"/>
        <w:contextualSpacing/>
        <w:rPr>
          <w:rFonts w:eastAsia="Calibri"/>
          <w:sz w:val="20"/>
          <w:szCs w:val="20"/>
          <w:lang w:val="es-ES_tradnl"/>
        </w:rPr>
      </w:pPr>
      <w:r w:rsidRPr="008A3678">
        <w:rPr>
          <w:rFonts w:eastAsia="Calibri"/>
          <w:sz w:val="20"/>
          <w:szCs w:val="20"/>
          <w:lang w:val="es-ES_tradnl"/>
        </w:rPr>
        <w:t xml:space="preserve">Respecto de la </w:t>
      </w:r>
      <w:r w:rsidRPr="008A3678">
        <w:rPr>
          <w:rFonts w:eastAsia="Calibri"/>
          <w:i/>
          <w:sz w:val="20"/>
          <w:szCs w:val="20"/>
          <w:lang w:val="es-ES_tradnl"/>
        </w:rPr>
        <w:t>aceptabilidad</w:t>
      </w:r>
      <w:r w:rsidRPr="008A3678">
        <w:rPr>
          <w:rFonts w:eastAsia="Calibri"/>
          <w:sz w:val="20"/>
          <w:szCs w:val="20"/>
          <w:lang w:val="es-ES_tradnl"/>
        </w:rPr>
        <w:t xml:space="preserve">, los establecimientos y servicios de salud deberán respetar la ética médica y los criterios culturalmente apropiados. Además, deberán incluir una perspectiva de género, así como de las condiciones del ciclo de vida del paciente. </w:t>
      </w:r>
      <w:r w:rsidR="009455C8">
        <w:rPr>
          <w:rFonts w:eastAsia="Calibri"/>
          <w:sz w:val="20"/>
          <w:szCs w:val="20"/>
          <w:lang w:val="es-ES_tradnl"/>
        </w:rPr>
        <w:t>E</w:t>
      </w:r>
      <w:r w:rsidRPr="008A3678">
        <w:rPr>
          <w:rFonts w:eastAsia="Calibri"/>
          <w:sz w:val="20"/>
          <w:szCs w:val="20"/>
          <w:lang w:val="es-ES_tradnl"/>
        </w:rPr>
        <w:t>l paciente debe ser informado sobre su diagnóstico y tratamiento, y frente a ello respetar su voluntad</w:t>
      </w:r>
      <w:r w:rsidR="004A1B76">
        <w:rPr>
          <w:rFonts w:eastAsia="Calibri"/>
          <w:sz w:val="20"/>
          <w:szCs w:val="20"/>
          <w:lang w:val="es-ES_tradnl"/>
        </w:rPr>
        <w:t xml:space="preserve"> (</w:t>
      </w:r>
      <w:r w:rsidR="004A1B76" w:rsidRPr="004A1B76">
        <w:rPr>
          <w:rFonts w:eastAsia="Calibri"/>
          <w:i/>
          <w:sz w:val="20"/>
          <w:szCs w:val="20"/>
          <w:lang w:val="es-ES_tradnl"/>
        </w:rPr>
        <w:t>infra</w:t>
      </w:r>
      <w:r w:rsidR="004A1B76">
        <w:rPr>
          <w:rFonts w:eastAsia="Calibri"/>
          <w:sz w:val="20"/>
          <w:szCs w:val="20"/>
          <w:lang w:val="es-ES_tradnl"/>
        </w:rPr>
        <w:t xml:space="preserve"> </w:t>
      </w:r>
      <w:proofErr w:type="spellStart"/>
      <w:r w:rsidR="004A1B76">
        <w:rPr>
          <w:rFonts w:eastAsia="Calibri"/>
          <w:sz w:val="20"/>
          <w:szCs w:val="20"/>
          <w:lang w:val="es-ES_tradnl"/>
        </w:rPr>
        <w:t>párrs</w:t>
      </w:r>
      <w:proofErr w:type="spellEnd"/>
      <w:r w:rsidR="004A1B76">
        <w:rPr>
          <w:rFonts w:eastAsia="Calibri"/>
          <w:sz w:val="20"/>
          <w:szCs w:val="20"/>
          <w:lang w:val="es-ES_tradnl"/>
        </w:rPr>
        <w:t>. 161, 162 y 166)</w:t>
      </w:r>
      <w:r w:rsidRPr="008A3678">
        <w:rPr>
          <w:rFonts w:eastAsia="Calibri"/>
          <w:sz w:val="20"/>
          <w:szCs w:val="20"/>
          <w:lang w:val="es-ES_tradnl"/>
        </w:rPr>
        <w:t>.</w:t>
      </w:r>
    </w:p>
    <w:p w14:paraId="4018B68D" w14:textId="77777777" w:rsidR="002570D1" w:rsidRPr="002570D1" w:rsidRDefault="002570D1" w:rsidP="0059117C">
      <w:pPr>
        <w:tabs>
          <w:tab w:val="left" w:pos="567"/>
        </w:tabs>
        <w:rPr>
          <w:rFonts w:eastAsia="Calibri"/>
          <w:sz w:val="20"/>
          <w:szCs w:val="20"/>
          <w:lang w:val="es-ES_tradnl" w:eastAsia="en-US"/>
        </w:rPr>
      </w:pPr>
    </w:p>
    <w:p w14:paraId="0F20123F" w14:textId="1244B798" w:rsidR="002570D1" w:rsidRPr="00895BF1" w:rsidRDefault="002570D1" w:rsidP="00F41641">
      <w:pPr>
        <w:numPr>
          <w:ilvl w:val="0"/>
          <w:numId w:val="2"/>
        </w:numPr>
        <w:tabs>
          <w:tab w:val="left" w:pos="567"/>
          <w:tab w:val="num" w:pos="1569"/>
          <w:tab w:val="num" w:pos="12305"/>
        </w:tabs>
        <w:ind w:left="0" w:firstLine="0"/>
        <w:rPr>
          <w:rFonts w:eastAsia="Calibri"/>
          <w:sz w:val="20"/>
          <w:szCs w:val="20"/>
          <w:lang w:val="es-ES_tradnl" w:eastAsia="en-US"/>
        </w:rPr>
      </w:pPr>
      <w:r w:rsidRPr="002570D1">
        <w:rPr>
          <w:rFonts w:eastAsia="Calibri"/>
          <w:sz w:val="20"/>
          <w:szCs w:val="20"/>
          <w:lang w:val="es-MX" w:eastAsia="en-US"/>
        </w:rPr>
        <w:t xml:space="preserve">En tercer lugar, </w:t>
      </w:r>
      <w:r w:rsidR="009455C8">
        <w:rPr>
          <w:rFonts w:eastAsia="Calibri"/>
          <w:sz w:val="20"/>
          <w:szCs w:val="20"/>
          <w:lang w:val="es-MX" w:eastAsia="en-US"/>
        </w:rPr>
        <w:t>y como condición transversal de la accesibilidad</w:t>
      </w:r>
      <w:r w:rsidR="00EA385D">
        <w:rPr>
          <w:rStyle w:val="FootnoteReference"/>
          <w:rFonts w:eastAsia="Calibri"/>
          <w:sz w:val="20"/>
          <w:szCs w:val="20"/>
          <w:lang w:val="es-MX" w:eastAsia="en-US"/>
        </w:rPr>
        <w:footnoteReference w:id="179"/>
      </w:r>
      <w:r w:rsidR="009455C8">
        <w:rPr>
          <w:rFonts w:eastAsia="Calibri"/>
          <w:sz w:val="20"/>
          <w:szCs w:val="20"/>
          <w:lang w:val="es-MX" w:eastAsia="en-US"/>
        </w:rPr>
        <w:t xml:space="preserve">, </w:t>
      </w:r>
      <w:r w:rsidRPr="002570D1">
        <w:rPr>
          <w:rFonts w:eastAsia="Calibri"/>
          <w:sz w:val="20"/>
          <w:szCs w:val="20"/>
          <w:lang w:val="es-ES_tradnl" w:eastAsia="en-US"/>
        </w:rPr>
        <w:t xml:space="preserve">la Corte recuerda que </w:t>
      </w:r>
      <w:r w:rsidRPr="002570D1">
        <w:rPr>
          <w:rFonts w:eastAsia="Calibri"/>
          <w:sz w:val="20"/>
          <w:szCs w:val="20"/>
          <w:lang w:val="es-HN" w:eastAsia="en-US"/>
        </w:rPr>
        <w:t>el Estado está obligado a garantizar un trato igualitario a tod</w:t>
      </w:r>
      <w:r w:rsidR="00AF5D4C">
        <w:rPr>
          <w:rFonts w:eastAsia="Calibri"/>
          <w:sz w:val="20"/>
          <w:szCs w:val="20"/>
          <w:lang w:val="es-HN" w:eastAsia="en-US"/>
        </w:rPr>
        <w:t>a</w:t>
      </w:r>
      <w:r w:rsidRPr="002570D1">
        <w:rPr>
          <w:rFonts w:eastAsia="Calibri"/>
          <w:sz w:val="20"/>
          <w:szCs w:val="20"/>
          <w:lang w:val="es-HN" w:eastAsia="en-US"/>
        </w:rPr>
        <w:t>s l</w:t>
      </w:r>
      <w:r w:rsidR="00AF5D4C">
        <w:rPr>
          <w:rFonts w:eastAsia="Calibri"/>
          <w:sz w:val="20"/>
          <w:szCs w:val="20"/>
          <w:lang w:val="es-HN" w:eastAsia="en-US"/>
        </w:rPr>
        <w:t>a</w:t>
      </w:r>
      <w:r w:rsidRPr="002570D1">
        <w:rPr>
          <w:rFonts w:eastAsia="Calibri"/>
          <w:sz w:val="20"/>
          <w:szCs w:val="20"/>
          <w:lang w:val="es-HN" w:eastAsia="en-US"/>
        </w:rPr>
        <w:t xml:space="preserve">s </w:t>
      </w:r>
      <w:r w:rsidR="00AF5D4C">
        <w:rPr>
          <w:rFonts w:eastAsia="Calibri"/>
          <w:sz w:val="20"/>
          <w:szCs w:val="20"/>
          <w:lang w:val="es-HN" w:eastAsia="en-US"/>
        </w:rPr>
        <w:t xml:space="preserve">personas </w:t>
      </w:r>
      <w:r w:rsidRPr="002570D1">
        <w:rPr>
          <w:rFonts w:eastAsia="Calibri"/>
          <w:sz w:val="20"/>
          <w:szCs w:val="20"/>
          <w:lang w:val="es-HN" w:eastAsia="en-US"/>
        </w:rPr>
        <w:t>que accedan a los servicios de salud</w:t>
      </w:r>
      <w:r w:rsidR="004A2E72">
        <w:rPr>
          <w:rFonts w:eastAsia="Calibri"/>
          <w:sz w:val="20"/>
          <w:szCs w:val="20"/>
          <w:lang w:val="es-HN" w:eastAsia="en-US"/>
        </w:rPr>
        <w:t xml:space="preserve">, </w:t>
      </w:r>
      <w:r w:rsidR="005D383C" w:rsidRPr="00B1523A">
        <w:rPr>
          <w:rFonts w:eastAsia="Calibri"/>
          <w:sz w:val="20"/>
          <w:szCs w:val="20"/>
          <w:lang w:val="es-HN"/>
        </w:rPr>
        <w:t>por lo que de conformidad con el artículo 1.1 de la Convención Americana no son permitidos tratos discriminatorios</w:t>
      </w:r>
      <w:r w:rsidR="005D383C" w:rsidRPr="008952D9">
        <w:rPr>
          <w:rFonts w:eastAsia="Calibri"/>
          <w:sz w:val="20"/>
          <w:vertAlign w:val="superscript"/>
          <w:lang w:val="es-HN"/>
        </w:rPr>
        <w:footnoteReference w:id="180"/>
      </w:r>
      <w:r w:rsidR="005D383C" w:rsidRPr="008952D9">
        <w:rPr>
          <w:rFonts w:eastAsia="Calibri"/>
          <w:sz w:val="20"/>
          <w:szCs w:val="20"/>
          <w:lang w:val="es-HN"/>
        </w:rPr>
        <w:t xml:space="preserve">, </w:t>
      </w:r>
      <w:r w:rsidR="00895BF1" w:rsidRPr="008952D9">
        <w:rPr>
          <w:rFonts w:eastAsia="Calibri"/>
          <w:sz w:val="20"/>
          <w:szCs w:val="20"/>
          <w:lang w:val="es-HN"/>
        </w:rPr>
        <w:t>“</w:t>
      </w:r>
      <w:r w:rsidR="005D383C" w:rsidRPr="00B1523A">
        <w:rPr>
          <w:rFonts w:eastAsia="Calibri"/>
          <w:sz w:val="20"/>
          <w:szCs w:val="20"/>
          <w:lang w:val="es-HN"/>
        </w:rPr>
        <w:t>por motivos de</w:t>
      </w:r>
      <w:r w:rsidR="005D383C" w:rsidRPr="008952D9">
        <w:rPr>
          <w:rFonts w:eastAsia="Calibri"/>
          <w:sz w:val="20"/>
          <w:szCs w:val="20"/>
          <w:lang w:val="es-HN"/>
        </w:rPr>
        <w:t xml:space="preserve"> </w:t>
      </w:r>
      <w:r w:rsidR="005D383C" w:rsidRPr="00B1523A">
        <w:rPr>
          <w:rFonts w:eastAsia="Calibri"/>
          <w:sz w:val="20"/>
          <w:szCs w:val="20"/>
          <w:lang w:val="es-HN"/>
        </w:rPr>
        <w:t>raza, color, sexo, […] posición económica, nacimiento o cualquier otra condición social</w:t>
      </w:r>
      <w:r w:rsidR="00895BF1" w:rsidRPr="00B1523A">
        <w:rPr>
          <w:rFonts w:eastAsia="Calibri"/>
          <w:sz w:val="20"/>
          <w:szCs w:val="20"/>
          <w:lang w:val="es-HN"/>
        </w:rPr>
        <w:t>”</w:t>
      </w:r>
      <w:r w:rsidR="005D383C" w:rsidRPr="004A1B76">
        <w:rPr>
          <w:rStyle w:val="FootnoteReference"/>
          <w:rFonts w:eastAsia="Calibri"/>
          <w:sz w:val="20"/>
          <w:lang w:val="es-HN"/>
        </w:rPr>
        <w:footnoteReference w:id="181"/>
      </w:r>
      <w:r w:rsidR="005D383C" w:rsidRPr="004A1B76">
        <w:rPr>
          <w:rFonts w:eastAsia="Calibri"/>
          <w:sz w:val="20"/>
          <w:szCs w:val="20"/>
          <w:lang w:val="es-HN"/>
        </w:rPr>
        <w:t>.</w:t>
      </w:r>
      <w:r w:rsidR="005D383C" w:rsidRPr="008952D9">
        <w:rPr>
          <w:rFonts w:eastAsia="Calibri"/>
          <w:sz w:val="20"/>
          <w:szCs w:val="20"/>
          <w:lang w:val="es-HN"/>
        </w:rPr>
        <w:t xml:space="preserve"> </w:t>
      </w:r>
      <w:r w:rsidR="00895BF1" w:rsidRPr="00B1523A">
        <w:rPr>
          <w:rFonts w:eastAsia="Calibri"/>
          <w:sz w:val="20"/>
          <w:szCs w:val="20"/>
          <w:lang w:val="es-ES_tradnl" w:eastAsia="en-US"/>
        </w:rPr>
        <w:t xml:space="preserve">Al respecto, </w:t>
      </w:r>
      <w:r w:rsidR="00895BF1" w:rsidRPr="00B1523A">
        <w:rPr>
          <w:sz w:val="20"/>
          <w:szCs w:val="20"/>
          <w:lang w:val="es-AR"/>
        </w:rPr>
        <w:t xml:space="preserve">los criterios específicos </w:t>
      </w:r>
      <w:r w:rsidR="00895BF1" w:rsidRPr="00B1523A">
        <w:rPr>
          <w:sz w:val="20"/>
          <w:szCs w:val="20"/>
          <w:lang w:val="es-AR"/>
        </w:rPr>
        <w:lastRenderedPageBreak/>
        <w:t>en virtud de los cuales está prohibido discriminar, según el artículo 1.1 de la Convención Americana, no son un listado taxativo o limitativo sino meramente enunciativo. Por el contrario, la redacción de dicho artículo deja abiertos los criterios con la inclusión del término “otra condición social” para incorporar así a otras categorías que no hubiesen sido explícitamente indicadas”</w:t>
      </w:r>
      <w:r w:rsidR="00895BF1" w:rsidRPr="00B1523A">
        <w:rPr>
          <w:rStyle w:val="FootnoteReference"/>
          <w:rFonts w:eastAsia="Calibri"/>
          <w:sz w:val="20"/>
          <w:szCs w:val="20"/>
          <w:lang w:val="es-HN"/>
        </w:rPr>
        <w:footnoteReference w:id="182"/>
      </w:r>
      <w:r w:rsidR="00895BF1" w:rsidRPr="00B1523A">
        <w:rPr>
          <w:sz w:val="20"/>
          <w:szCs w:val="20"/>
          <w:lang w:val="es-AR"/>
        </w:rPr>
        <w:t>.</w:t>
      </w:r>
      <w:r w:rsidR="00895BF1" w:rsidRPr="008952D9">
        <w:rPr>
          <w:rFonts w:eastAsia="Calibri"/>
          <w:sz w:val="22"/>
          <w:szCs w:val="20"/>
          <w:lang w:val="es-AR" w:eastAsia="en-US"/>
        </w:rPr>
        <w:t xml:space="preserve"> </w:t>
      </w:r>
      <w:r w:rsidR="00895BF1" w:rsidRPr="00B1523A">
        <w:rPr>
          <w:rFonts w:eastAsia="Calibri"/>
          <w:sz w:val="20"/>
          <w:szCs w:val="20"/>
          <w:lang w:val="es-AR" w:eastAsia="en-US"/>
        </w:rPr>
        <w:t>Así,</w:t>
      </w:r>
      <w:r w:rsidR="00895BF1" w:rsidRPr="008952D9">
        <w:rPr>
          <w:rFonts w:eastAsia="Calibri"/>
          <w:sz w:val="20"/>
          <w:szCs w:val="20"/>
          <w:lang w:val="es-AR" w:eastAsia="en-US"/>
        </w:rPr>
        <w:t xml:space="preserve"> </w:t>
      </w:r>
      <w:r w:rsidR="005D383C" w:rsidRPr="00B1523A">
        <w:rPr>
          <w:rFonts w:eastAsia="Calibri"/>
          <w:sz w:val="20"/>
          <w:szCs w:val="20"/>
          <w:lang w:val="es-HN"/>
        </w:rPr>
        <w:t xml:space="preserve">la Corte </w:t>
      </w:r>
      <w:r w:rsidR="00204724" w:rsidRPr="00B1523A">
        <w:rPr>
          <w:rFonts w:eastAsia="Calibri"/>
          <w:sz w:val="20"/>
          <w:szCs w:val="20"/>
          <w:lang w:val="es-HN"/>
        </w:rPr>
        <w:t xml:space="preserve">ha señalado </w:t>
      </w:r>
      <w:r w:rsidR="005D383C" w:rsidRPr="00B1523A">
        <w:rPr>
          <w:rFonts w:eastAsia="Calibri"/>
          <w:sz w:val="20"/>
          <w:szCs w:val="20"/>
          <w:lang w:val="es-HN"/>
        </w:rPr>
        <w:t>que la edad, es también una categoría protegida por esta norma</w:t>
      </w:r>
      <w:r w:rsidR="00E3242A" w:rsidRPr="008952D9">
        <w:rPr>
          <w:rStyle w:val="FootnoteReference"/>
          <w:rFonts w:eastAsia="Calibri"/>
          <w:sz w:val="20"/>
          <w:lang w:val="es-HN"/>
        </w:rPr>
        <w:footnoteReference w:id="183"/>
      </w:r>
      <w:r w:rsidR="00895BF1" w:rsidRPr="00B1523A">
        <w:rPr>
          <w:rFonts w:eastAsia="Calibri"/>
          <w:sz w:val="20"/>
          <w:szCs w:val="20"/>
          <w:lang w:val="es-HN"/>
        </w:rPr>
        <w:t>.</w:t>
      </w:r>
      <w:r w:rsidR="00895BF1" w:rsidRPr="008952D9">
        <w:rPr>
          <w:rFonts w:eastAsia="Calibri"/>
          <w:sz w:val="20"/>
          <w:szCs w:val="20"/>
          <w:lang w:val="es-HN"/>
        </w:rPr>
        <w:t xml:space="preserve"> </w:t>
      </w:r>
      <w:r w:rsidR="00E3242A" w:rsidRPr="00B1523A">
        <w:rPr>
          <w:rFonts w:eastAsia="Calibri"/>
          <w:sz w:val="20"/>
          <w:szCs w:val="20"/>
          <w:lang w:val="es-HN"/>
        </w:rPr>
        <w:t xml:space="preserve">En este sentido, la prohibición por discriminación relacionada con la edad cuando se trata de las personas mayores, se encuentra tutelada por la Convención Americana. </w:t>
      </w:r>
      <w:r w:rsidRPr="00895BF1">
        <w:rPr>
          <w:rFonts w:eastAsia="Calibri"/>
          <w:sz w:val="20"/>
          <w:szCs w:val="20"/>
          <w:lang w:val="es-HN" w:eastAsia="en-US"/>
        </w:rPr>
        <w:t>Esto comporta, entre otras cosas, la aplicación de políticas inclusivas para la totalidad de la población y un fácil acceso a los servicios públicos</w:t>
      </w:r>
      <w:r w:rsidRPr="002570D1">
        <w:rPr>
          <w:rFonts w:eastAsia="Calibri"/>
          <w:sz w:val="20"/>
          <w:szCs w:val="20"/>
          <w:vertAlign w:val="superscript"/>
          <w:lang w:val="es-HN" w:eastAsia="en-US"/>
        </w:rPr>
        <w:footnoteReference w:id="184"/>
      </w:r>
      <w:r w:rsidRPr="00895BF1">
        <w:rPr>
          <w:rFonts w:eastAsia="Calibri"/>
          <w:sz w:val="20"/>
          <w:szCs w:val="20"/>
          <w:lang w:val="es-HN" w:eastAsia="en-US"/>
        </w:rPr>
        <w:t>.</w:t>
      </w:r>
      <w:r w:rsidRPr="00895BF1">
        <w:rPr>
          <w:rFonts w:eastAsia="Calibri"/>
          <w:sz w:val="20"/>
          <w:szCs w:val="20"/>
          <w:lang w:val="es-AR" w:eastAsia="en-US"/>
        </w:rPr>
        <w:t xml:space="preserve"> </w:t>
      </w:r>
    </w:p>
    <w:p w14:paraId="5C68B840" w14:textId="77777777" w:rsidR="002570D1" w:rsidRPr="002570D1" w:rsidRDefault="002570D1" w:rsidP="007E5CD5">
      <w:pPr>
        <w:contextualSpacing/>
        <w:rPr>
          <w:rFonts w:eastAsia="Calibri"/>
          <w:sz w:val="20"/>
          <w:szCs w:val="20"/>
          <w:lang w:val="es-ES_tradnl" w:eastAsia="en-US"/>
        </w:rPr>
      </w:pPr>
    </w:p>
    <w:p w14:paraId="38716663" w14:textId="77777777" w:rsidR="002570D1" w:rsidRPr="0059117C" w:rsidRDefault="002570D1" w:rsidP="002570D1">
      <w:pPr>
        <w:numPr>
          <w:ilvl w:val="0"/>
          <w:numId w:val="2"/>
        </w:numPr>
        <w:tabs>
          <w:tab w:val="left" w:pos="567"/>
          <w:tab w:val="num" w:pos="1569"/>
          <w:tab w:val="num" w:pos="12305"/>
        </w:tabs>
        <w:ind w:left="0" w:firstLine="0"/>
        <w:rPr>
          <w:rFonts w:eastAsia="Calibri"/>
          <w:sz w:val="20"/>
          <w:szCs w:val="20"/>
          <w:lang w:val="es-ES_tradnl" w:eastAsia="en-US"/>
        </w:rPr>
      </w:pPr>
      <w:r w:rsidRPr="002570D1">
        <w:rPr>
          <w:rFonts w:eastAsia="Calibri"/>
          <w:sz w:val="20"/>
          <w:szCs w:val="20"/>
          <w:lang w:val="es-AR" w:eastAsia="en-US"/>
        </w:rPr>
        <w:t xml:space="preserve">Al respecto, la Corte </w:t>
      </w:r>
      <w:r w:rsidR="009455C8">
        <w:rPr>
          <w:rFonts w:eastAsia="Calibri"/>
          <w:sz w:val="20"/>
          <w:szCs w:val="20"/>
          <w:lang w:val="es-AR" w:eastAsia="en-US"/>
        </w:rPr>
        <w:t>reitera</w:t>
      </w:r>
      <w:r w:rsidR="009455C8" w:rsidRPr="002570D1">
        <w:rPr>
          <w:rFonts w:eastAsia="Calibri"/>
          <w:sz w:val="20"/>
          <w:szCs w:val="20"/>
          <w:lang w:val="es-AR" w:eastAsia="en-US"/>
        </w:rPr>
        <w:t xml:space="preserve"> </w:t>
      </w:r>
      <w:r w:rsidRPr="002570D1">
        <w:rPr>
          <w:rFonts w:eastAsia="Calibri"/>
          <w:sz w:val="20"/>
          <w:szCs w:val="20"/>
          <w:lang w:val="es-AR" w:eastAsia="en-US"/>
        </w:rPr>
        <w:t>que el derecho a la igualdad y no discriminación abarca dos concepciones: una negativa relacionada con la prohibición de diferencias de trato arbitrarias, y una positiva relacionada con la obligación de los Estados de crear condiciones de igualdad real frente a grupos que han sido históricamente excluidos o que se encuentran en mayor riesgo de ser discriminados</w:t>
      </w:r>
      <w:r w:rsidRPr="002570D1">
        <w:rPr>
          <w:rFonts w:eastAsia="Calibri"/>
          <w:sz w:val="20"/>
          <w:szCs w:val="20"/>
          <w:vertAlign w:val="superscript"/>
          <w:lang w:val="es-AR" w:eastAsia="en-US"/>
        </w:rPr>
        <w:footnoteReference w:id="185"/>
      </w:r>
      <w:r w:rsidRPr="002570D1">
        <w:rPr>
          <w:rFonts w:eastAsia="Calibri"/>
          <w:sz w:val="20"/>
          <w:szCs w:val="20"/>
          <w:lang w:val="es-AR" w:eastAsia="en-US"/>
        </w:rPr>
        <w:t>.</w:t>
      </w:r>
      <w:r w:rsidRPr="002570D1">
        <w:rPr>
          <w:rFonts w:eastAsia="Calibri"/>
          <w:sz w:val="20"/>
          <w:szCs w:val="20"/>
          <w:lang w:val="es-ES_tradnl" w:eastAsia="en-US"/>
        </w:rPr>
        <w:t xml:space="preserve"> En tal sentido, </w:t>
      </w:r>
      <w:r w:rsidRPr="002570D1">
        <w:rPr>
          <w:rFonts w:eastAsia="Calibri"/>
          <w:sz w:val="20"/>
          <w:szCs w:val="20"/>
          <w:lang w:val="es-AR" w:eastAsia="en-US"/>
        </w:rPr>
        <w:t xml:space="preserve">la adopción de medidas positivas se acentúa en relación con la protección de personas </w:t>
      </w:r>
      <w:r w:rsidR="00AF5D4C">
        <w:rPr>
          <w:rFonts w:eastAsia="Calibri"/>
          <w:sz w:val="20"/>
          <w:szCs w:val="20"/>
          <w:lang w:val="es-AR" w:eastAsia="en-US"/>
        </w:rPr>
        <w:t xml:space="preserve">en situación de </w:t>
      </w:r>
      <w:r w:rsidRPr="002570D1">
        <w:rPr>
          <w:rFonts w:eastAsia="Calibri"/>
          <w:sz w:val="20"/>
          <w:szCs w:val="20"/>
          <w:lang w:val="es-AR" w:eastAsia="en-US"/>
        </w:rPr>
        <w:t>vulnerab</w:t>
      </w:r>
      <w:r w:rsidR="00AF5D4C">
        <w:rPr>
          <w:rFonts w:eastAsia="Calibri"/>
          <w:sz w:val="20"/>
          <w:szCs w:val="20"/>
          <w:lang w:val="es-AR" w:eastAsia="en-US"/>
        </w:rPr>
        <w:t>ilidad</w:t>
      </w:r>
      <w:r w:rsidR="00A40E5D">
        <w:rPr>
          <w:rFonts w:eastAsia="Calibri"/>
          <w:sz w:val="20"/>
          <w:szCs w:val="20"/>
          <w:lang w:val="es-AR" w:eastAsia="en-US"/>
        </w:rPr>
        <w:t xml:space="preserve"> </w:t>
      </w:r>
      <w:r w:rsidRPr="002570D1">
        <w:rPr>
          <w:rFonts w:eastAsia="Calibri"/>
          <w:sz w:val="20"/>
          <w:szCs w:val="20"/>
          <w:lang w:val="es-AR" w:eastAsia="en-US"/>
        </w:rPr>
        <w:t>o en situación de riesgo, quienes deben tener garantizado el acceso a los servicios médicos de salud en vía de igualdad.</w:t>
      </w:r>
    </w:p>
    <w:p w14:paraId="4D012055" w14:textId="1097B69D" w:rsidR="00911089" w:rsidRDefault="00911089" w:rsidP="00AB1E03">
      <w:pPr>
        <w:tabs>
          <w:tab w:val="left" w:pos="567"/>
        </w:tabs>
        <w:rPr>
          <w:rFonts w:eastAsia="Calibri"/>
          <w:b/>
          <w:sz w:val="20"/>
          <w:szCs w:val="20"/>
          <w:lang w:val="es-MX" w:eastAsia="en-US"/>
        </w:rPr>
      </w:pPr>
    </w:p>
    <w:p w14:paraId="59E0321E" w14:textId="2C96080F" w:rsidR="00832A80" w:rsidRPr="002A64C9" w:rsidRDefault="00832A80" w:rsidP="00832A80">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val="es-ES_tradnl" w:eastAsia="en-US"/>
        </w:rPr>
        <w:t>En cuarto lugar, la Corte</w:t>
      </w:r>
      <w:r>
        <w:rPr>
          <w:rFonts w:eastAsia="Calibri"/>
          <w:sz w:val="20"/>
          <w:szCs w:val="20"/>
          <w:lang w:val="es-ES_tradnl" w:eastAsia="en-US"/>
        </w:rPr>
        <w:t xml:space="preserve"> sostuvo en el caso </w:t>
      </w:r>
      <w:r w:rsidRPr="002A64C9">
        <w:rPr>
          <w:rFonts w:eastAsia="Calibri"/>
          <w:i/>
          <w:sz w:val="20"/>
          <w:szCs w:val="20"/>
          <w:lang w:val="es-ES_tradnl" w:eastAsia="en-US"/>
        </w:rPr>
        <w:t>Suárez Peralta</w:t>
      </w:r>
      <w:r>
        <w:rPr>
          <w:rFonts w:eastAsia="Calibri"/>
          <w:sz w:val="20"/>
          <w:szCs w:val="20"/>
          <w:lang w:val="es-ES_tradnl" w:eastAsia="en-US"/>
        </w:rPr>
        <w:t xml:space="preserve"> </w:t>
      </w:r>
      <w:r w:rsidRPr="002570D1">
        <w:rPr>
          <w:rFonts w:eastAsia="Calibri"/>
          <w:sz w:val="20"/>
          <w:szCs w:val="20"/>
          <w:lang w:val="es-ES_tradnl" w:eastAsia="en-US"/>
        </w:rPr>
        <w:t>que el Estado debe prever mecanismos de supervisión y fiscalización estatal de las instituciones de salud</w:t>
      </w:r>
      <w:r w:rsidR="00060589">
        <w:rPr>
          <w:rFonts w:eastAsia="Calibri"/>
          <w:sz w:val="20"/>
          <w:szCs w:val="20"/>
          <w:lang w:val="es-ES_tradnl" w:eastAsia="en-US"/>
        </w:rPr>
        <w:t>,</w:t>
      </w:r>
      <w:r>
        <w:rPr>
          <w:rFonts w:eastAsia="Calibri"/>
          <w:sz w:val="20"/>
          <w:szCs w:val="20"/>
          <w:lang w:val="es-ES_tradnl" w:eastAsia="en-US"/>
        </w:rPr>
        <w:t xml:space="preserve"> tanto </w:t>
      </w:r>
      <w:proofErr w:type="gramStart"/>
      <w:r>
        <w:rPr>
          <w:rFonts w:eastAsia="Calibri"/>
          <w:sz w:val="20"/>
          <w:szCs w:val="20"/>
          <w:lang w:val="es-ES_tradnl" w:eastAsia="en-US"/>
        </w:rPr>
        <w:t>públicas como</w:t>
      </w:r>
      <w:r w:rsidR="00BE6FB0">
        <w:rPr>
          <w:rFonts w:eastAsia="Calibri"/>
          <w:sz w:val="20"/>
          <w:szCs w:val="20"/>
          <w:lang w:val="es-ES_tradnl" w:eastAsia="en-US"/>
        </w:rPr>
        <w:t xml:space="preserve"> </w:t>
      </w:r>
      <w:r>
        <w:rPr>
          <w:rFonts w:eastAsia="Calibri"/>
          <w:sz w:val="20"/>
          <w:szCs w:val="20"/>
          <w:lang w:val="es-ES_tradnl" w:eastAsia="en-US"/>
        </w:rPr>
        <w:t>privadas</w:t>
      </w:r>
      <w:proofErr w:type="gramEnd"/>
      <w:r w:rsidRPr="002570D1">
        <w:rPr>
          <w:rFonts w:eastAsia="Calibri"/>
          <w:sz w:val="20"/>
          <w:szCs w:val="20"/>
          <w:vertAlign w:val="superscript"/>
          <w:lang w:val="es-ES_tradnl" w:eastAsia="en-US"/>
        </w:rPr>
        <w:footnoteReference w:id="186"/>
      </w:r>
      <w:r w:rsidRPr="002570D1">
        <w:rPr>
          <w:rFonts w:eastAsia="Calibri"/>
          <w:sz w:val="20"/>
          <w:szCs w:val="20"/>
          <w:lang w:val="es-ES_tradnl" w:eastAsia="en-US"/>
        </w:rPr>
        <w:t>. Al respecto</w:t>
      </w:r>
      <w:r>
        <w:rPr>
          <w:rFonts w:eastAsia="Calibri"/>
          <w:sz w:val="20"/>
          <w:szCs w:val="20"/>
          <w:lang w:val="es-ES_tradnl" w:eastAsia="en-US"/>
        </w:rPr>
        <w:t>,</w:t>
      </w:r>
      <w:r w:rsidRPr="002570D1">
        <w:rPr>
          <w:rFonts w:eastAsia="Calibri"/>
          <w:sz w:val="20"/>
          <w:szCs w:val="20"/>
          <w:lang w:val="es-ES_tradnl" w:eastAsia="en-US"/>
        </w:rPr>
        <w:t xml:space="preserve"> la Corte </w:t>
      </w:r>
      <w:r>
        <w:rPr>
          <w:rFonts w:eastAsia="Calibri"/>
          <w:sz w:val="20"/>
          <w:szCs w:val="20"/>
          <w:lang w:val="es-ES_tradnl" w:eastAsia="en-US"/>
        </w:rPr>
        <w:t xml:space="preserve">ha </w:t>
      </w:r>
      <w:r w:rsidRPr="002570D1">
        <w:rPr>
          <w:rFonts w:eastAsia="Calibri"/>
          <w:sz w:val="20"/>
          <w:szCs w:val="20"/>
          <w:lang w:val="es-ES_tradnl" w:eastAsia="en-US"/>
        </w:rPr>
        <w:t>señal</w:t>
      </w:r>
      <w:r>
        <w:rPr>
          <w:rFonts w:eastAsia="Calibri"/>
          <w:sz w:val="20"/>
          <w:szCs w:val="20"/>
          <w:lang w:val="es-ES_tradnl" w:eastAsia="en-US"/>
        </w:rPr>
        <w:t>ado</w:t>
      </w:r>
      <w:r w:rsidRPr="002570D1">
        <w:rPr>
          <w:rFonts w:eastAsia="Calibri"/>
          <w:sz w:val="20"/>
          <w:szCs w:val="20"/>
          <w:lang w:val="es-ES_tradnl" w:eastAsia="en-US"/>
        </w:rPr>
        <w:t xml:space="preserve"> que cuando se trata de competencias esenciales relacionadas con la supervisión y fiscalización de la prestación de servicios de interés público, como la salud, la atribución de responsabilidad puede surgir por la omisión en el cumplimiento del deber de supervisar la prestación del servicio para proteger el bien respectivo</w:t>
      </w:r>
      <w:r w:rsidRPr="002570D1">
        <w:rPr>
          <w:rFonts w:eastAsia="Calibri"/>
          <w:sz w:val="20"/>
          <w:szCs w:val="20"/>
          <w:vertAlign w:val="superscript"/>
          <w:lang w:val="es-ES_tradnl" w:eastAsia="en-US"/>
        </w:rPr>
        <w:footnoteReference w:id="187"/>
      </w:r>
      <w:r w:rsidRPr="002570D1">
        <w:rPr>
          <w:rFonts w:eastAsia="Calibri"/>
          <w:sz w:val="20"/>
          <w:szCs w:val="20"/>
          <w:lang w:val="es-ES_tradnl" w:eastAsia="en-US"/>
        </w:rPr>
        <w:t xml:space="preserve">. </w:t>
      </w:r>
      <w:r w:rsidRPr="002570D1">
        <w:rPr>
          <w:rFonts w:eastAsia="Calibri"/>
          <w:sz w:val="20"/>
          <w:szCs w:val="20"/>
          <w:lang w:val="es-ES" w:eastAsia="en-US"/>
        </w:rPr>
        <w:t>La Corte ha sostenido que “una eventual atención médica en instituciones sin la debida habilitación, sin estar aptas en su infraestructura o en su higiene para brindar prestaciones médicas, o por profesionales que no cuenten con la debida calificación para tales actividades, podría conllevar una incidencia trascendental en los derechos a la vida o a la integridad del paciente”</w:t>
      </w:r>
      <w:r w:rsidRPr="002570D1">
        <w:rPr>
          <w:rFonts w:eastAsia="Calibri"/>
          <w:sz w:val="20"/>
          <w:szCs w:val="20"/>
          <w:vertAlign w:val="superscript"/>
          <w:lang w:val="es-ES" w:eastAsia="en-US"/>
        </w:rPr>
        <w:footnoteReference w:id="188"/>
      </w:r>
      <w:r w:rsidRPr="002570D1">
        <w:rPr>
          <w:rFonts w:eastAsia="Calibri"/>
          <w:sz w:val="20"/>
          <w:szCs w:val="20"/>
          <w:lang w:val="es-ES" w:eastAsia="en-US"/>
        </w:rPr>
        <w:t>.</w:t>
      </w:r>
      <w:r w:rsidRPr="002570D1">
        <w:rPr>
          <w:rFonts w:eastAsia="Calibri"/>
          <w:sz w:val="20"/>
          <w:szCs w:val="20"/>
          <w:lang w:val="es-ES_tradnl" w:eastAsia="en-US"/>
        </w:rPr>
        <w:t xml:space="preserve"> De esta forma, dicha obligación de supervisión y fiscalización se </w:t>
      </w:r>
      <w:r>
        <w:rPr>
          <w:rFonts w:eastAsia="Calibri"/>
          <w:sz w:val="20"/>
          <w:szCs w:val="20"/>
          <w:lang w:val="es-ES_tradnl" w:eastAsia="en-US"/>
        </w:rPr>
        <w:t xml:space="preserve">debe </w:t>
      </w:r>
      <w:r w:rsidRPr="002570D1">
        <w:rPr>
          <w:rFonts w:eastAsia="Calibri"/>
          <w:sz w:val="20"/>
          <w:szCs w:val="20"/>
          <w:lang w:val="es-ES_tradnl" w:eastAsia="en-US"/>
        </w:rPr>
        <w:t>actualiza</w:t>
      </w:r>
      <w:r>
        <w:rPr>
          <w:rFonts w:eastAsia="Calibri"/>
          <w:sz w:val="20"/>
          <w:szCs w:val="20"/>
          <w:lang w:val="es-ES_tradnl" w:eastAsia="en-US"/>
        </w:rPr>
        <w:t>r de manera constante,</w:t>
      </w:r>
      <w:r w:rsidRPr="002570D1">
        <w:rPr>
          <w:rFonts w:eastAsia="Calibri"/>
          <w:sz w:val="20"/>
          <w:szCs w:val="20"/>
          <w:lang w:val="es-ES_tradnl" w:eastAsia="en-US"/>
        </w:rPr>
        <w:t xml:space="preserve"> particularmente </w:t>
      </w:r>
      <w:r>
        <w:rPr>
          <w:rFonts w:eastAsia="Calibri"/>
          <w:sz w:val="20"/>
          <w:szCs w:val="20"/>
          <w:lang w:val="es-ES_tradnl" w:eastAsia="en-US"/>
        </w:rPr>
        <w:t xml:space="preserve">cuando de </w:t>
      </w:r>
      <w:r w:rsidRPr="002570D1">
        <w:rPr>
          <w:rFonts w:eastAsia="Calibri"/>
          <w:sz w:val="20"/>
          <w:szCs w:val="20"/>
          <w:lang w:val="es-ES_tradnl" w:eastAsia="en-US"/>
        </w:rPr>
        <w:t xml:space="preserve">los servicios de </w:t>
      </w:r>
      <w:r>
        <w:rPr>
          <w:rFonts w:eastAsia="Calibri"/>
          <w:sz w:val="20"/>
          <w:szCs w:val="20"/>
          <w:lang w:val="es-ES_tradnl" w:eastAsia="en-US"/>
        </w:rPr>
        <w:t>urgencia</w:t>
      </w:r>
      <w:r w:rsidRPr="002570D1">
        <w:rPr>
          <w:rFonts w:eastAsia="Calibri"/>
          <w:sz w:val="20"/>
          <w:szCs w:val="20"/>
          <w:lang w:val="es-ES_tradnl" w:eastAsia="en-US"/>
        </w:rPr>
        <w:t xml:space="preserve"> médica</w:t>
      </w:r>
      <w:r>
        <w:rPr>
          <w:rFonts w:eastAsia="Calibri"/>
          <w:sz w:val="20"/>
          <w:szCs w:val="20"/>
          <w:lang w:val="es-ES_tradnl" w:eastAsia="en-US"/>
        </w:rPr>
        <w:t xml:space="preserve"> se trate</w:t>
      </w:r>
      <w:r w:rsidRPr="002570D1">
        <w:rPr>
          <w:rFonts w:eastAsia="Calibri"/>
          <w:sz w:val="20"/>
          <w:szCs w:val="20"/>
          <w:vertAlign w:val="superscript"/>
          <w:lang w:val="es-ES_tradnl" w:eastAsia="en-US"/>
        </w:rPr>
        <w:footnoteReference w:id="189"/>
      </w:r>
      <w:r w:rsidRPr="002570D1">
        <w:rPr>
          <w:rFonts w:eastAsia="Calibri"/>
          <w:sz w:val="20"/>
          <w:szCs w:val="20"/>
          <w:lang w:val="es-ES_tradnl" w:eastAsia="en-US"/>
        </w:rPr>
        <w:t>.</w:t>
      </w:r>
    </w:p>
    <w:p w14:paraId="3F422CC1" w14:textId="486A5002" w:rsidR="00911089" w:rsidRPr="00A34C6F" w:rsidRDefault="002C6D1C" w:rsidP="002C6D1C">
      <w:pPr>
        <w:pStyle w:val="Heading4"/>
        <w:ind w:left="2124"/>
        <w:rPr>
          <w:rFonts w:eastAsia="Calibri"/>
          <w:b/>
          <w:lang w:val="es-MX" w:eastAsia="en-US"/>
        </w:rPr>
      </w:pPr>
      <w:bookmarkStart w:id="80" w:name="_Toc513644469"/>
      <w:r w:rsidRPr="00A34C6F">
        <w:rPr>
          <w:rFonts w:eastAsia="Calibri"/>
          <w:b/>
          <w:lang w:val="es-MX" w:eastAsia="en-US"/>
        </w:rPr>
        <w:t xml:space="preserve">1.1.2 </w:t>
      </w:r>
      <w:r w:rsidR="00911089" w:rsidRPr="00A34C6F">
        <w:rPr>
          <w:rFonts w:eastAsia="Calibri"/>
          <w:b/>
          <w:lang w:val="es-MX" w:eastAsia="en-US"/>
        </w:rPr>
        <w:t xml:space="preserve"> </w:t>
      </w:r>
      <w:r w:rsidRPr="00A34C6F">
        <w:rPr>
          <w:rFonts w:eastAsia="Calibri"/>
          <w:b/>
          <w:lang w:val="es-MX" w:eastAsia="en-US"/>
        </w:rPr>
        <w:t>Respecto de las p</w:t>
      </w:r>
      <w:r w:rsidR="009455C8" w:rsidRPr="00A34C6F">
        <w:rPr>
          <w:rFonts w:eastAsia="Calibri"/>
          <w:b/>
          <w:lang w:val="es-MX" w:eastAsia="en-US"/>
        </w:rPr>
        <w:t xml:space="preserve">ersonas </w:t>
      </w:r>
      <w:r w:rsidR="00911089" w:rsidRPr="00A34C6F">
        <w:rPr>
          <w:rFonts w:eastAsia="Calibri"/>
          <w:b/>
          <w:lang w:val="es-MX" w:eastAsia="en-US"/>
        </w:rPr>
        <w:t>mayores</w:t>
      </w:r>
      <w:r w:rsidR="00D80DE7" w:rsidRPr="00B1523A">
        <w:rPr>
          <w:rStyle w:val="FootnoteReference"/>
          <w:rFonts w:eastAsia="Calibri"/>
          <w:i w:val="0"/>
          <w:szCs w:val="20"/>
          <w:lang w:val="es-MX" w:eastAsia="en-US"/>
        </w:rPr>
        <w:footnoteReference w:id="190"/>
      </w:r>
      <w:r w:rsidR="00D80DE7">
        <w:rPr>
          <w:rFonts w:eastAsia="Calibri"/>
          <w:szCs w:val="20"/>
          <w:lang w:val="es-MX" w:eastAsia="en-US"/>
        </w:rPr>
        <w:t xml:space="preserve"> </w:t>
      </w:r>
      <w:r w:rsidRPr="00A34C6F">
        <w:rPr>
          <w:rFonts w:eastAsia="Calibri"/>
          <w:b/>
          <w:lang w:val="es-MX" w:eastAsia="en-US"/>
        </w:rPr>
        <w:t>en materia de salud</w:t>
      </w:r>
      <w:bookmarkEnd w:id="80"/>
    </w:p>
    <w:p w14:paraId="68BBB3B7" w14:textId="77777777" w:rsidR="00911089" w:rsidRPr="0059117C" w:rsidRDefault="00911089" w:rsidP="0059117C">
      <w:pPr>
        <w:ind w:right="-360"/>
        <w:contextualSpacing/>
        <w:rPr>
          <w:rFonts w:eastAsia="Calibri"/>
          <w:sz w:val="20"/>
          <w:szCs w:val="20"/>
          <w:lang w:eastAsia="en-US"/>
        </w:rPr>
      </w:pPr>
    </w:p>
    <w:p w14:paraId="03EA57E3" w14:textId="215AFB4A" w:rsidR="00366709" w:rsidRPr="0059117C" w:rsidRDefault="009455C8" w:rsidP="0027467C">
      <w:pPr>
        <w:numPr>
          <w:ilvl w:val="0"/>
          <w:numId w:val="2"/>
        </w:numPr>
        <w:tabs>
          <w:tab w:val="left" w:pos="567"/>
          <w:tab w:val="num" w:pos="1569"/>
          <w:tab w:val="num" w:pos="12305"/>
        </w:tabs>
        <w:ind w:left="0" w:firstLine="0"/>
        <w:rPr>
          <w:rFonts w:eastAsia="Calibri"/>
          <w:sz w:val="20"/>
          <w:szCs w:val="20"/>
          <w:lang w:val="es-ES_tradnl" w:eastAsia="en-US"/>
        </w:rPr>
      </w:pPr>
      <w:r>
        <w:rPr>
          <w:rFonts w:eastAsia="Calibri"/>
          <w:sz w:val="20"/>
          <w:szCs w:val="20"/>
          <w:lang w:val="es-MX" w:eastAsia="en-US"/>
        </w:rPr>
        <w:t xml:space="preserve">La Corte </w:t>
      </w:r>
      <w:r w:rsidR="00366709">
        <w:rPr>
          <w:rFonts w:eastAsia="Calibri"/>
          <w:sz w:val="20"/>
          <w:szCs w:val="20"/>
          <w:lang w:val="es-MX" w:eastAsia="en-US"/>
        </w:rPr>
        <w:t xml:space="preserve">destaca la oportunidad de pronunciarse por primera ocasión </w:t>
      </w:r>
      <w:r w:rsidR="00EE6B63">
        <w:rPr>
          <w:rFonts w:eastAsia="Calibri"/>
          <w:sz w:val="20"/>
          <w:szCs w:val="20"/>
          <w:lang w:val="es-MX" w:eastAsia="en-US"/>
        </w:rPr>
        <w:t xml:space="preserve">de manera específica </w:t>
      </w:r>
      <w:r w:rsidR="00366709">
        <w:rPr>
          <w:rFonts w:eastAsia="Calibri"/>
          <w:sz w:val="20"/>
          <w:szCs w:val="20"/>
          <w:lang w:val="es-MX" w:eastAsia="en-US"/>
        </w:rPr>
        <w:t>sobre los derechos de las personas mayores</w:t>
      </w:r>
      <w:r w:rsidR="00D80DE7">
        <w:rPr>
          <w:rFonts w:eastAsia="Calibri"/>
          <w:sz w:val="20"/>
          <w:szCs w:val="20"/>
          <w:lang w:val="es-MX" w:eastAsia="en-US"/>
        </w:rPr>
        <w:t xml:space="preserve"> </w:t>
      </w:r>
      <w:r w:rsidR="00366709">
        <w:rPr>
          <w:rFonts w:eastAsia="Calibri"/>
          <w:sz w:val="20"/>
          <w:szCs w:val="20"/>
          <w:lang w:val="es-MX" w:eastAsia="en-US"/>
        </w:rPr>
        <w:t>en materia de salud</w:t>
      </w:r>
      <w:r w:rsidR="00EE6B63">
        <w:rPr>
          <w:rStyle w:val="FootnoteReference"/>
          <w:rFonts w:eastAsia="Calibri"/>
          <w:sz w:val="20"/>
          <w:szCs w:val="20"/>
          <w:lang w:val="es-MX" w:eastAsia="en-US"/>
        </w:rPr>
        <w:footnoteReference w:id="191"/>
      </w:r>
      <w:r w:rsidR="00366709">
        <w:rPr>
          <w:rFonts w:eastAsia="Calibri"/>
          <w:sz w:val="20"/>
          <w:szCs w:val="20"/>
          <w:lang w:val="es-MX" w:eastAsia="en-US"/>
        </w:rPr>
        <w:t xml:space="preserve">. </w:t>
      </w:r>
    </w:p>
    <w:p w14:paraId="503A623A" w14:textId="77777777" w:rsidR="00366709" w:rsidRPr="0059117C" w:rsidRDefault="00366709" w:rsidP="0059117C">
      <w:pPr>
        <w:tabs>
          <w:tab w:val="left" w:pos="567"/>
        </w:tabs>
        <w:rPr>
          <w:rFonts w:eastAsia="Calibri"/>
          <w:sz w:val="20"/>
          <w:szCs w:val="20"/>
          <w:lang w:val="es-ES_tradnl" w:eastAsia="en-US"/>
        </w:rPr>
      </w:pPr>
    </w:p>
    <w:p w14:paraId="6AD71ED6" w14:textId="1340DB59" w:rsidR="00911089" w:rsidRPr="0027467C" w:rsidRDefault="008E3E41" w:rsidP="0027467C">
      <w:pPr>
        <w:numPr>
          <w:ilvl w:val="0"/>
          <w:numId w:val="2"/>
        </w:numPr>
        <w:tabs>
          <w:tab w:val="left" w:pos="567"/>
          <w:tab w:val="num" w:pos="1569"/>
          <w:tab w:val="num" w:pos="12305"/>
        </w:tabs>
        <w:ind w:left="0" w:firstLine="0"/>
        <w:rPr>
          <w:rFonts w:eastAsia="Calibri"/>
          <w:sz w:val="20"/>
          <w:szCs w:val="20"/>
          <w:lang w:val="es-ES_tradnl" w:eastAsia="en-US"/>
        </w:rPr>
      </w:pPr>
      <w:r>
        <w:rPr>
          <w:rFonts w:eastAsia="Calibri"/>
          <w:sz w:val="20"/>
          <w:szCs w:val="20"/>
          <w:lang w:val="es-MX" w:eastAsia="en-US"/>
        </w:rPr>
        <w:t>Este Tribunal</w:t>
      </w:r>
      <w:r w:rsidR="00366709">
        <w:rPr>
          <w:rFonts w:eastAsia="Calibri"/>
          <w:sz w:val="20"/>
          <w:szCs w:val="20"/>
          <w:lang w:val="es-MX" w:eastAsia="en-US"/>
        </w:rPr>
        <w:t>, verifica el importante desarrollo y consolidación de estándares internacionales en esta materia</w:t>
      </w:r>
      <w:r w:rsidR="00366709">
        <w:rPr>
          <w:rFonts w:eastAsia="Calibri"/>
          <w:i/>
          <w:sz w:val="20"/>
          <w:lang w:val="es-MX"/>
        </w:rPr>
        <w:t xml:space="preserve">. </w:t>
      </w:r>
      <w:r w:rsidR="00366709">
        <w:rPr>
          <w:rFonts w:eastAsia="Calibri"/>
          <w:sz w:val="20"/>
          <w:szCs w:val="20"/>
          <w:lang w:val="es-ES_tradnl" w:eastAsia="en-US"/>
        </w:rPr>
        <w:t>Así, e</w:t>
      </w:r>
      <w:r w:rsidR="00911089" w:rsidRPr="002570D1">
        <w:rPr>
          <w:rFonts w:eastAsia="Calibri"/>
          <w:sz w:val="20"/>
          <w:szCs w:val="20"/>
          <w:lang w:val="es-MX" w:eastAsia="en-US"/>
        </w:rPr>
        <w:t xml:space="preserve">l artículo 17 </w:t>
      </w:r>
      <w:r w:rsidR="00911089">
        <w:rPr>
          <w:rFonts w:eastAsia="Calibri"/>
          <w:sz w:val="20"/>
          <w:szCs w:val="20"/>
          <w:lang w:val="es-MX" w:eastAsia="en-US"/>
        </w:rPr>
        <w:t xml:space="preserve">del </w:t>
      </w:r>
      <w:r w:rsidR="00911089" w:rsidRPr="002570D1">
        <w:rPr>
          <w:rFonts w:eastAsia="Calibri"/>
          <w:sz w:val="20"/>
          <w:szCs w:val="20"/>
          <w:lang w:val="es-MX" w:eastAsia="en-US"/>
        </w:rPr>
        <w:t xml:space="preserve">Protocolo </w:t>
      </w:r>
      <w:r w:rsidR="00911089">
        <w:rPr>
          <w:rFonts w:eastAsia="Calibri"/>
          <w:sz w:val="20"/>
          <w:szCs w:val="20"/>
          <w:lang w:val="es-MX" w:eastAsia="en-US"/>
        </w:rPr>
        <w:t xml:space="preserve">de San Salvador, contempla </w:t>
      </w:r>
      <w:r w:rsidR="00911089" w:rsidRPr="002570D1">
        <w:rPr>
          <w:rFonts w:eastAsia="Calibri"/>
          <w:sz w:val="20"/>
          <w:szCs w:val="20"/>
          <w:lang w:val="es-MX" w:eastAsia="en-US"/>
        </w:rPr>
        <w:t xml:space="preserve">el derecho a la salud de </w:t>
      </w:r>
      <w:r w:rsidR="0001661C" w:rsidRPr="00B1523A">
        <w:rPr>
          <w:rFonts w:eastAsia="Calibri"/>
          <w:sz w:val="20"/>
          <w:szCs w:val="20"/>
          <w:lang w:val="es-MX" w:eastAsia="en-US"/>
        </w:rPr>
        <w:t>las personas mayores</w:t>
      </w:r>
      <w:r w:rsidR="00911089">
        <w:rPr>
          <w:rStyle w:val="FootnoteReference"/>
          <w:rFonts w:eastAsia="Calibri"/>
          <w:sz w:val="20"/>
          <w:szCs w:val="20"/>
          <w:lang w:val="es-MX" w:eastAsia="en-US"/>
        </w:rPr>
        <w:footnoteReference w:id="192"/>
      </w:r>
      <w:r w:rsidR="006823B8">
        <w:rPr>
          <w:rFonts w:eastAsia="Calibri"/>
          <w:sz w:val="20"/>
          <w:szCs w:val="20"/>
          <w:lang w:val="es-MX" w:eastAsia="en-US"/>
        </w:rPr>
        <w:t>;</w:t>
      </w:r>
      <w:r w:rsidR="0027467C">
        <w:rPr>
          <w:rFonts w:eastAsia="Calibri"/>
          <w:sz w:val="20"/>
          <w:szCs w:val="20"/>
          <w:lang w:val="es-MX" w:eastAsia="en-US"/>
        </w:rPr>
        <w:t xml:space="preserve"> </w:t>
      </w:r>
      <w:r w:rsidR="0027467C" w:rsidRPr="00115056">
        <w:rPr>
          <w:rFonts w:eastAsia="Calibri"/>
          <w:sz w:val="20"/>
          <w:szCs w:val="20"/>
          <w:lang w:val="es-AR" w:eastAsia="en-US"/>
        </w:rPr>
        <w:t>el Protocolo de la Carta Africana de Derechos Humanos y de los Pueblos relativo a los Derechos de las Personas de Edad en África</w:t>
      </w:r>
      <w:r w:rsidR="0027467C" w:rsidRPr="00115056">
        <w:rPr>
          <w:rFonts w:eastAsia="Calibri"/>
          <w:sz w:val="20"/>
          <w:szCs w:val="20"/>
          <w:vertAlign w:val="superscript"/>
          <w:lang w:val="es-AR" w:eastAsia="en-US"/>
        </w:rPr>
        <w:footnoteReference w:id="193"/>
      </w:r>
      <w:r w:rsidR="005D383C">
        <w:rPr>
          <w:rFonts w:eastAsia="Calibri"/>
          <w:sz w:val="20"/>
          <w:szCs w:val="20"/>
          <w:lang w:val="es-MX" w:eastAsia="en-US"/>
        </w:rPr>
        <w:t xml:space="preserve">, </w:t>
      </w:r>
      <w:r w:rsidR="006823B8">
        <w:rPr>
          <w:rFonts w:eastAsia="Calibri"/>
          <w:sz w:val="20"/>
          <w:szCs w:val="20"/>
          <w:lang w:val="es-MX" w:eastAsia="en-US"/>
        </w:rPr>
        <w:t xml:space="preserve">y </w:t>
      </w:r>
      <w:r w:rsidR="005D383C" w:rsidRPr="00B1523A">
        <w:rPr>
          <w:rFonts w:eastAsia="Calibri"/>
          <w:sz w:val="20"/>
          <w:szCs w:val="20"/>
          <w:lang w:val="es-MX"/>
        </w:rPr>
        <w:t>la Carta Social Europea</w:t>
      </w:r>
      <w:r w:rsidR="005D383C" w:rsidRPr="00B1523A">
        <w:rPr>
          <w:rStyle w:val="FootnoteReference"/>
          <w:rFonts w:eastAsia="Calibri"/>
          <w:sz w:val="20"/>
          <w:lang w:val="es-MX"/>
        </w:rPr>
        <w:footnoteReference w:id="194"/>
      </w:r>
      <w:r w:rsidR="005D383C" w:rsidRPr="00455522">
        <w:rPr>
          <w:rFonts w:eastAsia="Calibri"/>
          <w:sz w:val="20"/>
          <w:szCs w:val="20"/>
          <w:lang w:val="es-MX"/>
        </w:rPr>
        <w:t>.</w:t>
      </w:r>
      <w:r w:rsidR="005D383C">
        <w:rPr>
          <w:rFonts w:eastAsia="Calibri"/>
          <w:sz w:val="20"/>
          <w:szCs w:val="20"/>
          <w:lang w:val="es-MX"/>
        </w:rPr>
        <w:t xml:space="preserve"> </w:t>
      </w:r>
      <w:r w:rsidR="001218A0">
        <w:rPr>
          <w:rFonts w:eastAsia="Calibri"/>
          <w:sz w:val="20"/>
          <w:szCs w:val="20"/>
          <w:lang w:val="es-MX" w:eastAsia="en-US"/>
        </w:rPr>
        <w:t>Particular atención merece la reciente adopción de</w:t>
      </w:r>
      <w:r w:rsidR="001218A0" w:rsidRPr="002570D1">
        <w:rPr>
          <w:rFonts w:eastAsia="Calibri"/>
          <w:sz w:val="20"/>
          <w:szCs w:val="20"/>
          <w:lang w:val="es-MX" w:eastAsia="en-US"/>
        </w:rPr>
        <w:t xml:space="preserve"> la Convención Interamericana sobre </w:t>
      </w:r>
      <w:r w:rsidR="00086B4C">
        <w:rPr>
          <w:rFonts w:eastAsia="Calibri"/>
          <w:sz w:val="20"/>
          <w:szCs w:val="20"/>
          <w:lang w:val="es-MX" w:eastAsia="en-US"/>
        </w:rPr>
        <w:t xml:space="preserve">la </w:t>
      </w:r>
      <w:r w:rsidR="001218A0" w:rsidRPr="002570D1">
        <w:rPr>
          <w:rFonts w:eastAsia="Calibri"/>
          <w:sz w:val="20"/>
          <w:szCs w:val="20"/>
          <w:lang w:val="es-MX" w:eastAsia="en-US"/>
        </w:rPr>
        <w:t>Protección de los Derechos Humanos de las Personas Mayores</w:t>
      </w:r>
      <w:r w:rsidR="001218A0" w:rsidRPr="002570D1">
        <w:rPr>
          <w:rFonts w:eastAsia="Calibri"/>
          <w:sz w:val="20"/>
          <w:szCs w:val="20"/>
          <w:vertAlign w:val="superscript"/>
          <w:lang w:val="es-MX" w:eastAsia="en-US"/>
        </w:rPr>
        <w:footnoteReference w:id="195"/>
      </w:r>
      <w:r w:rsidR="001218A0" w:rsidRPr="002570D1">
        <w:rPr>
          <w:rFonts w:eastAsia="Calibri"/>
          <w:sz w:val="20"/>
          <w:szCs w:val="20"/>
          <w:lang w:val="es-MX" w:eastAsia="en-US"/>
        </w:rPr>
        <w:t xml:space="preserve">, </w:t>
      </w:r>
      <w:r w:rsidR="001218A0">
        <w:rPr>
          <w:rFonts w:eastAsia="Calibri"/>
          <w:sz w:val="20"/>
          <w:szCs w:val="20"/>
          <w:lang w:val="es-MX" w:eastAsia="en-US"/>
        </w:rPr>
        <w:t xml:space="preserve">la cual </w:t>
      </w:r>
      <w:r w:rsidR="001218A0" w:rsidRPr="002570D1">
        <w:rPr>
          <w:rFonts w:eastAsia="Calibri"/>
          <w:sz w:val="20"/>
          <w:szCs w:val="20"/>
          <w:lang w:val="es-MX" w:eastAsia="en-US"/>
        </w:rPr>
        <w:t>reconoce que la persona mayor tiene derecho a su salud física y mental, sin ningún tipo de discriminación</w:t>
      </w:r>
      <w:r w:rsidR="0027467C">
        <w:rPr>
          <w:rFonts w:eastAsia="Calibri"/>
          <w:sz w:val="20"/>
          <w:szCs w:val="20"/>
          <w:lang w:val="es-MX" w:eastAsia="en-US"/>
        </w:rPr>
        <w:t>, entre otra</w:t>
      </w:r>
      <w:r w:rsidR="001218A0">
        <w:rPr>
          <w:rFonts w:eastAsia="Calibri"/>
          <w:sz w:val="20"/>
          <w:szCs w:val="20"/>
          <w:lang w:val="es-MX" w:eastAsia="en-US"/>
        </w:rPr>
        <w:t>s</w:t>
      </w:r>
      <w:r w:rsidR="001218A0">
        <w:rPr>
          <w:rStyle w:val="FootnoteReference"/>
          <w:rFonts w:eastAsia="Calibri"/>
          <w:sz w:val="20"/>
          <w:szCs w:val="20"/>
          <w:lang w:val="es-MX" w:eastAsia="en-US"/>
        </w:rPr>
        <w:footnoteReference w:id="196"/>
      </w:r>
      <w:r w:rsidR="001218A0" w:rsidRPr="002570D1">
        <w:rPr>
          <w:rFonts w:eastAsia="Calibri"/>
          <w:sz w:val="20"/>
          <w:szCs w:val="20"/>
          <w:lang w:val="es-MX" w:eastAsia="en-US"/>
        </w:rPr>
        <w:t>.</w:t>
      </w:r>
      <w:r w:rsidR="0027467C">
        <w:rPr>
          <w:rFonts w:eastAsia="Calibri"/>
          <w:sz w:val="20"/>
          <w:szCs w:val="20"/>
          <w:lang w:val="es-MX" w:eastAsia="en-US"/>
        </w:rPr>
        <w:t xml:space="preserve"> Asimismo, observa demás desarrollos en la materia, tales como: </w:t>
      </w:r>
      <w:r w:rsidR="0027467C" w:rsidRPr="0027467C">
        <w:rPr>
          <w:rFonts w:eastAsia="Calibri"/>
          <w:sz w:val="20"/>
          <w:szCs w:val="20"/>
          <w:lang w:val="es-MX" w:eastAsia="en-US"/>
        </w:rPr>
        <w:t xml:space="preserve">los Principios de las Naciones Unidas en </w:t>
      </w:r>
      <w:r w:rsidR="00086B4C">
        <w:rPr>
          <w:rFonts w:eastAsia="Calibri"/>
          <w:sz w:val="20"/>
          <w:szCs w:val="20"/>
          <w:lang w:val="es-MX" w:eastAsia="en-US"/>
        </w:rPr>
        <w:t>F</w:t>
      </w:r>
      <w:r w:rsidR="0027467C" w:rsidRPr="0027467C">
        <w:rPr>
          <w:rFonts w:eastAsia="Calibri"/>
          <w:sz w:val="20"/>
          <w:szCs w:val="20"/>
          <w:lang w:val="es-MX" w:eastAsia="en-US"/>
        </w:rPr>
        <w:t>avor de las Personas de Edad</w:t>
      </w:r>
      <w:r w:rsidR="0027467C" w:rsidRPr="002570D1">
        <w:rPr>
          <w:rFonts w:eastAsia="Calibri"/>
          <w:sz w:val="20"/>
          <w:szCs w:val="20"/>
          <w:vertAlign w:val="superscript"/>
          <w:lang w:val="es-MX" w:eastAsia="en-US"/>
        </w:rPr>
        <w:footnoteReference w:id="197"/>
      </w:r>
      <w:r w:rsidR="0027467C">
        <w:rPr>
          <w:rFonts w:eastAsia="Calibri"/>
          <w:sz w:val="20"/>
          <w:szCs w:val="20"/>
          <w:lang w:val="es-MX" w:eastAsia="en-US"/>
        </w:rPr>
        <w:t xml:space="preserve">, </w:t>
      </w:r>
      <w:r w:rsidR="00911089" w:rsidRPr="0027467C">
        <w:rPr>
          <w:rFonts w:eastAsia="Calibri"/>
          <w:sz w:val="20"/>
          <w:szCs w:val="20"/>
          <w:lang w:val="es-MX" w:eastAsia="en-US"/>
        </w:rPr>
        <w:t>el Plan de Acción Internacional de Viena sobre Envejecimiento</w:t>
      </w:r>
      <w:r w:rsidR="00911089">
        <w:rPr>
          <w:rStyle w:val="FootnoteReference"/>
          <w:rFonts w:eastAsia="Calibri"/>
          <w:sz w:val="20"/>
          <w:szCs w:val="20"/>
          <w:lang w:val="es-MX" w:eastAsia="en-US"/>
        </w:rPr>
        <w:footnoteReference w:id="198"/>
      </w:r>
      <w:r w:rsidR="00911089" w:rsidRPr="0027467C">
        <w:rPr>
          <w:rFonts w:eastAsia="Calibri"/>
          <w:sz w:val="20"/>
          <w:szCs w:val="20"/>
          <w:lang w:val="es-MX" w:eastAsia="en-US"/>
        </w:rPr>
        <w:t>, la Proclamación sobre el Envejecimiento</w:t>
      </w:r>
      <w:r w:rsidR="00911089" w:rsidRPr="002570D1">
        <w:rPr>
          <w:rFonts w:eastAsia="Calibri"/>
          <w:sz w:val="20"/>
          <w:szCs w:val="20"/>
          <w:vertAlign w:val="superscript"/>
          <w:lang w:val="es-MX" w:eastAsia="en-US"/>
        </w:rPr>
        <w:footnoteReference w:id="199"/>
      </w:r>
      <w:r w:rsidR="00911089" w:rsidRPr="0027467C">
        <w:rPr>
          <w:rFonts w:eastAsia="Calibri"/>
          <w:sz w:val="20"/>
          <w:szCs w:val="20"/>
          <w:lang w:val="es-MX" w:eastAsia="en-US"/>
        </w:rPr>
        <w:t>, la Declaración Política y el Plan de Acción Internacional de Madrid sobre el Envejecimiento</w:t>
      </w:r>
      <w:r w:rsidR="00911089" w:rsidRPr="002570D1">
        <w:rPr>
          <w:rFonts w:eastAsia="Calibri"/>
          <w:sz w:val="20"/>
          <w:szCs w:val="20"/>
          <w:vertAlign w:val="superscript"/>
          <w:lang w:val="es-MX" w:eastAsia="en-US"/>
        </w:rPr>
        <w:footnoteReference w:id="200"/>
      </w:r>
      <w:r w:rsidR="00911089" w:rsidRPr="0027467C">
        <w:rPr>
          <w:rFonts w:eastAsia="Calibri"/>
          <w:sz w:val="20"/>
          <w:szCs w:val="20"/>
          <w:lang w:val="es-MX" w:eastAsia="en-US"/>
        </w:rPr>
        <w:t>, así como</w:t>
      </w:r>
      <w:r w:rsidR="0027467C">
        <w:rPr>
          <w:rFonts w:eastAsia="Calibri"/>
          <w:sz w:val="20"/>
          <w:szCs w:val="20"/>
          <w:lang w:val="es-MX" w:eastAsia="en-US"/>
        </w:rPr>
        <w:t xml:space="preserve"> otros</w:t>
      </w:r>
      <w:r w:rsidR="00911089" w:rsidRPr="0027467C">
        <w:rPr>
          <w:rFonts w:eastAsia="Calibri"/>
          <w:sz w:val="20"/>
          <w:szCs w:val="20"/>
          <w:lang w:val="es-MX" w:eastAsia="en-US"/>
        </w:rPr>
        <w:t xml:space="preserve"> </w:t>
      </w:r>
      <w:r w:rsidR="0027467C">
        <w:rPr>
          <w:rFonts w:eastAsia="Calibri"/>
          <w:sz w:val="20"/>
          <w:szCs w:val="20"/>
          <w:lang w:val="es-MX" w:eastAsia="en-US"/>
        </w:rPr>
        <w:t xml:space="preserve">de carácter regional, </w:t>
      </w:r>
      <w:r w:rsidR="00911089" w:rsidRPr="0027467C">
        <w:rPr>
          <w:rFonts w:eastAsia="Calibri"/>
          <w:sz w:val="20"/>
          <w:szCs w:val="20"/>
          <w:lang w:val="es-MX" w:eastAsia="en-US"/>
        </w:rPr>
        <w:t>tales como</w:t>
      </w:r>
      <w:r w:rsidR="0027467C">
        <w:rPr>
          <w:rFonts w:eastAsia="Calibri"/>
          <w:sz w:val="20"/>
          <w:szCs w:val="20"/>
          <w:lang w:val="es-MX" w:eastAsia="en-US"/>
        </w:rPr>
        <w:t>:</w:t>
      </w:r>
      <w:r w:rsidR="00911089" w:rsidRPr="0027467C">
        <w:rPr>
          <w:rFonts w:eastAsia="Calibri"/>
          <w:sz w:val="20"/>
          <w:szCs w:val="20"/>
          <w:lang w:val="es-MX" w:eastAsia="en-US"/>
        </w:rPr>
        <w:t xml:space="preserve"> la Estrategia Regional de </w:t>
      </w:r>
      <w:r w:rsidR="006B5AEE">
        <w:rPr>
          <w:rFonts w:eastAsia="Calibri"/>
          <w:sz w:val="20"/>
          <w:szCs w:val="20"/>
          <w:lang w:val="es-MX" w:eastAsia="en-US"/>
        </w:rPr>
        <w:t>I</w:t>
      </w:r>
      <w:r w:rsidR="00911089" w:rsidRPr="0027467C">
        <w:rPr>
          <w:rFonts w:eastAsia="Calibri"/>
          <w:sz w:val="20"/>
          <w:szCs w:val="20"/>
          <w:lang w:val="es-MX" w:eastAsia="en-US"/>
        </w:rPr>
        <w:t>mplementación para América Latina y el Caribe</w:t>
      </w:r>
      <w:r w:rsidR="00911089" w:rsidRPr="002570D1">
        <w:rPr>
          <w:rFonts w:eastAsia="Calibri"/>
          <w:sz w:val="20"/>
          <w:szCs w:val="20"/>
          <w:vertAlign w:val="superscript"/>
          <w:lang w:val="es-MX" w:eastAsia="en-US"/>
        </w:rPr>
        <w:footnoteReference w:id="201"/>
      </w:r>
      <w:r w:rsidR="00911089" w:rsidRPr="0027467C">
        <w:rPr>
          <w:rFonts w:eastAsia="Calibri"/>
          <w:sz w:val="20"/>
          <w:szCs w:val="20"/>
          <w:lang w:val="es-MX" w:eastAsia="en-US"/>
        </w:rPr>
        <w:t>, la Declaración de Brasilia</w:t>
      </w:r>
      <w:r w:rsidR="00911089" w:rsidRPr="002570D1">
        <w:rPr>
          <w:rFonts w:eastAsia="Calibri"/>
          <w:sz w:val="20"/>
          <w:szCs w:val="20"/>
          <w:vertAlign w:val="superscript"/>
          <w:lang w:val="es-MX" w:eastAsia="en-US"/>
        </w:rPr>
        <w:footnoteReference w:id="202"/>
      </w:r>
      <w:r w:rsidR="00911089" w:rsidRPr="0027467C">
        <w:rPr>
          <w:rFonts w:eastAsia="Calibri"/>
          <w:sz w:val="20"/>
          <w:szCs w:val="20"/>
          <w:lang w:val="es-MX" w:eastAsia="en-US"/>
        </w:rPr>
        <w:t xml:space="preserve">, el Plan de Acción de la Organización Panamericana de la Salud sobre la </w:t>
      </w:r>
      <w:r w:rsidR="00086B4C">
        <w:rPr>
          <w:rFonts w:eastAsia="Calibri"/>
          <w:sz w:val="20"/>
          <w:szCs w:val="20"/>
          <w:lang w:val="es-MX" w:eastAsia="en-US"/>
        </w:rPr>
        <w:t>S</w:t>
      </w:r>
      <w:r w:rsidR="00911089" w:rsidRPr="0027467C">
        <w:rPr>
          <w:rFonts w:eastAsia="Calibri"/>
          <w:sz w:val="20"/>
          <w:szCs w:val="20"/>
          <w:lang w:val="es-MX" w:eastAsia="en-US"/>
        </w:rPr>
        <w:t xml:space="preserve">alud de las </w:t>
      </w:r>
      <w:r w:rsidR="00086B4C">
        <w:rPr>
          <w:rFonts w:eastAsia="Calibri"/>
          <w:sz w:val="20"/>
          <w:szCs w:val="20"/>
          <w:lang w:val="es-MX" w:eastAsia="en-US"/>
        </w:rPr>
        <w:t>P</w:t>
      </w:r>
      <w:r w:rsidR="00911089" w:rsidRPr="0027467C">
        <w:rPr>
          <w:rFonts w:eastAsia="Calibri"/>
          <w:sz w:val="20"/>
          <w:szCs w:val="20"/>
          <w:lang w:val="es-MX" w:eastAsia="en-US"/>
        </w:rPr>
        <w:t xml:space="preserve">ersonas </w:t>
      </w:r>
      <w:r w:rsidR="00086B4C">
        <w:rPr>
          <w:rFonts w:eastAsia="Calibri"/>
          <w:sz w:val="20"/>
          <w:szCs w:val="20"/>
          <w:lang w:val="es-MX" w:eastAsia="en-US"/>
        </w:rPr>
        <w:t>M</w:t>
      </w:r>
      <w:r w:rsidR="00911089" w:rsidRPr="0027467C">
        <w:rPr>
          <w:rFonts w:eastAsia="Calibri"/>
          <w:sz w:val="20"/>
          <w:szCs w:val="20"/>
          <w:lang w:val="es-MX" w:eastAsia="en-US"/>
        </w:rPr>
        <w:t xml:space="preserve">ayores, incluido el </w:t>
      </w:r>
      <w:r w:rsidR="00086B4C">
        <w:rPr>
          <w:rFonts w:eastAsia="Calibri"/>
          <w:sz w:val="20"/>
          <w:szCs w:val="20"/>
          <w:lang w:val="es-MX" w:eastAsia="en-US"/>
        </w:rPr>
        <w:t>E</w:t>
      </w:r>
      <w:r w:rsidR="00911089" w:rsidRPr="0027467C">
        <w:rPr>
          <w:rFonts w:eastAsia="Calibri"/>
          <w:sz w:val="20"/>
          <w:szCs w:val="20"/>
          <w:lang w:val="es-MX" w:eastAsia="en-US"/>
        </w:rPr>
        <w:t xml:space="preserve">nvejecimiento </w:t>
      </w:r>
      <w:r w:rsidR="00086B4C">
        <w:rPr>
          <w:rFonts w:eastAsia="Calibri"/>
          <w:sz w:val="20"/>
          <w:szCs w:val="20"/>
          <w:lang w:val="es-MX" w:eastAsia="en-US"/>
        </w:rPr>
        <w:t>A</w:t>
      </w:r>
      <w:r w:rsidR="00911089" w:rsidRPr="0027467C">
        <w:rPr>
          <w:rFonts w:eastAsia="Calibri"/>
          <w:sz w:val="20"/>
          <w:szCs w:val="20"/>
          <w:lang w:val="es-MX" w:eastAsia="en-US"/>
        </w:rPr>
        <w:t xml:space="preserve">ctivo y </w:t>
      </w:r>
      <w:r w:rsidR="00086B4C">
        <w:rPr>
          <w:rFonts w:eastAsia="Calibri"/>
          <w:sz w:val="20"/>
          <w:szCs w:val="20"/>
          <w:lang w:val="es-MX" w:eastAsia="en-US"/>
        </w:rPr>
        <w:t>S</w:t>
      </w:r>
      <w:r w:rsidR="00911089" w:rsidRPr="0027467C">
        <w:rPr>
          <w:rFonts w:eastAsia="Calibri"/>
          <w:sz w:val="20"/>
          <w:szCs w:val="20"/>
          <w:lang w:val="es-MX" w:eastAsia="en-US"/>
        </w:rPr>
        <w:t>aludable</w:t>
      </w:r>
      <w:r w:rsidR="00911089" w:rsidRPr="002570D1">
        <w:rPr>
          <w:rFonts w:eastAsia="Calibri"/>
          <w:sz w:val="20"/>
          <w:szCs w:val="20"/>
          <w:vertAlign w:val="superscript"/>
          <w:lang w:val="es-MX" w:eastAsia="en-US"/>
        </w:rPr>
        <w:footnoteReference w:id="203"/>
      </w:r>
      <w:r w:rsidR="00911089" w:rsidRPr="0027467C">
        <w:rPr>
          <w:rFonts w:eastAsia="Calibri"/>
          <w:sz w:val="20"/>
          <w:szCs w:val="20"/>
          <w:lang w:val="es-MX" w:eastAsia="en-US"/>
        </w:rPr>
        <w:t>, la Declaración de Compromiso de Puerto España</w:t>
      </w:r>
      <w:r w:rsidR="00911089" w:rsidRPr="002570D1">
        <w:rPr>
          <w:rFonts w:eastAsia="Calibri"/>
          <w:sz w:val="20"/>
          <w:szCs w:val="20"/>
          <w:vertAlign w:val="superscript"/>
          <w:lang w:val="es-MX" w:eastAsia="en-US"/>
        </w:rPr>
        <w:footnoteReference w:id="204"/>
      </w:r>
      <w:r w:rsidR="00911089" w:rsidRPr="0027467C">
        <w:rPr>
          <w:rFonts w:eastAsia="Calibri"/>
          <w:sz w:val="20"/>
          <w:szCs w:val="20"/>
          <w:lang w:val="es-MX" w:eastAsia="en-US"/>
        </w:rPr>
        <w:t xml:space="preserve">, la Carta de San José sobre los </w:t>
      </w:r>
      <w:r w:rsidR="00086B4C">
        <w:rPr>
          <w:rFonts w:eastAsia="Calibri"/>
          <w:sz w:val="20"/>
          <w:szCs w:val="20"/>
          <w:lang w:val="es-MX" w:eastAsia="en-US"/>
        </w:rPr>
        <w:t>D</w:t>
      </w:r>
      <w:r w:rsidR="00911089" w:rsidRPr="0027467C">
        <w:rPr>
          <w:rFonts w:eastAsia="Calibri"/>
          <w:sz w:val="20"/>
          <w:szCs w:val="20"/>
          <w:lang w:val="es-MX" w:eastAsia="en-US"/>
        </w:rPr>
        <w:t xml:space="preserve">erechos de las </w:t>
      </w:r>
      <w:r w:rsidR="00086B4C">
        <w:rPr>
          <w:rFonts w:eastAsia="Calibri"/>
          <w:sz w:val="20"/>
          <w:szCs w:val="20"/>
          <w:lang w:val="es-MX" w:eastAsia="en-US"/>
        </w:rPr>
        <w:t>P</w:t>
      </w:r>
      <w:r w:rsidR="00911089" w:rsidRPr="0027467C">
        <w:rPr>
          <w:rFonts w:eastAsia="Calibri"/>
          <w:sz w:val="20"/>
          <w:szCs w:val="20"/>
          <w:lang w:val="es-MX" w:eastAsia="en-US"/>
        </w:rPr>
        <w:t xml:space="preserve">ersonas </w:t>
      </w:r>
      <w:r w:rsidR="00086B4C">
        <w:rPr>
          <w:rFonts w:eastAsia="Calibri"/>
          <w:sz w:val="20"/>
          <w:szCs w:val="20"/>
          <w:lang w:val="es-MX" w:eastAsia="en-US"/>
        </w:rPr>
        <w:t>M</w:t>
      </w:r>
      <w:r w:rsidR="00911089" w:rsidRPr="0027467C">
        <w:rPr>
          <w:rFonts w:eastAsia="Calibri"/>
          <w:sz w:val="20"/>
          <w:szCs w:val="20"/>
          <w:lang w:val="es-MX" w:eastAsia="en-US"/>
        </w:rPr>
        <w:t>ayores de América Latina y el Caribe</w:t>
      </w:r>
      <w:r w:rsidR="00911089" w:rsidRPr="002570D1">
        <w:rPr>
          <w:rFonts w:eastAsia="Calibri"/>
          <w:sz w:val="20"/>
          <w:szCs w:val="20"/>
          <w:vertAlign w:val="superscript"/>
          <w:lang w:val="es-MX" w:eastAsia="en-US"/>
        </w:rPr>
        <w:footnoteReference w:id="205"/>
      </w:r>
      <w:r w:rsidR="00911089" w:rsidRPr="0027467C">
        <w:rPr>
          <w:rFonts w:eastAsia="Calibri"/>
          <w:sz w:val="20"/>
          <w:szCs w:val="20"/>
          <w:lang w:val="es-MX" w:eastAsia="en-US"/>
        </w:rPr>
        <w:t xml:space="preserve">. </w:t>
      </w:r>
    </w:p>
    <w:p w14:paraId="59C6FACA" w14:textId="77777777" w:rsidR="00911089" w:rsidRDefault="00911089" w:rsidP="00911089">
      <w:pPr>
        <w:tabs>
          <w:tab w:val="left" w:pos="567"/>
        </w:tabs>
        <w:rPr>
          <w:rFonts w:eastAsia="Calibri"/>
          <w:sz w:val="20"/>
          <w:szCs w:val="20"/>
          <w:lang w:val="es-ES_tradnl" w:eastAsia="en-US"/>
        </w:rPr>
      </w:pPr>
    </w:p>
    <w:p w14:paraId="41900BBF" w14:textId="6AAC75A8" w:rsidR="00911089" w:rsidRPr="000174AE" w:rsidRDefault="0027467C" w:rsidP="0059117C">
      <w:pPr>
        <w:numPr>
          <w:ilvl w:val="0"/>
          <w:numId w:val="2"/>
        </w:numPr>
        <w:tabs>
          <w:tab w:val="left" w:pos="567"/>
          <w:tab w:val="num" w:pos="1569"/>
          <w:tab w:val="num" w:pos="12305"/>
        </w:tabs>
        <w:ind w:left="0" w:firstLine="0"/>
        <w:rPr>
          <w:rFonts w:eastAsia="Calibri"/>
          <w:sz w:val="20"/>
          <w:szCs w:val="20"/>
          <w:lang w:val="es-HN" w:eastAsia="en-US"/>
        </w:rPr>
      </w:pPr>
      <w:r>
        <w:rPr>
          <w:rFonts w:eastAsia="Calibri"/>
          <w:sz w:val="20"/>
          <w:szCs w:val="20"/>
          <w:lang w:val="es-ES_tradnl" w:eastAsia="en-US"/>
        </w:rPr>
        <w:t>T</w:t>
      </w:r>
      <w:r>
        <w:rPr>
          <w:rFonts w:eastAsia="Calibri"/>
          <w:sz w:val="20"/>
          <w:szCs w:val="20"/>
          <w:lang w:val="es-MX" w:eastAsia="en-US"/>
        </w:rPr>
        <w:t>ales</w:t>
      </w:r>
      <w:r w:rsidR="00911089">
        <w:rPr>
          <w:rFonts w:eastAsia="Calibri"/>
          <w:sz w:val="20"/>
          <w:szCs w:val="20"/>
          <w:lang w:val="es-MX" w:eastAsia="en-US"/>
        </w:rPr>
        <w:t xml:space="preserve"> instrumentos internacionales</w:t>
      </w:r>
      <w:r>
        <w:rPr>
          <w:rFonts w:eastAsia="Calibri"/>
          <w:sz w:val="20"/>
          <w:szCs w:val="20"/>
          <w:lang w:val="es-HN" w:eastAsia="en-US"/>
        </w:rPr>
        <w:t xml:space="preserve"> </w:t>
      </w:r>
      <w:r w:rsidR="00911089" w:rsidRPr="000F1A26">
        <w:rPr>
          <w:rFonts w:eastAsia="Calibri"/>
          <w:sz w:val="20"/>
          <w:szCs w:val="20"/>
          <w:lang w:val="es-HN" w:eastAsia="en-US"/>
        </w:rPr>
        <w:t xml:space="preserve">reconocen </w:t>
      </w:r>
      <w:r>
        <w:rPr>
          <w:rFonts w:eastAsia="Calibri"/>
          <w:sz w:val="20"/>
          <w:szCs w:val="20"/>
          <w:lang w:val="es-HN" w:eastAsia="en-US"/>
        </w:rPr>
        <w:t xml:space="preserve">un catálogo </w:t>
      </w:r>
      <w:r w:rsidR="002C6D1C">
        <w:rPr>
          <w:rFonts w:eastAsia="Calibri"/>
          <w:sz w:val="20"/>
          <w:szCs w:val="20"/>
          <w:lang w:val="es-HN" w:eastAsia="en-US"/>
        </w:rPr>
        <w:t xml:space="preserve">mínimo </w:t>
      </w:r>
      <w:r>
        <w:rPr>
          <w:rFonts w:eastAsia="Calibri"/>
          <w:sz w:val="20"/>
          <w:szCs w:val="20"/>
          <w:lang w:val="es-HN" w:eastAsia="en-US"/>
        </w:rPr>
        <w:t xml:space="preserve">de </w:t>
      </w:r>
      <w:r w:rsidR="00911089" w:rsidRPr="000F1A26">
        <w:rPr>
          <w:rFonts w:eastAsia="Calibri"/>
          <w:sz w:val="20"/>
          <w:szCs w:val="20"/>
          <w:lang w:val="es-HN" w:eastAsia="en-US"/>
        </w:rPr>
        <w:t xml:space="preserve">derechos </w:t>
      </w:r>
      <w:r>
        <w:rPr>
          <w:rFonts w:eastAsia="Calibri"/>
          <w:sz w:val="20"/>
          <w:szCs w:val="20"/>
          <w:lang w:val="es-HN" w:eastAsia="en-US"/>
        </w:rPr>
        <w:t>humanos</w:t>
      </w:r>
      <w:r w:rsidR="00911089" w:rsidRPr="000F1A26">
        <w:rPr>
          <w:rFonts w:eastAsia="Calibri"/>
          <w:sz w:val="20"/>
          <w:szCs w:val="20"/>
          <w:vertAlign w:val="superscript"/>
          <w:lang w:val="es-HN" w:eastAsia="en-US"/>
        </w:rPr>
        <w:footnoteReference w:id="206"/>
      </w:r>
      <w:r w:rsidR="002C6D1C">
        <w:rPr>
          <w:rFonts w:eastAsia="Calibri"/>
          <w:sz w:val="20"/>
          <w:szCs w:val="20"/>
          <w:lang w:val="es-HN" w:eastAsia="en-US"/>
        </w:rPr>
        <w:t>,</w:t>
      </w:r>
      <w:r w:rsidR="00911089" w:rsidRPr="000174AE">
        <w:rPr>
          <w:rFonts w:eastAsiaTheme="minorHAnsi" w:cstheme="minorBidi"/>
          <w:sz w:val="20"/>
          <w:szCs w:val="20"/>
          <w:lang w:val="es-HN" w:eastAsia="en-US"/>
        </w:rPr>
        <w:t xml:space="preserve"> </w:t>
      </w:r>
      <w:r w:rsidR="00911089" w:rsidRPr="000174AE">
        <w:rPr>
          <w:rFonts w:eastAsia="Calibri"/>
          <w:sz w:val="20"/>
          <w:szCs w:val="20"/>
          <w:lang w:val="es-HN" w:eastAsia="en-US"/>
        </w:rPr>
        <w:t>cuyo respeto es imprescindible para el más alto desarrollo de la persona mayor en todos los aspectos de su vida y en las mejores condiciones posibles</w:t>
      </w:r>
      <w:r w:rsidR="002C6D1C">
        <w:rPr>
          <w:rFonts w:eastAsia="Calibri"/>
          <w:sz w:val="20"/>
          <w:szCs w:val="20"/>
          <w:lang w:val="es-HN" w:eastAsia="en-US"/>
        </w:rPr>
        <w:t>, destacando en particular el derecho a la salud</w:t>
      </w:r>
      <w:r w:rsidR="00911089" w:rsidRPr="000174AE">
        <w:rPr>
          <w:rFonts w:eastAsia="Calibri"/>
          <w:sz w:val="20"/>
          <w:szCs w:val="20"/>
          <w:lang w:val="es-HN" w:eastAsia="en-US"/>
        </w:rPr>
        <w:t>. Asimismo</w:t>
      </w:r>
      <w:r>
        <w:rPr>
          <w:rFonts w:eastAsia="Calibri"/>
          <w:sz w:val="20"/>
          <w:szCs w:val="20"/>
          <w:lang w:val="es-HN" w:eastAsia="en-US"/>
        </w:rPr>
        <w:t>,</w:t>
      </w:r>
      <w:r w:rsidR="00911089" w:rsidRPr="000174AE">
        <w:rPr>
          <w:rFonts w:eastAsia="Calibri"/>
          <w:sz w:val="20"/>
          <w:szCs w:val="20"/>
          <w:lang w:val="es-HN" w:eastAsia="en-US"/>
        </w:rPr>
        <w:t xml:space="preserve"> </w:t>
      </w:r>
      <w:r w:rsidR="00911089" w:rsidRPr="000174AE">
        <w:rPr>
          <w:rFonts w:eastAsia="Calibri"/>
          <w:sz w:val="20"/>
          <w:szCs w:val="20"/>
          <w:lang w:eastAsia="en-US"/>
        </w:rPr>
        <w:t xml:space="preserve">las personas mayores, tienen derecho a una protección </w:t>
      </w:r>
      <w:r w:rsidR="002D5950" w:rsidRPr="00B1523A">
        <w:rPr>
          <w:rFonts w:eastAsia="Calibri"/>
          <w:sz w:val="20"/>
          <w:szCs w:val="20"/>
          <w:lang w:eastAsia="en-US"/>
        </w:rPr>
        <w:t>reforzada</w:t>
      </w:r>
      <w:r w:rsidR="002D5950" w:rsidRPr="00FF35B0">
        <w:rPr>
          <w:rFonts w:eastAsia="Calibri"/>
          <w:sz w:val="20"/>
          <w:szCs w:val="20"/>
          <w:lang w:eastAsia="en-US"/>
        </w:rPr>
        <w:t xml:space="preserve"> </w:t>
      </w:r>
      <w:r w:rsidRPr="00FF35B0">
        <w:rPr>
          <w:rFonts w:eastAsia="Calibri"/>
          <w:sz w:val="20"/>
          <w:szCs w:val="20"/>
          <w:lang w:eastAsia="en-US"/>
        </w:rPr>
        <w:t xml:space="preserve">y, por ende, </w:t>
      </w:r>
      <w:r w:rsidR="00911089" w:rsidRPr="00FF35B0">
        <w:rPr>
          <w:rFonts w:eastAsia="Calibri"/>
          <w:sz w:val="20"/>
          <w:szCs w:val="20"/>
          <w:lang w:val="es-AR" w:eastAsia="en-US"/>
        </w:rPr>
        <w:t xml:space="preserve">exige la adopción de medidas </w:t>
      </w:r>
      <w:r w:rsidR="002D5950" w:rsidRPr="00B1523A">
        <w:rPr>
          <w:rFonts w:eastAsia="Calibri"/>
          <w:sz w:val="20"/>
          <w:szCs w:val="20"/>
          <w:lang w:val="es-AR" w:eastAsia="en-US"/>
        </w:rPr>
        <w:t>diferencia</w:t>
      </w:r>
      <w:r w:rsidR="00F27386" w:rsidRPr="00B1523A">
        <w:rPr>
          <w:rFonts w:eastAsia="Calibri"/>
          <w:sz w:val="20"/>
          <w:szCs w:val="20"/>
          <w:lang w:val="es-AR" w:eastAsia="en-US"/>
        </w:rPr>
        <w:t>das</w:t>
      </w:r>
      <w:r w:rsidR="00911089" w:rsidRPr="000174AE">
        <w:rPr>
          <w:rFonts w:eastAsia="Calibri"/>
          <w:sz w:val="20"/>
          <w:szCs w:val="20"/>
          <w:vertAlign w:val="superscript"/>
          <w:lang w:val="es-AR" w:eastAsia="en-US"/>
        </w:rPr>
        <w:footnoteReference w:id="207"/>
      </w:r>
      <w:r w:rsidR="00911089" w:rsidRPr="000174AE">
        <w:rPr>
          <w:rFonts w:eastAsia="Calibri"/>
          <w:sz w:val="20"/>
          <w:szCs w:val="20"/>
          <w:lang w:val="es-AR" w:eastAsia="en-US"/>
        </w:rPr>
        <w:t>.</w:t>
      </w:r>
      <w:r w:rsidR="00911089">
        <w:rPr>
          <w:rFonts w:eastAsia="Calibri"/>
          <w:sz w:val="20"/>
          <w:szCs w:val="20"/>
          <w:lang w:val="es-AR" w:eastAsia="en-US"/>
        </w:rPr>
        <w:t xml:space="preserve"> </w:t>
      </w:r>
      <w:r w:rsidR="002C6D1C">
        <w:rPr>
          <w:rFonts w:eastAsia="Calibri"/>
          <w:sz w:val="20"/>
          <w:szCs w:val="20"/>
          <w:lang w:val="es-HN" w:eastAsia="en-US"/>
        </w:rPr>
        <w:t>Respecto a</w:t>
      </w:r>
      <w:r w:rsidR="00911089" w:rsidRPr="000174AE">
        <w:rPr>
          <w:rFonts w:eastAsia="Calibri"/>
          <w:sz w:val="20"/>
          <w:szCs w:val="20"/>
          <w:lang w:val="es-HN" w:eastAsia="en-US"/>
        </w:rPr>
        <w:t>l derecho a la salud</w:t>
      </w:r>
      <w:r w:rsidR="002C6D1C">
        <w:rPr>
          <w:rFonts w:eastAsia="Calibri"/>
          <w:sz w:val="20"/>
          <w:szCs w:val="20"/>
          <w:lang w:val="es-HN" w:eastAsia="en-US"/>
        </w:rPr>
        <w:t>,</w:t>
      </w:r>
      <w:r w:rsidR="00911089" w:rsidRPr="000174AE">
        <w:rPr>
          <w:rFonts w:eastAsia="Calibri"/>
          <w:sz w:val="20"/>
          <w:szCs w:val="20"/>
          <w:lang w:val="es-HN" w:eastAsia="en-US"/>
        </w:rPr>
        <w:t xml:space="preserve"> sea en la esfera privada como en la pública, el Estado tiene </w:t>
      </w:r>
      <w:r w:rsidR="00911089">
        <w:rPr>
          <w:rFonts w:eastAsia="Calibri"/>
          <w:sz w:val="20"/>
          <w:szCs w:val="20"/>
          <w:lang w:val="es-HN" w:eastAsia="en-US"/>
        </w:rPr>
        <w:t xml:space="preserve">el deber de </w:t>
      </w:r>
      <w:r w:rsidR="00911089" w:rsidRPr="000174AE">
        <w:rPr>
          <w:rFonts w:eastAsia="Calibri"/>
          <w:sz w:val="20"/>
          <w:szCs w:val="20"/>
          <w:lang w:val="es-HN" w:eastAsia="en-US"/>
        </w:rPr>
        <w:t xml:space="preserve">asegurar todas las medidas necesarias </w:t>
      </w:r>
      <w:r w:rsidR="00911089">
        <w:rPr>
          <w:rFonts w:eastAsia="Calibri"/>
          <w:sz w:val="20"/>
          <w:szCs w:val="20"/>
          <w:lang w:val="es-HN" w:eastAsia="en-US"/>
        </w:rPr>
        <w:t xml:space="preserve">a su alcance, a fin de </w:t>
      </w:r>
      <w:r w:rsidR="00911089" w:rsidRPr="000174AE">
        <w:rPr>
          <w:rFonts w:eastAsia="Calibri"/>
          <w:sz w:val="20"/>
          <w:szCs w:val="20"/>
          <w:lang w:val="es-HN" w:eastAsia="en-US"/>
        </w:rPr>
        <w:t>garantizar</w:t>
      </w:r>
      <w:r w:rsidR="00911089">
        <w:rPr>
          <w:rFonts w:eastAsia="Calibri"/>
          <w:sz w:val="20"/>
          <w:szCs w:val="20"/>
          <w:lang w:val="es-HN" w:eastAsia="en-US"/>
        </w:rPr>
        <w:t xml:space="preserve"> el </w:t>
      </w:r>
      <w:r w:rsidR="00911089" w:rsidRPr="000174AE">
        <w:rPr>
          <w:rFonts w:eastAsia="Calibri"/>
          <w:sz w:val="20"/>
          <w:szCs w:val="20"/>
          <w:lang w:val="es-HN" w:eastAsia="en-US"/>
        </w:rPr>
        <w:t>mayor nivel de salud posible</w:t>
      </w:r>
      <w:r w:rsidR="00911089">
        <w:rPr>
          <w:rFonts w:eastAsia="Calibri"/>
          <w:sz w:val="20"/>
          <w:szCs w:val="20"/>
          <w:lang w:val="es-HN" w:eastAsia="en-US"/>
        </w:rPr>
        <w:t>, sin discriminación</w:t>
      </w:r>
      <w:r w:rsidR="00911089" w:rsidRPr="000174AE">
        <w:rPr>
          <w:rFonts w:eastAsia="Calibri"/>
          <w:sz w:val="20"/>
          <w:szCs w:val="20"/>
          <w:lang w:val="es-HN" w:eastAsia="en-US"/>
        </w:rPr>
        <w:t>.</w:t>
      </w:r>
      <w:r>
        <w:rPr>
          <w:rFonts w:eastAsia="Calibri"/>
          <w:sz w:val="20"/>
          <w:szCs w:val="20"/>
          <w:lang w:val="es-AR" w:eastAsia="en-US"/>
        </w:rPr>
        <w:t xml:space="preserve"> S</w:t>
      </w:r>
      <w:r w:rsidR="00911089">
        <w:rPr>
          <w:rFonts w:eastAsia="Calibri"/>
          <w:sz w:val="20"/>
          <w:szCs w:val="20"/>
          <w:lang w:val="es-AR" w:eastAsia="en-US"/>
        </w:rPr>
        <w:t xml:space="preserve">e </w:t>
      </w:r>
      <w:r w:rsidR="00F914DD">
        <w:rPr>
          <w:rFonts w:eastAsia="Calibri"/>
          <w:sz w:val="20"/>
          <w:szCs w:val="20"/>
          <w:lang w:val="es-AR" w:eastAsia="en-US"/>
        </w:rPr>
        <w:t>desprende</w:t>
      </w:r>
      <w:r>
        <w:rPr>
          <w:rFonts w:eastAsia="Calibri"/>
          <w:sz w:val="20"/>
          <w:szCs w:val="20"/>
          <w:lang w:val="es-AR" w:eastAsia="en-US"/>
        </w:rPr>
        <w:t xml:space="preserve"> también</w:t>
      </w:r>
      <w:r w:rsidR="00911089" w:rsidRPr="000174AE">
        <w:rPr>
          <w:rFonts w:eastAsia="Calibri"/>
          <w:sz w:val="20"/>
          <w:szCs w:val="20"/>
          <w:lang w:val="es-AR" w:eastAsia="en-US"/>
        </w:rPr>
        <w:t xml:space="preserve"> un avance en los estándares internacionales en materia de derechos de</w:t>
      </w:r>
      <w:r w:rsidR="00D0629F">
        <w:rPr>
          <w:rFonts w:eastAsia="Calibri"/>
          <w:sz w:val="20"/>
          <w:szCs w:val="20"/>
          <w:lang w:val="es-AR" w:eastAsia="en-US"/>
        </w:rPr>
        <w:t xml:space="preserve"> las personas </w:t>
      </w:r>
      <w:r w:rsidR="00911089" w:rsidRPr="000174AE">
        <w:rPr>
          <w:rFonts w:eastAsia="Calibri"/>
          <w:sz w:val="20"/>
          <w:szCs w:val="20"/>
          <w:lang w:val="es-AR" w:eastAsia="en-US"/>
        </w:rPr>
        <w:t>mayor</w:t>
      </w:r>
      <w:r w:rsidR="00D0629F">
        <w:rPr>
          <w:rFonts w:eastAsia="Calibri"/>
          <w:sz w:val="20"/>
          <w:szCs w:val="20"/>
          <w:lang w:val="es-AR" w:eastAsia="en-US"/>
        </w:rPr>
        <w:t>es</w:t>
      </w:r>
      <w:r w:rsidRPr="000174AE">
        <w:rPr>
          <w:rFonts w:eastAsia="Calibri"/>
          <w:sz w:val="20"/>
          <w:szCs w:val="20"/>
          <w:vertAlign w:val="superscript"/>
          <w:lang w:val="es-AR" w:eastAsia="en-US"/>
        </w:rPr>
        <w:footnoteReference w:id="208"/>
      </w:r>
      <w:r w:rsidR="00911089" w:rsidRPr="000174AE">
        <w:rPr>
          <w:rFonts w:eastAsia="Calibri"/>
          <w:sz w:val="20"/>
          <w:szCs w:val="20"/>
          <w:lang w:val="es-AR" w:eastAsia="en-US"/>
        </w:rPr>
        <w:t xml:space="preserve">, </w:t>
      </w:r>
      <w:r w:rsidR="00911089">
        <w:rPr>
          <w:rFonts w:eastAsia="Calibri"/>
          <w:sz w:val="20"/>
          <w:szCs w:val="20"/>
          <w:lang w:val="es-AR" w:eastAsia="en-US"/>
        </w:rPr>
        <w:t>al entender y reconocer la vejez de manera digna y por ende el trato frente a ella</w:t>
      </w:r>
      <w:r w:rsidR="00911089" w:rsidRPr="000174AE">
        <w:rPr>
          <w:rFonts w:eastAsia="Calibri"/>
          <w:sz w:val="20"/>
          <w:szCs w:val="20"/>
          <w:vertAlign w:val="superscript"/>
          <w:lang w:val="es-AR" w:eastAsia="en-US"/>
        </w:rPr>
        <w:footnoteReference w:id="209"/>
      </w:r>
      <w:r w:rsidR="00911089">
        <w:rPr>
          <w:rFonts w:eastAsia="Calibri"/>
          <w:sz w:val="20"/>
          <w:szCs w:val="20"/>
          <w:lang w:val="es-AR" w:eastAsia="en-US"/>
        </w:rPr>
        <w:t>.</w:t>
      </w:r>
      <w:r w:rsidR="00911089">
        <w:rPr>
          <w:rFonts w:eastAsia="Calibri"/>
          <w:sz w:val="20"/>
          <w:szCs w:val="20"/>
          <w:lang w:val="es-MX" w:eastAsia="en-US"/>
        </w:rPr>
        <w:t xml:space="preserve"> Así</w:t>
      </w:r>
      <w:r>
        <w:rPr>
          <w:rFonts w:eastAsia="Calibri"/>
          <w:sz w:val="20"/>
          <w:szCs w:val="20"/>
          <w:lang w:val="es-MX" w:eastAsia="en-US"/>
        </w:rPr>
        <w:t>,</w:t>
      </w:r>
      <w:r w:rsidR="00911089">
        <w:rPr>
          <w:rFonts w:eastAsia="Calibri"/>
          <w:sz w:val="20"/>
          <w:szCs w:val="20"/>
          <w:lang w:val="es-MX" w:eastAsia="en-US"/>
        </w:rPr>
        <w:t xml:space="preserve"> </w:t>
      </w:r>
      <w:r w:rsidR="00296777">
        <w:rPr>
          <w:rFonts w:eastAsia="Calibri"/>
          <w:sz w:val="20"/>
          <w:szCs w:val="20"/>
          <w:lang w:val="es-MX" w:eastAsia="en-US"/>
        </w:rPr>
        <w:t xml:space="preserve">resalta </w:t>
      </w:r>
      <w:r w:rsidR="00911089">
        <w:rPr>
          <w:rFonts w:eastAsia="Calibri"/>
          <w:sz w:val="20"/>
          <w:szCs w:val="20"/>
          <w:lang w:val="es-MX" w:eastAsia="en-US"/>
        </w:rPr>
        <w:t xml:space="preserve">en la región </w:t>
      </w:r>
      <w:r w:rsidR="004A1B76">
        <w:rPr>
          <w:rFonts w:eastAsia="Calibri"/>
          <w:sz w:val="20"/>
          <w:szCs w:val="20"/>
          <w:lang w:val="es-MX" w:eastAsia="en-US"/>
        </w:rPr>
        <w:t xml:space="preserve">diversas </w:t>
      </w:r>
      <w:r w:rsidR="00911089">
        <w:rPr>
          <w:rFonts w:eastAsia="Calibri"/>
          <w:sz w:val="20"/>
          <w:szCs w:val="20"/>
          <w:lang w:val="es-MX" w:eastAsia="en-US"/>
        </w:rPr>
        <w:t>agendas de mayor inclusión del adulto mayor en las políticas públicas</w:t>
      </w:r>
      <w:r w:rsidR="00911089" w:rsidRPr="000951AE">
        <w:rPr>
          <w:rFonts w:eastAsia="Calibri"/>
          <w:sz w:val="20"/>
          <w:szCs w:val="20"/>
          <w:vertAlign w:val="superscript"/>
          <w:lang w:val="es-HN" w:eastAsia="en-US"/>
        </w:rPr>
        <w:footnoteReference w:id="210"/>
      </w:r>
      <w:r w:rsidR="00911089" w:rsidRPr="000951AE">
        <w:rPr>
          <w:rFonts w:eastAsia="Calibri"/>
          <w:sz w:val="20"/>
          <w:szCs w:val="20"/>
          <w:lang w:val="es-MX" w:eastAsia="en-US"/>
        </w:rPr>
        <w:t>,</w:t>
      </w:r>
      <w:r w:rsidR="00911089">
        <w:rPr>
          <w:rFonts w:eastAsia="Calibri"/>
          <w:sz w:val="20"/>
          <w:szCs w:val="20"/>
          <w:lang w:val="es-MX" w:eastAsia="en-US"/>
        </w:rPr>
        <w:t xml:space="preserve"> a través </w:t>
      </w:r>
      <w:r w:rsidR="00911089" w:rsidRPr="000174AE">
        <w:rPr>
          <w:rFonts w:eastAsia="Calibri"/>
          <w:sz w:val="20"/>
          <w:szCs w:val="20"/>
          <w:lang w:val="es-HN" w:eastAsia="en-US"/>
        </w:rPr>
        <w:t>programas de sensibilización y valorización del adulto mayor en la sociedad, la creación de planes nacionales para abordar el tema de la vejez</w:t>
      </w:r>
      <w:r w:rsidR="003F0801">
        <w:rPr>
          <w:rFonts w:eastAsia="Calibri"/>
          <w:sz w:val="20"/>
          <w:szCs w:val="20"/>
          <w:lang w:val="es-HN" w:eastAsia="en-US"/>
        </w:rPr>
        <w:t xml:space="preserve"> de manera integral</w:t>
      </w:r>
      <w:r w:rsidR="00366709">
        <w:rPr>
          <w:rFonts w:eastAsia="Calibri"/>
          <w:sz w:val="20"/>
          <w:szCs w:val="20"/>
          <w:lang w:val="es-HN" w:eastAsia="en-US"/>
        </w:rPr>
        <w:t>,</w:t>
      </w:r>
      <w:r w:rsidR="00911089" w:rsidRPr="000174AE">
        <w:rPr>
          <w:rFonts w:eastAsia="Calibri"/>
          <w:sz w:val="20"/>
          <w:szCs w:val="20"/>
          <w:lang w:val="es-HN" w:eastAsia="en-US"/>
        </w:rPr>
        <w:t xml:space="preserve"> </w:t>
      </w:r>
      <w:r w:rsidR="003F0801">
        <w:rPr>
          <w:rFonts w:eastAsia="Calibri"/>
          <w:sz w:val="20"/>
          <w:szCs w:val="20"/>
          <w:lang w:val="es-HN" w:eastAsia="en-US"/>
        </w:rPr>
        <w:t xml:space="preserve">así como también </w:t>
      </w:r>
      <w:r w:rsidR="00D0629F">
        <w:rPr>
          <w:rFonts w:eastAsia="Calibri"/>
          <w:sz w:val="20"/>
          <w:szCs w:val="20"/>
          <w:lang w:val="es-HN" w:eastAsia="en-US"/>
        </w:rPr>
        <w:t>sus</w:t>
      </w:r>
      <w:r w:rsidR="00911089" w:rsidRPr="000174AE">
        <w:rPr>
          <w:rFonts w:eastAsia="Calibri"/>
          <w:sz w:val="20"/>
          <w:szCs w:val="20"/>
          <w:lang w:val="es-HN" w:eastAsia="en-US"/>
        </w:rPr>
        <w:t xml:space="preserve"> necesidades, la promulgación de leyes y la facilitación del acceso a sistemas de seguridad social.</w:t>
      </w:r>
    </w:p>
    <w:p w14:paraId="4E1F7B99" w14:textId="77777777" w:rsidR="0027467C" w:rsidRDefault="0027467C" w:rsidP="0059117C">
      <w:pPr>
        <w:ind w:right="-360"/>
        <w:contextualSpacing/>
        <w:rPr>
          <w:rFonts w:eastAsia="Calibri"/>
          <w:sz w:val="20"/>
          <w:szCs w:val="20"/>
          <w:lang w:val="es-ES_tradnl" w:eastAsia="en-US"/>
        </w:rPr>
      </w:pPr>
    </w:p>
    <w:p w14:paraId="28D574ED" w14:textId="6D8C6FF7" w:rsidR="00911089" w:rsidRPr="00C64243" w:rsidRDefault="00296777" w:rsidP="0059117C">
      <w:pPr>
        <w:numPr>
          <w:ilvl w:val="0"/>
          <w:numId w:val="2"/>
        </w:numPr>
        <w:tabs>
          <w:tab w:val="left" w:pos="567"/>
          <w:tab w:val="num" w:pos="1569"/>
          <w:tab w:val="num" w:pos="12305"/>
        </w:tabs>
        <w:ind w:left="0" w:firstLine="0"/>
        <w:rPr>
          <w:rFonts w:eastAsia="Calibri"/>
          <w:sz w:val="20"/>
          <w:szCs w:val="20"/>
          <w:lang w:val="es-AR" w:eastAsia="en-US"/>
        </w:rPr>
      </w:pPr>
      <w:r>
        <w:rPr>
          <w:rFonts w:eastAsia="Calibri"/>
          <w:sz w:val="20"/>
          <w:szCs w:val="20"/>
          <w:lang w:val="es-MX" w:eastAsia="en-US"/>
        </w:rPr>
        <w:t>Por su parte</w:t>
      </w:r>
      <w:r w:rsidR="00911089">
        <w:rPr>
          <w:rFonts w:eastAsia="Calibri"/>
          <w:sz w:val="20"/>
          <w:szCs w:val="20"/>
          <w:lang w:val="es-HN" w:eastAsia="en-US"/>
        </w:rPr>
        <w:t>,</w:t>
      </w:r>
      <w:r w:rsidR="00911089" w:rsidRPr="000174AE">
        <w:rPr>
          <w:rFonts w:eastAsia="Calibri"/>
          <w:sz w:val="20"/>
          <w:szCs w:val="20"/>
          <w:lang w:val="es-HN" w:eastAsia="en-US"/>
        </w:rPr>
        <w:t xml:space="preserve"> la </w:t>
      </w:r>
      <w:r w:rsidR="00911089" w:rsidRPr="00C64243">
        <w:rPr>
          <w:rFonts w:eastAsia="Calibri"/>
          <w:sz w:val="20"/>
          <w:szCs w:val="20"/>
          <w:lang w:val="es-HN" w:eastAsia="en-US"/>
        </w:rPr>
        <w:t>Observación General N°6</w:t>
      </w:r>
      <w:r w:rsidR="00911089" w:rsidRPr="000174AE">
        <w:rPr>
          <w:rFonts w:eastAsia="Calibri"/>
          <w:sz w:val="20"/>
          <w:szCs w:val="20"/>
          <w:lang w:eastAsia="en-US"/>
        </w:rPr>
        <w:t xml:space="preserve"> del Comité</w:t>
      </w:r>
      <w:r w:rsidR="00911089">
        <w:rPr>
          <w:rFonts w:eastAsia="Calibri"/>
          <w:sz w:val="20"/>
          <w:szCs w:val="20"/>
          <w:lang w:eastAsia="en-US"/>
        </w:rPr>
        <w:t xml:space="preserve"> de DESC de la ONU</w:t>
      </w:r>
      <w:r w:rsidR="00911089" w:rsidRPr="000174AE">
        <w:rPr>
          <w:rFonts w:eastAsia="Calibri"/>
          <w:sz w:val="20"/>
          <w:szCs w:val="20"/>
          <w:vertAlign w:val="superscript"/>
          <w:lang w:eastAsia="en-US"/>
        </w:rPr>
        <w:footnoteReference w:id="211"/>
      </w:r>
      <w:r w:rsidR="00911089" w:rsidRPr="000174AE">
        <w:rPr>
          <w:rFonts w:eastAsia="Calibri"/>
          <w:sz w:val="20"/>
          <w:szCs w:val="20"/>
          <w:lang w:eastAsia="en-US"/>
        </w:rPr>
        <w:t xml:space="preserve">, </w:t>
      </w:r>
      <w:r w:rsidR="00911089">
        <w:rPr>
          <w:rFonts w:eastAsia="Calibri"/>
          <w:sz w:val="20"/>
          <w:szCs w:val="20"/>
          <w:lang w:eastAsia="en-US"/>
        </w:rPr>
        <w:t>resalta</w:t>
      </w:r>
      <w:r w:rsidR="00911089" w:rsidRPr="000174AE">
        <w:rPr>
          <w:rFonts w:eastAsia="Calibri"/>
          <w:sz w:val="20"/>
          <w:szCs w:val="20"/>
          <w:lang w:eastAsia="en-US"/>
        </w:rPr>
        <w:t xml:space="preserve"> el deber de los Estados Partes del Pacto </w:t>
      </w:r>
      <w:r w:rsidR="00911089">
        <w:rPr>
          <w:rFonts w:eastAsia="Calibri"/>
          <w:sz w:val="20"/>
          <w:szCs w:val="20"/>
          <w:lang w:eastAsia="en-US"/>
        </w:rPr>
        <w:t>(PIDESC</w:t>
      </w:r>
      <w:r w:rsidR="00911089" w:rsidRPr="00860FAC">
        <w:rPr>
          <w:rFonts w:eastAsia="Calibri"/>
          <w:sz w:val="20"/>
          <w:szCs w:val="20"/>
          <w:lang w:eastAsia="en-US"/>
        </w:rPr>
        <w:t>) de tener presente q</w:t>
      </w:r>
      <w:r w:rsidR="00911089" w:rsidRPr="007A73F7">
        <w:rPr>
          <w:rFonts w:eastAsia="Calibri"/>
          <w:sz w:val="20"/>
          <w:szCs w:val="20"/>
          <w:lang w:eastAsia="en-US"/>
        </w:rPr>
        <w:t>ue</w:t>
      </w:r>
      <w:r w:rsidR="00911089">
        <w:rPr>
          <w:rFonts w:eastAsia="Calibri"/>
          <w:sz w:val="20"/>
          <w:szCs w:val="20"/>
          <w:lang w:eastAsia="en-US"/>
        </w:rPr>
        <w:t xml:space="preserve"> mantener </w:t>
      </w:r>
      <w:r w:rsidR="008E3E41">
        <w:rPr>
          <w:rFonts w:eastAsia="Calibri"/>
          <w:sz w:val="20"/>
          <w:szCs w:val="20"/>
          <w:lang w:eastAsia="en-US"/>
        </w:rPr>
        <w:t xml:space="preserve">medidas de </w:t>
      </w:r>
      <w:r w:rsidR="00911089" w:rsidRPr="001D7B6D">
        <w:rPr>
          <w:rFonts w:eastAsia="Calibri"/>
          <w:sz w:val="20"/>
          <w:szCs w:val="20"/>
          <w:lang w:eastAsia="en-US"/>
        </w:rPr>
        <w:t>prevención, mediante controles periódicos, adaptados a las necesidades de las</w:t>
      </w:r>
      <w:r w:rsidR="00911089">
        <w:rPr>
          <w:rFonts w:eastAsia="Calibri"/>
          <w:sz w:val="20"/>
          <w:szCs w:val="20"/>
          <w:lang w:eastAsia="en-US"/>
        </w:rPr>
        <w:t xml:space="preserve"> </w:t>
      </w:r>
      <w:r w:rsidR="00911089" w:rsidRPr="001D7B6D">
        <w:rPr>
          <w:rFonts w:eastAsia="Calibri"/>
          <w:sz w:val="20"/>
          <w:szCs w:val="20"/>
          <w:lang w:eastAsia="en-US"/>
        </w:rPr>
        <w:t>mujeres y de los hombres de edad, cumple un papel decisivo; y también la rehabilitación,</w:t>
      </w:r>
      <w:r w:rsidR="00911089">
        <w:rPr>
          <w:rFonts w:eastAsia="Calibri"/>
          <w:sz w:val="20"/>
          <w:szCs w:val="20"/>
          <w:lang w:eastAsia="en-US"/>
        </w:rPr>
        <w:t xml:space="preserve"> </w:t>
      </w:r>
      <w:r w:rsidR="00911089" w:rsidRPr="001D7B6D">
        <w:rPr>
          <w:rFonts w:eastAsia="Calibri"/>
          <w:sz w:val="20"/>
          <w:szCs w:val="20"/>
          <w:lang w:eastAsia="en-US"/>
        </w:rPr>
        <w:t>conservando la funcionalidad de las personas mayores, con la consiguiente disminución de costos</w:t>
      </w:r>
      <w:r w:rsidR="00911089">
        <w:rPr>
          <w:rFonts w:eastAsia="Calibri"/>
          <w:sz w:val="20"/>
          <w:szCs w:val="20"/>
          <w:lang w:eastAsia="en-US"/>
        </w:rPr>
        <w:t xml:space="preserve"> </w:t>
      </w:r>
      <w:r w:rsidR="00911089" w:rsidRPr="001D7B6D">
        <w:rPr>
          <w:rFonts w:eastAsia="Calibri"/>
          <w:sz w:val="20"/>
          <w:szCs w:val="20"/>
          <w:lang w:eastAsia="en-US"/>
        </w:rPr>
        <w:t>en las inversiones dedicadas a la asistencia sanitaria y a los servicios sociale</w:t>
      </w:r>
      <w:r w:rsidR="00911089">
        <w:rPr>
          <w:rFonts w:eastAsia="Calibri"/>
          <w:sz w:val="20"/>
          <w:szCs w:val="20"/>
          <w:lang w:eastAsia="en-US"/>
        </w:rPr>
        <w:t>s</w:t>
      </w:r>
      <w:r w:rsidR="00911089" w:rsidRPr="000174AE">
        <w:rPr>
          <w:rFonts w:eastAsia="Calibri"/>
          <w:sz w:val="20"/>
          <w:szCs w:val="20"/>
          <w:vertAlign w:val="superscript"/>
          <w:lang w:eastAsia="en-US"/>
        </w:rPr>
        <w:footnoteReference w:id="212"/>
      </w:r>
      <w:r w:rsidR="00911089" w:rsidRPr="000174AE">
        <w:rPr>
          <w:rFonts w:eastAsia="Calibri"/>
          <w:sz w:val="20"/>
          <w:szCs w:val="20"/>
          <w:lang w:eastAsia="en-US"/>
        </w:rPr>
        <w:t xml:space="preserve">. </w:t>
      </w:r>
      <w:r>
        <w:rPr>
          <w:rFonts w:eastAsia="Calibri"/>
          <w:sz w:val="20"/>
          <w:szCs w:val="20"/>
          <w:lang w:eastAsia="en-US"/>
        </w:rPr>
        <w:t xml:space="preserve">Al respecto, en </w:t>
      </w:r>
      <w:r>
        <w:rPr>
          <w:rFonts w:eastAsia="Calibri"/>
          <w:sz w:val="20"/>
          <w:szCs w:val="20"/>
          <w:lang w:val="es-AR" w:eastAsia="en-US"/>
        </w:rPr>
        <w:t>la Observación G</w:t>
      </w:r>
      <w:r w:rsidR="00911089" w:rsidRPr="00811717">
        <w:rPr>
          <w:rFonts w:eastAsia="Calibri"/>
          <w:sz w:val="20"/>
          <w:szCs w:val="20"/>
          <w:lang w:val="es-AR" w:eastAsia="en-US"/>
        </w:rPr>
        <w:t xml:space="preserve">eneral Nº 14 </w:t>
      </w:r>
      <w:r>
        <w:rPr>
          <w:rFonts w:eastAsia="Calibri"/>
          <w:sz w:val="20"/>
          <w:szCs w:val="20"/>
          <w:lang w:val="es-AR" w:eastAsia="en-US"/>
        </w:rPr>
        <w:t xml:space="preserve">del Comité DESC </w:t>
      </w:r>
      <w:r w:rsidR="00911089" w:rsidRPr="00811717">
        <w:rPr>
          <w:rFonts w:eastAsia="Calibri"/>
          <w:sz w:val="20"/>
          <w:szCs w:val="20"/>
          <w:lang w:val="es-AR" w:eastAsia="en-US"/>
        </w:rPr>
        <w:t xml:space="preserve">se detallan las cuestiones sustantivas que se derivan de la aplicación del derecho a la salud y se tratan cuestiones concretas relacionadas con </w:t>
      </w:r>
      <w:r w:rsidR="004A1B76">
        <w:rPr>
          <w:rFonts w:eastAsia="Calibri"/>
          <w:sz w:val="20"/>
          <w:szCs w:val="20"/>
          <w:lang w:val="es-AR" w:eastAsia="en-US"/>
        </w:rPr>
        <w:t>las personas mayores, incluida “</w:t>
      </w:r>
      <w:r w:rsidR="00911089" w:rsidRPr="00811717">
        <w:rPr>
          <w:rFonts w:eastAsia="Calibri"/>
          <w:sz w:val="20"/>
          <w:szCs w:val="20"/>
          <w:lang w:val="es-AR" w:eastAsia="en-US"/>
        </w:rPr>
        <w:t>la prevención, la</w:t>
      </w:r>
      <w:r>
        <w:rPr>
          <w:rFonts w:eastAsia="Calibri"/>
          <w:sz w:val="20"/>
          <w:szCs w:val="20"/>
          <w:lang w:val="es-AR" w:eastAsia="en-US"/>
        </w:rPr>
        <w:t xml:space="preserve"> curación y la rehabilitación […]</w:t>
      </w:r>
      <w:r w:rsidR="00911089" w:rsidRPr="00811717">
        <w:rPr>
          <w:rFonts w:eastAsia="Calibri"/>
          <w:sz w:val="20"/>
          <w:szCs w:val="20"/>
          <w:lang w:val="es-AR" w:eastAsia="en-US"/>
        </w:rPr>
        <w:t xml:space="preserve"> destinadas a </w:t>
      </w:r>
      <w:r w:rsidR="00911089" w:rsidRPr="00811717">
        <w:rPr>
          <w:rFonts w:eastAsia="Calibri"/>
          <w:sz w:val="20"/>
          <w:szCs w:val="20"/>
          <w:lang w:val="es-AR" w:eastAsia="en-US"/>
        </w:rPr>
        <w:lastRenderedPageBreak/>
        <w:t>mantener la funcionalidad y la auto</w:t>
      </w:r>
      <w:r>
        <w:rPr>
          <w:rFonts w:eastAsia="Calibri"/>
          <w:sz w:val="20"/>
          <w:szCs w:val="20"/>
          <w:lang w:val="es-AR" w:eastAsia="en-US"/>
        </w:rPr>
        <w:t>nomía de las personas mayores […]</w:t>
      </w:r>
      <w:r w:rsidR="00911089" w:rsidRPr="00811717">
        <w:rPr>
          <w:rFonts w:eastAsia="Calibri"/>
          <w:sz w:val="20"/>
          <w:szCs w:val="20"/>
          <w:lang w:val="es-AR" w:eastAsia="en-US"/>
        </w:rPr>
        <w:t xml:space="preserve"> [y] la prestación de atenciones y cuidados a los enfermos crónicos y en fase terminal, ahorrándoles dolores evitables y pe</w:t>
      </w:r>
      <w:r w:rsidR="004A1B76">
        <w:rPr>
          <w:rFonts w:eastAsia="Calibri"/>
          <w:sz w:val="20"/>
          <w:szCs w:val="20"/>
          <w:lang w:val="es-AR" w:eastAsia="en-US"/>
        </w:rPr>
        <w:t>rmitiéndoles morir con dignidad”</w:t>
      </w:r>
      <w:r w:rsidR="00911089">
        <w:rPr>
          <w:rStyle w:val="FootnoteReference"/>
          <w:rFonts w:eastAsia="Calibri"/>
          <w:sz w:val="20"/>
          <w:szCs w:val="20"/>
          <w:lang w:val="es-AR" w:eastAsia="en-US"/>
        </w:rPr>
        <w:footnoteReference w:id="213"/>
      </w:r>
      <w:r w:rsidR="00911089">
        <w:rPr>
          <w:rFonts w:eastAsia="Calibri"/>
          <w:sz w:val="20"/>
          <w:szCs w:val="20"/>
          <w:lang w:val="es-AR" w:eastAsia="en-US"/>
        </w:rPr>
        <w:t xml:space="preserve">. </w:t>
      </w:r>
      <w:r>
        <w:rPr>
          <w:rFonts w:eastAsia="Calibri"/>
          <w:sz w:val="20"/>
          <w:szCs w:val="20"/>
          <w:lang w:val="es-AR" w:eastAsia="en-US"/>
        </w:rPr>
        <w:t>Asimismo</w:t>
      </w:r>
      <w:r w:rsidR="00911089" w:rsidRPr="002570D1">
        <w:rPr>
          <w:rFonts w:eastAsia="Calibri"/>
          <w:sz w:val="20"/>
          <w:szCs w:val="20"/>
          <w:lang w:val="es-AR" w:eastAsia="en-US"/>
        </w:rPr>
        <w:t xml:space="preserve">, </w:t>
      </w:r>
      <w:r>
        <w:rPr>
          <w:rFonts w:eastAsia="Calibri"/>
          <w:sz w:val="20"/>
          <w:szCs w:val="20"/>
          <w:lang w:val="es-AR" w:eastAsia="en-US"/>
        </w:rPr>
        <w:t xml:space="preserve">el </w:t>
      </w:r>
      <w:r w:rsidR="008E3E41">
        <w:rPr>
          <w:rFonts w:eastAsia="Calibri"/>
          <w:sz w:val="20"/>
          <w:szCs w:val="20"/>
          <w:lang w:val="es-AR" w:eastAsia="en-US"/>
        </w:rPr>
        <w:t xml:space="preserve">Tribunal Europeo de Derechos Humanos (en adelante </w:t>
      </w:r>
      <w:r>
        <w:rPr>
          <w:rFonts w:eastAsia="Calibri"/>
          <w:sz w:val="20"/>
          <w:szCs w:val="20"/>
          <w:lang w:val="es-AR" w:eastAsia="en-US"/>
        </w:rPr>
        <w:t>TEDH</w:t>
      </w:r>
      <w:r w:rsidR="008E3E41">
        <w:rPr>
          <w:rFonts w:eastAsia="Calibri"/>
          <w:sz w:val="20"/>
          <w:szCs w:val="20"/>
          <w:lang w:val="es-AR" w:eastAsia="en-US"/>
        </w:rPr>
        <w:t>)</w:t>
      </w:r>
      <w:r w:rsidR="00911089" w:rsidRPr="002570D1">
        <w:rPr>
          <w:rFonts w:eastAsia="Calibri"/>
          <w:sz w:val="20"/>
          <w:szCs w:val="20"/>
          <w:lang w:val="es-AR" w:eastAsia="en-US"/>
        </w:rPr>
        <w:t xml:space="preserve"> se ha referido </w:t>
      </w:r>
      <w:r w:rsidR="00911089">
        <w:rPr>
          <w:rFonts w:eastAsia="Calibri"/>
          <w:sz w:val="20"/>
          <w:szCs w:val="20"/>
          <w:lang w:val="es-AR" w:eastAsia="en-US"/>
        </w:rPr>
        <w:t>también</w:t>
      </w:r>
      <w:r w:rsidR="00911089" w:rsidRPr="00C64243">
        <w:rPr>
          <w:rFonts w:eastAsia="Calibri"/>
          <w:sz w:val="20"/>
          <w:szCs w:val="20"/>
          <w:lang w:val="es-AR" w:eastAsia="en-US"/>
        </w:rPr>
        <w:t xml:space="preserve"> respecto</w:t>
      </w:r>
      <w:r w:rsidR="00911089">
        <w:rPr>
          <w:rFonts w:eastAsia="Calibri"/>
          <w:sz w:val="20"/>
          <w:szCs w:val="20"/>
          <w:lang w:val="es-AR" w:eastAsia="en-US"/>
        </w:rPr>
        <w:t xml:space="preserve"> a la protección de los derechos de las personas mayores</w:t>
      </w:r>
      <w:r w:rsidR="00911089" w:rsidRPr="00C64243">
        <w:rPr>
          <w:rFonts w:eastAsia="Calibri"/>
          <w:sz w:val="20"/>
          <w:szCs w:val="20"/>
          <w:vertAlign w:val="superscript"/>
          <w:lang w:val="es-AR" w:eastAsia="en-US"/>
        </w:rPr>
        <w:footnoteReference w:id="214"/>
      </w:r>
      <w:r w:rsidR="00911089" w:rsidRPr="00C64243">
        <w:rPr>
          <w:rFonts w:eastAsia="Calibri"/>
          <w:sz w:val="20"/>
          <w:szCs w:val="20"/>
          <w:lang w:val="es-AR" w:eastAsia="en-US"/>
        </w:rPr>
        <w:t>.</w:t>
      </w:r>
    </w:p>
    <w:p w14:paraId="1FF3617F" w14:textId="77777777" w:rsidR="00911089" w:rsidRPr="002570D1" w:rsidRDefault="00911089" w:rsidP="00911089">
      <w:pPr>
        <w:ind w:left="-90" w:right="-360"/>
        <w:contextualSpacing/>
        <w:rPr>
          <w:rFonts w:eastAsia="Calibri"/>
          <w:sz w:val="20"/>
          <w:szCs w:val="20"/>
          <w:lang w:val="es-ES_tradnl" w:eastAsia="en-US"/>
        </w:rPr>
      </w:pPr>
    </w:p>
    <w:p w14:paraId="56EFFDDB" w14:textId="14CE54A4" w:rsidR="00911089" w:rsidRPr="00366709" w:rsidRDefault="00911089" w:rsidP="00911089">
      <w:pPr>
        <w:numPr>
          <w:ilvl w:val="0"/>
          <w:numId w:val="2"/>
        </w:numPr>
        <w:tabs>
          <w:tab w:val="left" w:pos="567"/>
          <w:tab w:val="num" w:pos="1569"/>
          <w:tab w:val="num" w:pos="12305"/>
        </w:tabs>
        <w:ind w:left="0" w:firstLine="0"/>
        <w:rPr>
          <w:rFonts w:eastAsia="Calibri"/>
          <w:sz w:val="20"/>
          <w:szCs w:val="20"/>
          <w:lang w:val="es-ES_tradnl" w:eastAsia="en-US"/>
        </w:rPr>
      </w:pPr>
      <w:r w:rsidRPr="002570D1">
        <w:rPr>
          <w:rFonts w:eastAsia="Calibri"/>
          <w:sz w:val="20"/>
          <w:szCs w:val="20"/>
          <w:lang w:val="es-MX" w:eastAsia="en-US"/>
        </w:rPr>
        <w:t>En</w:t>
      </w:r>
      <w:r w:rsidRPr="002570D1">
        <w:rPr>
          <w:rFonts w:eastAsia="Calibri"/>
          <w:sz w:val="20"/>
          <w:szCs w:val="20"/>
          <w:lang w:val="es-ES_tradnl" w:eastAsia="en-US"/>
        </w:rPr>
        <w:t xml:space="preserve"> </w:t>
      </w:r>
      <w:r w:rsidRPr="00366709">
        <w:rPr>
          <w:rFonts w:eastAsia="Calibri"/>
          <w:sz w:val="20"/>
          <w:szCs w:val="20"/>
          <w:lang w:val="es-ES_tradnl" w:eastAsia="en-US"/>
        </w:rPr>
        <w:t xml:space="preserve">cuanto a </w:t>
      </w:r>
      <w:r w:rsidR="008E3E41">
        <w:rPr>
          <w:rFonts w:eastAsia="Calibri"/>
          <w:sz w:val="20"/>
          <w:szCs w:val="20"/>
          <w:lang w:val="es-ES_tradnl" w:eastAsia="en-US"/>
        </w:rPr>
        <w:t xml:space="preserve">la </w:t>
      </w:r>
      <w:r w:rsidRPr="00366709">
        <w:rPr>
          <w:rFonts w:eastAsia="Calibri"/>
          <w:sz w:val="20"/>
          <w:szCs w:val="20"/>
          <w:lang w:val="es-ES_tradnl" w:eastAsia="en-US"/>
        </w:rPr>
        <w:t>jurisprudencia regional sobre</w:t>
      </w:r>
      <w:r w:rsidRPr="00366709">
        <w:rPr>
          <w:rFonts w:eastAsia="Calibri"/>
          <w:sz w:val="20"/>
          <w:szCs w:val="20"/>
          <w:lang w:val="es-MX" w:eastAsia="en-US"/>
        </w:rPr>
        <w:t xml:space="preserve"> el derecho a la salud de las personas mayores, </w:t>
      </w:r>
      <w:r w:rsidR="00EF55E3" w:rsidRPr="00366709">
        <w:rPr>
          <w:rFonts w:eastAsia="Calibri"/>
          <w:sz w:val="20"/>
          <w:szCs w:val="20"/>
          <w:lang w:val="es-MX" w:eastAsia="en-US"/>
        </w:rPr>
        <w:t xml:space="preserve">las decisiones de altas cortes de </w:t>
      </w:r>
      <w:r w:rsidRPr="00366709">
        <w:rPr>
          <w:rFonts w:eastAsia="Calibri"/>
          <w:sz w:val="20"/>
          <w:szCs w:val="20"/>
          <w:lang w:val="es-AR" w:eastAsia="en-US"/>
        </w:rPr>
        <w:t xml:space="preserve">algunos </w:t>
      </w:r>
      <w:r w:rsidRPr="00366709" w:rsidDel="00C20994">
        <w:rPr>
          <w:rFonts w:eastAsia="Calibri"/>
          <w:sz w:val="20"/>
          <w:szCs w:val="20"/>
          <w:lang w:val="es-AR" w:eastAsia="en-US"/>
        </w:rPr>
        <w:t xml:space="preserve">Estados </w:t>
      </w:r>
      <w:r w:rsidRPr="00366709">
        <w:rPr>
          <w:rFonts w:eastAsia="Calibri"/>
          <w:sz w:val="20"/>
          <w:szCs w:val="20"/>
          <w:lang w:val="es-AR" w:eastAsia="en-US"/>
        </w:rPr>
        <w:t>de la región</w:t>
      </w:r>
      <w:r w:rsidR="00296777" w:rsidRPr="00366709">
        <w:rPr>
          <w:rFonts w:eastAsia="Calibri"/>
          <w:sz w:val="20"/>
          <w:szCs w:val="20"/>
          <w:lang w:val="es-AR" w:eastAsia="en-US"/>
        </w:rPr>
        <w:t xml:space="preserve"> han </w:t>
      </w:r>
      <w:r w:rsidR="008E3E41">
        <w:rPr>
          <w:rFonts w:eastAsia="Calibri"/>
          <w:sz w:val="20"/>
          <w:szCs w:val="20"/>
          <w:lang w:val="es-AR" w:eastAsia="en-US"/>
        </w:rPr>
        <w:t>desarrollado</w:t>
      </w:r>
      <w:r w:rsidR="008E3E41" w:rsidRPr="00366709">
        <w:rPr>
          <w:rFonts w:eastAsia="Calibri"/>
          <w:sz w:val="20"/>
          <w:szCs w:val="20"/>
          <w:lang w:val="es-AR" w:eastAsia="en-US"/>
        </w:rPr>
        <w:t xml:space="preserve"> </w:t>
      </w:r>
      <w:r w:rsidRPr="00366709">
        <w:rPr>
          <w:rFonts w:eastAsia="Calibri"/>
          <w:sz w:val="20"/>
          <w:szCs w:val="20"/>
          <w:lang w:val="es-AR" w:eastAsia="en-US"/>
        </w:rPr>
        <w:t>la tutela de los derechos de las personas mayores</w:t>
      </w:r>
      <w:r w:rsidR="00296777" w:rsidRPr="00366709">
        <w:rPr>
          <w:rFonts w:eastAsia="Calibri"/>
          <w:sz w:val="20"/>
          <w:szCs w:val="20"/>
          <w:lang w:val="es-AR" w:eastAsia="en-US"/>
        </w:rPr>
        <w:t xml:space="preserve"> en materia interna</w:t>
      </w:r>
      <w:r w:rsidR="00296777" w:rsidRPr="00366709">
        <w:rPr>
          <w:rFonts w:eastAsia="Calibri"/>
          <w:sz w:val="20"/>
          <w:szCs w:val="20"/>
          <w:vertAlign w:val="superscript"/>
          <w:lang w:val="es-AR" w:eastAsia="en-US"/>
        </w:rPr>
        <w:footnoteReference w:id="215"/>
      </w:r>
      <w:r w:rsidR="00296777" w:rsidRPr="00366709">
        <w:rPr>
          <w:rFonts w:eastAsia="Calibri"/>
          <w:sz w:val="20"/>
          <w:szCs w:val="20"/>
          <w:lang w:val="es-AR" w:eastAsia="en-US"/>
        </w:rPr>
        <w:t>, destacando la necesidad de brindar una protección especial para el adulto mayo</w:t>
      </w:r>
      <w:r w:rsidR="006D0864" w:rsidRPr="00366709">
        <w:rPr>
          <w:rFonts w:eastAsia="Calibri"/>
          <w:sz w:val="20"/>
          <w:szCs w:val="20"/>
          <w:lang w:val="es-AR" w:eastAsia="en-US"/>
        </w:rPr>
        <w:t>r</w:t>
      </w:r>
      <w:r w:rsidR="00296777" w:rsidRPr="00366709">
        <w:rPr>
          <w:rFonts w:eastAsia="Calibri"/>
          <w:sz w:val="20"/>
          <w:szCs w:val="20"/>
          <w:lang w:val="es-AR" w:eastAsia="en-US"/>
        </w:rPr>
        <w:t>.</w:t>
      </w:r>
    </w:p>
    <w:p w14:paraId="4FEAA7A7" w14:textId="77777777" w:rsidR="00911089" w:rsidRPr="00366709" w:rsidRDefault="00911089" w:rsidP="00911089">
      <w:pPr>
        <w:tabs>
          <w:tab w:val="left" w:pos="567"/>
        </w:tabs>
        <w:rPr>
          <w:sz w:val="20"/>
          <w:szCs w:val="20"/>
          <w:lang w:val="es-HN"/>
        </w:rPr>
      </w:pPr>
    </w:p>
    <w:p w14:paraId="782E9D7D" w14:textId="404AEA21" w:rsidR="00911089" w:rsidRPr="0059117C" w:rsidRDefault="00296777" w:rsidP="0059117C">
      <w:pPr>
        <w:numPr>
          <w:ilvl w:val="0"/>
          <w:numId w:val="2"/>
        </w:numPr>
        <w:tabs>
          <w:tab w:val="left" w:pos="567"/>
          <w:tab w:val="num" w:pos="1569"/>
          <w:tab w:val="num" w:pos="12305"/>
        </w:tabs>
        <w:ind w:left="0" w:firstLine="0"/>
        <w:rPr>
          <w:i/>
          <w:iCs/>
          <w:sz w:val="20"/>
          <w:szCs w:val="20"/>
          <w:lang w:val="es-AR"/>
        </w:rPr>
      </w:pPr>
      <w:r w:rsidRPr="00366709">
        <w:rPr>
          <w:sz w:val="20"/>
          <w:szCs w:val="20"/>
          <w:lang w:val="es-AR"/>
        </w:rPr>
        <w:t xml:space="preserve">En este sentido, esta </w:t>
      </w:r>
      <w:r w:rsidR="00911089" w:rsidRPr="00366709">
        <w:rPr>
          <w:sz w:val="20"/>
          <w:szCs w:val="20"/>
          <w:lang w:val="es-AR"/>
        </w:rPr>
        <w:t xml:space="preserve">Corte </w:t>
      </w:r>
      <w:r w:rsidR="00D0629F">
        <w:rPr>
          <w:sz w:val="20"/>
          <w:szCs w:val="20"/>
          <w:lang w:val="es-AR"/>
        </w:rPr>
        <w:t>destaca</w:t>
      </w:r>
      <w:r w:rsidR="00D0629F" w:rsidRPr="00366709">
        <w:rPr>
          <w:sz w:val="20"/>
          <w:szCs w:val="20"/>
          <w:lang w:val="es-AR"/>
        </w:rPr>
        <w:t xml:space="preserve"> </w:t>
      </w:r>
      <w:r w:rsidR="00911089" w:rsidRPr="00366709">
        <w:rPr>
          <w:sz w:val="20"/>
          <w:szCs w:val="20"/>
          <w:lang w:val="es-AR"/>
        </w:rPr>
        <w:t>como un hecho ineludible que la población está envejeciendo</w:t>
      </w:r>
      <w:r w:rsidR="00911089" w:rsidRPr="00366709">
        <w:rPr>
          <w:sz w:val="20"/>
          <w:szCs w:val="20"/>
          <w:vertAlign w:val="superscript"/>
          <w:lang w:val="es-AR"/>
        </w:rPr>
        <w:footnoteReference w:id="216"/>
      </w:r>
      <w:r w:rsidR="00911089" w:rsidRPr="00366709">
        <w:rPr>
          <w:sz w:val="20"/>
          <w:szCs w:val="20"/>
          <w:lang w:val="es-AR"/>
        </w:rPr>
        <w:t xml:space="preserve"> de manera constante y considerable</w:t>
      </w:r>
      <w:r w:rsidR="00911089" w:rsidRPr="00366709">
        <w:rPr>
          <w:sz w:val="20"/>
          <w:szCs w:val="20"/>
          <w:vertAlign w:val="superscript"/>
          <w:lang w:val="es-AR"/>
        </w:rPr>
        <w:footnoteReference w:id="217"/>
      </w:r>
      <w:r w:rsidR="00911089" w:rsidRPr="00366709">
        <w:rPr>
          <w:sz w:val="20"/>
          <w:szCs w:val="20"/>
          <w:lang w:val="es-AR"/>
        </w:rPr>
        <w:t>. El cambio vertiginoso del escenario demográfico en los países de la región</w:t>
      </w:r>
      <w:r w:rsidR="00911089" w:rsidRPr="00366709">
        <w:rPr>
          <w:sz w:val="20"/>
          <w:szCs w:val="20"/>
          <w:vertAlign w:val="superscript"/>
          <w:lang w:val="es-AR"/>
        </w:rPr>
        <w:footnoteReference w:id="218"/>
      </w:r>
      <w:r w:rsidR="00911089" w:rsidRPr="00366709">
        <w:rPr>
          <w:sz w:val="20"/>
          <w:szCs w:val="20"/>
          <w:lang w:val="es-AR"/>
        </w:rPr>
        <w:t xml:space="preserve"> presenta retos y desafíos, p</w:t>
      </w:r>
      <w:r w:rsidRPr="00366709">
        <w:rPr>
          <w:sz w:val="20"/>
          <w:szCs w:val="20"/>
          <w:lang w:val="es-AR"/>
        </w:rPr>
        <w:t>or lo cual este impacto en los derechos h</w:t>
      </w:r>
      <w:r w:rsidR="00911089" w:rsidRPr="00366709">
        <w:rPr>
          <w:sz w:val="20"/>
          <w:szCs w:val="20"/>
          <w:lang w:val="es-AR"/>
        </w:rPr>
        <w:t xml:space="preserve">umanos hace necesario que los Estados se involucren para dar respuesta de </w:t>
      </w:r>
      <w:r w:rsidR="00911089" w:rsidRPr="00366709">
        <w:rPr>
          <w:sz w:val="20"/>
          <w:szCs w:val="20"/>
          <w:lang w:val="es-AR"/>
        </w:rPr>
        <w:lastRenderedPageBreak/>
        <w:t xml:space="preserve">manera integral, a fin de </w:t>
      </w:r>
      <w:r w:rsidR="00062586">
        <w:rPr>
          <w:sz w:val="20"/>
          <w:szCs w:val="20"/>
          <w:lang w:val="es-AR"/>
        </w:rPr>
        <w:t xml:space="preserve">que las </w:t>
      </w:r>
      <w:r w:rsidRPr="00366709">
        <w:rPr>
          <w:sz w:val="20"/>
          <w:szCs w:val="20"/>
          <w:lang w:val="es-AR"/>
        </w:rPr>
        <w:t xml:space="preserve">personas mayores sean reconocidas </w:t>
      </w:r>
      <w:r w:rsidR="00911089" w:rsidRPr="00366709">
        <w:rPr>
          <w:sz w:val="20"/>
          <w:szCs w:val="20"/>
          <w:lang w:val="es-AR"/>
        </w:rPr>
        <w:t>como sujetos de derecho</w:t>
      </w:r>
      <w:r w:rsidR="008E3E41">
        <w:rPr>
          <w:sz w:val="20"/>
          <w:szCs w:val="20"/>
          <w:lang w:val="es-AR"/>
        </w:rPr>
        <w:t>s especiales</w:t>
      </w:r>
      <w:r w:rsidR="00911089" w:rsidRPr="00366709">
        <w:rPr>
          <w:sz w:val="20"/>
          <w:szCs w:val="20"/>
          <w:lang w:val="es-AR"/>
        </w:rPr>
        <w:t xml:space="preserve"> desde la </w:t>
      </w:r>
      <w:r w:rsidRPr="00366709">
        <w:rPr>
          <w:sz w:val="20"/>
          <w:szCs w:val="20"/>
          <w:lang w:val="es-AR"/>
        </w:rPr>
        <w:t xml:space="preserve">prevención y promoción </w:t>
      </w:r>
      <w:r w:rsidR="00911089" w:rsidRPr="00366709">
        <w:rPr>
          <w:sz w:val="20"/>
          <w:szCs w:val="20"/>
          <w:lang w:val="es-AR"/>
        </w:rPr>
        <w:t>de salud.</w:t>
      </w:r>
      <w:r w:rsidR="00911089" w:rsidRPr="00366709">
        <w:rPr>
          <w:sz w:val="20"/>
          <w:szCs w:val="20"/>
          <w:lang w:val="es-HN"/>
        </w:rPr>
        <w:t xml:space="preserve"> </w:t>
      </w:r>
      <w:r w:rsidR="00911089" w:rsidRPr="00366709">
        <w:rPr>
          <w:rFonts w:eastAsia="Calibri"/>
          <w:sz w:val="20"/>
          <w:szCs w:val="20"/>
          <w:lang w:val="es-AR" w:eastAsia="en-US"/>
        </w:rPr>
        <w:t xml:space="preserve">Para ello, resulta necesario también el </w:t>
      </w:r>
      <w:r w:rsidR="00911089" w:rsidRPr="00366709">
        <w:rPr>
          <w:sz w:val="20"/>
          <w:szCs w:val="20"/>
        </w:rPr>
        <w:t xml:space="preserve">involucramiento por parte de la sociedad a fin de brindar </w:t>
      </w:r>
      <w:r w:rsidRPr="00A6246E">
        <w:rPr>
          <w:sz w:val="20"/>
          <w:szCs w:val="20"/>
        </w:rPr>
        <w:t>a las personas adultas mayores</w:t>
      </w:r>
      <w:r w:rsidRPr="0059117C">
        <w:rPr>
          <w:sz w:val="20"/>
          <w:szCs w:val="20"/>
        </w:rPr>
        <w:t xml:space="preserve"> de </w:t>
      </w:r>
      <w:r w:rsidR="00911089" w:rsidRPr="0059117C">
        <w:rPr>
          <w:sz w:val="20"/>
          <w:szCs w:val="20"/>
        </w:rPr>
        <w:t xml:space="preserve">calidad de vida. Al respecto, el perito Dr. Javier Santos, precisó en audiencia que:  </w:t>
      </w:r>
    </w:p>
    <w:p w14:paraId="2F5CACDD" w14:textId="77777777" w:rsidR="00911089" w:rsidRPr="00366709" w:rsidRDefault="00911089" w:rsidP="00911089">
      <w:pPr>
        <w:tabs>
          <w:tab w:val="left" w:pos="567"/>
        </w:tabs>
        <w:rPr>
          <w:sz w:val="20"/>
          <w:szCs w:val="20"/>
          <w:lang w:val="es-HN"/>
        </w:rPr>
      </w:pPr>
    </w:p>
    <w:p w14:paraId="116055B5" w14:textId="55E34A1E" w:rsidR="00911089" w:rsidRPr="00E7264D" w:rsidRDefault="00911089" w:rsidP="00911089">
      <w:pPr>
        <w:tabs>
          <w:tab w:val="left" w:pos="567"/>
        </w:tabs>
        <w:ind w:left="567" w:right="390"/>
        <w:rPr>
          <w:sz w:val="18"/>
          <w:szCs w:val="18"/>
          <w:lang w:val="es-HN"/>
        </w:rPr>
      </w:pPr>
      <w:r w:rsidRPr="00366709">
        <w:rPr>
          <w:sz w:val="18"/>
          <w:szCs w:val="20"/>
          <w:lang w:val="es-HN"/>
        </w:rPr>
        <w:t>“[El] adulto mayor es un paciente vulnerable</w:t>
      </w:r>
      <w:r w:rsidR="00DF233B">
        <w:rPr>
          <w:sz w:val="18"/>
          <w:szCs w:val="20"/>
          <w:lang w:val="es-HN"/>
        </w:rPr>
        <w:t xml:space="preserve"> en general</w:t>
      </w:r>
      <w:r w:rsidR="00D0629F">
        <w:rPr>
          <w:sz w:val="18"/>
          <w:szCs w:val="20"/>
          <w:lang w:val="es-HN"/>
        </w:rPr>
        <w:t>;</w:t>
      </w:r>
      <w:r w:rsidRPr="00366709">
        <w:rPr>
          <w:sz w:val="18"/>
          <w:szCs w:val="20"/>
          <w:lang w:val="es-HN"/>
        </w:rPr>
        <w:t xml:space="preserve"> </w:t>
      </w:r>
      <w:r w:rsidR="00DF233B">
        <w:rPr>
          <w:sz w:val="18"/>
          <w:szCs w:val="20"/>
          <w:lang w:val="es-HN"/>
        </w:rPr>
        <w:t>es un paciente que</w:t>
      </w:r>
      <w:r w:rsidRPr="00366709">
        <w:rPr>
          <w:sz w:val="18"/>
          <w:szCs w:val="20"/>
          <w:lang w:val="es-HN"/>
        </w:rPr>
        <w:t xml:space="preserve"> va a necesitar no solamente del médico sino</w:t>
      </w:r>
      <w:r w:rsidRPr="00C27894">
        <w:rPr>
          <w:sz w:val="18"/>
          <w:szCs w:val="20"/>
          <w:lang w:val="es-HN"/>
        </w:rPr>
        <w:t xml:space="preserve"> de la sociedad para llevarlo adelante. </w:t>
      </w:r>
      <w:r w:rsidR="00DF233B">
        <w:rPr>
          <w:sz w:val="18"/>
          <w:szCs w:val="20"/>
          <w:lang w:val="es-HN"/>
        </w:rPr>
        <w:t>Ya no se habla más de expectativa de vida […] [</w:t>
      </w:r>
      <w:r w:rsidRPr="00C27894">
        <w:rPr>
          <w:sz w:val="18"/>
          <w:szCs w:val="20"/>
          <w:lang w:val="es-HN"/>
        </w:rPr>
        <w:t>s</w:t>
      </w:r>
      <w:r w:rsidR="00DF233B">
        <w:rPr>
          <w:sz w:val="18"/>
          <w:szCs w:val="20"/>
          <w:lang w:val="es-HN"/>
        </w:rPr>
        <w:t>]</w:t>
      </w:r>
      <w:r w:rsidRPr="00C27894">
        <w:rPr>
          <w:sz w:val="18"/>
          <w:szCs w:val="20"/>
          <w:lang w:val="es-HN"/>
        </w:rPr>
        <w:t>e habla de año</w:t>
      </w:r>
      <w:r w:rsidRPr="00E279BB">
        <w:rPr>
          <w:sz w:val="18"/>
          <w:szCs w:val="20"/>
          <w:lang w:val="es-HN"/>
        </w:rPr>
        <w:t>s de vida libre de enfermedad</w:t>
      </w:r>
      <w:r w:rsidR="00DF233B">
        <w:rPr>
          <w:sz w:val="18"/>
          <w:szCs w:val="20"/>
          <w:lang w:val="es-HN"/>
        </w:rPr>
        <w:t xml:space="preserve"> […] p</w:t>
      </w:r>
      <w:r w:rsidRPr="00C27894">
        <w:rPr>
          <w:sz w:val="18"/>
          <w:szCs w:val="20"/>
          <w:lang w:val="es-HN"/>
        </w:rPr>
        <w:t>or eso es que necesita el apoyo de todo el Estado</w:t>
      </w:r>
      <w:r w:rsidR="00DF233B">
        <w:rPr>
          <w:sz w:val="18"/>
          <w:szCs w:val="20"/>
          <w:lang w:val="es-HN"/>
        </w:rPr>
        <w:t>. N</w:t>
      </w:r>
      <w:r w:rsidRPr="00C27894">
        <w:rPr>
          <w:sz w:val="18"/>
          <w:szCs w:val="20"/>
          <w:lang w:val="es-HN"/>
        </w:rPr>
        <w:t xml:space="preserve">os tenemos que involucrar todos para que tengamos la mayor cantidad de años de vida </w:t>
      </w:r>
      <w:r>
        <w:rPr>
          <w:sz w:val="18"/>
          <w:szCs w:val="20"/>
          <w:lang w:val="es-HN"/>
        </w:rPr>
        <w:t>[de calidad]</w:t>
      </w:r>
      <w:r w:rsidRPr="00C27894">
        <w:rPr>
          <w:rStyle w:val="FootnoteReference"/>
          <w:sz w:val="18"/>
          <w:szCs w:val="18"/>
        </w:rPr>
        <w:footnoteReference w:id="219"/>
      </w:r>
      <w:r>
        <w:rPr>
          <w:sz w:val="18"/>
          <w:szCs w:val="18"/>
          <w:lang w:val="es-HN"/>
        </w:rPr>
        <w:t xml:space="preserve"> </w:t>
      </w:r>
      <w:r w:rsidRPr="00E7264D">
        <w:rPr>
          <w:sz w:val="18"/>
          <w:szCs w:val="18"/>
          <w:lang w:val="es-HN"/>
        </w:rPr>
        <w:t xml:space="preserve">[…] </w:t>
      </w:r>
      <w:r w:rsidR="00DF233B">
        <w:rPr>
          <w:sz w:val="18"/>
          <w:szCs w:val="18"/>
          <w:lang w:val="es-MX"/>
        </w:rPr>
        <w:t>[t]</w:t>
      </w:r>
      <w:proofErr w:type="spellStart"/>
      <w:r w:rsidRPr="00C64243">
        <w:rPr>
          <w:sz w:val="18"/>
          <w:szCs w:val="18"/>
          <w:lang w:val="es-MX"/>
        </w:rPr>
        <w:t>odos</w:t>
      </w:r>
      <w:proofErr w:type="spellEnd"/>
      <w:r w:rsidRPr="00C64243">
        <w:rPr>
          <w:sz w:val="18"/>
          <w:szCs w:val="18"/>
          <w:lang w:val="es-MX"/>
        </w:rPr>
        <w:t xml:space="preserve"> vamos a envejecer si tenemos suerte […]. Lo que tenemos que hacer es formar gente y formar el medio, la sociedad para que tengamos el lugar correcto para ser tratados”</w:t>
      </w:r>
      <w:r w:rsidRPr="00603440">
        <w:rPr>
          <w:sz w:val="20"/>
          <w:szCs w:val="20"/>
          <w:vertAlign w:val="superscript"/>
          <w:lang w:val="es-AR"/>
        </w:rPr>
        <w:footnoteReference w:id="220"/>
      </w:r>
      <w:r w:rsidRPr="00C64243">
        <w:rPr>
          <w:sz w:val="18"/>
          <w:szCs w:val="18"/>
          <w:lang w:val="es-MX"/>
        </w:rPr>
        <w:t>.</w:t>
      </w:r>
    </w:p>
    <w:p w14:paraId="0480DA9F" w14:textId="77777777" w:rsidR="002570D1" w:rsidRPr="002570D1" w:rsidRDefault="002570D1" w:rsidP="007E5CD5">
      <w:pPr>
        <w:ind w:right="-360"/>
        <w:contextualSpacing/>
        <w:rPr>
          <w:rFonts w:eastAsia="Calibri"/>
          <w:sz w:val="20"/>
          <w:szCs w:val="20"/>
          <w:lang w:val="es-ES_tradnl" w:eastAsia="en-US"/>
        </w:rPr>
      </w:pPr>
    </w:p>
    <w:p w14:paraId="5E4FB7AA" w14:textId="0B9F4E13" w:rsidR="002570D1" w:rsidRPr="00827A1E" w:rsidRDefault="00366709" w:rsidP="002570D1">
      <w:pPr>
        <w:numPr>
          <w:ilvl w:val="0"/>
          <w:numId w:val="2"/>
        </w:numPr>
        <w:tabs>
          <w:tab w:val="left" w:pos="567"/>
          <w:tab w:val="num" w:pos="1569"/>
          <w:tab w:val="num" w:pos="12305"/>
        </w:tabs>
        <w:ind w:left="0" w:firstLine="0"/>
        <w:rPr>
          <w:rFonts w:eastAsia="Calibri"/>
          <w:sz w:val="20"/>
          <w:szCs w:val="20"/>
          <w:lang w:val="es-ES" w:eastAsia="en-US"/>
        </w:rPr>
      </w:pPr>
      <w:r w:rsidRPr="004368CD">
        <w:rPr>
          <w:rFonts w:eastAsia="Calibri"/>
          <w:sz w:val="20"/>
          <w:szCs w:val="20"/>
          <w:lang w:val="es-ES" w:eastAsia="en-US"/>
        </w:rPr>
        <w:t>L</w:t>
      </w:r>
      <w:r w:rsidR="002570D1" w:rsidRPr="00827A1E">
        <w:rPr>
          <w:rFonts w:eastAsia="Calibri"/>
          <w:sz w:val="20"/>
          <w:szCs w:val="20"/>
          <w:lang w:val="es-ES" w:eastAsia="en-US"/>
        </w:rPr>
        <w:t>a Corte nota que, en muchas situaciones</w:t>
      </w:r>
      <w:r w:rsidRPr="00827A1E">
        <w:rPr>
          <w:rFonts w:eastAsia="Calibri"/>
          <w:sz w:val="20"/>
          <w:szCs w:val="20"/>
          <w:lang w:val="es-ES" w:eastAsia="en-US"/>
        </w:rPr>
        <w:t>,</w:t>
      </w:r>
      <w:r w:rsidR="002570D1" w:rsidRPr="00827A1E">
        <w:rPr>
          <w:rFonts w:eastAsia="Calibri"/>
          <w:sz w:val="20"/>
          <w:szCs w:val="20"/>
          <w:lang w:val="es-ES" w:eastAsia="en-US"/>
        </w:rPr>
        <w:t xml:space="preserve"> se presenta una particular vulnerabilidad </w:t>
      </w:r>
      <w:r w:rsidRPr="00827A1E">
        <w:rPr>
          <w:rFonts w:eastAsia="Calibri"/>
          <w:sz w:val="20"/>
          <w:szCs w:val="20"/>
          <w:lang w:val="es-ES" w:eastAsia="en-US"/>
        </w:rPr>
        <w:t xml:space="preserve">de </w:t>
      </w:r>
      <w:r w:rsidR="0001661C" w:rsidRPr="004368CD">
        <w:rPr>
          <w:rFonts w:eastAsia="Calibri"/>
          <w:sz w:val="20"/>
          <w:szCs w:val="20"/>
          <w:lang w:val="es-ES" w:eastAsia="en-US"/>
        </w:rPr>
        <w:t>las personas mayores</w:t>
      </w:r>
      <w:r w:rsidRPr="004368CD">
        <w:rPr>
          <w:rFonts w:eastAsia="Calibri"/>
          <w:sz w:val="20"/>
          <w:szCs w:val="20"/>
          <w:lang w:val="es-ES" w:eastAsia="en-US"/>
        </w:rPr>
        <w:t xml:space="preserve"> </w:t>
      </w:r>
      <w:r w:rsidR="002570D1" w:rsidRPr="00827A1E">
        <w:rPr>
          <w:rFonts w:eastAsia="Calibri"/>
          <w:sz w:val="20"/>
          <w:szCs w:val="20"/>
          <w:lang w:val="es-ES" w:eastAsia="en-US"/>
        </w:rPr>
        <w:t>frente al acceso a la salud. Sobre el particular, resalta la existencia de diversos factores como las limitaciones físicas</w:t>
      </w:r>
      <w:r w:rsidR="00B71D6B" w:rsidRPr="004368CD">
        <w:rPr>
          <w:rFonts w:eastAsia="Calibri"/>
          <w:sz w:val="20"/>
          <w:szCs w:val="20"/>
          <w:lang w:val="es-ES" w:eastAsia="en-US"/>
        </w:rPr>
        <w:t>,</w:t>
      </w:r>
      <w:r w:rsidR="00B84989" w:rsidRPr="004368CD">
        <w:rPr>
          <w:rFonts w:eastAsia="Calibri"/>
          <w:sz w:val="20"/>
          <w:szCs w:val="20"/>
          <w:lang w:val="es-ES" w:eastAsia="en-US"/>
        </w:rPr>
        <w:t xml:space="preserve"> de movilidad</w:t>
      </w:r>
      <w:r w:rsidR="002570D1" w:rsidRPr="004368CD">
        <w:rPr>
          <w:rFonts w:eastAsia="Calibri"/>
          <w:sz w:val="20"/>
          <w:szCs w:val="20"/>
          <w:lang w:val="es-ES" w:eastAsia="en-US"/>
        </w:rPr>
        <w:t xml:space="preserve">, la condición </w:t>
      </w:r>
      <w:r w:rsidR="000B50C1" w:rsidRPr="004368CD">
        <w:rPr>
          <w:rFonts w:eastAsia="Calibri"/>
          <w:sz w:val="20"/>
          <w:szCs w:val="20"/>
          <w:lang w:val="es-ES" w:eastAsia="en-US"/>
        </w:rPr>
        <w:t>económica</w:t>
      </w:r>
      <w:r w:rsidR="002570D1" w:rsidRPr="004368CD">
        <w:rPr>
          <w:rFonts w:eastAsia="Calibri"/>
          <w:sz w:val="20"/>
          <w:szCs w:val="20"/>
          <w:lang w:val="es-ES" w:eastAsia="en-US"/>
        </w:rPr>
        <w:t xml:space="preserve"> o </w:t>
      </w:r>
      <w:r w:rsidR="00714692" w:rsidRPr="004368CD">
        <w:rPr>
          <w:rFonts w:eastAsia="Calibri"/>
          <w:sz w:val="20"/>
          <w:szCs w:val="20"/>
          <w:lang w:val="es-ES" w:eastAsia="en-US"/>
        </w:rPr>
        <w:t xml:space="preserve">la </w:t>
      </w:r>
      <w:r w:rsidR="002570D1" w:rsidRPr="004368CD">
        <w:rPr>
          <w:rFonts w:eastAsia="Calibri"/>
          <w:sz w:val="20"/>
          <w:szCs w:val="20"/>
          <w:lang w:val="es-ES" w:eastAsia="en-US"/>
        </w:rPr>
        <w:t>gravedad de la enfermedad</w:t>
      </w:r>
      <w:r w:rsidR="00714692" w:rsidRPr="004368CD">
        <w:rPr>
          <w:rFonts w:eastAsia="Calibri"/>
          <w:sz w:val="20"/>
          <w:szCs w:val="20"/>
          <w:lang w:val="es-ES" w:eastAsia="en-US"/>
        </w:rPr>
        <w:t xml:space="preserve"> y posibilidades de recuperación</w:t>
      </w:r>
      <w:r w:rsidR="002570D1" w:rsidRPr="004368CD">
        <w:rPr>
          <w:rFonts w:eastAsia="Calibri"/>
          <w:sz w:val="20"/>
          <w:szCs w:val="20"/>
          <w:lang w:val="es-ES" w:eastAsia="en-US"/>
        </w:rPr>
        <w:t>. Asimismo, en determinadas situaciones, dicha vulnerabilidad se encuentra incrementada en razón del desequilibrio de poder que existe en la relación médico - paciente</w:t>
      </w:r>
      <w:r w:rsidR="002570D1" w:rsidRPr="004368CD">
        <w:rPr>
          <w:rFonts w:eastAsia="Calibri"/>
          <w:sz w:val="20"/>
          <w:szCs w:val="20"/>
          <w:vertAlign w:val="superscript"/>
          <w:lang w:val="es-ES" w:eastAsia="en-US"/>
        </w:rPr>
        <w:footnoteReference w:id="221"/>
      </w:r>
      <w:r w:rsidR="002570D1" w:rsidRPr="004368CD">
        <w:rPr>
          <w:rFonts w:eastAsia="Calibri"/>
          <w:sz w:val="20"/>
          <w:szCs w:val="20"/>
          <w:lang w:val="es-ES" w:eastAsia="en-US"/>
        </w:rPr>
        <w:t>, por lo que resulta indispensable que se garantice al paciente</w:t>
      </w:r>
      <w:r w:rsidR="00B71D6B" w:rsidRPr="004368CD">
        <w:rPr>
          <w:rFonts w:eastAsia="Calibri"/>
          <w:sz w:val="20"/>
          <w:szCs w:val="20"/>
          <w:lang w:val="es-ES" w:eastAsia="en-US"/>
        </w:rPr>
        <w:t>, de manera clara y accesible,</w:t>
      </w:r>
      <w:r w:rsidR="002570D1" w:rsidRPr="004368CD">
        <w:rPr>
          <w:rFonts w:eastAsia="Calibri"/>
          <w:sz w:val="20"/>
          <w:szCs w:val="20"/>
          <w:lang w:val="es-ES" w:eastAsia="en-US"/>
        </w:rPr>
        <w:t xml:space="preserve"> la información necesaria y el entendimiento de su </w:t>
      </w:r>
      <w:r w:rsidR="00B71D6B" w:rsidRPr="004368CD">
        <w:rPr>
          <w:rFonts w:eastAsia="Calibri"/>
          <w:sz w:val="20"/>
          <w:szCs w:val="20"/>
          <w:lang w:val="es-ES" w:eastAsia="en-US"/>
        </w:rPr>
        <w:t xml:space="preserve">diagnóstico o </w:t>
      </w:r>
      <w:r w:rsidR="002570D1" w:rsidRPr="004368CD">
        <w:rPr>
          <w:rFonts w:eastAsia="Calibri"/>
          <w:sz w:val="20"/>
          <w:szCs w:val="20"/>
          <w:lang w:val="es-ES" w:eastAsia="en-US"/>
        </w:rPr>
        <w:t>situación particular</w:t>
      </w:r>
      <w:r w:rsidR="00B71D6B" w:rsidRPr="004368CD">
        <w:rPr>
          <w:rFonts w:eastAsia="Calibri"/>
          <w:sz w:val="20"/>
          <w:szCs w:val="20"/>
          <w:lang w:val="es-ES" w:eastAsia="en-US"/>
        </w:rPr>
        <w:t>, así como de</w:t>
      </w:r>
      <w:r w:rsidR="002570D1" w:rsidRPr="004368CD">
        <w:rPr>
          <w:rFonts w:eastAsia="Calibri"/>
          <w:sz w:val="20"/>
          <w:szCs w:val="20"/>
          <w:lang w:val="es-ES" w:eastAsia="en-US"/>
        </w:rPr>
        <w:t xml:space="preserve"> las medidas </w:t>
      </w:r>
      <w:r w:rsidR="00B71D6B" w:rsidRPr="004368CD">
        <w:rPr>
          <w:rFonts w:eastAsia="Calibri"/>
          <w:sz w:val="20"/>
          <w:szCs w:val="20"/>
          <w:lang w:val="es-ES" w:eastAsia="en-US"/>
        </w:rPr>
        <w:t xml:space="preserve">o tratamientos </w:t>
      </w:r>
      <w:r w:rsidR="002570D1" w:rsidRPr="004368CD">
        <w:rPr>
          <w:rFonts w:eastAsia="Calibri"/>
          <w:sz w:val="20"/>
          <w:szCs w:val="20"/>
          <w:lang w:val="es-ES" w:eastAsia="en-US"/>
        </w:rPr>
        <w:t>para enfrentar</w:t>
      </w:r>
      <w:r w:rsidR="00B71D6B" w:rsidRPr="004368CD">
        <w:rPr>
          <w:rFonts w:eastAsia="Calibri"/>
          <w:sz w:val="20"/>
          <w:szCs w:val="20"/>
          <w:lang w:val="es-ES" w:eastAsia="en-US"/>
        </w:rPr>
        <w:t xml:space="preserve"> tal situación</w:t>
      </w:r>
      <w:r w:rsidR="002570D1" w:rsidRPr="004368CD">
        <w:rPr>
          <w:rFonts w:eastAsia="Calibri"/>
          <w:sz w:val="20"/>
          <w:szCs w:val="20"/>
          <w:lang w:val="es-ES" w:eastAsia="en-US"/>
        </w:rPr>
        <w:t xml:space="preserve"> (</w:t>
      </w:r>
      <w:r w:rsidR="002570D1" w:rsidRPr="004368CD">
        <w:rPr>
          <w:rFonts w:eastAsia="Calibri"/>
          <w:i/>
          <w:sz w:val="20"/>
          <w:szCs w:val="20"/>
          <w:lang w:val="es-ES" w:eastAsia="en-US"/>
        </w:rPr>
        <w:t xml:space="preserve">infra </w:t>
      </w:r>
      <w:r w:rsidR="00D0629F" w:rsidRPr="00B1523A">
        <w:rPr>
          <w:rFonts w:eastAsia="Calibri"/>
          <w:sz w:val="20"/>
          <w:szCs w:val="20"/>
          <w:lang w:val="es-ES" w:eastAsia="en-US"/>
        </w:rPr>
        <w:t>párr.</w:t>
      </w:r>
      <w:r w:rsidR="00D0629F">
        <w:rPr>
          <w:rFonts w:eastAsia="Calibri"/>
          <w:i/>
          <w:sz w:val="20"/>
          <w:szCs w:val="20"/>
          <w:lang w:val="es-ES" w:eastAsia="en-US"/>
        </w:rPr>
        <w:t xml:space="preserve"> </w:t>
      </w:r>
      <w:r w:rsidR="004368CD" w:rsidRPr="00B1523A">
        <w:rPr>
          <w:rFonts w:eastAsia="Calibri"/>
          <w:sz w:val="20"/>
          <w:szCs w:val="20"/>
          <w:lang w:val="es-ES" w:eastAsia="en-US"/>
        </w:rPr>
        <w:t>1</w:t>
      </w:r>
      <w:r w:rsidR="00827A1E">
        <w:rPr>
          <w:rFonts w:eastAsia="Calibri"/>
          <w:sz w:val="20"/>
          <w:szCs w:val="20"/>
          <w:lang w:val="es-ES" w:eastAsia="en-US"/>
        </w:rPr>
        <w:t>62</w:t>
      </w:r>
      <w:r w:rsidR="004368CD" w:rsidRPr="004368CD">
        <w:rPr>
          <w:rFonts w:eastAsia="Calibri"/>
          <w:sz w:val="20"/>
          <w:szCs w:val="20"/>
          <w:lang w:val="es-ES" w:eastAsia="en-US"/>
        </w:rPr>
        <w:t xml:space="preserve">). </w:t>
      </w:r>
    </w:p>
    <w:p w14:paraId="3345CD8D" w14:textId="77777777" w:rsidR="002570D1" w:rsidRPr="002570D1" w:rsidRDefault="002570D1" w:rsidP="002570D1">
      <w:pPr>
        <w:ind w:left="-90" w:right="-360"/>
        <w:contextualSpacing/>
        <w:rPr>
          <w:rFonts w:eastAsia="Calibri"/>
          <w:sz w:val="20"/>
          <w:szCs w:val="20"/>
          <w:lang w:val="es-ES" w:eastAsia="en-US"/>
        </w:rPr>
      </w:pPr>
    </w:p>
    <w:p w14:paraId="3A77ED89" w14:textId="2B30EC10" w:rsidR="00CA76E0" w:rsidRPr="002570D1" w:rsidRDefault="00D24D12" w:rsidP="006B458C">
      <w:pPr>
        <w:numPr>
          <w:ilvl w:val="0"/>
          <w:numId w:val="2"/>
        </w:numPr>
        <w:tabs>
          <w:tab w:val="left" w:pos="567"/>
          <w:tab w:val="num" w:pos="1569"/>
          <w:tab w:val="num" w:pos="12305"/>
        </w:tabs>
        <w:ind w:left="0" w:firstLine="0"/>
        <w:rPr>
          <w:rFonts w:eastAsia="Calibri"/>
          <w:sz w:val="20"/>
          <w:szCs w:val="20"/>
          <w:lang w:val="es-ES" w:eastAsia="en-US"/>
        </w:rPr>
      </w:pPr>
      <w:r w:rsidRPr="0059117C">
        <w:rPr>
          <w:rFonts w:eastAsia="Calibri"/>
          <w:sz w:val="20"/>
          <w:szCs w:val="20"/>
          <w:lang w:val="es-ES" w:eastAsia="en-US"/>
        </w:rPr>
        <w:t xml:space="preserve">En vista de </w:t>
      </w:r>
      <w:r w:rsidR="006D14B8">
        <w:rPr>
          <w:rFonts w:eastAsia="Calibri"/>
          <w:sz w:val="20"/>
          <w:szCs w:val="20"/>
          <w:lang w:val="es-ES" w:eastAsia="en-US"/>
        </w:rPr>
        <w:t>lo anterior</w:t>
      </w:r>
      <w:r w:rsidRPr="0059117C">
        <w:rPr>
          <w:rFonts w:eastAsia="Calibri"/>
          <w:sz w:val="20"/>
          <w:szCs w:val="20"/>
          <w:lang w:val="es-ES" w:eastAsia="en-US"/>
        </w:rPr>
        <w:t xml:space="preserve">, la Corte resalta la importancia de visibilizar a las personas mayores como sujetos de derechos </w:t>
      </w:r>
      <w:r w:rsidR="002D5950" w:rsidRPr="00B1523A">
        <w:rPr>
          <w:rFonts w:eastAsia="Calibri"/>
          <w:sz w:val="20"/>
          <w:szCs w:val="20"/>
          <w:lang w:val="es-ES" w:eastAsia="en-US"/>
        </w:rPr>
        <w:t>con especial protección</w:t>
      </w:r>
      <w:r w:rsidR="002D5950">
        <w:rPr>
          <w:rFonts w:eastAsia="Calibri"/>
          <w:sz w:val="20"/>
          <w:szCs w:val="20"/>
          <w:lang w:val="es-ES" w:eastAsia="en-US"/>
        </w:rPr>
        <w:t xml:space="preserve"> </w:t>
      </w:r>
      <w:r w:rsidRPr="0059117C">
        <w:rPr>
          <w:rFonts w:eastAsia="Calibri"/>
          <w:sz w:val="20"/>
          <w:szCs w:val="20"/>
          <w:lang w:val="es-ES" w:eastAsia="en-US"/>
        </w:rPr>
        <w:t xml:space="preserve">y </w:t>
      </w:r>
      <w:r w:rsidR="006D14B8">
        <w:rPr>
          <w:rFonts w:eastAsia="Calibri"/>
          <w:sz w:val="20"/>
          <w:szCs w:val="20"/>
          <w:lang w:val="es-ES" w:eastAsia="en-US"/>
        </w:rPr>
        <w:t xml:space="preserve">por ende </w:t>
      </w:r>
      <w:r w:rsidRPr="0059117C">
        <w:rPr>
          <w:rFonts w:eastAsia="Calibri"/>
          <w:sz w:val="20"/>
          <w:szCs w:val="20"/>
          <w:lang w:val="es-ES" w:eastAsia="en-US"/>
        </w:rPr>
        <w:t xml:space="preserve">de cuidado integral, con </w:t>
      </w:r>
      <w:r w:rsidR="00B17B1F">
        <w:rPr>
          <w:rFonts w:eastAsia="Calibri"/>
          <w:sz w:val="20"/>
          <w:szCs w:val="20"/>
          <w:lang w:val="es-ES" w:eastAsia="en-US"/>
        </w:rPr>
        <w:t xml:space="preserve">el respeto de su </w:t>
      </w:r>
      <w:r w:rsidRPr="0059117C">
        <w:rPr>
          <w:rFonts w:eastAsia="Calibri"/>
          <w:sz w:val="20"/>
          <w:szCs w:val="20"/>
          <w:lang w:val="es-ES" w:eastAsia="en-US"/>
        </w:rPr>
        <w:t>autonomía e independencia</w:t>
      </w:r>
      <w:r w:rsidRPr="0059117C">
        <w:rPr>
          <w:rFonts w:eastAsia="Calibri"/>
          <w:sz w:val="20"/>
          <w:szCs w:val="20"/>
          <w:vertAlign w:val="superscript"/>
          <w:lang w:val="es-ES" w:eastAsia="en-US"/>
        </w:rPr>
        <w:footnoteReference w:id="222"/>
      </w:r>
      <w:r w:rsidRPr="0059117C">
        <w:rPr>
          <w:rFonts w:eastAsia="Calibri"/>
          <w:sz w:val="20"/>
          <w:szCs w:val="20"/>
          <w:lang w:val="es-ES" w:eastAsia="en-US"/>
        </w:rPr>
        <w:t xml:space="preserve">. </w:t>
      </w:r>
      <w:r w:rsidR="006D14B8">
        <w:rPr>
          <w:rFonts w:eastAsia="Calibri"/>
          <w:sz w:val="20"/>
          <w:szCs w:val="20"/>
          <w:lang w:val="es-ES" w:eastAsia="en-US"/>
        </w:rPr>
        <w:t>El Tribunal</w:t>
      </w:r>
      <w:r w:rsidRPr="0059117C">
        <w:rPr>
          <w:rFonts w:eastAsia="Calibri"/>
          <w:sz w:val="20"/>
          <w:szCs w:val="20"/>
          <w:lang w:val="es-ES" w:eastAsia="en-US"/>
        </w:rPr>
        <w:t xml:space="preserve"> ha sostenido que</w:t>
      </w:r>
      <w:r w:rsidR="008867EC">
        <w:rPr>
          <w:rFonts w:eastAsia="Calibri"/>
          <w:sz w:val="20"/>
          <w:szCs w:val="20"/>
          <w:lang w:val="es-ES" w:eastAsia="en-US"/>
        </w:rPr>
        <w:t>,</w:t>
      </w:r>
      <w:r w:rsidRPr="0059117C">
        <w:rPr>
          <w:rFonts w:eastAsia="Calibri"/>
          <w:sz w:val="20"/>
          <w:szCs w:val="20"/>
          <w:lang w:val="es-ES" w:eastAsia="en-US"/>
        </w:rPr>
        <w:t xml:space="preserve"> </w:t>
      </w:r>
      <w:r w:rsidR="006D14B8">
        <w:rPr>
          <w:rFonts w:eastAsia="Calibri"/>
          <w:sz w:val="20"/>
          <w:szCs w:val="20"/>
          <w:lang w:val="es-ES" w:eastAsia="en-US"/>
        </w:rPr>
        <w:t>al menos</w:t>
      </w:r>
      <w:r w:rsidR="008867EC">
        <w:rPr>
          <w:rFonts w:eastAsia="Calibri"/>
          <w:sz w:val="20"/>
          <w:szCs w:val="20"/>
          <w:lang w:val="es-ES" w:eastAsia="en-US"/>
        </w:rPr>
        <w:t>,</w:t>
      </w:r>
      <w:r w:rsidRPr="0059117C">
        <w:rPr>
          <w:rFonts w:eastAsia="Calibri"/>
          <w:sz w:val="20"/>
          <w:szCs w:val="20"/>
          <w:lang w:val="es-ES" w:eastAsia="en-US"/>
        </w:rPr>
        <w:t xml:space="preserve"> </w:t>
      </w:r>
      <w:r w:rsidR="00B17B1F">
        <w:rPr>
          <w:rFonts w:eastAsia="Calibri"/>
          <w:sz w:val="20"/>
          <w:szCs w:val="20"/>
          <w:lang w:val="es-ES" w:eastAsia="en-US"/>
        </w:rPr>
        <w:t xml:space="preserve">estos </w:t>
      </w:r>
      <w:r w:rsidR="006D14B8">
        <w:rPr>
          <w:rFonts w:eastAsia="Calibri"/>
          <w:sz w:val="20"/>
          <w:szCs w:val="20"/>
          <w:lang w:val="es-ES" w:eastAsia="en-US"/>
        </w:rPr>
        <w:t>“</w:t>
      </w:r>
      <w:r w:rsidRPr="0059117C">
        <w:rPr>
          <w:rFonts w:eastAsia="Calibri"/>
          <w:sz w:val="20"/>
          <w:szCs w:val="20"/>
          <w:lang w:val="es-ES" w:eastAsia="en-US"/>
        </w:rPr>
        <w:t>deben tener protegida su salud en caso de enfermedades crónicas y en fase terminal</w:t>
      </w:r>
      <w:r w:rsidR="006D14B8">
        <w:rPr>
          <w:rFonts w:eastAsia="Calibri"/>
          <w:sz w:val="20"/>
          <w:szCs w:val="20"/>
          <w:lang w:val="es-ES" w:eastAsia="en-US"/>
        </w:rPr>
        <w:t>”</w:t>
      </w:r>
      <w:r w:rsidRPr="0059117C">
        <w:rPr>
          <w:rFonts w:eastAsia="Calibri"/>
          <w:sz w:val="20"/>
          <w:szCs w:val="20"/>
          <w:vertAlign w:val="superscript"/>
          <w:lang w:val="es-ES" w:eastAsia="en-US"/>
        </w:rPr>
        <w:footnoteReference w:id="223"/>
      </w:r>
      <w:r w:rsidRPr="0059117C">
        <w:rPr>
          <w:rFonts w:eastAsia="Calibri"/>
          <w:sz w:val="20"/>
          <w:szCs w:val="20"/>
          <w:lang w:val="es-ES" w:eastAsia="en-US"/>
        </w:rPr>
        <w:t>.</w:t>
      </w:r>
      <w:r w:rsidRPr="00D24D12">
        <w:rPr>
          <w:rFonts w:eastAsia="Calibri"/>
          <w:sz w:val="20"/>
          <w:szCs w:val="20"/>
          <w:lang w:val="es-ES" w:eastAsia="en-US"/>
        </w:rPr>
        <w:t xml:space="preserve"> </w:t>
      </w:r>
      <w:r w:rsidRPr="0059117C">
        <w:rPr>
          <w:rFonts w:eastAsia="Calibri"/>
          <w:sz w:val="20"/>
          <w:szCs w:val="20"/>
          <w:lang w:val="es-ES" w:eastAsia="en-US"/>
        </w:rPr>
        <w:t>Por lo tanto, esta Corte considera que, respecto de las personas adult</w:t>
      </w:r>
      <w:r w:rsidR="008867EC">
        <w:rPr>
          <w:rFonts w:eastAsia="Calibri"/>
          <w:sz w:val="20"/>
          <w:szCs w:val="20"/>
          <w:lang w:val="es-ES" w:eastAsia="en-US"/>
        </w:rPr>
        <w:t>a</w:t>
      </w:r>
      <w:r w:rsidRPr="0059117C">
        <w:rPr>
          <w:rFonts w:eastAsia="Calibri"/>
          <w:sz w:val="20"/>
          <w:szCs w:val="20"/>
          <w:lang w:val="es-ES" w:eastAsia="en-US"/>
        </w:rPr>
        <w:t>s mayores, como grupo en situación de vulnerabilidad, existe una obligación reforzada de respeto y garantía de su derecho a la salud</w:t>
      </w:r>
      <w:r w:rsidRPr="0059117C">
        <w:rPr>
          <w:rFonts w:eastAsia="Calibri"/>
          <w:sz w:val="20"/>
          <w:szCs w:val="20"/>
          <w:vertAlign w:val="superscript"/>
          <w:lang w:val="es-ES" w:eastAsia="en-US"/>
        </w:rPr>
        <w:footnoteReference w:id="224"/>
      </w:r>
      <w:r w:rsidR="006D14B8">
        <w:rPr>
          <w:rFonts w:eastAsia="Calibri"/>
          <w:sz w:val="20"/>
          <w:szCs w:val="20"/>
          <w:lang w:val="es-ES" w:eastAsia="en-US"/>
        </w:rPr>
        <w:t>.</w:t>
      </w:r>
      <w:r w:rsidRPr="0059117C">
        <w:rPr>
          <w:rFonts w:eastAsia="Calibri"/>
          <w:sz w:val="20"/>
          <w:szCs w:val="20"/>
          <w:lang w:val="es-ES" w:eastAsia="en-US"/>
        </w:rPr>
        <w:t xml:space="preserve"> </w:t>
      </w:r>
      <w:r w:rsidR="002570D1" w:rsidRPr="00D24D12">
        <w:rPr>
          <w:rFonts w:eastAsia="Calibri"/>
          <w:sz w:val="20"/>
          <w:szCs w:val="20"/>
          <w:lang w:val="es-ES" w:eastAsia="en-US"/>
        </w:rPr>
        <w:t>Lo anterior</w:t>
      </w:r>
      <w:r w:rsidR="005D3093" w:rsidRPr="00D24D12">
        <w:rPr>
          <w:rFonts w:eastAsia="Calibri"/>
          <w:sz w:val="20"/>
          <w:szCs w:val="20"/>
          <w:lang w:val="es-ES" w:eastAsia="en-US"/>
        </w:rPr>
        <w:t xml:space="preserve"> </w:t>
      </w:r>
      <w:r w:rsidR="002570D1" w:rsidRPr="00D24D12">
        <w:rPr>
          <w:rFonts w:eastAsia="Calibri"/>
          <w:sz w:val="20"/>
          <w:szCs w:val="20"/>
          <w:lang w:val="es-ES" w:eastAsia="en-US"/>
        </w:rPr>
        <w:t>se traduce en</w:t>
      </w:r>
      <w:r w:rsidR="005D3093" w:rsidRPr="00D24D12">
        <w:rPr>
          <w:rFonts w:eastAsia="Calibri"/>
          <w:sz w:val="20"/>
          <w:szCs w:val="20"/>
          <w:lang w:val="es-ES" w:eastAsia="en-US"/>
        </w:rPr>
        <w:t xml:space="preserve"> la obligación de</w:t>
      </w:r>
      <w:r w:rsidR="002570D1" w:rsidRPr="00D24D12">
        <w:rPr>
          <w:rFonts w:eastAsia="Calibri"/>
          <w:sz w:val="20"/>
          <w:szCs w:val="20"/>
          <w:lang w:val="es-ES" w:eastAsia="en-US"/>
        </w:rPr>
        <w:t xml:space="preserve"> </w:t>
      </w:r>
      <w:r w:rsidR="00B17B1F">
        <w:rPr>
          <w:rFonts w:eastAsia="Calibri"/>
          <w:sz w:val="20"/>
          <w:szCs w:val="20"/>
          <w:lang w:val="es-ES" w:eastAsia="en-US"/>
        </w:rPr>
        <w:t xml:space="preserve">brindarles </w:t>
      </w:r>
      <w:r w:rsidR="002570D1" w:rsidRPr="00D24D12">
        <w:rPr>
          <w:rFonts w:eastAsia="Calibri"/>
          <w:sz w:val="20"/>
          <w:szCs w:val="20"/>
          <w:lang w:val="es-ES" w:eastAsia="en-US"/>
        </w:rPr>
        <w:t xml:space="preserve">las prestaciones </w:t>
      </w:r>
      <w:r w:rsidR="006D14B8">
        <w:rPr>
          <w:rFonts w:eastAsia="Calibri"/>
          <w:sz w:val="20"/>
          <w:szCs w:val="20"/>
          <w:lang w:val="es-ES" w:eastAsia="en-US"/>
        </w:rPr>
        <w:t>de salud</w:t>
      </w:r>
      <w:r w:rsidR="00B17B1F">
        <w:rPr>
          <w:rFonts w:eastAsia="Calibri"/>
          <w:sz w:val="20"/>
          <w:szCs w:val="20"/>
          <w:lang w:val="es-ES" w:eastAsia="en-US"/>
        </w:rPr>
        <w:t xml:space="preserve"> que sean</w:t>
      </w:r>
      <w:r w:rsidR="006D14B8">
        <w:rPr>
          <w:rFonts w:eastAsia="Calibri"/>
          <w:sz w:val="20"/>
          <w:szCs w:val="20"/>
          <w:lang w:val="es-ES" w:eastAsia="en-US"/>
        </w:rPr>
        <w:t xml:space="preserve"> </w:t>
      </w:r>
      <w:r w:rsidR="002570D1" w:rsidRPr="00D24D12">
        <w:rPr>
          <w:rFonts w:eastAsia="Calibri"/>
          <w:sz w:val="20"/>
          <w:szCs w:val="20"/>
          <w:lang w:val="es-ES" w:eastAsia="en-US"/>
        </w:rPr>
        <w:t>necesarias de manera eficiente</w:t>
      </w:r>
      <w:r w:rsidR="006D14B8" w:rsidRPr="006D14B8">
        <w:rPr>
          <w:rFonts w:eastAsia="Calibri"/>
          <w:sz w:val="20"/>
          <w:szCs w:val="20"/>
          <w:lang w:val="es-ES" w:eastAsia="en-US"/>
        </w:rPr>
        <w:t xml:space="preserve"> </w:t>
      </w:r>
      <w:r w:rsidR="006D14B8">
        <w:rPr>
          <w:rFonts w:eastAsia="Calibri"/>
          <w:sz w:val="20"/>
          <w:szCs w:val="20"/>
          <w:lang w:val="es-ES" w:eastAsia="en-US"/>
        </w:rPr>
        <w:t xml:space="preserve">y </w:t>
      </w:r>
      <w:proofErr w:type="gramStart"/>
      <w:r w:rsidR="00B17B1F" w:rsidRPr="00D24D12">
        <w:rPr>
          <w:rFonts w:eastAsia="Calibri"/>
          <w:sz w:val="20"/>
          <w:szCs w:val="20"/>
          <w:lang w:val="es-ES" w:eastAsia="en-US"/>
        </w:rPr>
        <w:t>contin</w:t>
      </w:r>
      <w:r w:rsidR="007D493C">
        <w:rPr>
          <w:rFonts w:eastAsia="Calibri"/>
          <w:sz w:val="20"/>
          <w:szCs w:val="20"/>
          <w:lang w:val="es-ES" w:eastAsia="en-US"/>
        </w:rPr>
        <w:t>u</w:t>
      </w:r>
      <w:r w:rsidR="00B17B1F" w:rsidRPr="00D24D12">
        <w:rPr>
          <w:rFonts w:eastAsia="Calibri"/>
          <w:sz w:val="20"/>
          <w:szCs w:val="20"/>
          <w:lang w:val="es-ES" w:eastAsia="en-US"/>
        </w:rPr>
        <w:t>a</w:t>
      </w:r>
      <w:proofErr w:type="gramEnd"/>
      <w:r w:rsidR="002570D1" w:rsidRPr="00D24D12">
        <w:rPr>
          <w:rFonts w:eastAsia="Calibri"/>
          <w:sz w:val="20"/>
          <w:szCs w:val="20"/>
          <w:lang w:val="es-ES" w:eastAsia="en-US"/>
        </w:rPr>
        <w:t xml:space="preserve">. En consecuencia, el incumplimiento de dicha obligación surge cuando se </w:t>
      </w:r>
      <w:r w:rsidR="006D14B8">
        <w:rPr>
          <w:rFonts w:eastAsia="Calibri"/>
          <w:sz w:val="20"/>
          <w:szCs w:val="20"/>
          <w:lang w:val="es-ES" w:eastAsia="en-US"/>
        </w:rPr>
        <w:t xml:space="preserve">les </w:t>
      </w:r>
      <w:r w:rsidR="002570D1" w:rsidRPr="00D24D12">
        <w:rPr>
          <w:rFonts w:eastAsia="Calibri"/>
          <w:sz w:val="20"/>
          <w:szCs w:val="20"/>
          <w:lang w:val="es-ES" w:eastAsia="en-US"/>
        </w:rPr>
        <w:t>niega el acceso a la salud</w:t>
      </w:r>
      <w:r w:rsidR="00B17B1F">
        <w:rPr>
          <w:rFonts w:eastAsia="Calibri"/>
          <w:sz w:val="20"/>
          <w:szCs w:val="20"/>
          <w:lang w:val="es-ES" w:eastAsia="en-US"/>
        </w:rPr>
        <w:t xml:space="preserve"> o no se garantiza </w:t>
      </w:r>
      <w:r w:rsidR="007D493C">
        <w:rPr>
          <w:rFonts w:eastAsia="Calibri"/>
          <w:sz w:val="20"/>
          <w:szCs w:val="20"/>
          <w:lang w:val="es-ES" w:eastAsia="en-US"/>
        </w:rPr>
        <w:t xml:space="preserve">su </w:t>
      </w:r>
      <w:r w:rsidR="00B17B1F">
        <w:rPr>
          <w:rFonts w:eastAsia="Calibri"/>
          <w:sz w:val="20"/>
          <w:szCs w:val="20"/>
          <w:lang w:val="es-ES" w:eastAsia="en-US"/>
        </w:rPr>
        <w:t>protección,</w:t>
      </w:r>
      <w:r w:rsidR="00B17B1F" w:rsidRPr="00B17B1F">
        <w:rPr>
          <w:rFonts w:eastAsia="Calibri"/>
          <w:sz w:val="20"/>
          <w:szCs w:val="20"/>
          <w:lang w:val="es-ES" w:eastAsia="en-US"/>
        </w:rPr>
        <w:t xml:space="preserve"> </w:t>
      </w:r>
      <w:r w:rsidR="00B17B1F">
        <w:rPr>
          <w:rFonts w:eastAsia="Calibri"/>
          <w:sz w:val="20"/>
          <w:szCs w:val="20"/>
          <w:lang w:val="es-ES" w:eastAsia="en-US"/>
        </w:rPr>
        <w:t xml:space="preserve">pudiendo </w:t>
      </w:r>
      <w:r w:rsidR="00AA6BC0">
        <w:rPr>
          <w:rFonts w:eastAsia="Calibri"/>
          <w:sz w:val="20"/>
          <w:szCs w:val="20"/>
          <w:lang w:val="es-ES" w:eastAsia="en-US"/>
        </w:rPr>
        <w:t xml:space="preserve">también </w:t>
      </w:r>
      <w:r w:rsidR="00B17B1F" w:rsidRPr="0059117C">
        <w:rPr>
          <w:rFonts w:eastAsia="Calibri"/>
          <w:sz w:val="20"/>
          <w:szCs w:val="20"/>
          <w:lang w:val="es-ES" w:eastAsia="en-US"/>
        </w:rPr>
        <w:t xml:space="preserve">ocasionar una vulneración de </w:t>
      </w:r>
      <w:r w:rsidR="00B17B1F">
        <w:rPr>
          <w:rFonts w:eastAsia="Calibri"/>
          <w:sz w:val="20"/>
          <w:szCs w:val="20"/>
          <w:lang w:val="es-ES" w:eastAsia="en-US"/>
        </w:rPr>
        <w:t>otros</w:t>
      </w:r>
      <w:r w:rsidR="00B17B1F" w:rsidRPr="0059117C">
        <w:rPr>
          <w:rFonts w:eastAsia="Calibri"/>
          <w:sz w:val="20"/>
          <w:szCs w:val="20"/>
          <w:lang w:val="es-ES" w:eastAsia="en-US"/>
        </w:rPr>
        <w:t xml:space="preserve"> derechos.</w:t>
      </w:r>
    </w:p>
    <w:p w14:paraId="25E069C0" w14:textId="4CE5E5FC" w:rsidR="002570D1" w:rsidRPr="00A34C6F" w:rsidRDefault="00F914DD" w:rsidP="00F914DD">
      <w:pPr>
        <w:pStyle w:val="Heading4"/>
        <w:ind w:left="2124"/>
        <w:rPr>
          <w:rFonts w:eastAsia="Calibri"/>
          <w:b/>
          <w:lang w:val="es-MX" w:eastAsia="en-US"/>
        </w:rPr>
      </w:pPr>
      <w:bookmarkStart w:id="81" w:name="_Toc513644470"/>
      <w:r w:rsidRPr="00A34C6F">
        <w:rPr>
          <w:rFonts w:eastAsia="Calibri"/>
          <w:b/>
          <w:lang w:val="es-MX" w:eastAsia="en-US"/>
        </w:rPr>
        <w:t xml:space="preserve">1.1.3  </w:t>
      </w:r>
      <w:r w:rsidR="001E5513">
        <w:rPr>
          <w:rFonts w:eastAsia="Calibri"/>
          <w:b/>
          <w:lang w:val="es-MX" w:eastAsia="en-US"/>
        </w:rPr>
        <w:t xml:space="preserve">Análisis del </w:t>
      </w:r>
      <w:r w:rsidR="00262E5D" w:rsidRPr="00A34C6F">
        <w:rPr>
          <w:rFonts w:eastAsia="Calibri"/>
          <w:b/>
          <w:lang w:val="es-MX" w:eastAsia="en-US"/>
        </w:rPr>
        <w:t>presente caso</w:t>
      </w:r>
      <w:bookmarkEnd w:id="81"/>
    </w:p>
    <w:p w14:paraId="2D45C172" w14:textId="77777777" w:rsidR="002570D1" w:rsidRPr="002570D1" w:rsidRDefault="002570D1" w:rsidP="002570D1">
      <w:pPr>
        <w:ind w:right="-360"/>
        <w:contextualSpacing/>
        <w:rPr>
          <w:rFonts w:eastAsia="Calibri"/>
          <w:b/>
          <w:sz w:val="20"/>
          <w:szCs w:val="20"/>
          <w:lang w:val="es-MX" w:eastAsia="en-US"/>
        </w:rPr>
      </w:pPr>
    </w:p>
    <w:p w14:paraId="681AEBF5" w14:textId="1AD7CE65" w:rsidR="002570D1" w:rsidRPr="002570D1" w:rsidRDefault="002570D1" w:rsidP="002570D1">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val="es-MX" w:eastAsia="en-US"/>
        </w:rPr>
        <w:t>La Corte recuerda que</w:t>
      </w:r>
      <w:r w:rsidR="00262E5D">
        <w:rPr>
          <w:rFonts w:eastAsia="Calibri"/>
          <w:sz w:val="20"/>
          <w:szCs w:val="20"/>
          <w:lang w:val="es-MX" w:eastAsia="en-US"/>
        </w:rPr>
        <w:t xml:space="preserve"> en el caso concreto se presentaron dos ingresos al Hospital público </w:t>
      </w:r>
      <w:proofErr w:type="spellStart"/>
      <w:r w:rsidR="00262E5D">
        <w:rPr>
          <w:rFonts w:eastAsia="Calibri"/>
          <w:sz w:val="20"/>
          <w:szCs w:val="20"/>
          <w:lang w:val="es-MX" w:eastAsia="en-US"/>
        </w:rPr>
        <w:t>Sótero</w:t>
      </w:r>
      <w:proofErr w:type="spellEnd"/>
      <w:r w:rsidR="00262E5D">
        <w:rPr>
          <w:rFonts w:eastAsia="Calibri"/>
          <w:sz w:val="20"/>
          <w:szCs w:val="20"/>
          <w:lang w:val="es-MX" w:eastAsia="en-US"/>
        </w:rPr>
        <w:t xml:space="preserve"> del Río. Respecto del primero, e</w:t>
      </w:r>
      <w:r w:rsidRPr="002570D1">
        <w:rPr>
          <w:rFonts w:eastAsia="Calibri"/>
          <w:sz w:val="20"/>
          <w:szCs w:val="20"/>
          <w:lang w:val="es-MX" w:eastAsia="en-US"/>
        </w:rPr>
        <w:t xml:space="preserve">l señor </w:t>
      </w:r>
      <w:r w:rsidRPr="00214553">
        <w:rPr>
          <w:rFonts w:eastAsia="Calibri"/>
          <w:sz w:val="20"/>
          <w:szCs w:val="20"/>
          <w:lang w:val="es-MX" w:eastAsia="en-US"/>
        </w:rPr>
        <w:t xml:space="preserve">Poblete Vilches ingresó </w:t>
      </w:r>
      <w:r w:rsidR="00262E5D" w:rsidRPr="00214553">
        <w:rPr>
          <w:rFonts w:eastAsia="Calibri"/>
          <w:sz w:val="20"/>
          <w:szCs w:val="20"/>
          <w:lang w:val="es-MX" w:eastAsia="en-US"/>
        </w:rPr>
        <w:t xml:space="preserve">al hospital </w:t>
      </w:r>
      <w:r w:rsidR="009E38AD" w:rsidRPr="00214553">
        <w:rPr>
          <w:rFonts w:eastAsia="Calibri"/>
          <w:sz w:val="20"/>
          <w:szCs w:val="20"/>
          <w:lang w:val="es-MX" w:eastAsia="en-US"/>
        </w:rPr>
        <w:t>el</w:t>
      </w:r>
      <w:r w:rsidR="00146F77" w:rsidRPr="00214553">
        <w:rPr>
          <w:rFonts w:eastAsia="Calibri"/>
          <w:sz w:val="20"/>
          <w:szCs w:val="20"/>
          <w:lang w:val="es-MX" w:eastAsia="en-US"/>
        </w:rPr>
        <w:t xml:space="preserve"> </w:t>
      </w:r>
      <w:r w:rsidR="009E38AD" w:rsidRPr="00214553">
        <w:rPr>
          <w:rFonts w:eastAsia="Calibri"/>
          <w:sz w:val="20"/>
          <w:szCs w:val="20"/>
          <w:lang w:val="es-MX" w:eastAsia="en-US"/>
        </w:rPr>
        <w:t xml:space="preserve">17 de enero de 2001 </w:t>
      </w:r>
      <w:r w:rsidRPr="00214553">
        <w:rPr>
          <w:rFonts w:eastAsia="Calibri"/>
          <w:sz w:val="20"/>
          <w:szCs w:val="20"/>
          <w:lang w:val="es-MX" w:eastAsia="en-US"/>
        </w:rPr>
        <w:t xml:space="preserve">a causa de una insuficiencia respiratoria grave. Allí estuvo durante </w:t>
      </w:r>
      <w:r w:rsidR="00146F77" w:rsidRPr="00214553">
        <w:rPr>
          <w:rFonts w:eastAsia="Calibri"/>
          <w:sz w:val="20"/>
          <w:szCs w:val="20"/>
          <w:lang w:val="es-MX" w:eastAsia="en-US"/>
        </w:rPr>
        <w:t xml:space="preserve">cuatro </w:t>
      </w:r>
      <w:r w:rsidRPr="00214553">
        <w:rPr>
          <w:rFonts w:eastAsia="Calibri"/>
          <w:sz w:val="20"/>
          <w:szCs w:val="20"/>
          <w:lang w:val="es-MX" w:eastAsia="en-US"/>
        </w:rPr>
        <w:t xml:space="preserve">días </w:t>
      </w:r>
      <w:r w:rsidRPr="00214553">
        <w:rPr>
          <w:rFonts w:eastAsia="Calibri"/>
          <w:sz w:val="20"/>
          <w:szCs w:val="20"/>
          <w:lang w:val="es-MX" w:eastAsia="en-US"/>
        </w:rPr>
        <w:lastRenderedPageBreak/>
        <w:t>hospitalizado en la unidad de cuidados intensivos médica. El 22 de enero</w:t>
      </w:r>
      <w:r w:rsidR="00FB7585" w:rsidRPr="00214553">
        <w:rPr>
          <w:rFonts w:eastAsia="Calibri"/>
          <w:sz w:val="20"/>
          <w:szCs w:val="20"/>
          <w:lang w:val="es-MX" w:eastAsia="en-US"/>
        </w:rPr>
        <w:t xml:space="preserve"> de 2001</w:t>
      </w:r>
      <w:r w:rsidRPr="00214553">
        <w:rPr>
          <w:rFonts w:eastAsia="Calibri"/>
          <w:sz w:val="20"/>
          <w:szCs w:val="20"/>
          <w:lang w:val="es-MX" w:eastAsia="en-US"/>
        </w:rPr>
        <w:t xml:space="preserve"> ingresó a la </w:t>
      </w:r>
      <w:r w:rsidR="00A3172B">
        <w:rPr>
          <w:rFonts w:eastAsia="Calibri"/>
          <w:sz w:val="20"/>
          <w:szCs w:val="20"/>
          <w:lang w:val="es-MX" w:eastAsia="en-US"/>
        </w:rPr>
        <w:t>U</w:t>
      </w:r>
      <w:r w:rsidRPr="00214553">
        <w:rPr>
          <w:rFonts w:eastAsia="Calibri"/>
          <w:sz w:val="20"/>
          <w:szCs w:val="20"/>
          <w:lang w:val="es-MX" w:eastAsia="en-US"/>
        </w:rPr>
        <w:t xml:space="preserve">nidad de </w:t>
      </w:r>
      <w:r w:rsidR="00A3172B">
        <w:rPr>
          <w:rFonts w:eastAsia="Calibri"/>
          <w:sz w:val="20"/>
          <w:szCs w:val="20"/>
          <w:lang w:val="es-MX" w:eastAsia="en-US"/>
        </w:rPr>
        <w:t>C</w:t>
      </w:r>
      <w:r w:rsidRPr="00214553">
        <w:rPr>
          <w:rFonts w:eastAsia="Calibri"/>
          <w:sz w:val="20"/>
          <w:szCs w:val="20"/>
          <w:lang w:val="es-MX" w:eastAsia="en-US"/>
        </w:rPr>
        <w:t xml:space="preserve">uidados </w:t>
      </w:r>
      <w:r w:rsidR="00A3172B">
        <w:rPr>
          <w:rFonts w:eastAsia="Calibri"/>
          <w:sz w:val="20"/>
          <w:szCs w:val="20"/>
          <w:lang w:val="es-MX" w:eastAsia="en-US"/>
        </w:rPr>
        <w:t>I</w:t>
      </w:r>
      <w:r w:rsidRPr="00214553">
        <w:rPr>
          <w:rFonts w:eastAsia="Calibri"/>
          <w:sz w:val="20"/>
          <w:szCs w:val="20"/>
          <w:lang w:val="es-MX" w:eastAsia="en-US"/>
        </w:rPr>
        <w:t xml:space="preserve">ntensivos </w:t>
      </w:r>
      <w:r w:rsidR="00A3172B">
        <w:rPr>
          <w:rFonts w:eastAsia="Calibri"/>
          <w:sz w:val="20"/>
          <w:szCs w:val="20"/>
          <w:lang w:val="es-MX" w:eastAsia="en-US"/>
        </w:rPr>
        <w:t>Q</w:t>
      </w:r>
      <w:r w:rsidRPr="00214553">
        <w:rPr>
          <w:rFonts w:eastAsia="Calibri"/>
          <w:sz w:val="20"/>
          <w:szCs w:val="20"/>
          <w:lang w:val="es-MX" w:eastAsia="en-US"/>
        </w:rPr>
        <w:t>uirúrgica</w:t>
      </w:r>
      <w:r w:rsidR="004F53BF">
        <w:rPr>
          <w:rFonts w:eastAsia="Calibri"/>
          <w:sz w:val="20"/>
          <w:szCs w:val="20"/>
          <w:lang w:val="es-MX" w:eastAsia="en-US"/>
        </w:rPr>
        <w:t xml:space="preserve"> </w:t>
      </w:r>
      <w:r w:rsidR="004F53BF" w:rsidRPr="00BA5762">
        <w:rPr>
          <w:rFonts w:eastAsia="Calibri"/>
          <w:sz w:val="20"/>
          <w:szCs w:val="20"/>
          <w:lang w:val="es-ES_tradnl"/>
        </w:rPr>
        <w:t>(</w:t>
      </w:r>
      <w:r w:rsidR="004F53BF" w:rsidRPr="00BA5762">
        <w:rPr>
          <w:rFonts w:eastAsia="Calibri"/>
          <w:i/>
          <w:sz w:val="20"/>
          <w:szCs w:val="20"/>
          <w:lang w:val="es-ES_tradnl"/>
        </w:rPr>
        <w:t>supra</w:t>
      </w:r>
      <w:r w:rsidR="004F53BF" w:rsidRPr="00BA5762">
        <w:rPr>
          <w:rFonts w:eastAsia="Calibri"/>
          <w:sz w:val="20"/>
          <w:szCs w:val="20"/>
          <w:lang w:val="es-ES_tradnl"/>
        </w:rPr>
        <w:t xml:space="preserve"> párr. </w:t>
      </w:r>
      <w:r w:rsidR="00A3172B">
        <w:rPr>
          <w:rFonts w:eastAsia="Calibri"/>
          <w:sz w:val="20"/>
          <w:szCs w:val="20"/>
          <w:lang w:val="es-ES_tradnl"/>
        </w:rPr>
        <w:t>43</w:t>
      </w:r>
      <w:r w:rsidR="004F53BF" w:rsidRPr="00BA5762">
        <w:rPr>
          <w:rFonts w:eastAsia="Calibri"/>
          <w:sz w:val="20"/>
          <w:szCs w:val="20"/>
          <w:lang w:val="es-ES_tradnl"/>
        </w:rPr>
        <w:t>)</w:t>
      </w:r>
      <w:r w:rsidRPr="00214553">
        <w:rPr>
          <w:rFonts w:eastAsia="Calibri"/>
          <w:sz w:val="20"/>
          <w:szCs w:val="20"/>
          <w:lang w:val="es-MX" w:eastAsia="en-US"/>
        </w:rPr>
        <w:t>. El 2 de febrero de 2001 fue dado de alta</w:t>
      </w:r>
      <w:r w:rsidR="00FB7585" w:rsidRPr="00214553">
        <w:rPr>
          <w:rFonts w:eastAsia="Calibri"/>
          <w:sz w:val="20"/>
          <w:szCs w:val="20"/>
          <w:lang w:val="es-MX" w:eastAsia="en-US"/>
        </w:rPr>
        <w:t xml:space="preserve"> y</w:t>
      </w:r>
      <w:r w:rsidRPr="00214553">
        <w:rPr>
          <w:rFonts w:eastAsia="Calibri"/>
          <w:sz w:val="20"/>
          <w:szCs w:val="20"/>
          <w:lang w:val="es-MX" w:eastAsia="en-US"/>
        </w:rPr>
        <w:t xml:space="preserve"> sus familiares tuvieron que contratar una ambulancia privada para trasladarlo a su d</w:t>
      </w:r>
      <w:r w:rsidR="005A17F7" w:rsidRPr="00214553">
        <w:rPr>
          <w:rFonts w:eastAsia="Calibri"/>
          <w:sz w:val="20"/>
          <w:szCs w:val="20"/>
          <w:lang w:val="es-MX" w:eastAsia="en-US"/>
        </w:rPr>
        <w:t xml:space="preserve">omicilio, ya que el hospital no </w:t>
      </w:r>
      <w:r w:rsidRPr="00214553">
        <w:rPr>
          <w:rFonts w:eastAsia="Calibri"/>
          <w:sz w:val="20"/>
          <w:szCs w:val="20"/>
          <w:lang w:val="es-MX" w:eastAsia="en-US"/>
        </w:rPr>
        <w:t>contaba con ambulancias disponibles</w:t>
      </w:r>
      <w:r w:rsidR="004F53BF">
        <w:rPr>
          <w:rFonts w:eastAsia="Calibri"/>
          <w:sz w:val="20"/>
          <w:szCs w:val="20"/>
          <w:lang w:val="es-MX" w:eastAsia="en-US"/>
        </w:rPr>
        <w:t xml:space="preserve"> </w:t>
      </w:r>
      <w:r w:rsidR="004F53BF" w:rsidRPr="00BA5762">
        <w:rPr>
          <w:rFonts w:eastAsia="Calibri"/>
          <w:sz w:val="20"/>
          <w:szCs w:val="20"/>
          <w:lang w:val="es-ES_tradnl"/>
        </w:rPr>
        <w:t>(</w:t>
      </w:r>
      <w:r w:rsidR="004F53BF" w:rsidRPr="00BA5762">
        <w:rPr>
          <w:rFonts w:eastAsia="Calibri"/>
          <w:i/>
          <w:sz w:val="20"/>
          <w:szCs w:val="20"/>
          <w:lang w:val="es-ES_tradnl"/>
        </w:rPr>
        <w:t>supra</w:t>
      </w:r>
      <w:r w:rsidR="004F53BF" w:rsidRPr="00BA5762">
        <w:rPr>
          <w:rFonts w:eastAsia="Calibri"/>
          <w:sz w:val="20"/>
          <w:szCs w:val="20"/>
          <w:lang w:val="es-ES_tradnl"/>
        </w:rPr>
        <w:t xml:space="preserve"> párr. </w:t>
      </w:r>
      <w:r w:rsidR="00A3172B">
        <w:rPr>
          <w:rFonts w:eastAsia="Calibri"/>
          <w:sz w:val="20"/>
          <w:szCs w:val="20"/>
          <w:lang w:val="es-ES_tradnl"/>
        </w:rPr>
        <w:t>49</w:t>
      </w:r>
      <w:r w:rsidR="004F53BF" w:rsidRPr="00BA5762">
        <w:rPr>
          <w:rFonts w:eastAsia="Calibri"/>
          <w:sz w:val="20"/>
          <w:szCs w:val="20"/>
          <w:lang w:val="es-ES_tradnl"/>
        </w:rPr>
        <w:t>)</w:t>
      </w:r>
      <w:r w:rsidRPr="00214553">
        <w:rPr>
          <w:rFonts w:eastAsia="Calibri"/>
          <w:sz w:val="20"/>
          <w:szCs w:val="20"/>
          <w:lang w:val="es-MX" w:eastAsia="en-US"/>
        </w:rPr>
        <w:t xml:space="preserve">. </w:t>
      </w:r>
      <w:r w:rsidR="00262E5D" w:rsidRPr="00214553">
        <w:rPr>
          <w:rFonts w:eastAsia="Calibri"/>
          <w:sz w:val="20"/>
          <w:szCs w:val="20"/>
          <w:lang w:val="es-MX" w:eastAsia="en-US"/>
        </w:rPr>
        <w:t>Sobre el segundo ingreso, e</w:t>
      </w:r>
      <w:r w:rsidRPr="00214553">
        <w:rPr>
          <w:rFonts w:eastAsia="Calibri"/>
          <w:sz w:val="20"/>
          <w:szCs w:val="20"/>
          <w:lang w:val="es-MX" w:eastAsia="en-US"/>
        </w:rPr>
        <w:t xml:space="preserve">l 5 de febrero fue nuevamente ingresado al hospital </w:t>
      </w:r>
      <w:proofErr w:type="spellStart"/>
      <w:r w:rsidRPr="00214553">
        <w:rPr>
          <w:rFonts w:eastAsia="Calibri"/>
          <w:sz w:val="20"/>
          <w:szCs w:val="20"/>
          <w:lang w:val="es-MX" w:eastAsia="en-US"/>
        </w:rPr>
        <w:t>Sotéro</w:t>
      </w:r>
      <w:proofErr w:type="spellEnd"/>
      <w:r w:rsidRPr="00214553">
        <w:rPr>
          <w:rFonts w:eastAsia="Calibri"/>
          <w:sz w:val="20"/>
          <w:szCs w:val="20"/>
          <w:lang w:val="es-MX" w:eastAsia="en-US"/>
        </w:rPr>
        <w:t xml:space="preserve"> del Río, donde permaneció en unidad </w:t>
      </w:r>
      <w:r w:rsidR="003F0801" w:rsidRPr="0059117C">
        <w:rPr>
          <w:rFonts w:eastAsia="Calibri"/>
          <w:sz w:val="20"/>
          <w:szCs w:val="20"/>
          <w:lang w:val="es-MX" w:eastAsia="en-US"/>
        </w:rPr>
        <w:t>de cuidados intermedia</w:t>
      </w:r>
      <w:r w:rsidR="00B917D4" w:rsidRPr="00214553">
        <w:rPr>
          <w:rFonts w:eastAsia="Calibri"/>
          <w:sz w:val="20"/>
          <w:szCs w:val="20"/>
          <w:lang w:val="es-MX" w:eastAsia="en-US"/>
        </w:rPr>
        <w:t>,</w:t>
      </w:r>
      <w:r w:rsidR="003F0801" w:rsidRPr="0059117C">
        <w:rPr>
          <w:rFonts w:eastAsia="Calibri"/>
          <w:sz w:val="20"/>
          <w:szCs w:val="20"/>
          <w:lang w:val="es-MX" w:eastAsia="en-US"/>
        </w:rPr>
        <w:t xml:space="preserve"> </w:t>
      </w:r>
      <w:r w:rsidR="00B917D4" w:rsidRPr="00214553">
        <w:rPr>
          <w:rFonts w:eastAsia="Calibri"/>
          <w:sz w:val="20"/>
          <w:szCs w:val="20"/>
          <w:lang w:val="es-MX" w:eastAsia="en-US"/>
        </w:rPr>
        <w:t>no obstante la ficha médica disponía su internación en sala de cuidados intensivos</w:t>
      </w:r>
      <w:r w:rsidR="003F0801" w:rsidRPr="0059117C">
        <w:rPr>
          <w:rFonts w:eastAsia="Calibri"/>
          <w:sz w:val="20"/>
          <w:szCs w:val="20"/>
          <w:lang w:val="es-MX" w:eastAsia="en-US"/>
        </w:rPr>
        <w:t xml:space="preserve"> (</w:t>
      </w:r>
      <w:r w:rsidR="00062586" w:rsidRPr="00062586">
        <w:rPr>
          <w:rFonts w:eastAsia="Calibri"/>
          <w:i/>
          <w:sz w:val="20"/>
          <w:szCs w:val="20"/>
          <w:lang w:val="es-MX" w:eastAsia="en-US"/>
        </w:rPr>
        <w:t>supra</w:t>
      </w:r>
      <w:r w:rsidR="003F0801" w:rsidRPr="0059117C">
        <w:rPr>
          <w:rFonts w:eastAsia="Calibri"/>
          <w:sz w:val="20"/>
          <w:szCs w:val="20"/>
          <w:lang w:val="es-MX" w:eastAsia="en-US"/>
        </w:rPr>
        <w:t xml:space="preserve"> párr. </w:t>
      </w:r>
      <w:r w:rsidR="00AA4F53">
        <w:rPr>
          <w:rFonts w:eastAsia="Calibri"/>
          <w:sz w:val="20"/>
          <w:szCs w:val="20"/>
          <w:lang w:val="es-MX" w:eastAsia="en-US"/>
        </w:rPr>
        <w:t>51</w:t>
      </w:r>
      <w:r w:rsidR="003F0801" w:rsidRPr="0059117C">
        <w:rPr>
          <w:rFonts w:eastAsia="Calibri"/>
          <w:sz w:val="20"/>
          <w:szCs w:val="20"/>
          <w:lang w:val="es-MX" w:eastAsia="en-US"/>
        </w:rPr>
        <w:t>)</w:t>
      </w:r>
      <w:r w:rsidRPr="00214553">
        <w:rPr>
          <w:rFonts w:eastAsia="Calibri"/>
          <w:sz w:val="20"/>
          <w:szCs w:val="20"/>
          <w:lang w:val="es-MX" w:eastAsia="en-US"/>
        </w:rPr>
        <w:t>. El señor Poblete Vilches necesitaba de un respirador mecánico, pero ésta asistencia no fue prestada. El señor Poblete Vilches falleció el día 7 de febrero de 2001</w:t>
      </w:r>
      <w:r w:rsidR="004F53BF">
        <w:rPr>
          <w:rFonts w:eastAsia="Calibri"/>
          <w:sz w:val="20"/>
          <w:szCs w:val="20"/>
          <w:lang w:val="es-MX" w:eastAsia="en-US"/>
        </w:rPr>
        <w:t xml:space="preserve"> </w:t>
      </w:r>
      <w:r w:rsidR="004F53BF" w:rsidRPr="00BA5762">
        <w:rPr>
          <w:rFonts w:eastAsia="Calibri"/>
          <w:sz w:val="20"/>
          <w:szCs w:val="20"/>
          <w:lang w:val="es-ES_tradnl"/>
        </w:rPr>
        <w:t>(</w:t>
      </w:r>
      <w:r w:rsidR="004F53BF" w:rsidRPr="00BA5762">
        <w:rPr>
          <w:rFonts w:eastAsia="Calibri"/>
          <w:i/>
          <w:sz w:val="20"/>
          <w:szCs w:val="20"/>
          <w:lang w:val="es-ES_tradnl"/>
        </w:rPr>
        <w:t>supra</w:t>
      </w:r>
      <w:r w:rsidR="004F53BF" w:rsidRPr="00BA5762">
        <w:rPr>
          <w:rFonts w:eastAsia="Calibri"/>
          <w:sz w:val="20"/>
          <w:szCs w:val="20"/>
          <w:lang w:val="es-ES_tradnl"/>
        </w:rPr>
        <w:t xml:space="preserve"> párr. </w:t>
      </w:r>
      <w:r w:rsidR="00AA4F53">
        <w:rPr>
          <w:rFonts w:eastAsia="Calibri"/>
          <w:sz w:val="20"/>
          <w:szCs w:val="20"/>
          <w:lang w:val="es-ES_tradnl"/>
        </w:rPr>
        <w:t>56</w:t>
      </w:r>
      <w:r w:rsidR="004F53BF" w:rsidRPr="00BA5762">
        <w:rPr>
          <w:rFonts w:eastAsia="Calibri"/>
          <w:sz w:val="20"/>
          <w:szCs w:val="20"/>
          <w:lang w:val="es-ES_tradnl"/>
        </w:rPr>
        <w:t>)</w:t>
      </w:r>
      <w:r w:rsidRPr="00214553">
        <w:rPr>
          <w:rFonts w:eastAsia="Calibri"/>
          <w:sz w:val="20"/>
          <w:szCs w:val="20"/>
          <w:lang w:val="es-MX" w:eastAsia="en-US"/>
        </w:rPr>
        <w:t>.</w:t>
      </w:r>
    </w:p>
    <w:p w14:paraId="28C0107E" w14:textId="77777777" w:rsidR="005D383C" w:rsidRPr="00913524" w:rsidRDefault="005D383C" w:rsidP="00AB1E03">
      <w:pPr>
        <w:tabs>
          <w:tab w:val="left" w:pos="567"/>
        </w:tabs>
        <w:rPr>
          <w:rFonts w:eastAsia="Calibri"/>
          <w:b/>
          <w:sz w:val="20"/>
          <w:szCs w:val="20"/>
          <w:u w:val="single"/>
          <w:lang w:val="es-MX"/>
        </w:rPr>
      </w:pPr>
    </w:p>
    <w:p w14:paraId="27A26125" w14:textId="075B6F6C" w:rsidR="00AA65C5" w:rsidRPr="00B1523A" w:rsidRDefault="00204724" w:rsidP="007E5CD5">
      <w:pPr>
        <w:numPr>
          <w:ilvl w:val="0"/>
          <w:numId w:val="2"/>
        </w:numPr>
        <w:tabs>
          <w:tab w:val="left" w:pos="567"/>
          <w:tab w:val="num" w:pos="1569"/>
          <w:tab w:val="num" w:pos="12305"/>
        </w:tabs>
        <w:ind w:left="0" w:firstLine="0"/>
        <w:rPr>
          <w:sz w:val="20"/>
          <w:lang w:val="es-ES"/>
        </w:rPr>
      </w:pPr>
      <w:r w:rsidRPr="00B1523A">
        <w:rPr>
          <w:sz w:val="20"/>
          <w:lang w:val="es-ES"/>
        </w:rPr>
        <w:t>En el presente caso la Corte no encuentra que esté en discusión la faceta progresiva de las obligaciones estatales en materia del derecho a la salud</w:t>
      </w:r>
      <w:r w:rsidR="00D0629F">
        <w:rPr>
          <w:sz w:val="20"/>
          <w:lang w:val="es-ES"/>
        </w:rPr>
        <w:t xml:space="preserve"> (</w:t>
      </w:r>
      <w:r w:rsidR="00D0629F" w:rsidRPr="00B1523A">
        <w:rPr>
          <w:i/>
          <w:sz w:val="20"/>
          <w:lang w:val="es-ES"/>
        </w:rPr>
        <w:t>supra</w:t>
      </w:r>
      <w:r w:rsidR="00D0629F">
        <w:rPr>
          <w:sz w:val="20"/>
          <w:lang w:val="es-ES"/>
        </w:rPr>
        <w:t xml:space="preserve"> párr. 88)</w:t>
      </w:r>
      <w:r w:rsidR="003E2F69" w:rsidRPr="00B1523A">
        <w:rPr>
          <w:sz w:val="20"/>
          <w:lang w:val="es-ES"/>
        </w:rPr>
        <w:t>, lo cual tampoco fue alegado por las representantes</w:t>
      </w:r>
      <w:r w:rsidR="00FB4975" w:rsidRPr="00B1523A">
        <w:rPr>
          <w:sz w:val="20"/>
          <w:lang w:val="es-ES"/>
        </w:rPr>
        <w:t xml:space="preserve"> (</w:t>
      </w:r>
      <w:r w:rsidR="00FB4975" w:rsidRPr="00B1523A">
        <w:rPr>
          <w:i/>
          <w:sz w:val="20"/>
          <w:lang w:val="es-ES"/>
        </w:rPr>
        <w:t>supra</w:t>
      </w:r>
      <w:r w:rsidR="00FB4975" w:rsidRPr="00B1523A">
        <w:rPr>
          <w:sz w:val="20"/>
          <w:lang w:val="es-ES"/>
        </w:rPr>
        <w:t xml:space="preserve"> párr. </w:t>
      </w:r>
      <w:r w:rsidR="00610C08">
        <w:rPr>
          <w:sz w:val="20"/>
          <w:lang w:val="es-ES"/>
        </w:rPr>
        <w:t>87</w:t>
      </w:r>
      <w:r w:rsidR="00610C08" w:rsidRPr="00B1523A">
        <w:rPr>
          <w:sz w:val="20"/>
          <w:lang w:val="es-ES"/>
        </w:rPr>
        <w:t xml:space="preserve">). </w:t>
      </w:r>
      <w:r w:rsidR="003E2F69" w:rsidRPr="00B1523A">
        <w:rPr>
          <w:sz w:val="20"/>
          <w:lang w:val="es-ES"/>
        </w:rPr>
        <w:t xml:space="preserve">Corresponde a la Corte valorar </w:t>
      </w:r>
      <w:r w:rsidR="001A65F9" w:rsidRPr="00B1523A">
        <w:rPr>
          <w:sz w:val="20"/>
          <w:lang w:val="es-ES"/>
        </w:rPr>
        <w:t>las alegadas acciones u</w:t>
      </w:r>
      <w:r w:rsidR="003E2F69" w:rsidRPr="00B1523A">
        <w:rPr>
          <w:sz w:val="20"/>
          <w:lang w:val="es-ES"/>
        </w:rPr>
        <w:t xml:space="preserve"> omisiones del Est</w:t>
      </w:r>
      <w:r w:rsidR="001A65F9" w:rsidRPr="00B1523A">
        <w:rPr>
          <w:sz w:val="20"/>
          <w:lang w:val="es-ES"/>
        </w:rPr>
        <w:t>a</w:t>
      </w:r>
      <w:r w:rsidR="003E2F69" w:rsidRPr="00B1523A">
        <w:rPr>
          <w:sz w:val="20"/>
          <w:lang w:val="es-ES"/>
        </w:rPr>
        <w:t xml:space="preserve">do frente a </w:t>
      </w:r>
      <w:r w:rsidRPr="00B1523A">
        <w:rPr>
          <w:sz w:val="20"/>
          <w:lang w:val="es-ES"/>
        </w:rPr>
        <w:t>la prestación de medidas de carácter básico e inmediato</w:t>
      </w:r>
      <w:r w:rsidR="003E2F69" w:rsidRPr="00B1523A">
        <w:rPr>
          <w:sz w:val="20"/>
          <w:lang w:val="es-ES"/>
        </w:rPr>
        <w:t xml:space="preserve"> (</w:t>
      </w:r>
      <w:r w:rsidR="003E2F69" w:rsidRPr="00B1523A">
        <w:rPr>
          <w:i/>
          <w:sz w:val="20"/>
          <w:lang w:val="es-ES"/>
        </w:rPr>
        <w:t>supra</w:t>
      </w:r>
      <w:r w:rsidR="003E2F69" w:rsidRPr="00B1523A">
        <w:rPr>
          <w:sz w:val="20"/>
          <w:lang w:val="es-ES"/>
        </w:rPr>
        <w:t xml:space="preserve"> párr. 104), </w:t>
      </w:r>
      <w:r w:rsidRPr="00B1523A">
        <w:rPr>
          <w:sz w:val="20"/>
          <w:lang w:val="es-ES"/>
        </w:rPr>
        <w:t>a fin de tutelar la salud del señor Poblete</w:t>
      </w:r>
      <w:r w:rsidR="003E2F69" w:rsidRPr="00B1523A">
        <w:rPr>
          <w:sz w:val="20"/>
          <w:lang w:val="es-ES"/>
        </w:rPr>
        <w:t xml:space="preserve"> Vilches</w:t>
      </w:r>
      <w:r w:rsidR="00FB4975" w:rsidRPr="00B1523A">
        <w:rPr>
          <w:sz w:val="20"/>
          <w:lang w:val="es-ES"/>
        </w:rPr>
        <w:t xml:space="preserve">, por lo que </w:t>
      </w:r>
      <w:r w:rsidR="0001661C" w:rsidRPr="00B1523A">
        <w:rPr>
          <w:sz w:val="20"/>
          <w:lang w:val="es-ES"/>
        </w:rPr>
        <w:t>delimitará</w:t>
      </w:r>
      <w:r w:rsidR="00FB4975" w:rsidRPr="00B1523A">
        <w:rPr>
          <w:sz w:val="20"/>
          <w:lang w:val="es-ES"/>
        </w:rPr>
        <w:t xml:space="preserve"> su análisis </w:t>
      </w:r>
      <w:r w:rsidR="007E5CD5" w:rsidRPr="00B1523A">
        <w:rPr>
          <w:sz w:val="20"/>
          <w:lang w:val="es-ES"/>
        </w:rPr>
        <w:t xml:space="preserve">de fondo </w:t>
      </w:r>
      <w:r w:rsidR="00FB4975" w:rsidRPr="00B1523A">
        <w:rPr>
          <w:sz w:val="20"/>
          <w:lang w:val="es-ES"/>
        </w:rPr>
        <w:t>al alcance de dicha obligación en el caso concreto</w:t>
      </w:r>
      <w:r w:rsidR="001A65F9" w:rsidRPr="00B1523A">
        <w:rPr>
          <w:sz w:val="20"/>
          <w:lang w:val="es-ES"/>
        </w:rPr>
        <w:t>,</w:t>
      </w:r>
      <w:r w:rsidRPr="00B1523A">
        <w:rPr>
          <w:sz w:val="20"/>
          <w:lang w:val="es-ES"/>
        </w:rPr>
        <w:t xml:space="preserve"> </w:t>
      </w:r>
      <w:r w:rsidR="003E2F69" w:rsidRPr="00B1523A">
        <w:rPr>
          <w:sz w:val="20"/>
          <w:lang w:val="es-ES"/>
        </w:rPr>
        <w:t>y a la luz de las obligaciones reconocidas en los artículos 1.1 y 2 de la Convención</w:t>
      </w:r>
      <w:r w:rsidR="00D0629F">
        <w:rPr>
          <w:sz w:val="20"/>
          <w:lang w:val="es-ES"/>
        </w:rPr>
        <w:t>.</w:t>
      </w:r>
    </w:p>
    <w:p w14:paraId="07895061" w14:textId="202E9F84" w:rsidR="005D383C" w:rsidRPr="007E5CD5" w:rsidRDefault="005D383C" w:rsidP="007E5CD5">
      <w:pPr>
        <w:tabs>
          <w:tab w:val="left" w:pos="567"/>
        </w:tabs>
        <w:rPr>
          <w:b/>
          <w:sz w:val="20"/>
          <w:lang w:val="es-ES"/>
        </w:rPr>
      </w:pPr>
    </w:p>
    <w:p w14:paraId="4C0FE208" w14:textId="59CE369C" w:rsidR="00E63E9D" w:rsidRPr="008B0574" w:rsidRDefault="0034078E" w:rsidP="00383565">
      <w:pPr>
        <w:numPr>
          <w:ilvl w:val="0"/>
          <w:numId w:val="2"/>
        </w:numPr>
        <w:tabs>
          <w:tab w:val="left" w:pos="567"/>
          <w:tab w:val="num" w:pos="1569"/>
          <w:tab w:val="num" w:pos="12305"/>
        </w:tabs>
        <w:ind w:left="0" w:firstLine="0"/>
        <w:rPr>
          <w:rFonts w:eastAsia="Calibri"/>
          <w:sz w:val="20"/>
          <w:szCs w:val="20"/>
          <w:lang w:val="es-MX" w:eastAsia="en-US"/>
        </w:rPr>
      </w:pPr>
      <w:r>
        <w:rPr>
          <w:rFonts w:eastAsia="Calibri"/>
          <w:sz w:val="20"/>
          <w:szCs w:val="20"/>
          <w:lang w:val="es-MX" w:eastAsia="en-US"/>
        </w:rPr>
        <w:t>En relación con los estándares en materia de salud, p</w:t>
      </w:r>
      <w:r w:rsidR="00E63E9D" w:rsidRPr="008B0574">
        <w:rPr>
          <w:rFonts w:eastAsia="Calibri"/>
          <w:sz w:val="20"/>
          <w:szCs w:val="20"/>
          <w:lang w:val="es-MX" w:eastAsia="en-US"/>
        </w:rPr>
        <w:t>rimeramente, la Corte observa que en la época de los hechos existía regulación suficiente sobre el derecho a la salud que garantizaba este derecho a toda persona sin distinción (</w:t>
      </w:r>
      <w:r w:rsidR="00062586" w:rsidRPr="00062586">
        <w:rPr>
          <w:rFonts w:eastAsia="Calibri"/>
          <w:i/>
          <w:sz w:val="20"/>
          <w:szCs w:val="20"/>
          <w:lang w:val="es-MX" w:eastAsia="en-US"/>
        </w:rPr>
        <w:t>supra</w:t>
      </w:r>
      <w:r w:rsidR="00E63E9D" w:rsidRPr="008B0574">
        <w:rPr>
          <w:rFonts w:eastAsia="Calibri"/>
          <w:sz w:val="20"/>
          <w:szCs w:val="20"/>
          <w:lang w:val="es-MX" w:eastAsia="en-US"/>
        </w:rPr>
        <w:t xml:space="preserve"> párr. </w:t>
      </w:r>
      <w:r w:rsidR="00EB7DFC">
        <w:rPr>
          <w:rFonts w:eastAsia="Calibri"/>
          <w:sz w:val="20"/>
          <w:szCs w:val="20"/>
          <w:lang w:val="es-MX" w:eastAsia="en-US"/>
        </w:rPr>
        <w:t>112</w:t>
      </w:r>
      <w:r w:rsidR="00E63E9D" w:rsidRPr="008B0574">
        <w:rPr>
          <w:rFonts w:eastAsia="Calibri"/>
          <w:sz w:val="20"/>
          <w:szCs w:val="20"/>
          <w:lang w:val="es-MX" w:eastAsia="en-US"/>
        </w:rPr>
        <w:t>)</w:t>
      </w:r>
      <w:r w:rsidR="00204724">
        <w:rPr>
          <w:rFonts w:eastAsia="Calibri"/>
          <w:sz w:val="20"/>
          <w:szCs w:val="20"/>
          <w:lang w:val="es-MX" w:eastAsia="en-US"/>
        </w:rPr>
        <w:t xml:space="preserve">, </w:t>
      </w:r>
      <w:r w:rsidR="00204724" w:rsidRPr="00B1523A">
        <w:rPr>
          <w:rFonts w:eastAsia="Calibri"/>
          <w:sz w:val="20"/>
          <w:szCs w:val="20"/>
          <w:lang w:val="es-MX" w:eastAsia="en-US"/>
        </w:rPr>
        <w:t>por lo que dicha obligación de regular se encontraba acorde con la Convención</w:t>
      </w:r>
      <w:r w:rsidR="00EB7DFC" w:rsidRPr="00B1523A">
        <w:rPr>
          <w:rFonts w:eastAsia="Calibri"/>
          <w:sz w:val="20"/>
          <w:szCs w:val="20"/>
          <w:lang w:val="es-MX" w:eastAsia="en-US"/>
        </w:rPr>
        <w:t xml:space="preserve"> (</w:t>
      </w:r>
      <w:r w:rsidR="00EB7DFC" w:rsidRPr="00B1523A">
        <w:rPr>
          <w:rFonts w:eastAsia="Calibri"/>
          <w:i/>
          <w:sz w:val="20"/>
          <w:szCs w:val="20"/>
          <w:lang w:val="es-MX" w:eastAsia="en-US"/>
        </w:rPr>
        <w:t>supra</w:t>
      </w:r>
      <w:r w:rsidR="00EB7DFC" w:rsidRPr="00B1523A">
        <w:rPr>
          <w:rFonts w:eastAsia="Calibri"/>
          <w:sz w:val="20"/>
          <w:szCs w:val="20"/>
          <w:lang w:val="es-MX" w:eastAsia="en-US"/>
        </w:rPr>
        <w:t xml:space="preserve"> párr.</w:t>
      </w:r>
      <w:r w:rsidR="00457162">
        <w:rPr>
          <w:rFonts w:eastAsia="Calibri"/>
          <w:sz w:val="20"/>
          <w:szCs w:val="20"/>
          <w:lang w:val="es-MX" w:eastAsia="en-US"/>
        </w:rPr>
        <w:t>119</w:t>
      </w:r>
      <w:r w:rsidR="00EB7DFC" w:rsidRPr="00B1523A">
        <w:rPr>
          <w:rFonts w:eastAsia="Calibri"/>
          <w:sz w:val="20"/>
          <w:szCs w:val="20"/>
          <w:lang w:val="es-MX" w:eastAsia="en-US"/>
        </w:rPr>
        <w:t>).</w:t>
      </w:r>
    </w:p>
    <w:p w14:paraId="185F397B" w14:textId="77777777" w:rsidR="00EF55E3" w:rsidRDefault="00EF55E3" w:rsidP="005430FF">
      <w:pPr>
        <w:tabs>
          <w:tab w:val="left" w:pos="567"/>
        </w:tabs>
        <w:rPr>
          <w:rFonts w:eastAsia="Calibri"/>
          <w:sz w:val="20"/>
          <w:szCs w:val="20"/>
          <w:lang w:val="es-MX" w:eastAsia="en-US"/>
        </w:rPr>
      </w:pPr>
    </w:p>
    <w:p w14:paraId="182CDEBB" w14:textId="598D25E5" w:rsidR="00EF55E3" w:rsidRPr="001E145A" w:rsidRDefault="00EF55E3" w:rsidP="00EF55E3">
      <w:pPr>
        <w:numPr>
          <w:ilvl w:val="0"/>
          <w:numId w:val="2"/>
        </w:numPr>
        <w:tabs>
          <w:tab w:val="left" w:pos="567"/>
          <w:tab w:val="num" w:pos="1569"/>
          <w:tab w:val="num" w:pos="12305"/>
        </w:tabs>
        <w:ind w:left="0" w:firstLine="0"/>
        <w:rPr>
          <w:rFonts w:eastAsia="Calibri"/>
          <w:sz w:val="20"/>
          <w:szCs w:val="20"/>
          <w:lang w:val="es-MX" w:eastAsia="en-US"/>
        </w:rPr>
      </w:pPr>
      <w:r w:rsidRPr="0059117C">
        <w:rPr>
          <w:rFonts w:eastAsia="Calibri"/>
          <w:sz w:val="20"/>
          <w:szCs w:val="20"/>
          <w:lang w:val="es-MX" w:eastAsia="en-US"/>
        </w:rPr>
        <w:t xml:space="preserve">Respecto de las acciones y omisiones acreditadas, del acervo probatorio, se desprende que durante el </w:t>
      </w:r>
      <w:r w:rsidRPr="00B1523A">
        <w:rPr>
          <w:rFonts w:eastAsia="Calibri"/>
          <w:i/>
          <w:sz w:val="20"/>
          <w:szCs w:val="20"/>
          <w:lang w:val="es-MX" w:eastAsia="en-US"/>
        </w:rPr>
        <w:t>primer ingreso</w:t>
      </w:r>
      <w:r w:rsidRPr="0059117C">
        <w:rPr>
          <w:rFonts w:eastAsia="Calibri"/>
          <w:sz w:val="20"/>
          <w:szCs w:val="20"/>
          <w:lang w:val="es-MX" w:eastAsia="en-US"/>
        </w:rPr>
        <w:t xml:space="preserve"> del señor Poblete Vilches al Hospital </w:t>
      </w:r>
      <w:proofErr w:type="spellStart"/>
      <w:r w:rsidRPr="0059117C">
        <w:rPr>
          <w:rFonts w:eastAsia="Calibri"/>
          <w:sz w:val="20"/>
          <w:szCs w:val="20"/>
          <w:lang w:val="es-MX" w:eastAsia="en-US"/>
        </w:rPr>
        <w:t>Sotéro</w:t>
      </w:r>
      <w:proofErr w:type="spellEnd"/>
      <w:r w:rsidRPr="0059117C">
        <w:rPr>
          <w:rFonts w:eastAsia="Calibri"/>
          <w:sz w:val="20"/>
          <w:szCs w:val="20"/>
          <w:lang w:val="es-MX" w:eastAsia="en-US"/>
        </w:rPr>
        <w:t xml:space="preserve"> del Río, existían signos que demostraban que la decisión de dar de alta en forma temprana</w:t>
      </w:r>
      <w:r w:rsidRPr="0059117C">
        <w:rPr>
          <w:rFonts w:eastAsia="Calibri"/>
          <w:sz w:val="20"/>
          <w:szCs w:val="20"/>
          <w:vertAlign w:val="superscript"/>
          <w:lang w:val="es-MX" w:eastAsia="en-US"/>
        </w:rPr>
        <w:footnoteReference w:id="225"/>
      </w:r>
      <w:r w:rsidRPr="0059117C">
        <w:rPr>
          <w:rFonts w:eastAsia="Calibri"/>
          <w:sz w:val="20"/>
          <w:szCs w:val="20"/>
          <w:lang w:val="es-MX" w:eastAsia="en-US"/>
        </w:rPr>
        <w:t>, no era una medida pertinente; hecho por el cual el Estado de Chile, reconoció su responsabilidad internacional (</w:t>
      </w:r>
      <w:r w:rsidR="00062586" w:rsidRPr="00062586">
        <w:rPr>
          <w:rFonts w:eastAsia="Calibri"/>
          <w:i/>
          <w:sz w:val="20"/>
          <w:szCs w:val="20"/>
          <w:lang w:val="es-MX" w:eastAsia="en-US"/>
        </w:rPr>
        <w:t>supra</w:t>
      </w:r>
      <w:r w:rsidR="00062586">
        <w:rPr>
          <w:rFonts w:eastAsia="Calibri"/>
          <w:sz w:val="20"/>
          <w:szCs w:val="20"/>
          <w:lang w:val="es-MX" w:eastAsia="en-US"/>
        </w:rPr>
        <w:t xml:space="preserve"> párr.</w:t>
      </w:r>
      <w:r w:rsidRPr="0059117C">
        <w:rPr>
          <w:rFonts w:eastAsia="Calibri"/>
          <w:sz w:val="20"/>
          <w:szCs w:val="20"/>
          <w:lang w:val="es-MX" w:eastAsia="en-US"/>
        </w:rPr>
        <w:t xml:space="preserve"> </w:t>
      </w:r>
      <w:r w:rsidR="00E60DB4">
        <w:rPr>
          <w:rFonts w:eastAsia="Calibri"/>
          <w:sz w:val="20"/>
          <w:szCs w:val="20"/>
          <w:lang w:val="es-MX" w:eastAsia="en-US"/>
        </w:rPr>
        <w:t>17</w:t>
      </w:r>
      <w:r w:rsidR="00E60DB4" w:rsidRPr="0059117C">
        <w:rPr>
          <w:rFonts w:eastAsia="Calibri"/>
          <w:sz w:val="20"/>
          <w:szCs w:val="20"/>
          <w:lang w:val="es-MX" w:eastAsia="en-US"/>
        </w:rPr>
        <w:t>).</w:t>
      </w:r>
      <w:r w:rsidR="00E60DB4" w:rsidRPr="0059117C">
        <w:rPr>
          <w:rFonts w:eastAsia="Calibri"/>
          <w:sz w:val="20"/>
          <w:szCs w:val="20"/>
          <w:lang w:val="es-ES_tradnl" w:eastAsia="en-US"/>
        </w:rPr>
        <w:t xml:space="preserve"> </w:t>
      </w:r>
      <w:r w:rsidRPr="0059117C">
        <w:rPr>
          <w:rFonts w:eastAsia="Calibri"/>
          <w:sz w:val="20"/>
          <w:szCs w:val="20"/>
          <w:lang w:val="es-ES_tradnl" w:eastAsia="en-US"/>
        </w:rPr>
        <w:t>Lo anterior, resultó en una acción médica, al menos irresponsable, ya que de la prueba se desprende que no existían las condiciones médicas necesarias para declarar el alta temprana,</w:t>
      </w:r>
      <w:r w:rsidRPr="0059117C">
        <w:rPr>
          <w:rFonts w:eastAsia="Calibri"/>
          <w:sz w:val="20"/>
          <w:szCs w:val="20"/>
          <w:lang w:val="es-MX" w:eastAsia="en-US"/>
        </w:rPr>
        <w:t xml:space="preserve"> especialmente frente a la posibilidad de contraer una infección intrahospitalaria</w:t>
      </w:r>
      <w:r w:rsidRPr="0059117C">
        <w:rPr>
          <w:rFonts w:eastAsia="Calibri"/>
          <w:sz w:val="20"/>
          <w:szCs w:val="20"/>
          <w:vertAlign w:val="superscript"/>
          <w:lang w:val="es-MX" w:eastAsia="en-US"/>
        </w:rPr>
        <w:footnoteReference w:id="226"/>
      </w:r>
      <w:r w:rsidRPr="0059117C">
        <w:rPr>
          <w:rFonts w:eastAsia="Calibri"/>
          <w:sz w:val="20"/>
          <w:szCs w:val="20"/>
          <w:lang w:val="es-MX" w:eastAsia="en-US"/>
        </w:rPr>
        <w:t>.</w:t>
      </w:r>
      <w:r w:rsidRPr="0059117C">
        <w:rPr>
          <w:rFonts w:eastAsia="Calibri"/>
          <w:sz w:val="20"/>
          <w:szCs w:val="20"/>
          <w:lang w:val="es-ES_tradnl" w:eastAsia="en-US"/>
        </w:rPr>
        <w:t xml:space="preserve"> Así, el paciente fue externado afiebrado y emanando pus por las heridas. Tampoco se le brindó a los familiares indicación alguna de cómo cuidar al paciente en su domicilio, ni indicarles cuáles podrían ser las señales de alarma. </w:t>
      </w:r>
      <w:r w:rsidRPr="0059117C">
        <w:rPr>
          <w:rFonts w:eastAsia="Calibri"/>
          <w:sz w:val="20"/>
          <w:szCs w:val="20"/>
          <w:lang w:val="es-MX" w:eastAsia="en-US"/>
        </w:rPr>
        <w:t>Por lo cual</w:t>
      </w:r>
      <w:r w:rsidR="00F41C32">
        <w:rPr>
          <w:rFonts w:eastAsia="Calibri"/>
          <w:sz w:val="20"/>
          <w:szCs w:val="20"/>
          <w:lang w:val="es-MX" w:eastAsia="en-US"/>
        </w:rPr>
        <w:t>,</w:t>
      </w:r>
      <w:r w:rsidRPr="0059117C">
        <w:rPr>
          <w:rFonts w:eastAsia="Calibri"/>
          <w:sz w:val="20"/>
          <w:szCs w:val="20"/>
          <w:lang w:val="es-MX" w:eastAsia="en-US"/>
        </w:rPr>
        <w:t xml:space="preserve"> es claro para </w:t>
      </w:r>
      <w:r w:rsidR="007D493C">
        <w:rPr>
          <w:rFonts w:eastAsia="Calibri"/>
          <w:sz w:val="20"/>
          <w:szCs w:val="20"/>
          <w:lang w:val="es-MX" w:eastAsia="en-US"/>
        </w:rPr>
        <w:t>e</w:t>
      </w:r>
      <w:r w:rsidRPr="0059117C">
        <w:rPr>
          <w:rFonts w:eastAsia="Calibri"/>
          <w:sz w:val="20"/>
          <w:szCs w:val="20"/>
          <w:lang w:val="es-MX" w:eastAsia="en-US"/>
        </w:rPr>
        <w:t>sta Corte que las autoridades tenían conciencia de su situación crítica y frente a ello, el alta temprana tuvo una incidencia</w:t>
      </w:r>
      <w:r w:rsidR="00D0629F">
        <w:rPr>
          <w:rFonts w:eastAsia="Calibri"/>
          <w:sz w:val="20"/>
          <w:szCs w:val="20"/>
          <w:lang w:val="es-MX" w:eastAsia="en-US"/>
        </w:rPr>
        <w:t xml:space="preserve"> considerable</w:t>
      </w:r>
      <w:r w:rsidRPr="0059117C">
        <w:rPr>
          <w:rFonts w:eastAsia="Calibri"/>
          <w:sz w:val="20"/>
          <w:szCs w:val="20"/>
          <w:lang w:val="es-MX" w:eastAsia="en-US"/>
        </w:rPr>
        <w:t xml:space="preserve">, al menos, en el rápido deterioro que sufrió inmediatamente luego de su pronta </w:t>
      </w:r>
      <w:r w:rsidR="005B1C54">
        <w:rPr>
          <w:rFonts w:eastAsia="Calibri"/>
          <w:sz w:val="20"/>
          <w:szCs w:val="20"/>
          <w:lang w:val="es-MX" w:eastAsia="en-US"/>
        </w:rPr>
        <w:t>salida del H</w:t>
      </w:r>
      <w:r w:rsidRPr="001E145A">
        <w:rPr>
          <w:rFonts w:eastAsia="Calibri"/>
          <w:sz w:val="20"/>
          <w:szCs w:val="20"/>
          <w:lang w:val="es-MX" w:eastAsia="en-US"/>
        </w:rPr>
        <w:t xml:space="preserve">ospital </w:t>
      </w:r>
      <w:proofErr w:type="spellStart"/>
      <w:r w:rsidRPr="001E145A">
        <w:rPr>
          <w:rFonts w:eastAsia="Calibri"/>
          <w:sz w:val="20"/>
          <w:szCs w:val="20"/>
          <w:lang w:val="es-MX" w:eastAsia="en-US"/>
        </w:rPr>
        <w:t>Sótero</w:t>
      </w:r>
      <w:proofErr w:type="spellEnd"/>
      <w:r w:rsidRPr="001E145A">
        <w:rPr>
          <w:rFonts w:eastAsia="Calibri"/>
          <w:sz w:val="20"/>
          <w:szCs w:val="20"/>
          <w:lang w:val="es-MX" w:eastAsia="en-US"/>
        </w:rPr>
        <w:t xml:space="preserve"> del Río</w:t>
      </w:r>
      <w:r w:rsidR="00031DB1" w:rsidRPr="001E145A">
        <w:rPr>
          <w:rFonts w:eastAsia="Calibri"/>
          <w:sz w:val="20"/>
          <w:szCs w:val="20"/>
          <w:lang w:val="es-MX" w:eastAsia="en-US"/>
        </w:rPr>
        <w:t>, lo cual representó una negligencia médica</w:t>
      </w:r>
      <w:r w:rsidR="00031DB1" w:rsidRPr="001E145A">
        <w:rPr>
          <w:rStyle w:val="FootnoteReference"/>
          <w:rFonts w:eastAsia="Calibri"/>
          <w:sz w:val="20"/>
          <w:szCs w:val="20"/>
          <w:lang w:val="es-MX" w:eastAsia="en-US"/>
        </w:rPr>
        <w:footnoteReference w:id="227"/>
      </w:r>
      <w:r w:rsidR="00031DB1" w:rsidRPr="001E145A">
        <w:rPr>
          <w:rFonts w:eastAsia="Calibri"/>
          <w:sz w:val="20"/>
          <w:szCs w:val="20"/>
          <w:lang w:val="es-MX" w:eastAsia="en-US"/>
        </w:rPr>
        <w:t>.</w:t>
      </w:r>
    </w:p>
    <w:p w14:paraId="0C696482" w14:textId="77777777" w:rsidR="00EF55E3" w:rsidRPr="001E145A" w:rsidRDefault="00EF55E3" w:rsidP="00EF55E3">
      <w:pPr>
        <w:ind w:left="720"/>
        <w:contextualSpacing/>
        <w:rPr>
          <w:rFonts w:eastAsia="Calibri"/>
          <w:sz w:val="20"/>
          <w:szCs w:val="20"/>
          <w:lang w:val="es-MX" w:eastAsia="en-US"/>
        </w:rPr>
      </w:pPr>
    </w:p>
    <w:p w14:paraId="42418806" w14:textId="2BD936FB" w:rsidR="00EF55E3" w:rsidRPr="001E145A" w:rsidRDefault="00EF55E3" w:rsidP="00EF55E3">
      <w:pPr>
        <w:numPr>
          <w:ilvl w:val="0"/>
          <w:numId w:val="2"/>
        </w:numPr>
        <w:tabs>
          <w:tab w:val="left" w:pos="567"/>
          <w:tab w:val="num" w:pos="1569"/>
          <w:tab w:val="num" w:pos="12305"/>
        </w:tabs>
        <w:ind w:left="0" w:firstLine="0"/>
        <w:rPr>
          <w:rFonts w:eastAsia="Calibri"/>
          <w:sz w:val="20"/>
          <w:szCs w:val="20"/>
          <w:lang w:val="es-MX" w:eastAsia="en-US"/>
        </w:rPr>
      </w:pPr>
      <w:r w:rsidRPr="001E145A">
        <w:rPr>
          <w:rFonts w:eastAsia="Calibri"/>
          <w:sz w:val="20"/>
          <w:szCs w:val="20"/>
          <w:lang w:val="es-MX" w:eastAsia="en-US"/>
        </w:rPr>
        <w:t xml:space="preserve">Respecto al </w:t>
      </w:r>
      <w:r w:rsidRPr="00B1523A">
        <w:rPr>
          <w:rFonts w:eastAsia="Calibri"/>
          <w:i/>
          <w:sz w:val="20"/>
          <w:szCs w:val="20"/>
          <w:lang w:val="es-MX" w:eastAsia="en-US"/>
        </w:rPr>
        <w:t>segundo ingreso</w:t>
      </w:r>
      <w:r w:rsidRPr="001E145A">
        <w:rPr>
          <w:rFonts w:eastAsia="Calibri"/>
          <w:sz w:val="20"/>
          <w:szCs w:val="20"/>
          <w:lang w:val="es-MX" w:eastAsia="en-US"/>
        </w:rPr>
        <w:t xml:space="preserve"> del señor Poblete Vilches al </w:t>
      </w:r>
      <w:r w:rsidR="00CA5F6C">
        <w:rPr>
          <w:rFonts w:eastAsia="Calibri"/>
          <w:sz w:val="20"/>
          <w:szCs w:val="20"/>
          <w:lang w:val="es-MX" w:eastAsia="en-US"/>
        </w:rPr>
        <w:t>H</w:t>
      </w:r>
      <w:r w:rsidRPr="001E145A">
        <w:rPr>
          <w:rFonts w:eastAsia="Calibri"/>
          <w:sz w:val="20"/>
          <w:szCs w:val="20"/>
          <w:lang w:val="es-MX" w:eastAsia="en-US"/>
        </w:rPr>
        <w:t xml:space="preserve">ospital </w:t>
      </w:r>
      <w:proofErr w:type="spellStart"/>
      <w:r w:rsidRPr="001E145A">
        <w:rPr>
          <w:rFonts w:eastAsia="Calibri"/>
          <w:sz w:val="20"/>
          <w:szCs w:val="20"/>
          <w:lang w:val="es-MX" w:eastAsia="en-US"/>
        </w:rPr>
        <w:t>Sótero</w:t>
      </w:r>
      <w:proofErr w:type="spellEnd"/>
      <w:r w:rsidRPr="001E145A">
        <w:rPr>
          <w:rFonts w:eastAsia="Calibri"/>
          <w:sz w:val="20"/>
          <w:szCs w:val="20"/>
          <w:lang w:val="es-MX" w:eastAsia="en-US"/>
        </w:rPr>
        <w:t xml:space="preserve"> del Río, el perito Santos expuso en audiencia sobre la situación del paciente, destacando que esta era grave, que habría que haber actuado rápidamente, ya que el adulto mayor es un paciente muy vulnerable. Cabe además destacar que, según sus declaraciones, el perito determinó que el esquema </w:t>
      </w:r>
      <w:r w:rsidRPr="001E145A">
        <w:rPr>
          <w:rFonts w:eastAsia="Calibri"/>
          <w:sz w:val="20"/>
          <w:szCs w:val="20"/>
          <w:lang w:val="es-MX" w:eastAsia="en-US"/>
        </w:rPr>
        <w:lastRenderedPageBreak/>
        <w:t>antibiótico no era el adecuado</w:t>
      </w:r>
      <w:r w:rsidRPr="001E145A">
        <w:rPr>
          <w:rFonts w:eastAsia="Calibri"/>
          <w:sz w:val="20"/>
          <w:szCs w:val="20"/>
          <w:vertAlign w:val="superscript"/>
          <w:lang w:val="es-MX" w:eastAsia="en-US"/>
        </w:rPr>
        <w:footnoteReference w:id="228"/>
      </w:r>
      <w:r w:rsidRPr="001E145A">
        <w:rPr>
          <w:rFonts w:eastAsia="Calibri"/>
          <w:sz w:val="20"/>
          <w:szCs w:val="20"/>
          <w:lang w:val="es-MX" w:eastAsia="en-US"/>
        </w:rPr>
        <w:t xml:space="preserve">. Asimismo, el perito destacó que la unidad de cuidados intensivos </w:t>
      </w:r>
      <w:r w:rsidR="00847C4A">
        <w:rPr>
          <w:rFonts w:eastAsia="Calibri"/>
          <w:sz w:val="20"/>
          <w:szCs w:val="20"/>
          <w:lang w:val="es-MX" w:eastAsia="en-US"/>
        </w:rPr>
        <w:t>resultaba</w:t>
      </w:r>
      <w:r w:rsidRPr="001E145A">
        <w:rPr>
          <w:rFonts w:eastAsia="Calibri"/>
          <w:sz w:val="20"/>
          <w:szCs w:val="20"/>
          <w:lang w:val="es-MX" w:eastAsia="en-US"/>
        </w:rPr>
        <w:t xml:space="preserve"> vital</w:t>
      </w:r>
      <w:r w:rsidR="001E145A" w:rsidRPr="001E145A">
        <w:rPr>
          <w:rStyle w:val="FootnoteReference"/>
          <w:rFonts w:eastAsia="Calibri"/>
          <w:sz w:val="20"/>
          <w:szCs w:val="20"/>
          <w:lang w:val="es-MX" w:eastAsia="en-US"/>
        </w:rPr>
        <w:footnoteReference w:id="229"/>
      </w:r>
      <w:r w:rsidRPr="001E145A">
        <w:rPr>
          <w:rFonts w:eastAsia="Calibri"/>
          <w:sz w:val="20"/>
          <w:szCs w:val="20"/>
          <w:lang w:val="es-MX" w:eastAsia="en-US"/>
        </w:rPr>
        <w:t>, como así también lo era la ayuda mecánica</w:t>
      </w:r>
      <w:r w:rsidRPr="001E145A">
        <w:rPr>
          <w:rFonts w:eastAsia="Calibri"/>
          <w:sz w:val="20"/>
          <w:szCs w:val="20"/>
          <w:vertAlign w:val="superscript"/>
          <w:lang w:val="es-MX" w:eastAsia="en-US"/>
        </w:rPr>
        <w:footnoteReference w:id="230"/>
      </w:r>
      <w:r w:rsidRPr="001E145A">
        <w:rPr>
          <w:rFonts w:eastAsia="Calibri"/>
          <w:sz w:val="20"/>
          <w:szCs w:val="20"/>
          <w:lang w:val="es-MX" w:eastAsia="en-US"/>
        </w:rPr>
        <w:t xml:space="preserve"> para respirar, y que sin su dispensa era imposible que el paciente pudiera sobrevivir, resaltando además que éstas prestaciones eran básicas. El perito destacó que</w:t>
      </w:r>
      <w:r w:rsidR="00D0629F">
        <w:rPr>
          <w:rFonts w:eastAsia="Calibri"/>
          <w:sz w:val="20"/>
          <w:szCs w:val="20"/>
          <w:lang w:val="es-MX" w:eastAsia="en-US"/>
        </w:rPr>
        <w:t>, en criterio,</w:t>
      </w:r>
      <w:r w:rsidRPr="001E145A">
        <w:rPr>
          <w:rFonts w:eastAsia="Calibri"/>
          <w:sz w:val="20"/>
          <w:szCs w:val="20"/>
          <w:lang w:val="es-MX" w:eastAsia="en-US"/>
        </w:rPr>
        <w:t xml:space="preserve"> la falta más grave fue </w:t>
      </w:r>
      <w:r w:rsidRPr="001E145A">
        <w:rPr>
          <w:rFonts w:eastAsia="Calibri"/>
          <w:sz w:val="20"/>
          <w:szCs w:val="20"/>
          <w:lang w:val="es-HN" w:eastAsia="en-US"/>
        </w:rPr>
        <w:t>que no se solicitó su derivación a otro centro con capacidad operativa para brindarle la atención que requería, por lo que dos días después de este reingreso, el señor Poblete Vilches falleció sin que se le hubiera brindado tratamiento a</w:t>
      </w:r>
      <w:r w:rsidR="005D46F8" w:rsidRPr="001E145A">
        <w:rPr>
          <w:rFonts w:eastAsia="Calibri"/>
          <w:sz w:val="20"/>
          <w:szCs w:val="20"/>
          <w:lang w:val="es-HN" w:eastAsia="en-US"/>
        </w:rPr>
        <w:t>decuado para preservar su salud</w:t>
      </w:r>
      <w:r w:rsidRPr="001E145A">
        <w:rPr>
          <w:rStyle w:val="FootnoteReference"/>
          <w:rFonts w:eastAsia="Calibri"/>
          <w:sz w:val="20"/>
          <w:szCs w:val="20"/>
          <w:lang w:val="es-HN" w:eastAsia="en-US"/>
        </w:rPr>
        <w:footnoteReference w:id="231"/>
      </w:r>
      <w:r w:rsidRPr="001E145A">
        <w:rPr>
          <w:rFonts w:eastAsia="Calibri"/>
          <w:sz w:val="20"/>
          <w:szCs w:val="20"/>
          <w:lang w:val="es-HN" w:eastAsia="en-US"/>
        </w:rPr>
        <w:t xml:space="preserve">. </w:t>
      </w:r>
    </w:p>
    <w:p w14:paraId="670C1BE1" w14:textId="77777777" w:rsidR="00EF55E3" w:rsidRPr="001E145A" w:rsidRDefault="00EF55E3" w:rsidP="005430FF">
      <w:pPr>
        <w:tabs>
          <w:tab w:val="left" w:pos="567"/>
        </w:tabs>
        <w:rPr>
          <w:rFonts w:eastAsia="Calibri"/>
          <w:sz w:val="20"/>
          <w:szCs w:val="20"/>
          <w:lang w:val="es-MX" w:eastAsia="en-US"/>
        </w:rPr>
      </w:pPr>
    </w:p>
    <w:p w14:paraId="56966E70" w14:textId="72ABADD5" w:rsidR="006F6F8F" w:rsidRPr="00D0629F" w:rsidRDefault="00EF55E3" w:rsidP="00383565">
      <w:pPr>
        <w:numPr>
          <w:ilvl w:val="0"/>
          <w:numId w:val="2"/>
        </w:numPr>
        <w:tabs>
          <w:tab w:val="left" w:pos="567"/>
          <w:tab w:val="num" w:pos="1569"/>
          <w:tab w:val="num" w:pos="12305"/>
        </w:tabs>
        <w:ind w:left="0" w:firstLine="0"/>
        <w:rPr>
          <w:rFonts w:eastAsia="Calibri"/>
          <w:sz w:val="20"/>
          <w:szCs w:val="20"/>
          <w:lang w:val="es-MX" w:eastAsia="en-US"/>
        </w:rPr>
      </w:pPr>
      <w:r w:rsidRPr="001E145A">
        <w:rPr>
          <w:rFonts w:eastAsia="Calibri"/>
          <w:sz w:val="20"/>
          <w:szCs w:val="20"/>
          <w:lang w:val="es-MX" w:eastAsia="en-US"/>
        </w:rPr>
        <w:t>Al respecto, c</w:t>
      </w:r>
      <w:r w:rsidR="00651FFD" w:rsidRPr="001E145A">
        <w:rPr>
          <w:rFonts w:eastAsia="Calibri"/>
          <w:sz w:val="20"/>
          <w:szCs w:val="20"/>
          <w:lang w:val="es-MX" w:eastAsia="en-US"/>
        </w:rPr>
        <w:t xml:space="preserve">onforme </w:t>
      </w:r>
      <w:r w:rsidR="00404D7D" w:rsidRPr="001E145A">
        <w:rPr>
          <w:rFonts w:eastAsia="Calibri"/>
          <w:sz w:val="20"/>
          <w:szCs w:val="20"/>
          <w:lang w:val="es-MX" w:eastAsia="en-US"/>
        </w:rPr>
        <w:t>a los elementos</w:t>
      </w:r>
      <w:r w:rsidR="00404D7D" w:rsidRPr="0059117C">
        <w:rPr>
          <w:rFonts w:eastAsia="Calibri"/>
          <w:sz w:val="20"/>
          <w:szCs w:val="20"/>
          <w:lang w:val="es-MX" w:eastAsia="en-US"/>
        </w:rPr>
        <w:t xml:space="preserve"> de</w:t>
      </w:r>
      <w:r w:rsidR="00651FFD" w:rsidRPr="00EF55E3">
        <w:rPr>
          <w:rFonts w:eastAsia="Calibri"/>
          <w:sz w:val="20"/>
          <w:szCs w:val="20"/>
          <w:lang w:val="es-MX" w:eastAsia="en-US"/>
        </w:rPr>
        <w:t xml:space="preserve"> </w:t>
      </w:r>
      <w:r w:rsidR="00651FFD" w:rsidRPr="00EF55E3">
        <w:rPr>
          <w:rFonts w:eastAsia="Calibri"/>
          <w:i/>
          <w:sz w:val="20"/>
          <w:szCs w:val="20"/>
          <w:lang w:val="es-MX" w:eastAsia="en-US"/>
        </w:rPr>
        <w:t>calidad</w:t>
      </w:r>
      <w:r w:rsidR="00404D7D" w:rsidRPr="0059117C">
        <w:rPr>
          <w:rFonts w:eastAsia="Calibri"/>
          <w:i/>
          <w:sz w:val="20"/>
          <w:szCs w:val="20"/>
          <w:lang w:val="es-MX" w:eastAsia="en-US"/>
        </w:rPr>
        <w:t xml:space="preserve"> y disponibilidad</w:t>
      </w:r>
      <w:r w:rsidR="00A6246E">
        <w:rPr>
          <w:rFonts w:eastAsia="Calibri"/>
          <w:i/>
          <w:sz w:val="20"/>
          <w:szCs w:val="20"/>
          <w:lang w:val="es-MX" w:eastAsia="en-US"/>
        </w:rPr>
        <w:t xml:space="preserve"> </w:t>
      </w:r>
      <w:r w:rsidR="00A6246E" w:rsidRPr="00EF55E3">
        <w:rPr>
          <w:rFonts w:eastAsia="Calibri"/>
          <w:sz w:val="20"/>
          <w:szCs w:val="20"/>
          <w:lang w:val="es-MX" w:eastAsia="en-US"/>
        </w:rPr>
        <w:t>(</w:t>
      </w:r>
      <w:r w:rsidR="00062586" w:rsidRPr="00062586">
        <w:rPr>
          <w:rFonts w:eastAsia="Calibri"/>
          <w:i/>
          <w:sz w:val="20"/>
          <w:szCs w:val="20"/>
          <w:lang w:val="es-MX" w:eastAsia="en-US"/>
        </w:rPr>
        <w:t>supra</w:t>
      </w:r>
      <w:r w:rsidR="00A6246E" w:rsidRPr="00EF55E3">
        <w:rPr>
          <w:rFonts w:eastAsia="Calibri"/>
          <w:sz w:val="20"/>
          <w:szCs w:val="20"/>
          <w:lang w:val="es-MX" w:eastAsia="en-US"/>
        </w:rPr>
        <w:t xml:space="preserve"> </w:t>
      </w:r>
      <w:r w:rsidR="00E60DB4">
        <w:rPr>
          <w:rFonts w:eastAsia="Calibri"/>
          <w:sz w:val="20"/>
          <w:szCs w:val="20"/>
          <w:lang w:val="es-MX" w:eastAsia="en-US"/>
        </w:rPr>
        <w:t>párr. 121</w:t>
      </w:r>
      <w:r w:rsidR="00A6246E" w:rsidRPr="00EF55E3">
        <w:rPr>
          <w:rFonts w:eastAsia="Calibri"/>
          <w:sz w:val="20"/>
          <w:szCs w:val="20"/>
          <w:lang w:val="es-MX" w:eastAsia="en-US"/>
        </w:rPr>
        <w:t>)</w:t>
      </w:r>
      <w:r w:rsidR="00651FFD" w:rsidRPr="00EF55E3">
        <w:rPr>
          <w:rFonts w:eastAsia="Calibri"/>
          <w:sz w:val="20"/>
          <w:szCs w:val="20"/>
          <w:lang w:val="es-MX" w:eastAsia="en-US"/>
        </w:rPr>
        <w:t>,</w:t>
      </w:r>
      <w:r w:rsidR="002570D1" w:rsidRPr="00EF55E3">
        <w:rPr>
          <w:rFonts w:eastAsia="Calibri"/>
          <w:sz w:val="20"/>
          <w:szCs w:val="20"/>
          <w:lang w:val="es-MX" w:eastAsia="en-US"/>
        </w:rPr>
        <w:t xml:space="preserve"> </w:t>
      </w:r>
      <w:r w:rsidR="00A81049" w:rsidRPr="00EF55E3">
        <w:rPr>
          <w:rFonts w:eastAsia="Calibri"/>
          <w:sz w:val="20"/>
          <w:szCs w:val="20"/>
          <w:lang w:val="es-MX" w:eastAsia="en-US"/>
        </w:rPr>
        <w:t>durante</w:t>
      </w:r>
      <w:r w:rsidR="002570D1" w:rsidRPr="00EF55E3">
        <w:rPr>
          <w:rFonts w:eastAsia="Calibri"/>
          <w:sz w:val="20"/>
          <w:szCs w:val="20"/>
          <w:lang w:val="es-MX" w:eastAsia="en-US"/>
        </w:rPr>
        <w:t xml:space="preserve"> el segundo ingreso, se </w:t>
      </w:r>
      <w:r w:rsidR="00651FFD" w:rsidRPr="00EF55E3">
        <w:rPr>
          <w:rFonts w:eastAsia="Calibri"/>
          <w:sz w:val="20"/>
          <w:szCs w:val="20"/>
          <w:lang w:val="es-MX" w:eastAsia="en-US"/>
        </w:rPr>
        <w:t>compr</w:t>
      </w:r>
      <w:r w:rsidR="00E63E9D" w:rsidRPr="00EF55E3">
        <w:rPr>
          <w:rFonts w:eastAsia="Calibri"/>
          <w:sz w:val="20"/>
          <w:szCs w:val="20"/>
          <w:lang w:val="es-MX" w:eastAsia="en-US"/>
        </w:rPr>
        <w:t>obó</w:t>
      </w:r>
      <w:r w:rsidR="002570D1" w:rsidRPr="00EF55E3">
        <w:rPr>
          <w:rFonts w:eastAsia="Calibri"/>
          <w:sz w:val="20"/>
          <w:szCs w:val="20"/>
          <w:lang w:val="es-MX" w:eastAsia="en-US"/>
        </w:rPr>
        <w:t xml:space="preserve"> </w:t>
      </w:r>
      <w:r w:rsidR="00B138CE" w:rsidRPr="00EF55E3">
        <w:rPr>
          <w:rFonts w:eastAsia="Calibri"/>
          <w:sz w:val="20"/>
          <w:szCs w:val="20"/>
          <w:lang w:val="es-MX" w:eastAsia="en-US"/>
        </w:rPr>
        <w:t>la falta de provisión del tratamiento intensivo que requería</w:t>
      </w:r>
      <w:r w:rsidR="007D6301" w:rsidRPr="0059117C">
        <w:rPr>
          <w:rFonts w:eastAsia="Calibri"/>
          <w:sz w:val="20"/>
          <w:szCs w:val="20"/>
          <w:lang w:val="es-MX" w:eastAsia="en-US"/>
        </w:rPr>
        <w:t xml:space="preserve"> en la UCI Médica</w:t>
      </w:r>
      <w:r w:rsidR="00B138CE" w:rsidRPr="00EF55E3">
        <w:rPr>
          <w:rFonts w:eastAsia="Calibri"/>
          <w:sz w:val="20"/>
          <w:szCs w:val="20"/>
          <w:lang w:val="es-MX" w:eastAsia="en-US"/>
        </w:rPr>
        <w:t>, co</w:t>
      </w:r>
      <w:r w:rsidR="001925E9" w:rsidRPr="00EF55E3">
        <w:rPr>
          <w:rFonts w:eastAsia="Calibri"/>
          <w:sz w:val="20"/>
          <w:szCs w:val="20"/>
          <w:lang w:val="es-MX" w:eastAsia="en-US"/>
        </w:rPr>
        <w:t xml:space="preserve">n motivo de la falta de </w:t>
      </w:r>
      <w:r w:rsidR="004F53BF" w:rsidRPr="00B1523A">
        <w:rPr>
          <w:rFonts w:eastAsia="Calibri"/>
          <w:sz w:val="20"/>
          <w:szCs w:val="20"/>
          <w:lang w:val="es-MX" w:eastAsia="en-US"/>
        </w:rPr>
        <w:t xml:space="preserve">disponibilidad de </w:t>
      </w:r>
      <w:r w:rsidR="001925E9" w:rsidRPr="00EF55E3">
        <w:rPr>
          <w:rFonts w:eastAsia="Calibri"/>
          <w:sz w:val="20"/>
          <w:szCs w:val="20"/>
          <w:lang w:val="es-MX" w:eastAsia="en-US"/>
        </w:rPr>
        <w:t>camas</w:t>
      </w:r>
      <w:r w:rsidR="00651FFD" w:rsidRPr="00EF55E3">
        <w:rPr>
          <w:rFonts w:eastAsia="Calibri"/>
          <w:sz w:val="20"/>
          <w:szCs w:val="20"/>
          <w:lang w:val="es-MX" w:eastAsia="en-US"/>
        </w:rPr>
        <w:t xml:space="preserve"> </w:t>
      </w:r>
      <w:r w:rsidR="00E63E9D" w:rsidRPr="00EF55E3">
        <w:rPr>
          <w:rFonts w:eastAsia="Calibri"/>
          <w:sz w:val="20"/>
          <w:szCs w:val="20"/>
          <w:lang w:val="es-MX" w:eastAsia="en-US"/>
        </w:rPr>
        <w:t xml:space="preserve">en esa unidad, </w:t>
      </w:r>
      <w:r w:rsidR="002570D1" w:rsidRPr="00EF55E3">
        <w:rPr>
          <w:rFonts w:eastAsia="Calibri"/>
          <w:sz w:val="20"/>
          <w:szCs w:val="20"/>
          <w:lang w:val="es-MX" w:eastAsia="en-US"/>
        </w:rPr>
        <w:t>la falta de asistencia, a través de un respirador mecánico</w:t>
      </w:r>
      <w:r w:rsidRPr="0059117C">
        <w:rPr>
          <w:rFonts w:eastAsia="Calibri"/>
          <w:sz w:val="20"/>
          <w:szCs w:val="20"/>
          <w:lang w:val="es-MX" w:eastAsia="en-US"/>
        </w:rPr>
        <w:t>, así como la omisión de</w:t>
      </w:r>
      <w:r w:rsidR="00E63E9D" w:rsidRPr="00EF55E3">
        <w:rPr>
          <w:rFonts w:eastAsia="Calibri"/>
          <w:sz w:val="20"/>
          <w:szCs w:val="20"/>
          <w:lang w:val="es-MX" w:eastAsia="en-US"/>
        </w:rPr>
        <w:t xml:space="preserve"> </w:t>
      </w:r>
      <w:r w:rsidRPr="0059117C">
        <w:rPr>
          <w:rFonts w:eastAsia="Calibri"/>
          <w:sz w:val="20"/>
          <w:szCs w:val="20"/>
          <w:lang w:val="es-MX" w:eastAsia="en-US"/>
        </w:rPr>
        <w:t>dispensar al paciente el traslado a otro centro médico que contara con las instalaciones necesarias</w:t>
      </w:r>
      <w:r w:rsidRPr="0059117C">
        <w:rPr>
          <w:rFonts w:eastAsia="Calibri"/>
          <w:sz w:val="20"/>
          <w:szCs w:val="20"/>
          <w:vertAlign w:val="superscript"/>
          <w:lang w:val="es-MX" w:eastAsia="en-US"/>
        </w:rPr>
        <w:footnoteReference w:id="232"/>
      </w:r>
      <w:r w:rsidR="00E60DB4" w:rsidRPr="00EF55E3">
        <w:rPr>
          <w:rFonts w:eastAsia="Calibri"/>
          <w:sz w:val="20"/>
          <w:szCs w:val="20"/>
          <w:lang w:val="es-MX" w:eastAsia="en-US"/>
        </w:rPr>
        <w:t xml:space="preserve">. </w:t>
      </w:r>
      <w:r w:rsidR="007D6301" w:rsidRPr="0059117C">
        <w:rPr>
          <w:rFonts w:eastAsia="Calibri"/>
          <w:sz w:val="20"/>
          <w:szCs w:val="20"/>
          <w:lang w:val="es-MX" w:eastAsia="en-US"/>
        </w:rPr>
        <w:t xml:space="preserve">Dichas prestaciones resultaban básicas para el tratamiento de </w:t>
      </w:r>
      <w:r w:rsidR="002A64C9">
        <w:rPr>
          <w:rFonts w:eastAsia="Calibri"/>
          <w:sz w:val="20"/>
          <w:szCs w:val="20"/>
          <w:lang w:val="es-MX" w:eastAsia="en-US"/>
        </w:rPr>
        <w:t>urgencias</w:t>
      </w:r>
      <w:r w:rsidR="004F53BF">
        <w:rPr>
          <w:rFonts w:eastAsia="Calibri"/>
          <w:sz w:val="20"/>
          <w:szCs w:val="20"/>
          <w:lang w:val="es-MX" w:eastAsia="en-US"/>
        </w:rPr>
        <w:t xml:space="preserve"> </w:t>
      </w:r>
      <w:r w:rsidR="004F53BF" w:rsidRPr="00BA5762">
        <w:rPr>
          <w:rFonts w:eastAsia="Calibri"/>
          <w:sz w:val="20"/>
          <w:szCs w:val="20"/>
          <w:lang w:val="es-ES_tradnl"/>
        </w:rPr>
        <w:t>(</w:t>
      </w:r>
      <w:r w:rsidR="004F53BF" w:rsidRPr="00BA5762">
        <w:rPr>
          <w:rFonts w:eastAsia="Calibri"/>
          <w:i/>
          <w:sz w:val="20"/>
          <w:szCs w:val="20"/>
          <w:lang w:val="es-ES_tradnl"/>
        </w:rPr>
        <w:t>supra</w:t>
      </w:r>
      <w:r w:rsidR="004F53BF" w:rsidRPr="00BA5762">
        <w:rPr>
          <w:rFonts w:eastAsia="Calibri"/>
          <w:sz w:val="20"/>
          <w:szCs w:val="20"/>
          <w:lang w:val="es-ES_tradnl"/>
        </w:rPr>
        <w:t xml:space="preserve"> </w:t>
      </w:r>
      <w:proofErr w:type="spellStart"/>
      <w:r w:rsidR="004F53BF" w:rsidRPr="00BA5762">
        <w:rPr>
          <w:rFonts w:eastAsia="Calibri"/>
          <w:sz w:val="20"/>
          <w:szCs w:val="20"/>
          <w:lang w:val="es-ES_tradnl"/>
        </w:rPr>
        <w:t>párr</w:t>
      </w:r>
      <w:r w:rsidR="00847C4A">
        <w:rPr>
          <w:rFonts w:eastAsia="Calibri"/>
          <w:sz w:val="20"/>
          <w:szCs w:val="20"/>
          <w:lang w:val="es-ES_tradnl"/>
        </w:rPr>
        <w:t>s</w:t>
      </w:r>
      <w:proofErr w:type="spellEnd"/>
      <w:r w:rsidR="004F53BF" w:rsidRPr="00BA5762">
        <w:rPr>
          <w:rFonts w:eastAsia="Calibri"/>
          <w:sz w:val="20"/>
          <w:szCs w:val="20"/>
          <w:lang w:val="es-ES_tradnl"/>
        </w:rPr>
        <w:t xml:space="preserve">. </w:t>
      </w:r>
      <w:r w:rsidR="002A78EE">
        <w:rPr>
          <w:rFonts w:eastAsia="Calibri"/>
          <w:sz w:val="20"/>
          <w:szCs w:val="20"/>
          <w:lang w:val="es-ES_tradnl"/>
        </w:rPr>
        <w:t>121</w:t>
      </w:r>
      <w:r w:rsidR="00847C4A">
        <w:rPr>
          <w:rFonts w:eastAsia="Calibri"/>
          <w:sz w:val="20"/>
          <w:szCs w:val="20"/>
          <w:lang w:val="es-ES_tradnl"/>
        </w:rPr>
        <w:t xml:space="preserve"> y 137</w:t>
      </w:r>
      <w:r w:rsidR="004F53BF" w:rsidRPr="00BA5762">
        <w:rPr>
          <w:rFonts w:eastAsia="Calibri"/>
          <w:sz w:val="20"/>
          <w:szCs w:val="20"/>
          <w:lang w:val="es-ES_tradnl"/>
        </w:rPr>
        <w:t>)</w:t>
      </w:r>
      <w:r w:rsidR="007D6301" w:rsidRPr="0059117C">
        <w:rPr>
          <w:rFonts w:eastAsia="Calibri"/>
          <w:sz w:val="20"/>
          <w:szCs w:val="20"/>
          <w:lang w:val="es-MX" w:eastAsia="en-US"/>
        </w:rPr>
        <w:t xml:space="preserve">. </w:t>
      </w:r>
      <w:r w:rsidR="001925E9" w:rsidRPr="00EF55E3">
        <w:rPr>
          <w:rFonts w:eastAsia="Calibri"/>
          <w:sz w:val="20"/>
          <w:szCs w:val="20"/>
          <w:lang w:val="es-MX" w:eastAsia="en-US"/>
        </w:rPr>
        <w:t xml:space="preserve">También se destaca la decisión durante su primer ingreso, de </w:t>
      </w:r>
      <w:r w:rsidR="00E63E9D" w:rsidRPr="00EF55E3">
        <w:rPr>
          <w:rFonts w:eastAsia="Calibri"/>
          <w:sz w:val="20"/>
          <w:szCs w:val="20"/>
          <w:lang w:val="es-MX" w:eastAsia="en-US"/>
        </w:rPr>
        <w:t xml:space="preserve">darlo </w:t>
      </w:r>
      <w:r w:rsidR="001925E9" w:rsidRPr="00EF55E3">
        <w:rPr>
          <w:rFonts w:eastAsia="Calibri"/>
          <w:sz w:val="20"/>
          <w:szCs w:val="20"/>
          <w:lang w:val="es-MX" w:eastAsia="en-US"/>
        </w:rPr>
        <w:t>de alta de forma precipitada</w:t>
      </w:r>
      <w:r w:rsidR="00E63E9D" w:rsidRPr="00EF55E3">
        <w:rPr>
          <w:rFonts w:eastAsia="Calibri"/>
          <w:sz w:val="20"/>
          <w:szCs w:val="20"/>
          <w:lang w:val="es-MX" w:eastAsia="en-US"/>
        </w:rPr>
        <w:t>.</w:t>
      </w:r>
      <w:r w:rsidR="001925E9" w:rsidRPr="00EF55E3">
        <w:rPr>
          <w:rFonts w:eastAsia="Calibri"/>
          <w:sz w:val="20"/>
          <w:szCs w:val="20"/>
          <w:lang w:val="es-MX" w:eastAsia="en-US"/>
        </w:rPr>
        <w:t xml:space="preserve"> </w:t>
      </w:r>
      <w:r w:rsidR="001925E9" w:rsidRPr="00B1523A">
        <w:rPr>
          <w:rFonts w:eastAsia="Calibri"/>
          <w:sz w:val="20"/>
          <w:szCs w:val="20"/>
          <w:lang w:val="es-MX" w:eastAsia="en-US"/>
        </w:rPr>
        <w:t xml:space="preserve">En vista de lo anterior, </w:t>
      </w:r>
      <w:r w:rsidRPr="00B1523A">
        <w:rPr>
          <w:rFonts w:eastAsia="Calibri"/>
          <w:sz w:val="20"/>
          <w:szCs w:val="20"/>
          <w:lang w:val="es-MX" w:eastAsia="en-US"/>
        </w:rPr>
        <w:t xml:space="preserve">ante la falta de disponibilidad de </w:t>
      </w:r>
      <w:r w:rsidR="004F53BF" w:rsidRPr="00B1523A">
        <w:rPr>
          <w:rFonts w:eastAsia="Calibri"/>
          <w:sz w:val="20"/>
          <w:szCs w:val="20"/>
          <w:lang w:val="es-MX" w:eastAsia="en-US"/>
        </w:rPr>
        <w:t xml:space="preserve">ciertas </w:t>
      </w:r>
      <w:r w:rsidR="00847C4A">
        <w:rPr>
          <w:rFonts w:eastAsia="Calibri"/>
          <w:sz w:val="20"/>
          <w:szCs w:val="20"/>
          <w:lang w:val="es-MX" w:eastAsia="en-US"/>
        </w:rPr>
        <w:t xml:space="preserve">medidas </w:t>
      </w:r>
      <w:r w:rsidRPr="00B1523A">
        <w:rPr>
          <w:rFonts w:eastAsia="Calibri"/>
          <w:sz w:val="20"/>
          <w:szCs w:val="20"/>
          <w:lang w:val="es-MX" w:eastAsia="en-US"/>
        </w:rPr>
        <w:t>básica</w:t>
      </w:r>
      <w:r w:rsidR="000E14C2" w:rsidRPr="00B1523A">
        <w:rPr>
          <w:rFonts w:eastAsia="Calibri"/>
          <w:sz w:val="20"/>
          <w:szCs w:val="20"/>
          <w:lang w:val="es-MX" w:eastAsia="en-US"/>
        </w:rPr>
        <w:t>s</w:t>
      </w:r>
      <w:r w:rsidRPr="00B1523A">
        <w:rPr>
          <w:rFonts w:eastAsia="Calibri"/>
          <w:sz w:val="20"/>
          <w:szCs w:val="20"/>
          <w:lang w:val="es-MX" w:eastAsia="en-US"/>
        </w:rPr>
        <w:t xml:space="preserve">, </w:t>
      </w:r>
      <w:r w:rsidR="001925E9" w:rsidRPr="00B1523A">
        <w:rPr>
          <w:rFonts w:eastAsia="Calibri"/>
          <w:sz w:val="20"/>
          <w:szCs w:val="20"/>
          <w:lang w:val="es-MX" w:eastAsia="en-US"/>
        </w:rPr>
        <w:t>el servicio de salud que recibió el paciente careció de la calidad mínima</w:t>
      </w:r>
      <w:r w:rsidR="00D0629F" w:rsidRPr="00B1523A">
        <w:rPr>
          <w:rFonts w:eastAsia="Calibri"/>
          <w:sz w:val="20"/>
          <w:szCs w:val="20"/>
          <w:lang w:val="es-MX" w:eastAsia="en-US"/>
        </w:rPr>
        <w:t>.</w:t>
      </w:r>
      <w:r w:rsidR="001925E9" w:rsidRPr="00B1523A">
        <w:rPr>
          <w:rFonts w:eastAsia="Calibri"/>
          <w:sz w:val="20"/>
          <w:szCs w:val="20"/>
          <w:lang w:val="es-MX" w:eastAsia="en-US"/>
        </w:rPr>
        <w:t xml:space="preserve"> </w:t>
      </w:r>
    </w:p>
    <w:p w14:paraId="6417A783" w14:textId="77777777" w:rsidR="00B138CE" w:rsidRPr="00641553" w:rsidRDefault="00B138CE" w:rsidP="00383565">
      <w:pPr>
        <w:tabs>
          <w:tab w:val="left" w:pos="567"/>
        </w:tabs>
        <w:rPr>
          <w:rFonts w:eastAsia="Calibri"/>
          <w:sz w:val="20"/>
          <w:szCs w:val="20"/>
          <w:lang w:val="es-MX" w:eastAsia="en-US"/>
        </w:rPr>
      </w:pPr>
    </w:p>
    <w:p w14:paraId="7A822AD9" w14:textId="29C854FB" w:rsidR="00E23408" w:rsidRPr="00641553" w:rsidRDefault="00E63E9D" w:rsidP="00383565">
      <w:pPr>
        <w:numPr>
          <w:ilvl w:val="0"/>
          <w:numId w:val="2"/>
        </w:numPr>
        <w:tabs>
          <w:tab w:val="left" w:pos="567"/>
          <w:tab w:val="num" w:pos="1569"/>
          <w:tab w:val="num" w:pos="12305"/>
        </w:tabs>
        <w:ind w:left="0" w:firstLine="0"/>
        <w:rPr>
          <w:rFonts w:eastAsia="Calibri"/>
          <w:sz w:val="20"/>
          <w:szCs w:val="20"/>
          <w:lang w:val="es-MX" w:eastAsia="en-US"/>
        </w:rPr>
      </w:pPr>
      <w:r w:rsidRPr="00641553">
        <w:rPr>
          <w:rFonts w:eastAsia="Calibri"/>
          <w:sz w:val="20"/>
          <w:szCs w:val="20"/>
          <w:lang w:val="es-MX" w:eastAsia="en-US"/>
        </w:rPr>
        <w:t>R</w:t>
      </w:r>
      <w:r w:rsidR="002570D1" w:rsidRPr="00641553">
        <w:rPr>
          <w:rFonts w:eastAsia="Calibri"/>
          <w:sz w:val="20"/>
          <w:szCs w:val="20"/>
          <w:lang w:val="es-MX" w:eastAsia="en-US"/>
        </w:rPr>
        <w:t>especto de</w:t>
      </w:r>
      <w:r w:rsidR="00641553" w:rsidRPr="0059117C">
        <w:rPr>
          <w:rFonts w:eastAsia="Calibri"/>
          <w:sz w:val="20"/>
          <w:szCs w:val="20"/>
          <w:lang w:val="es-MX" w:eastAsia="en-US"/>
        </w:rPr>
        <w:t xml:space="preserve"> los elementos de</w:t>
      </w:r>
      <w:r w:rsidR="002570D1" w:rsidRPr="00641553">
        <w:rPr>
          <w:rFonts w:eastAsia="Calibri"/>
          <w:sz w:val="20"/>
          <w:szCs w:val="20"/>
          <w:lang w:val="es-MX" w:eastAsia="en-US"/>
        </w:rPr>
        <w:t xml:space="preserve"> </w:t>
      </w:r>
      <w:r w:rsidR="002570D1" w:rsidRPr="00641553">
        <w:rPr>
          <w:rFonts w:eastAsia="Calibri"/>
          <w:i/>
          <w:sz w:val="20"/>
          <w:szCs w:val="20"/>
          <w:lang w:val="es-MX" w:eastAsia="en-US"/>
        </w:rPr>
        <w:t>accesibilidad</w:t>
      </w:r>
      <w:r w:rsidR="00EF55E3" w:rsidRPr="0059117C">
        <w:rPr>
          <w:rFonts w:eastAsia="Calibri"/>
          <w:i/>
          <w:sz w:val="20"/>
          <w:szCs w:val="20"/>
          <w:lang w:val="es-MX" w:eastAsia="en-US"/>
        </w:rPr>
        <w:t xml:space="preserve"> y aceptabilidad</w:t>
      </w:r>
      <w:r w:rsidR="00A6246E">
        <w:rPr>
          <w:rFonts w:eastAsia="Calibri"/>
          <w:i/>
          <w:sz w:val="20"/>
          <w:szCs w:val="20"/>
          <w:lang w:val="es-MX" w:eastAsia="en-US"/>
        </w:rPr>
        <w:t xml:space="preserve"> </w:t>
      </w:r>
      <w:r w:rsidR="00A6246E" w:rsidRPr="00EF55E3">
        <w:rPr>
          <w:rFonts w:eastAsia="Calibri"/>
          <w:sz w:val="20"/>
          <w:szCs w:val="20"/>
          <w:lang w:val="es-MX" w:eastAsia="en-US"/>
        </w:rPr>
        <w:t>(</w:t>
      </w:r>
      <w:r w:rsidR="00062586" w:rsidRPr="00062586">
        <w:rPr>
          <w:rFonts w:eastAsia="Calibri"/>
          <w:i/>
          <w:sz w:val="20"/>
          <w:szCs w:val="20"/>
          <w:lang w:val="es-MX" w:eastAsia="en-US"/>
        </w:rPr>
        <w:t>supra</w:t>
      </w:r>
      <w:r w:rsidR="00A6246E" w:rsidRPr="00EF55E3">
        <w:rPr>
          <w:rFonts w:eastAsia="Calibri"/>
          <w:sz w:val="20"/>
          <w:szCs w:val="20"/>
          <w:lang w:val="es-MX" w:eastAsia="en-US"/>
        </w:rPr>
        <w:t xml:space="preserve"> </w:t>
      </w:r>
      <w:proofErr w:type="spellStart"/>
      <w:r w:rsidR="00A6246E" w:rsidRPr="00EF55E3">
        <w:rPr>
          <w:rFonts w:eastAsia="Calibri"/>
          <w:sz w:val="20"/>
          <w:szCs w:val="20"/>
          <w:lang w:val="es-MX" w:eastAsia="en-US"/>
        </w:rPr>
        <w:t>párrs</w:t>
      </w:r>
      <w:proofErr w:type="spellEnd"/>
      <w:r w:rsidR="00A6246E" w:rsidRPr="00EF55E3">
        <w:rPr>
          <w:rFonts w:eastAsia="Calibri"/>
          <w:sz w:val="20"/>
          <w:szCs w:val="20"/>
          <w:lang w:val="es-MX" w:eastAsia="en-US"/>
        </w:rPr>
        <w:t xml:space="preserve">. </w:t>
      </w:r>
      <w:r w:rsidR="002A78EE">
        <w:rPr>
          <w:rFonts w:eastAsia="Calibri"/>
          <w:sz w:val="20"/>
          <w:szCs w:val="20"/>
          <w:lang w:val="es-MX" w:eastAsia="en-US"/>
        </w:rPr>
        <w:t>121</w:t>
      </w:r>
      <w:r w:rsidR="002A78EE" w:rsidRPr="00EF55E3">
        <w:rPr>
          <w:rFonts w:eastAsia="Calibri"/>
          <w:sz w:val="20"/>
          <w:szCs w:val="20"/>
          <w:lang w:val="es-MX" w:eastAsia="en-US"/>
        </w:rPr>
        <w:t>)</w:t>
      </w:r>
      <w:r w:rsidR="002A78EE" w:rsidRPr="00641553">
        <w:rPr>
          <w:rFonts w:eastAsia="Calibri"/>
          <w:sz w:val="20"/>
          <w:szCs w:val="20"/>
          <w:lang w:val="es-MX" w:eastAsia="en-US"/>
        </w:rPr>
        <w:t xml:space="preserve">, </w:t>
      </w:r>
      <w:r w:rsidR="00E23408" w:rsidRPr="00641553">
        <w:rPr>
          <w:rFonts w:eastAsia="Calibri"/>
          <w:sz w:val="20"/>
          <w:szCs w:val="20"/>
          <w:lang w:val="es-MX" w:eastAsia="en-US"/>
        </w:rPr>
        <w:t xml:space="preserve">la </w:t>
      </w:r>
      <w:r w:rsidR="00E23408" w:rsidRPr="00641553">
        <w:rPr>
          <w:rFonts w:eastAsia="Calibri"/>
          <w:sz w:val="20"/>
          <w:szCs w:val="20"/>
          <w:lang w:val="es-ES_tradnl" w:eastAsia="en-US"/>
        </w:rPr>
        <w:t>Corte destaca que la edad del señor Poblete Vilches, resultó ser una limitante para recibir una atención médica oportuna, pues d</w:t>
      </w:r>
      <w:proofErr w:type="spellStart"/>
      <w:r w:rsidRPr="00641553">
        <w:rPr>
          <w:rFonts w:eastAsia="Calibri"/>
          <w:sz w:val="20"/>
          <w:szCs w:val="20"/>
          <w:lang w:val="es-MX" w:eastAsia="en-US"/>
        </w:rPr>
        <w:t>e</w:t>
      </w:r>
      <w:proofErr w:type="spellEnd"/>
      <w:r w:rsidRPr="00641553">
        <w:rPr>
          <w:rFonts w:eastAsia="Calibri"/>
          <w:sz w:val="20"/>
          <w:szCs w:val="20"/>
          <w:lang w:val="es-MX" w:eastAsia="en-US"/>
        </w:rPr>
        <w:t xml:space="preserve"> los h</w:t>
      </w:r>
      <w:r w:rsidR="00E23408" w:rsidRPr="00641553">
        <w:rPr>
          <w:rFonts w:eastAsia="Calibri"/>
          <w:sz w:val="20"/>
          <w:szCs w:val="20"/>
          <w:lang w:val="es-MX" w:eastAsia="en-US"/>
        </w:rPr>
        <w:t>echos del caso se desprende que</w:t>
      </w:r>
      <w:r w:rsidRPr="00641553">
        <w:rPr>
          <w:rFonts w:eastAsia="Calibri"/>
          <w:sz w:val="20"/>
          <w:szCs w:val="20"/>
          <w:lang w:val="es-MX" w:eastAsia="en-US"/>
        </w:rPr>
        <w:t xml:space="preserve"> </w:t>
      </w:r>
      <w:r w:rsidR="00B138CE" w:rsidRPr="00641553">
        <w:rPr>
          <w:rFonts w:eastAsia="Calibri"/>
          <w:sz w:val="20"/>
          <w:szCs w:val="20"/>
          <w:lang w:val="es-MX" w:eastAsia="en-US"/>
        </w:rPr>
        <w:t xml:space="preserve">no se </w:t>
      </w:r>
      <w:r w:rsidR="004F53BF" w:rsidRPr="00B1523A">
        <w:rPr>
          <w:rFonts w:eastAsia="Calibri"/>
          <w:sz w:val="20"/>
          <w:szCs w:val="20"/>
          <w:lang w:val="es-MX" w:eastAsia="en-US"/>
        </w:rPr>
        <w:t>le brindó el</w:t>
      </w:r>
      <w:r w:rsidR="004F53BF">
        <w:rPr>
          <w:rFonts w:eastAsia="Calibri"/>
          <w:b/>
          <w:sz w:val="20"/>
          <w:szCs w:val="20"/>
          <w:lang w:val="es-MX" w:eastAsia="en-US"/>
        </w:rPr>
        <w:t xml:space="preserve"> </w:t>
      </w:r>
      <w:r w:rsidR="00651FFD" w:rsidRPr="00641553">
        <w:rPr>
          <w:rFonts w:eastAsia="Calibri"/>
          <w:sz w:val="20"/>
          <w:szCs w:val="20"/>
          <w:lang w:val="es-MX" w:eastAsia="en-US"/>
        </w:rPr>
        <w:t>tratamiento médico adecuado</w:t>
      </w:r>
      <w:r w:rsidR="00E23408" w:rsidRPr="00641553">
        <w:rPr>
          <w:rFonts w:eastAsia="Calibri"/>
          <w:sz w:val="20"/>
          <w:szCs w:val="20"/>
          <w:lang w:val="es-MX" w:eastAsia="en-US"/>
        </w:rPr>
        <w:t>, en parte,</w:t>
      </w:r>
      <w:r w:rsidR="00651FFD" w:rsidRPr="00641553">
        <w:rPr>
          <w:rFonts w:eastAsia="Calibri"/>
          <w:sz w:val="20"/>
          <w:szCs w:val="20"/>
          <w:lang w:val="es-MX" w:eastAsia="en-US"/>
        </w:rPr>
        <w:t xml:space="preserve"> </w:t>
      </w:r>
      <w:r w:rsidR="002570D1" w:rsidRPr="00641553">
        <w:rPr>
          <w:rFonts w:eastAsia="Calibri"/>
          <w:sz w:val="20"/>
          <w:szCs w:val="20"/>
          <w:lang w:val="es-MX" w:eastAsia="en-US"/>
        </w:rPr>
        <w:t xml:space="preserve">por </w:t>
      </w:r>
      <w:r w:rsidR="00B138CE" w:rsidRPr="00641553">
        <w:rPr>
          <w:rFonts w:eastAsia="Calibri"/>
          <w:sz w:val="20"/>
          <w:szCs w:val="20"/>
          <w:lang w:val="es-MX" w:eastAsia="en-US"/>
        </w:rPr>
        <w:t>su condición de</w:t>
      </w:r>
      <w:r w:rsidR="002570D1" w:rsidRPr="00641553">
        <w:rPr>
          <w:rFonts w:eastAsia="Calibri"/>
          <w:sz w:val="20"/>
          <w:szCs w:val="20"/>
          <w:lang w:val="es-MX" w:eastAsia="en-US"/>
        </w:rPr>
        <w:t xml:space="preserve"> </w:t>
      </w:r>
      <w:r w:rsidR="005F3EE7">
        <w:rPr>
          <w:rFonts w:eastAsia="Calibri"/>
          <w:sz w:val="20"/>
          <w:szCs w:val="20"/>
          <w:lang w:val="es-MX" w:eastAsia="en-US"/>
        </w:rPr>
        <w:t>persona</w:t>
      </w:r>
      <w:r w:rsidR="005F3EE7" w:rsidRPr="00641553">
        <w:rPr>
          <w:rFonts w:eastAsia="Calibri"/>
          <w:sz w:val="20"/>
          <w:szCs w:val="20"/>
          <w:lang w:val="es-MX" w:eastAsia="en-US"/>
        </w:rPr>
        <w:t xml:space="preserve"> </w:t>
      </w:r>
      <w:r w:rsidR="002570D1" w:rsidRPr="00641553">
        <w:rPr>
          <w:rFonts w:eastAsia="Calibri"/>
          <w:sz w:val="20"/>
          <w:szCs w:val="20"/>
          <w:lang w:val="es-MX" w:eastAsia="en-US"/>
        </w:rPr>
        <w:t>mayor</w:t>
      </w:r>
      <w:r w:rsidR="00D0629F">
        <w:rPr>
          <w:rFonts w:eastAsia="Calibri"/>
          <w:sz w:val="20"/>
          <w:szCs w:val="20"/>
          <w:lang w:val="es-MX" w:eastAsia="en-US"/>
        </w:rPr>
        <w:t xml:space="preserve"> (</w:t>
      </w:r>
      <w:r w:rsidR="00D0629F" w:rsidRPr="00B1523A">
        <w:rPr>
          <w:rFonts w:eastAsia="Calibri"/>
          <w:i/>
          <w:sz w:val="20"/>
          <w:szCs w:val="20"/>
          <w:lang w:val="es-MX" w:eastAsia="en-US"/>
        </w:rPr>
        <w:t>supra</w:t>
      </w:r>
      <w:r w:rsidR="00D0629F">
        <w:rPr>
          <w:rFonts w:eastAsia="Calibri"/>
          <w:sz w:val="20"/>
          <w:szCs w:val="20"/>
          <w:lang w:val="es-MX" w:eastAsia="en-US"/>
        </w:rPr>
        <w:t xml:space="preserve"> </w:t>
      </w:r>
      <w:proofErr w:type="spellStart"/>
      <w:r w:rsidR="00D0629F">
        <w:rPr>
          <w:rFonts w:eastAsia="Calibri"/>
          <w:sz w:val="20"/>
          <w:szCs w:val="20"/>
          <w:lang w:val="es-MX" w:eastAsia="en-US"/>
        </w:rPr>
        <w:t>párrs</w:t>
      </w:r>
      <w:proofErr w:type="spellEnd"/>
      <w:r w:rsidR="00D0629F">
        <w:rPr>
          <w:rFonts w:eastAsia="Calibri"/>
          <w:sz w:val="20"/>
          <w:szCs w:val="20"/>
          <w:lang w:val="es-MX" w:eastAsia="en-US"/>
        </w:rPr>
        <w:t>. 47 y 53)</w:t>
      </w:r>
      <w:r w:rsidR="002570D1" w:rsidRPr="00641553">
        <w:rPr>
          <w:rFonts w:eastAsia="Calibri"/>
          <w:sz w:val="20"/>
          <w:szCs w:val="20"/>
          <w:lang w:val="es-MX" w:eastAsia="en-US"/>
        </w:rPr>
        <w:t xml:space="preserve">, </w:t>
      </w:r>
      <w:r w:rsidR="00AB57AC">
        <w:rPr>
          <w:rFonts w:eastAsia="Calibri"/>
          <w:sz w:val="20"/>
          <w:szCs w:val="20"/>
          <w:lang w:val="es-MX" w:eastAsia="en-US"/>
        </w:rPr>
        <w:t xml:space="preserve">razón por la cual no se </w:t>
      </w:r>
      <w:r w:rsidR="00AB57AC" w:rsidRPr="00AB57AC">
        <w:rPr>
          <w:rFonts w:eastAsia="Calibri"/>
          <w:sz w:val="20"/>
          <w:szCs w:val="20"/>
          <w:lang w:val="es-ES_tradnl" w:eastAsia="en-US"/>
        </w:rPr>
        <w:t>prioriz</w:t>
      </w:r>
      <w:r w:rsidR="00AB57AC">
        <w:rPr>
          <w:rFonts w:eastAsia="Calibri"/>
          <w:sz w:val="20"/>
          <w:szCs w:val="20"/>
          <w:lang w:val="es-ES_tradnl" w:eastAsia="en-US"/>
        </w:rPr>
        <w:t>ó</w:t>
      </w:r>
      <w:r w:rsidR="00AB57AC" w:rsidRPr="00AB57AC">
        <w:rPr>
          <w:rFonts w:eastAsia="Calibri"/>
          <w:sz w:val="20"/>
          <w:szCs w:val="20"/>
          <w:lang w:val="es-ES_tradnl" w:eastAsia="en-US"/>
        </w:rPr>
        <w:t xml:space="preserve"> su tratamiento médico a pesar de su condición crítica y su avanzada edad (</w:t>
      </w:r>
      <w:r w:rsidR="00062586" w:rsidRPr="00062586">
        <w:rPr>
          <w:rFonts w:eastAsia="Calibri"/>
          <w:i/>
          <w:sz w:val="20"/>
          <w:szCs w:val="20"/>
          <w:lang w:val="es-ES_tradnl" w:eastAsia="en-US"/>
        </w:rPr>
        <w:t>supra</w:t>
      </w:r>
      <w:r w:rsidR="00AB57AC" w:rsidRPr="00AB57AC">
        <w:rPr>
          <w:rFonts w:eastAsia="Calibri"/>
          <w:sz w:val="20"/>
          <w:szCs w:val="20"/>
          <w:lang w:val="es-ES_tradnl" w:eastAsia="en-US"/>
        </w:rPr>
        <w:t xml:space="preserve"> párr. </w:t>
      </w:r>
      <w:r w:rsidR="002A78EE">
        <w:rPr>
          <w:rFonts w:eastAsia="Calibri"/>
          <w:sz w:val="20"/>
          <w:szCs w:val="20"/>
          <w:lang w:val="es-ES_tradnl" w:eastAsia="en-US"/>
        </w:rPr>
        <w:t>52</w:t>
      </w:r>
      <w:r w:rsidR="002A78EE" w:rsidRPr="00AB57AC">
        <w:rPr>
          <w:rFonts w:eastAsia="Calibri"/>
          <w:sz w:val="20"/>
          <w:szCs w:val="20"/>
          <w:lang w:val="es-ES_tradnl" w:eastAsia="en-US"/>
        </w:rPr>
        <w:t>)</w:t>
      </w:r>
      <w:r w:rsidR="002A78EE" w:rsidRPr="00641553">
        <w:rPr>
          <w:rStyle w:val="FootnoteReference"/>
          <w:rFonts w:eastAsia="Calibri"/>
          <w:sz w:val="20"/>
          <w:szCs w:val="20"/>
          <w:lang w:val="es-ES_tradnl" w:eastAsia="en-US"/>
        </w:rPr>
        <w:footnoteReference w:id="233"/>
      </w:r>
      <w:r w:rsidR="002A78EE" w:rsidRPr="0059117C">
        <w:rPr>
          <w:rFonts w:eastAsia="Calibri"/>
          <w:sz w:val="20"/>
          <w:szCs w:val="20"/>
          <w:lang w:val="es-ES_tradnl" w:eastAsia="en-US"/>
        </w:rPr>
        <w:t>.</w:t>
      </w:r>
      <w:r w:rsidR="002A78EE" w:rsidRPr="00641553">
        <w:rPr>
          <w:rFonts w:eastAsia="Calibri"/>
          <w:sz w:val="20"/>
          <w:szCs w:val="20"/>
          <w:lang w:val="es-MX" w:eastAsia="en-US"/>
        </w:rPr>
        <w:t xml:space="preserve"> </w:t>
      </w:r>
      <w:r w:rsidR="00641553" w:rsidRPr="0059117C">
        <w:rPr>
          <w:rFonts w:eastAsia="Calibri"/>
          <w:sz w:val="20"/>
          <w:szCs w:val="20"/>
          <w:lang w:val="es-MX" w:eastAsia="en-US"/>
        </w:rPr>
        <w:t xml:space="preserve">Además, resulta inaceptable la falsificación del consentimiento de los familiares y la falta de información clara y accesible sobre </w:t>
      </w:r>
      <w:r w:rsidR="005F3EE7">
        <w:rPr>
          <w:rFonts w:eastAsia="Calibri"/>
          <w:sz w:val="20"/>
          <w:szCs w:val="20"/>
          <w:lang w:val="es-MX" w:eastAsia="en-US"/>
        </w:rPr>
        <w:t>la</w:t>
      </w:r>
      <w:r w:rsidR="00641553" w:rsidRPr="0059117C">
        <w:rPr>
          <w:rFonts w:eastAsia="Calibri"/>
          <w:sz w:val="20"/>
          <w:szCs w:val="20"/>
          <w:lang w:val="es-MX" w:eastAsia="en-US"/>
        </w:rPr>
        <w:t xml:space="preserve"> condición del paciente (</w:t>
      </w:r>
      <w:r w:rsidR="00847C4A" w:rsidRPr="00847C4A">
        <w:rPr>
          <w:rFonts w:eastAsia="Calibri"/>
          <w:i/>
          <w:sz w:val="20"/>
          <w:szCs w:val="20"/>
          <w:lang w:val="es-MX" w:eastAsia="en-US"/>
        </w:rPr>
        <w:t>supra</w:t>
      </w:r>
      <w:r w:rsidR="00847C4A">
        <w:rPr>
          <w:rFonts w:eastAsia="Calibri"/>
          <w:sz w:val="20"/>
          <w:szCs w:val="20"/>
          <w:lang w:val="es-MX" w:eastAsia="en-US"/>
        </w:rPr>
        <w:t xml:space="preserve"> párr. 46 e </w:t>
      </w:r>
      <w:r w:rsidR="00641553" w:rsidRPr="0059117C">
        <w:rPr>
          <w:rFonts w:eastAsia="Calibri"/>
          <w:i/>
          <w:sz w:val="20"/>
          <w:szCs w:val="20"/>
          <w:lang w:val="es-MX" w:eastAsia="en-US"/>
        </w:rPr>
        <w:t>infra</w:t>
      </w:r>
      <w:r w:rsidR="00641553" w:rsidRPr="0059117C">
        <w:rPr>
          <w:rFonts w:eastAsia="Calibri"/>
          <w:sz w:val="20"/>
          <w:szCs w:val="20"/>
          <w:lang w:val="es-MX" w:eastAsia="en-US"/>
        </w:rPr>
        <w:t xml:space="preserve"> </w:t>
      </w:r>
      <w:r w:rsidR="00F914DD">
        <w:rPr>
          <w:rFonts w:eastAsia="Calibri"/>
          <w:sz w:val="20"/>
          <w:szCs w:val="20"/>
          <w:lang w:val="es-MX" w:eastAsia="en-US"/>
        </w:rPr>
        <w:t xml:space="preserve">párr. </w:t>
      </w:r>
      <w:r w:rsidR="00D40864">
        <w:rPr>
          <w:rFonts w:eastAsia="Calibri"/>
          <w:sz w:val="20"/>
          <w:szCs w:val="20"/>
          <w:lang w:val="es-MX" w:eastAsia="en-US"/>
        </w:rPr>
        <w:t>173</w:t>
      </w:r>
      <w:r w:rsidR="00D40864" w:rsidRPr="0059117C">
        <w:rPr>
          <w:rFonts w:eastAsia="Calibri"/>
          <w:sz w:val="20"/>
          <w:szCs w:val="20"/>
          <w:lang w:val="es-MX" w:eastAsia="en-US"/>
        </w:rPr>
        <w:t>).</w:t>
      </w:r>
    </w:p>
    <w:p w14:paraId="6EB2B400" w14:textId="77777777" w:rsidR="002570D1" w:rsidRPr="002570D1" w:rsidRDefault="002570D1" w:rsidP="00383565">
      <w:pPr>
        <w:tabs>
          <w:tab w:val="left" w:pos="567"/>
        </w:tabs>
        <w:ind w:left="-90" w:right="-360"/>
        <w:contextualSpacing/>
        <w:rPr>
          <w:rFonts w:eastAsia="Calibri"/>
          <w:sz w:val="20"/>
          <w:szCs w:val="20"/>
          <w:lang w:val="es-MX" w:eastAsia="en-US"/>
        </w:rPr>
      </w:pPr>
    </w:p>
    <w:p w14:paraId="58B056DD" w14:textId="2DEF590B" w:rsidR="001E145A" w:rsidRPr="00840E52" w:rsidRDefault="001E145A" w:rsidP="00383565">
      <w:pPr>
        <w:numPr>
          <w:ilvl w:val="0"/>
          <w:numId w:val="2"/>
        </w:numPr>
        <w:tabs>
          <w:tab w:val="left" w:pos="567"/>
          <w:tab w:val="num" w:pos="1569"/>
          <w:tab w:val="num" w:pos="12305"/>
        </w:tabs>
        <w:ind w:left="0" w:firstLine="0"/>
        <w:rPr>
          <w:rFonts w:eastAsia="Calibri"/>
          <w:sz w:val="20"/>
          <w:szCs w:val="20"/>
          <w:lang w:val="es-MX" w:eastAsia="en-US"/>
        </w:rPr>
      </w:pPr>
      <w:r w:rsidRPr="00840E52">
        <w:rPr>
          <w:rFonts w:eastAsia="Calibri"/>
          <w:sz w:val="20"/>
          <w:szCs w:val="20"/>
          <w:lang w:val="es-ES_tradnl" w:eastAsia="en-US"/>
        </w:rPr>
        <w:t xml:space="preserve">Frente a ello, </w:t>
      </w:r>
      <w:r w:rsidRPr="00840E52">
        <w:rPr>
          <w:rFonts w:eastAsia="Calibri"/>
          <w:sz w:val="20"/>
          <w:szCs w:val="20"/>
          <w:lang w:val="es-MX" w:eastAsia="en-US"/>
        </w:rPr>
        <w:t>esta Corte afirma que la edad de una persona no debe ser una causa que obstaculice su desarrollo humano y por tanto el acceso a la protección de su salud.</w:t>
      </w:r>
      <w:r w:rsidRPr="00840E52">
        <w:rPr>
          <w:rFonts w:eastAsia="Calibri"/>
          <w:sz w:val="20"/>
          <w:szCs w:val="20"/>
          <w:lang w:val="es-ES_tradnl" w:eastAsia="en-US"/>
        </w:rPr>
        <w:t xml:space="preserve"> Sobre el particular, la Corte reitera que </w:t>
      </w:r>
      <w:r w:rsidR="0001661C" w:rsidRPr="00B1523A">
        <w:rPr>
          <w:rFonts w:eastAsia="Calibri"/>
          <w:sz w:val="20"/>
          <w:szCs w:val="20"/>
          <w:lang w:val="es-ES_tradnl" w:eastAsia="en-US"/>
        </w:rPr>
        <w:t>las personas mayores</w:t>
      </w:r>
      <w:r w:rsidRPr="00840E52">
        <w:rPr>
          <w:rFonts w:eastAsia="Calibri"/>
          <w:sz w:val="20"/>
          <w:szCs w:val="20"/>
          <w:lang w:val="es-ES_tradnl" w:eastAsia="en-US"/>
        </w:rPr>
        <w:t xml:space="preserve"> son sujetos de protección, en vista de su situación de vulnerabilidad y recae</w:t>
      </w:r>
      <w:r w:rsidR="00C80870">
        <w:rPr>
          <w:rFonts w:eastAsia="Calibri"/>
          <w:sz w:val="20"/>
          <w:szCs w:val="20"/>
          <w:lang w:val="es-ES_tradnl" w:eastAsia="en-US"/>
        </w:rPr>
        <w:t>n</w:t>
      </w:r>
      <w:r w:rsidRPr="00840E52">
        <w:rPr>
          <w:rFonts w:eastAsia="Calibri"/>
          <w:sz w:val="20"/>
          <w:szCs w:val="20"/>
          <w:lang w:val="es-ES_tradnl" w:eastAsia="en-US"/>
        </w:rPr>
        <w:t xml:space="preserve"> en el Estado obligaciones reforzadas respecto de la protección y garantía de su derecho a la salud.</w:t>
      </w:r>
    </w:p>
    <w:p w14:paraId="000147A9" w14:textId="77777777" w:rsidR="001E145A" w:rsidRDefault="001E145A" w:rsidP="001E145A">
      <w:pPr>
        <w:tabs>
          <w:tab w:val="left" w:pos="567"/>
        </w:tabs>
        <w:rPr>
          <w:rFonts w:eastAsia="Calibri"/>
          <w:sz w:val="20"/>
          <w:szCs w:val="20"/>
          <w:lang w:val="es-MX" w:eastAsia="en-US"/>
        </w:rPr>
      </w:pPr>
    </w:p>
    <w:p w14:paraId="4C26DD09" w14:textId="77777777" w:rsidR="00630070" w:rsidRDefault="00630070" w:rsidP="00383565">
      <w:pPr>
        <w:numPr>
          <w:ilvl w:val="0"/>
          <w:numId w:val="2"/>
        </w:numPr>
        <w:tabs>
          <w:tab w:val="left" w:pos="567"/>
          <w:tab w:val="num" w:pos="1569"/>
          <w:tab w:val="num" w:pos="12305"/>
        </w:tabs>
        <w:ind w:left="0" w:firstLine="0"/>
        <w:rPr>
          <w:rFonts w:eastAsia="Calibri"/>
          <w:sz w:val="20"/>
          <w:szCs w:val="20"/>
          <w:lang w:val="es-MX" w:eastAsia="en-US"/>
        </w:rPr>
      </w:pPr>
      <w:r>
        <w:rPr>
          <w:rFonts w:eastAsia="Calibri"/>
          <w:sz w:val="20"/>
          <w:szCs w:val="20"/>
          <w:lang w:val="es-MX" w:eastAsia="en-US"/>
        </w:rPr>
        <w:t>E</w:t>
      </w:r>
      <w:r w:rsidR="002570D1" w:rsidRPr="002570D1">
        <w:rPr>
          <w:rFonts w:eastAsia="Calibri"/>
          <w:sz w:val="20"/>
          <w:szCs w:val="20"/>
          <w:lang w:val="es-MX" w:eastAsia="en-US"/>
        </w:rPr>
        <w:t xml:space="preserve">l perito Santos destacó en audiencia </w:t>
      </w:r>
      <w:r w:rsidR="00E23408">
        <w:rPr>
          <w:rFonts w:eastAsia="Calibri"/>
          <w:sz w:val="20"/>
          <w:szCs w:val="20"/>
          <w:lang w:val="es-MX" w:eastAsia="en-US"/>
        </w:rPr>
        <w:t xml:space="preserve">sobre </w:t>
      </w:r>
      <w:r w:rsidR="002570D1" w:rsidRPr="002570D1">
        <w:rPr>
          <w:rFonts w:eastAsia="Calibri"/>
          <w:sz w:val="20"/>
          <w:szCs w:val="20"/>
          <w:lang w:val="es-MX" w:eastAsia="en-US"/>
        </w:rPr>
        <w:t>la falta de capacidad de</w:t>
      </w:r>
      <w:r w:rsidR="00AF6D0B">
        <w:rPr>
          <w:rFonts w:eastAsia="Calibri"/>
          <w:sz w:val="20"/>
          <w:szCs w:val="20"/>
          <w:lang w:val="es-MX" w:eastAsia="en-US"/>
        </w:rPr>
        <w:t xml:space="preserve"> los</w:t>
      </w:r>
      <w:r w:rsidR="002570D1" w:rsidRPr="002570D1">
        <w:rPr>
          <w:rFonts w:eastAsia="Calibri"/>
          <w:sz w:val="20"/>
          <w:szCs w:val="20"/>
          <w:lang w:val="es-MX" w:eastAsia="en-US"/>
        </w:rPr>
        <w:t xml:space="preserve"> recurso</w:t>
      </w:r>
      <w:r w:rsidR="00AF6D0B">
        <w:rPr>
          <w:rFonts w:eastAsia="Calibri"/>
          <w:sz w:val="20"/>
          <w:szCs w:val="20"/>
          <w:lang w:val="es-MX" w:eastAsia="en-US"/>
        </w:rPr>
        <w:t>s</w:t>
      </w:r>
      <w:r w:rsidR="002570D1" w:rsidRPr="002570D1">
        <w:rPr>
          <w:rFonts w:eastAsia="Calibri"/>
          <w:sz w:val="20"/>
          <w:szCs w:val="20"/>
          <w:lang w:val="es-MX" w:eastAsia="en-US"/>
        </w:rPr>
        <w:t xml:space="preserve"> humano</w:t>
      </w:r>
      <w:r w:rsidR="00AF6D0B">
        <w:rPr>
          <w:rFonts w:eastAsia="Calibri"/>
          <w:sz w:val="20"/>
          <w:szCs w:val="20"/>
          <w:lang w:val="es-MX" w:eastAsia="en-US"/>
        </w:rPr>
        <w:t>s</w:t>
      </w:r>
      <w:r w:rsidR="002570D1" w:rsidRPr="002570D1">
        <w:rPr>
          <w:rFonts w:eastAsia="Calibri"/>
          <w:sz w:val="20"/>
          <w:szCs w:val="20"/>
          <w:lang w:val="es-MX" w:eastAsia="en-US"/>
        </w:rPr>
        <w:t xml:space="preserve"> en relación </w:t>
      </w:r>
      <w:r w:rsidR="00AF6D0B">
        <w:rPr>
          <w:rFonts w:eastAsia="Calibri"/>
          <w:sz w:val="20"/>
          <w:szCs w:val="20"/>
          <w:lang w:val="es-MX" w:eastAsia="en-US"/>
        </w:rPr>
        <w:t xml:space="preserve">con </w:t>
      </w:r>
      <w:r w:rsidR="002570D1" w:rsidRPr="002570D1">
        <w:rPr>
          <w:rFonts w:eastAsia="Calibri"/>
          <w:sz w:val="20"/>
          <w:szCs w:val="20"/>
          <w:lang w:val="es-MX" w:eastAsia="en-US"/>
        </w:rPr>
        <w:t>saber tratar a un adulto mayor por su carácter vulnerable y las deficiencias</w:t>
      </w:r>
      <w:r w:rsidR="002570D1" w:rsidRPr="002570D1">
        <w:rPr>
          <w:rFonts w:eastAsia="Calibri"/>
          <w:sz w:val="20"/>
          <w:szCs w:val="20"/>
          <w:vertAlign w:val="superscript"/>
          <w:lang w:val="es-ES_tradnl" w:eastAsia="en-US"/>
        </w:rPr>
        <w:footnoteReference w:id="234"/>
      </w:r>
      <w:r w:rsidR="002570D1" w:rsidRPr="002570D1">
        <w:rPr>
          <w:rFonts w:eastAsia="Calibri"/>
          <w:sz w:val="20"/>
          <w:szCs w:val="20"/>
          <w:lang w:val="es-MX" w:eastAsia="en-US"/>
        </w:rPr>
        <w:t xml:space="preserve"> de infraestructura </w:t>
      </w:r>
      <w:r w:rsidR="00AF6D0B">
        <w:rPr>
          <w:rFonts w:eastAsia="Calibri"/>
          <w:sz w:val="20"/>
          <w:szCs w:val="20"/>
          <w:lang w:val="es-MX" w:eastAsia="en-US"/>
        </w:rPr>
        <w:t>presentadas en este hospital</w:t>
      </w:r>
      <w:r w:rsidR="002570D1" w:rsidRPr="002570D1">
        <w:rPr>
          <w:rFonts w:eastAsia="Calibri"/>
          <w:sz w:val="20"/>
          <w:szCs w:val="20"/>
          <w:lang w:val="es-MX" w:eastAsia="en-US"/>
        </w:rPr>
        <w:t xml:space="preserve">. </w:t>
      </w:r>
      <w:r>
        <w:rPr>
          <w:rFonts w:eastAsia="Calibri"/>
          <w:sz w:val="20"/>
          <w:szCs w:val="20"/>
          <w:lang w:val="es-MX" w:eastAsia="en-US"/>
        </w:rPr>
        <w:t xml:space="preserve">En particular señaló que: </w:t>
      </w:r>
    </w:p>
    <w:p w14:paraId="09FA766B" w14:textId="77777777" w:rsidR="00630070" w:rsidRDefault="00630070" w:rsidP="00383565">
      <w:pPr>
        <w:tabs>
          <w:tab w:val="left" w:pos="567"/>
        </w:tabs>
        <w:rPr>
          <w:rFonts w:eastAsia="Calibri"/>
          <w:sz w:val="20"/>
          <w:szCs w:val="20"/>
          <w:lang w:val="es-MX" w:eastAsia="en-US"/>
        </w:rPr>
      </w:pPr>
    </w:p>
    <w:p w14:paraId="689DA788" w14:textId="205D8548" w:rsidR="00630070" w:rsidRPr="00383565" w:rsidRDefault="00630070" w:rsidP="00383565">
      <w:pPr>
        <w:pStyle w:val="FootnoteText"/>
        <w:ind w:left="708" w:right="532"/>
        <w:rPr>
          <w:sz w:val="18"/>
          <w:szCs w:val="18"/>
        </w:rPr>
      </w:pPr>
      <w:r w:rsidRPr="00383565">
        <w:rPr>
          <w:rFonts w:eastAsia="Calibri"/>
          <w:sz w:val="18"/>
          <w:szCs w:val="18"/>
          <w:lang w:eastAsia="en-US"/>
        </w:rPr>
        <w:t>“</w:t>
      </w:r>
      <w:r w:rsidR="00C80870">
        <w:rPr>
          <w:rFonts w:eastAsia="Calibri"/>
          <w:sz w:val="18"/>
          <w:szCs w:val="18"/>
          <w:lang w:eastAsia="en-US"/>
        </w:rPr>
        <w:t>[</w:t>
      </w:r>
      <w:r w:rsidRPr="00383565">
        <w:rPr>
          <w:rFonts w:eastAsia="Calibri"/>
          <w:sz w:val="18"/>
          <w:szCs w:val="18"/>
          <w:lang w:eastAsia="en-US"/>
        </w:rPr>
        <w:t>las medidas que</w:t>
      </w:r>
      <w:r w:rsidRPr="00630070">
        <w:rPr>
          <w:rFonts w:eastAsia="Calibri"/>
          <w:sz w:val="18"/>
          <w:szCs w:val="18"/>
          <w:lang w:eastAsia="en-US"/>
        </w:rPr>
        <w:t xml:space="preserve"> debieron tomarse eran básicas</w:t>
      </w:r>
      <w:r w:rsidR="00C80870">
        <w:rPr>
          <w:rFonts w:eastAsia="Calibri"/>
          <w:sz w:val="18"/>
          <w:szCs w:val="18"/>
          <w:lang w:eastAsia="en-US"/>
        </w:rPr>
        <w:t>]</w:t>
      </w:r>
      <w:r w:rsidRPr="00630070">
        <w:rPr>
          <w:rFonts w:eastAsia="Calibri"/>
          <w:sz w:val="18"/>
          <w:szCs w:val="18"/>
          <w:lang w:eastAsia="en-US"/>
        </w:rPr>
        <w:t xml:space="preserve"> </w:t>
      </w:r>
      <w:r w:rsidRPr="00383565">
        <w:rPr>
          <w:rFonts w:eastAsia="Calibri"/>
          <w:sz w:val="18"/>
          <w:szCs w:val="18"/>
          <w:lang w:eastAsia="en-US"/>
        </w:rPr>
        <w:t>para un hospital de mediana complejidad, ni siquiera tenía que ser un hospital de alta complejidad</w:t>
      </w:r>
      <w:r w:rsidR="00C80870">
        <w:rPr>
          <w:rFonts w:eastAsia="Calibri"/>
          <w:sz w:val="18"/>
          <w:szCs w:val="18"/>
          <w:lang w:eastAsia="en-US"/>
        </w:rPr>
        <w:t xml:space="preserve"> […] </w:t>
      </w:r>
      <w:r w:rsidRPr="00383565">
        <w:rPr>
          <w:rFonts w:eastAsia="Calibri"/>
          <w:sz w:val="18"/>
          <w:szCs w:val="18"/>
          <w:lang w:eastAsia="en-US"/>
        </w:rPr>
        <w:t>Es algo básico</w:t>
      </w:r>
      <w:r w:rsidR="00C80870">
        <w:rPr>
          <w:rFonts w:eastAsia="Calibri"/>
          <w:sz w:val="18"/>
          <w:szCs w:val="18"/>
          <w:lang w:eastAsia="en-US"/>
        </w:rPr>
        <w:t>.</w:t>
      </w:r>
      <w:r w:rsidRPr="00383565">
        <w:rPr>
          <w:rFonts w:eastAsia="Calibri"/>
          <w:sz w:val="18"/>
          <w:szCs w:val="18"/>
          <w:lang w:eastAsia="en-US"/>
        </w:rPr>
        <w:t xml:space="preserve"> </w:t>
      </w:r>
      <w:r w:rsidR="00C80870">
        <w:rPr>
          <w:rFonts w:eastAsia="Calibri"/>
          <w:sz w:val="18"/>
          <w:szCs w:val="18"/>
          <w:lang w:eastAsia="en-US"/>
        </w:rPr>
        <w:t>A</w:t>
      </w:r>
      <w:r w:rsidRPr="00383565">
        <w:rPr>
          <w:rFonts w:eastAsia="Calibri"/>
          <w:sz w:val="18"/>
          <w:szCs w:val="18"/>
          <w:lang w:eastAsia="en-US"/>
        </w:rPr>
        <w:t xml:space="preserve">hora, en el dos mil uno, incluso en los </w:t>
      </w:r>
      <w:r w:rsidR="00C80870">
        <w:rPr>
          <w:rFonts w:eastAsia="Calibri"/>
          <w:sz w:val="18"/>
          <w:szCs w:val="18"/>
          <w:lang w:eastAsia="en-US"/>
        </w:rPr>
        <w:t xml:space="preserve">noventa y en los </w:t>
      </w:r>
      <w:r w:rsidRPr="00630070">
        <w:rPr>
          <w:rFonts w:eastAsia="Calibri"/>
          <w:sz w:val="18"/>
          <w:szCs w:val="18"/>
          <w:lang w:eastAsia="en-US"/>
        </w:rPr>
        <w:t>ochent</w:t>
      </w:r>
      <w:r>
        <w:rPr>
          <w:rFonts w:eastAsia="Calibri"/>
          <w:sz w:val="18"/>
          <w:szCs w:val="18"/>
          <w:lang w:eastAsia="en-US"/>
        </w:rPr>
        <w:t>a</w:t>
      </w:r>
      <w:r w:rsidRPr="00383565">
        <w:rPr>
          <w:rFonts w:eastAsia="Calibri"/>
          <w:sz w:val="18"/>
          <w:szCs w:val="18"/>
          <w:lang w:eastAsia="en-US"/>
        </w:rPr>
        <w:t xml:space="preserve"> también; </w:t>
      </w:r>
      <w:r w:rsidR="00AF6D0B">
        <w:rPr>
          <w:rFonts w:eastAsia="Calibri"/>
          <w:sz w:val="18"/>
          <w:szCs w:val="18"/>
          <w:lang w:eastAsia="en-US"/>
        </w:rPr>
        <w:t>[</w:t>
      </w:r>
      <w:r w:rsidRPr="00383565">
        <w:rPr>
          <w:rFonts w:eastAsia="Calibri"/>
          <w:sz w:val="18"/>
          <w:szCs w:val="18"/>
          <w:lang w:eastAsia="en-US"/>
        </w:rPr>
        <w:t>así mismo</w:t>
      </w:r>
      <w:r w:rsidR="00AF6D0B">
        <w:rPr>
          <w:rFonts w:eastAsia="Calibri"/>
          <w:sz w:val="18"/>
          <w:szCs w:val="18"/>
          <w:lang w:eastAsia="en-US"/>
        </w:rPr>
        <w:t>]</w:t>
      </w:r>
      <w:r w:rsidRPr="00383565">
        <w:rPr>
          <w:rFonts w:eastAsia="Calibri"/>
          <w:sz w:val="18"/>
          <w:szCs w:val="18"/>
          <w:lang w:eastAsia="en-US"/>
        </w:rPr>
        <w:t xml:space="preserve"> si el paciente hubiese tenido una posibilidad de responder, esto era con la asistencia respiratoria mecánica y con un control hemodinámico en una unidad cerrada</w:t>
      </w:r>
      <w:r w:rsidR="00C80870">
        <w:rPr>
          <w:rFonts w:eastAsia="Calibri"/>
          <w:sz w:val="18"/>
          <w:szCs w:val="18"/>
          <w:lang w:eastAsia="en-US"/>
        </w:rPr>
        <w:t xml:space="preserve"> […]”</w:t>
      </w:r>
      <w:r w:rsidRPr="00383565">
        <w:rPr>
          <w:rFonts w:eastAsia="Calibri"/>
          <w:sz w:val="18"/>
          <w:szCs w:val="18"/>
          <w:lang w:eastAsia="en-US"/>
        </w:rPr>
        <w:t>.</w:t>
      </w:r>
    </w:p>
    <w:p w14:paraId="0331033F" w14:textId="77777777" w:rsidR="002570D1" w:rsidRPr="002570D1" w:rsidRDefault="002570D1" w:rsidP="002570D1">
      <w:pPr>
        <w:ind w:right="-360"/>
        <w:rPr>
          <w:rFonts w:eastAsia="Calibri"/>
          <w:sz w:val="20"/>
          <w:szCs w:val="20"/>
          <w:highlight w:val="green"/>
          <w:lang w:val="es-ES_tradnl" w:eastAsia="en-US"/>
        </w:rPr>
      </w:pPr>
    </w:p>
    <w:p w14:paraId="0A563E83" w14:textId="43146CDE" w:rsidR="002570D1" w:rsidRPr="002570D1" w:rsidRDefault="002570D1" w:rsidP="002570D1">
      <w:pPr>
        <w:numPr>
          <w:ilvl w:val="0"/>
          <w:numId w:val="2"/>
        </w:numPr>
        <w:tabs>
          <w:tab w:val="left" w:pos="567"/>
          <w:tab w:val="num" w:pos="1569"/>
          <w:tab w:val="num" w:pos="12305"/>
        </w:tabs>
        <w:ind w:left="0" w:firstLine="0"/>
        <w:rPr>
          <w:rFonts w:eastAsia="Calibri"/>
          <w:sz w:val="20"/>
          <w:szCs w:val="20"/>
          <w:lang w:val="es-ES_tradnl" w:eastAsia="en-US"/>
        </w:rPr>
      </w:pPr>
      <w:r w:rsidRPr="002570D1">
        <w:rPr>
          <w:rFonts w:eastAsia="Calibri"/>
          <w:sz w:val="20"/>
          <w:szCs w:val="20"/>
          <w:lang w:val="es-ES_tradnl" w:eastAsia="en-US"/>
        </w:rPr>
        <w:t>El señor Poblete Vilches era un adulto mayor con patologías agregadas</w:t>
      </w:r>
      <w:r w:rsidR="009A27E4">
        <w:rPr>
          <w:rStyle w:val="FootnoteReference"/>
          <w:rFonts w:eastAsia="Calibri"/>
          <w:sz w:val="20"/>
          <w:szCs w:val="20"/>
          <w:lang w:val="es-ES_tradnl" w:eastAsia="en-US"/>
        </w:rPr>
        <w:footnoteReference w:id="235"/>
      </w:r>
      <w:r w:rsidRPr="002570D1">
        <w:rPr>
          <w:rFonts w:eastAsia="Calibri"/>
          <w:sz w:val="20"/>
          <w:szCs w:val="20"/>
          <w:lang w:val="es-ES_tradnl" w:eastAsia="en-US"/>
        </w:rPr>
        <w:t xml:space="preserve"> que hacían que su situación lo convirtiera en un paciente aún más vulnerable. Sin perjuicio de lo anterior, quedó evidenciado que no recibió el tratamiento adecuado conforme a su situación particular. Del marco fáctico se desprende que</w:t>
      </w:r>
      <w:r w:rsidR="006F12CB">
        <w:rPr>
          <w:rFonts w:eastAsia="Calibri"/>
          <w:sz w:val="20"/>
          <w:szCs w:val="20"/>
          <w:lang w:val="es-ES_tradnl" w:eastAsia="en-US"/>
        </w:rPr>
        <w:t>, en el segundo ingreso,</w:t>
      </w:r>
      <w:r w:rsidRPr="002570D1">
        <w:rPr>
          <w:rFonts w:eastAsia="Calibri"/>
          <w:sz w:val="20"/>
          <w:szCs w:val="20"/>
          <w:lang w:val="es-ES_tradnl" w:eastAsia="en-US"/>
        </w:rPr>
        <w:t xml:space="preserve"> existió urgencia de las prestaciones de salud requeridas en el caso, </w:t>
      </w:r>
      <w:r w:rsidR="000E14C2" w:rsidRPr="005F3EE7">
        <w:rPr>
          <w:rFonts w:eastAsia="Calibri"/>
          <w:sz w:val="20"/>
          <w:szCs w:val="20"/>
          <w:lang w:val="es-ES_tradnl" w:eastAsia="en-US"/>
        </w:rPr>
        <w:t xml:space="preserve">cuya </w:t>
      </w:r>
      <w:r w:rsidRPr="005F3EE7">
        <w:rPr>
          <w:rFonts w:eastAsia="Calibri"/>
          <w:sz w:val="20"/>
          <w:szCs w:val="20"/>
          <w:lang w:val="es-ES_tradnl" w:eastAsia="en-US"/>
        </w:rPr>
        <w:t xml:space="preserve">dispensa de forma inmediata </w:t>
      </w:r>
      <w:r w:rsidR="006E2E6F" w:rsidRPr="005F3EE7">
        <w:rPr>
          <w:rFonts w:eastAsia="Calibri"/>
          <w:sz w:val="20"/>
          <w:szCs w:val="20"/>
          <w:lang w:val="es-ES_tradnl" w:eastAsia="en-US"/>
        </w:rPr>
        <w:t>resultaban de carácter vital</w:t>
      </w:r>
      <w:r w:rsidRPr="005F3EE7">
        <w:rPr>
          <w:rFonts w:eastAsia="Calibri"/>
          <w:sz w:val="20"/>
          <w:szCs w:val="20"/>
          <w:lang w:val="es-ES_tradnl" w:eastAsia="en-US"/>
        </w:rPr>
        <w:t xml:space="preserve">. </w:t>
      </w:r>
      <w:r w:rsidR="006F12CB" w:rsidRPr="005F3EE7">
        <w:rPr>
          <w:rFonts w:eastAsia="Calibri"/>
          <w:sz w:val="20"/>
          <w:szCs w:val="20"/>
          <w:lang w:val="es-ES_tradnl" w:eastAsia="en-US"/>
        </w:rPr>
        <w:t>En suma</w:t>
      </w:r>
      <w:r w:rsidR="00CF2541" w:rsidRPr="005F3EE7">
        <w:rPr>
          <w:rFonts w:eastAsia="Calibri"/>
          <w:sz w:val="20"/>
          <w:szCs w:val="20"/>
          <w:lang w:val="es-ES_tradnl" w:eastAsia="en-US"/>
        </w:rPr>
        <w:t xml:space="preserve">, </w:t>
      </w:r>
      <w:r w:rsidR="006E2E6F" w:rsidRPr="005F3EE7">
        <w:rPr>
          <w:rFonts w:eastAsia="Calibri"/>
          <w:sz w:val="20"/>
          <w:szCs w:val="20"/>
          <w:lang w:val="es-ES_tradnl" w:eastAsia="en-US"/>
        </w:rPr>
        <w:t>el paciente r</w:t>
      </w:r>
      <w:r w:rsidRPr="005F3EE7">
        <w:rPr>
          <w:rFonts w:eastAsia="Calibri"/>
          <w:sz w:val="20"/>
          <w:szCs w:val="20"/>
          <w:lang w:val="es-ES_tradnl" w:eastAsia="en-US"/>
        </w:rPr>
        <w:t>equ</w:t>
      </w:r>
      <w:r w:rsidR="006E2E6F" w:rsidRPr="005F3EE7">
        <w:rPr>
          <w:rFonts w:eastAsia="Calibri"/>
          <w:sz w:val="20"/>
          <w:szCs w:val="20"/>
          <w:lang w:val="es-ES_tradnl" w:eastAsia="en-US"/>
        </w:rPr>
        <w:t>e</w:t>
      </w:r>
      <w:r w:rsidRPr="005F3EE7">
        <w:rPr>
          <w:rFonts w:eastAsia="Calibri"/>
          <w:sz w:val="20"/>
          <w:szCs w:val="20"/>
          <w:lang w:val="es-ES_tradnl" w:eastAsia="en-US"/>
        </w:rPr>
        <w:t>r</w:t>
      </w:r>
      <w:r w:rsidR="006E2E6F" w:rsidRPr="005F3EE7">
        <w:rPr>
          <w:rFonts w:eastAsia="Calibri"/>
          <w:sz w:val="20"/>
          <w:szCs w:val="20"/>
          <w:lang w:val="es-ES_tradnl" w:eastAsia="en-US"/>
        </w:rPr>
        <w:t>ía</w:t>
      </w:r>
      <w:r w:rsidRPr="005F3EE7">
        <w:rPr>
          <w:rFonts w:eastAsia="Calibri"/>
          <w:sz w:val="20"/>
          <w:szCs w:val="20"/>
          <w:lang w:val="es-ES_tradnl" w:eastAsia="en-US"/>
        </w:rPr>
        <w:t xml:space="preserve"> de una atención médica urgente y de calidad, que el sistema de salud </w:t>
      </w:r>
      <w:r w:rsidR="00CF2541" w:rsidRPr="005F3EE7">
        <w:rPr>
          <w:rFonts w:eastAsia="Calibri"/>
          <w:sz w:val="20"/>
          <w:szCs w:val="20"/>
          <w:lang w:val="es-ES_tradnl" w:eastAsia="en-US"/>
        </w:rPr>
        <w:t xml:space="preserve">pública </w:t>
      </w:r>
      <w:r w:rsidRPr="005F3EE7">
        <w:rPr>
          <w:rFonts w:eastAsia="Calibri"/>
          <w:sz w:val="20"/>
          <w:szCs w:val="20"/>
          <w:lang w:val="es-ES_tradnl" w:eastAsia="en-US"/>
        </w:rPr>
        <w:t>no proveyó</w:t>
      </w:r>
      <w:r w:rsidR="006F12CB" w:rsidRPr="005F3EE7">
        <w:rPr>
          <w:rFonts w:eastAsia="Calibri"/>
          <w:sz w:val="20"/>
          <w:szCs w:val="20"/>
          <w:lang w:val="es-ES_tradnl" w:eastAsia="en-US"/>
        </w:rPr>
        <w:t xml:space="preserve">, por lo que dicha situación derivó en una discriminación por su condición </w:t>
      </w:r>
      <w:r w:rsidR="0001661C" w:rsidRPr="00B1523A">
        <w:rPr>
          <w:rFonts w:eastAsia="Calibri"/>
          <w:sz w:val="20"/>
          <w:szCs w:val="20"/>
          <w:lang w:val="es-ES_tradnl" w:eastAsia="en-US"/>
        </w:rPr>
        <w:t xml:space="preserve">de </w:t>
      </w:r>
      <w:r w:rsidR="00617BCD" w:rsidRPr="00B1523A">
        <w:rPr>
          <w:rFonts w:eastAsia="Calibri"/>
          <w:sz w:val="20"/>
          <w:szCs w:val="20"/>
          <w:lang w:val="es-ES_tradnl" w:eastAsia="en-US"/>
        </w:rPr>
        <w:t>persona mayor</w:t>
      </w:r>
      <w:r w:rsidR="006F12CB">
        <w:rPr>
          <w:rFonts w:eastAsia="Calibri"/>
          <w:sz w:val="20"/>
          <w:szCs w:val="20"/>
          <w:lang w:val="es-ES_tradnl" w:eastAsia="en-US"/>
        </w:rPr>
        <w:t>.</w:t>
      </w:r>
    </w:p>
    <w:p w14:paraId="29A8EB08" w14:textId="77777777" w:rsidR="00E63E9D" w:rsidRPr="0059117C" w:rsidRDefault="00E63E9D" w:rsidP="005430FF">
      <w:pPr>
        <w:tabs>
          <w:tab w:val="left" w:pos="567"/>
        </w:tabs>
        <w:rPr>
          <w:rFonts w:eastAsia="Calibri"/>
          <w:sz w:val="20"/>
          <w:szCs w:val="20"/>
          <w:lang w:val="es-ES_tradnl" w:eastAsia="en-US"/>
        </w:rPr>
      </w:pPr>
    </w:p>
    <w:p w14:paraId="3FDB5141" w14:textId="12BFFA9F" w:rsidR="00201341" w:rsidRPr="00F41641" w:rsidRDefault="002570D1" w:rsidP="007E5CD5">
      <w:pPr>
        <w:numPr>
          <w:ilvl w:val="0"/>
          <w:numId w:val="2"/>
        </w:numPr>
        <w:tabs>
          <w:tab w:val="left" w:pos="567"/>
          <w:tab w:val="num" w:pos="1569"/>
          <w:tab w:val="num" w:pos="12305"/>
        </w:tabs>
        <w:ind w:left="0" w:firstLine="0"/>
        <w:rPr>
          <w:rFonts w:eastAsia="Calibri"/>
          <w:sz w:val="20"/>
          <w:szCs w:val="20"/>
          <w:lang w:val="es-ES_tradnl" w:eastAsia="en-US"/>
        </w:rPr>
      </w:pPr>
      <w:r w:rsidRPr="002570D1">
        <w:rPr>
          <w:rFonts w:eastAsia="Calibri"/>
          <w:sz w:val="20"/>
          <w:szCs w:val="20"/>
          <w:lang w:val="es-ES_tradnl" w:eastAsia="en-US"/>
        </w:rPr>
        <w:t>En vista de lo anterior</w:t>
      </w:r>
      <w:r w:rsidR="006F12CB">
        <w:rPr>
          <w:rFonts w:eastAsia="Calibri"/>
          <w:sz w:val="20"/>
          <w:szCs w:val="20"/>
          <w:lang w:val="es-ES_tradnl" w:eastAsia="en-US"/>
        </w:rPr>
        <w:t>,</w:t>
      </w:r>
      <w:r w:rsidRPr="002570D1">
        <w:rPr>
          <w:rFonts w:eastAsia="Calibri"/>
          <w:sz w:val="20"/>
          <w:szCs w:val="20"/>
          <w:lang w:val="es-ES_tradnl" w:eastAsia="en-US"/>
        </w:rPr>
        <w:t xml:space="preserve"> la Corte concluye que el Estado chileno no garantizó al señor Poblete Vilches su derecho a la salud</w:t>
      </w:r>
      <w:r w:rsidR="006F12CB">
        <w:rPr>
          <w:rFonts w:eastAsia="Calibri"/>
          <w:sz w:val="20"/>
          <w:szCs w:val="20"/>
          <w:lang w:val="es-ES_tradnl" w:eastAsia="en-US"/>
        </w:rPr>
        <w:t xml:space="preserve"> sin discriminación</w:t>
      </w:r>
      <w:r w:rsidRPr="002570D1">
        <w:rPr>
          <w:rFonts w:eastAsia="Calibri"/>
          <w:sz w:val="20"/>
          <w:szCs w:val="20"/>
          <w:lang w:val="es-ES_tradnl" w:eastAsia="en-US"/>
        </w:rPr>
        <w:t xml:space="preserve">, mediante servicios </w:t>
      </w:r>
      <w:r w:rsidR="00ED6CD4" w:rsidRPr="00B1523A">
        <w:rPr>
          <w:rFonts w:eastAsia="Calibri"/>
          <w:sz w:val="20"/>
          <w:szCs w:val="20"/>
          <w:lang w:val="es-ES_tradnl" w:eastAsia="en-US"/>
        </w:rPr>
        <w:t>necesarios y</w:t>
      </w:r>
      <w:r w:rsidR="00ED6CD4">
        <w:rPr>
          <w:rFonts w:eastAsia="Calibri"/>
          <w:sz w:val="20"/>
          <w:szCs w:val="20"/>
          <w:lang w:val="es-ES_tradnl" w:eastAsia="en-US"/>
        </w:rPr>
        <w:t xml:space="preserve"> </w:t>
      </w:r>
      <w:r w:rsidRPr="002570D1">
        <w:rPr>
          <w:rFonts w:eastAsia="Calibri"/>
          <w:sz w:val="20"/>
          <w:szCs w:val="20"/>
          <w:lang w:val="es-ES_tradnl" w:eastAsia="en-US"/>
        </w:rPr>
        <w:t xml:space="preserve">urgentes en relación a su situación especial de vulnerabilidad como </w:t>
      </w:r>
      <w:r w:rsidR="005C1E49">
        <w:rPr>
          <w:rFonts w:eastAsia="Calibri"/>
          <w:sz w:val="20"/>
          <w:szCs w:val="20"/>
          <w:lang w:val="es-ES_tradnl" w:eastAsia="en-US"/>
        </w:rPr>
        <w:t xml:space="preserve">persona </w:t>
      </w:r>
      <w:r w:rsidRPr="002570D1">
        <w:rPr>
          <w:rFonts w:eastAsia="Calibri"/>
          <w:sz w:val="20"/>
          <w:szCs w:val="20"/>
          <w:lang w:val="es-ES_tradnl" w:eastAsia="en-US"/>
        </w:rPr>
        <w:t>mayor. Por tanto, el Estado violó el derecho a la salud, de conformidad con el artículo 26 de la Convención Americana, en relación con el artículo 1.1 de la misma, en perjuicio del señor Poblete Vilches.</w:t>
      </w:r>
    </w:p>
    <w:p w14:paraId="4BAB1191" w14:textId="63B0C013" w:rsidR="007A74DF" w:rsidRPr="00AB1E03" w:rsidRDefault="00164C05" w:rsidP="00840E52">
      <w:pPr>
        <w:pStyle w:val="Heading4"/>
        <w:ind w:left="2124"/>
        <w:rPr>
          <w:rFonts w:eastAsia="Calibri"/>
          <w:lang w:val="es-ES_tradnl" w:eastAsia="en-US"/>
        </w:rPr>
      </w:pPr>
      <w:bookmarkStart w:id="82" w:name="_Toc513644471"/>
      <w:r>
        <w:rPr>
          <w:rFonts w:eastAsia="Calibri"/>
          <w:b/>
          <w:lang w:val="es-ES_tradnl" w:eastAsia="en-US"/>
        </w:rPr>
        <w:t xml:space="preserve">1.2 </w:t>
      </w:r>
      <w:r w:rsidR="002570D1" w:rsidRPr="00164C05">
        <w:rPr>
          <w:rFonts w:eastAsia="Calibri"/>
          <w:b/>
          <w:lang w:val="es-ES_tradnl" w:eastAsia="en-US"/>
        </w:rPr>
        <w:t xml:space="preserve"> Derecho</w:t>
      </w:r>
      <w:r w:rsidR="007A74DF">
        <w:rPr>
          <w:rFonts w:eastAsia="Calibri"/>
          <w:b/>
          <w:lang w:val="es-ES_tradnl" w:eastAsia="en-US"/>
        </w:rPr>
        <w:t>s</w:t>
      </w:r>
      <w:r w:rsidR="002570D1" w:rsidRPr="00164C05">
        <w:rPr>
          <w:rFonts w:eastAsia="Calibri"/>
          <w:b/>
          <w:lang w:val="es-ES_tradnl" w:eastAsia="en-US"/>
        </w:rPr>
        <w:t xml:space="preserve"> a la vida</w:t>
      </w:r>
      <w:r w:rsidR="007A74DF">
        <w:rPr>
          <w:rFonts w:eastAsia="Calibri"/>
          <w:b/>
          <w:lang w:val="es-ES_tradnl" w:eastAsia="en-US"/>
        </w:rPr>
        <w:t xml:space="preserve"> </w:t>
      </w:r>
      <w:r w:rsidR="00617BCD" w:rsidRPr="00AB1E03">
        <w:rPr>
          <w:rFonts w:eastAsia="Calibri"/>
          <w:b/>
          <w:lang w:val="es-ES_tradnl" w:eastAsia="en-US"/>
        </w:rPr>
        <w:t xml:space="preserve">e </w:t>
      </w:r>
      <w:r w:rsidR="00617BCD">
        <w:rPr>
          <w:rFonts w:eastAsia="Calibri"/>
          <w:b/>
          <w:lang w:val="es-ES_tradnl" w:eastAsia="en-US"/>
        </w:rPr>
        <w:t>i</w:t>
      </w:r>
      <w:r w:rsidR="004F53BF" w:rsidRPr="00617BCD">
        <w:rPr>
          <w:rFonts w:eastAsia="Calibri"/>
          <w:b/>
          <w:lang w:val="es-ES_tradnl" w:eastAsia="en-US"/>
        </w:rPr>
        <w:t>ntegridad</w:t>
      </w:r>
      <w:r w:rsidR="00617BCD" w:rsidRPr="00AB1E03">
        <w:rPr>
          <w:rFonts w:eastAsia="Calibri"/>
          <w:b/>
          <w:lang w:val="es-ES_tradnl" w:eastAsia="en-US"/>
        </w:rPr>
        <w:t xml:space="preserve"> personal</w:t>
      </w:r>
      <w:bookmarkEnd w:id="82"/>
    </w:p>
    <w:p w14:paraId="7CCDD525" w14:textId="77777777" w:rsidR="00840E52" w:rsidRDefault="00840E52" w:rsidP="002570D1">
      <w:pPr>
        <w:rPr>
          <w:rFonts w:eastAsia="Calibri"/>
          <w:lang w:val="es-ES_tradnl" w:eastAsia="en-US"/>
        </w:rPr>
      </w:pPr>
    </w:p>
    <w:p w14:paraId="7889380F" w14:textId="50417512" w:rsidR="00967ED8" w:rsidRPr="00AB1E03" w:rsidRDefault="00967ED8" w:rsidP="00AB1E03">
      <w:pPr>
        <w:ind w:left="708" w:firstLine="708"/>
        <w:rPr>
          <w:rFonts w:eastAsia="Calibri"/>
          <w:b/>
          <w:i/>
          <w:sz w:val="20"/>
          <w:szCs w:val="20"/>
          <w:lang w:val="es-ES_tradnl" w:eastAsia="en-US"/>
        </w:rPr>
      </w:pPr>
      <w:r w:rsidRPr="00AB1E03">
        <w:rPr>
          <w:rFonts w:eastAsia="Calibri"/>
          <w:b/>
          <w:i/>
          <w:sz w:val="20"/>
          <w:szCs w:val="20"/>
          <w:lang w:val="es-ES_tradnl" w:eastAsia="en-US"/>
        </w:rPr>
        <w:t>1.2.1 Respecto del derecho a la vida</w:t>
      </w:r>
    </w:p>
    <w:p w14:paraId="1442E58B" w14:textId="77777777" w:rsidR="00967ED8" w:rsidRPr="00AB1E03" w:rsidRDefault="00967ED8" w:rsidP="002570D1">
      <w:pPr>
        <w:rPr>
          <w:rFonts w:eastAsia="Calibri"/>
          <w:lang w:val="es-ES_tradnl" w:eastAsia="en-US"/>
        </w:rPr>
      </w:pPr>
    </w:p>
    <w:p w14:paraId="7F76D4BD" w14:textId="3ECED6CD" w:rsidR="002570D1" w:rsidRPr="002570D1" w:rsidRDefault="00641553" w:rsidP="002570D1">
      <w:pPr>
        <w:numPr>
          <w:ilvl w:val="0"/>
          <w:numId w:val="2"/>
        </w:numPr>
        <w:tabs>
          <w:tab w:val="left" w:pos="567"/>
          <w:tab w:val="num" w:pos="1569"/>
          <w:tab w:val="num" w:pos="12305"/>
        </w:tabs>
        <w:ind w:left="0" w:firstLine="0"/>
        <w:rPr>
          <w:rFonts w:eastAsia="Calibri"/>
          <w:sz w:val="20"/>
          <w:szCs w:val="20"/>
          <w:lang w:val="es-ES_tradnl" w:eastAsia="en-US"/>
        </w:rPr>
      </w:pPr>
      <w:r>
        <w:rPr>
          <w:rFonts w:eastAsia="Calibri"/>
          <w:sz w:val="20"/>
          <w:szCs w:val="20"/>
          <w:lang w:val="es-ES_tradnl" w:eastAsia="en-US"/>
        </w:rPr>
        <w:t>E</w:t>
      </w:r>
      <w:r w:rsidR="002570D1" w:rsidRPr="002570D1">
        <w:rPr>
          <w:rFonts w:eastAsia="Calibri"/>
          <w:sz w:val="20"/>
          <w:szCs w:val="20"/>
          <w:lang w:val="es-ES_tradnl" w:eastAsia="en-US"/>
        </w:rPr>
        <w:t xml:space="preserve">l Estado no </w:t>
      </w:r>
      <w:r w:rsidR="00B93913">
        <w:rPr>
          <w:rFonts w:eastAsia="Calibri"/>
          <w:sz w:val="20"/>
          <w:szCs w:val="20"/>
          <w:lang w:val="es-ES_tradnl" w:eastAsia="en-US"/>
        </w:rPr>
        <w:t>reconoció</w:t>
      </w:r>
      <w:r w:rsidR="00B93913" w:rsidRPr="002570D1">
        <w:rPr>
          <w:rFonts w:eastAsia="Calibri"/>
          <w:sz w:val="20"/>
          <w:szCs w:val="20"/>
          <w:lang w:val="es-ES_tradnl" w:eastAsia="en-US"/>
        </w:rPr>
        <w:t xml:space="preserve"> </w:t>
      </w:r>
      <w:r w:rsidR="00874307">
        <w:rPr>
          <w:rFonts w:eastAsia="Calibri"/>
          <w:sz w:val="20"/>
          <w:szCs w:val="20"/>
          <w:lang w:val="es-ES_tradnl" w:eastAsia="en-US"/>
        </w:rPr>
        <w:t>su</w:t>
      </w:r>
      <w:r w:rsidR="002570D1" w:rsidRPr="002570D1">
        <w:rPr>
          <w:rFonts w:eastAsia="Calibri"/>
          <w:sz w:val="20"/>
          <w:szCs w:val="20"/>
          <w:lang w:val="es-ES_tradnl" w:eastAsia="en-US"/>
        </w:rPr>
        <w:t xml:space="preserve"> responsabilidad por la violación del artículo 4 de la Convención Americana, al considerar que los hechos sucedidos carecen de nexo causal con el deceso del señor Poblete Vilches</w:t>
      </w:r>
      <w:r w:rsidR="00874307">
        <w:rPr>
          <w:rFonts w:eastAsia="Calibri"/>
          <w:sz w:val="20"/>
          <w:szCs w:val="20"/>
          <w:lang w:val="es-ES_tradnl" w:eastAsia="en-US"/>
        </w:rPr>
        <w:t xml:space="preserve"> (</w:t>
      </w:r>
      <w:r w:rsidR="00874307" w:rsidRPr="00B1523A">
        <w:rPr>
          <w:rFonts w:eastAsia="Calibri"/>
          <w:i/>
          <w:sz w:val="20"/>
          <w:szCs w:val="20"/>
          <w:lang w:val="es-ES_tradnl" w:eastAsia="en-US"/>
        </w:rPr>
        <w:t>supra</w:t>
      </w:r>
      <w:r w:rsidR="00874307">
        <w:rPr>
          <w:rFonts w:eastAsia="Calibri"/>
          <w:sz w:val="20"/>
          <w:szCs w:val="20"/>
          <w:lang w:val="es-ES_tradnl" w:eastAsia="en-US"/>
        </w:rPr>
        <w:t xml:space="preserve"> párr. 20)</w:t>
      </w:r>
      <w:r w:rsidR="002570D1" w:rsidRPr="002570D1">
        <w:rPr>
          <w:rFonts w:eastAsia="Calibri"/>
          <w:sz w:val="20"/>
          <w:szCs w:val="20"/>
          <w:lang w:val="es-ES_tradnl" w:eastAsia="en-US"/>
        </w:rPr>
        <w:t xml:space="preserve">. Al respecto, corresponde a la Corte determinar si existen elementos que acrediten que las acciones u omisiones del Estado hayan derivado en </w:t>
      </w:r>
      <w:r w:rsidR="00874307">
        <w:rPr>
          <w:rFonts w:eastAsia="Calibri"/>
          <w:sz w:val="20"/>
          <w:szCs w:val="20"/>
          <w:lang w:val="es-ES_tradnl" w:eastAsia="en-US"/>
        </w:rPr>
        <w:t xml:space="preserve">la </w:t>
      </w:r>
      <w:r w:rsidR="002570D1" w:rsidRPr="002570D1">
        <w:rPr>
          <w:rFonts w:eastAsia="Calibri"/>
          <w:sz w:val="20"/>
          <w:szCs w:val="20"/>
          <w:lang w:val="es-ES_tradnl" w:eastAsia="en-US"/>
        </w:rPr>
        <w:t xml:space="preserve">muerte del paciente. </w:t>
      </w:r>
    </w:p>
    <w:p w14:paraId="0CCC50DF" w14:textId="77777777" w:rsidR="002570D1" w:rsidRPr="002570D1" w:rsidRDefault="002570D1" w:rsidP="002570D1">
      <w:pPr>
        <w:rPr>
          <w:rFonts w:eastAsia="Calibri"/>
          <w:lang w:val="es-MX" w:eastAsia="en-US"/>
        </w:rPr>
      </w:pPr>
    </w:p>
    <w:p w14:paraId="15473862" w14:textId="77777777" w:rsidR="002570D1" w:rsidRPr="002570D1" w:rsidRDefault="002570D1" w:rsidP="002570D1">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val="es-MX" w:eastAsia="en-US"/>
        </w:rPr>
        <w:t xml:space="preserve">La Corte ha señalado que el derecho a la vida es un derecho humano fundamental, cuyo goce pleno es un prerrequisito para el disfrute de todos los demás derechos humanos. En virtud de este papel fundamental que se le asigna en la Convención, los Estados tienen la obligación </w:t>
      </w:r>
      <w:r w:rsidRPr="002570D1">
        <w:rPr>
          <w:rFonts w:eastAsia="Calibri"/>
          <w:sz w:val="20"/>
          <w:szCs w:val="20"/>
          <w:lang w:val="es-MX" w:eastAsia="en-US"/>
        </w:rPr>
        <w:lastRenderedPageBreak/>
        <w:t>de garantizar la creación de las condiciones que se requieran para que no se produzcan violaciones de ese derecho</w:t>
      </w:r>
      <w:r w:rsidRPr="002570D1">
        <w:rPr>
          <w:rFonts w:eastAsia="Calibri"/>
          <w:sz w:val="20"/>
          <w:szCs w:val="20"/>
          <w:vertAlign w:val="superscript"/>
          <w:lang w:val="es-MX" w:eastAsia="en-US"/>
        </w:rPr>
        <w:footnoteReference w:id="236"/>
      </w:r>
      <w:r w:rsidRPr="002570D1">
        <w:rPr>
          <w:rFonts w:eastAsia="Calibri"/>
          <w:sz w:val="20"/>
          <w:szCs w:val="20"/>
          <w:lang w:val="es-MX" w:eastAsia="en-US"/>
        </w:rPr>
        <w:t xml:space="preserve">. </w:t>
      </w:r>
    </w:p>
    <w:p w14:paraId="684AB202" w14:textId="77777777" w:rsidR="002570D1" w:rsidRPr="002570D1" w:rsidRDefault="002570D1" w:rsidP="002570D1">
      <w:pPr>
        <w:ind w:left="-90" w:right="-360"/>
        <w:rPr>
          <w:rFonts w:eastAsia="Calibri"/>
          <w:sz w:val="20"/>
          <w:szCs w:val="20"/>
          <w:lang w:val="es-MX" w:eastAsia="en-US"/>
        </w:rPr>
      </w:pPr>
    </w:p>
    <w:p w14:paraId="149BEF97" w14:textId="70A9FADD" w:rsidR="002570D1" w:rsidRPr="002570D1" w:rsidRDefault="00DA1A27" w:rsidP="002570D1">
      <w:pPr>
        <w:numPr>
          <w:ilvl w:val="0"/>
          <w:numId w:val="2"/>
        </w:numPr>
        <w:tabs>
          <w:tab w:val="left" w:pos="567"/>
          <w:tab w:val="num" w:pos="1569"/>
          <w:tab w:val="num" w:pos="12305"/>
        </w:tabs>
        <w:ind w:left="0" w:firstLine="0"/>
        <w:rPr>
          <w:rFonts w:eastAsia="Calibri"/>
          <w:sz w:val="20"/>
          <w:szCs w:val="20"/>
          <w:lang w:val="es-MX" w:eastAsia="en-US"/>
        </w:rPr>
      </w:pPr>
      <w:r>
        <w:rPr>
          <w:rFonts w:eastAsia="Calibri"/>
          <w:sz w:val="20"/>
          <w:szCs w:val="20"/>
          <w:lang w:val="es-MX" w:eastAsia="en-US"/>
        </w:rPr>
        <w:t>E</w:t>
      </w:r>
      <w:r w:rsidR="00447A8B">
        <w:rPr>
          <w:rFonts w:eastAsia="Calibri"/>
          <w:sz w:val="20"/>
          <w:szCs w:val="20"/>
          <w:lang w:val="es-MX" w:eastAsia="en-US"/>
        </w:rPr>
        <w:t>sta</w:t>
      </w:r>
      <w:r w:rsidR="002570D1" w:rsidRPr="002570D1">
        <w:rPr>
          <w:rFonts w:eastAsia="Calibri"/>
          <w:sz w:val="20"/>
          <w:szCs w:val="20"/>
          <w:lang w:val="es-MX" w:eastAsia="en-US"/>
        </w:rPr>
        <w:t xml:space="preserve"> Corte ha</w:t>
      </w:r>
      <w:r>
        <w:rPr>
          <w:rFonts w:eastAsia="Calibri"/>
          <w:sz w:val="20"/>
          <w:szCs w:val="20"/>
          <w:lang w:val="es-MX" w:eastAsia="en-US"/>
        </w:rPr>
        <w:t xml:space="preserve"> sostenido</w:t>
      </w:r>
      <w:r w:rsidRPr="002570D1">
        <w:rPr>
          <w:rFonts w:eastAsia="Calibri"/>
          <w:sz w:val="20"/>
          <w:szCs w:val="20"/>
          <w:lang w:val="es-MX" w:eastAsia="en-US"/>
        </w:rPr>
        <w:t xml:space="preserve"> </w:t>
      </w:r>
      <w:r>
        <w:rPr>
          <w:rFonts w:eastAsia="Calibri"/>
          <w:sz w:val="20"/>
          <w:szCs w:val="20"/>
          <w:lang w:val="es-MX" w:eastAsia="en-US"/>
        </w:rPr>
        <w:t>q</w:t>
      </w:r>
      <w:r w:rsidR="002570D1" w:rsidRPr="002570D1">
        <w:rPr>
          <w:rFonts w:eastAsia="Calibri"/>
          <w:sz w:val="20"/>
          <w:szCs w:val="20"/>
          <w:lang w:val="es-MX" w:eastAsia="en-US"/>
        </w:rPr>
        <w:t>ue el Estado debe implementar medidas positivas para proteger la vida de las personas bajo su jurisdicción y velar por la calidad de los servicios de atención a la salud y asegurar que los profesionales reúnan las condiciones necesarias para su ejercicio</w:t>
      </w:r>
      <w:r w:rsidR="00447A8B">
        <w:rPr>
          <w:rFonts w:eastAsia="Calibri"/>
          <w:sz w:val="20"/>
          <w:szCs w:val="20"/>
          <w:lang w:val="es-MX" w:eastAsia="en-US"/>
        </w:rPr>
        <w:t xml:space="preserve"> </w:t>
      </w:r>
      <w:r w:rsidR="002570D1" w:rsidRPr="002570D1">
        <w:rPr>
          <w:rFonts w:eastAsia="Calibri"/>
          <w:sz w:val="20"/>
          <w:szCs w:val="20"/>
          <w:lang w:val="es-MX" w:eastAsia="en-US"/>
        </w:rPr>
        <w:t>a fin de proteger la vida de sus pacientes</w:t>
      </w:r>
      <w:r w:rsidRPr="002570D1">
        <w:rPr>
          <w:rFonts w:eastAsia="Calibri"/>
          <w:sz w:val="20"/>
          <w:szCs w:val="20"/>
          <w:vertAlign w:val="superscript"/>
          <w:lang w:val="es-MX" w:eastAsia="en-US"/>
        </w:rPr>
        <w:footnoteReference w:id="237"/>
      </w:r>
      <w:r w:rsidR="002570D1" w:rsidRPr="002570D1">
        <w:rPr>
          <w:rFonts w:eastAsia="Calibri"/>
          <w:sz w:val="20"/>
          <w:szCs w:val="20"/>
          <w:lang w:val="es-MX" w:eastAsia="en-US"/>
        </w:rPr>
        <w:t>.</w:t>
      </w:r>
      <w:r w:rsidRPr="00DA1A27">
        <w:rPr>
          <w:rFonts w:eastAsia="Calibri"/>
          <w:sz w:val="20"/>
          <w:szCs w:val="20"/>
          <w:lang w:val="es-MX" w:eastAsia="en-US"/>
        </w:rPr>
        <w:t xml:space="preserve"> </w:t>
      </w:r>
      <w:r>
        <w:rPr>
          <w:rFonts w:eastAsia="Calibri"/>
          <w:sz w:val="20"/>
          <w:szCs w:val="20"/>
          <w:lang w:val="es-MX" w:eastAsia="en-US"/>
        </w:rPr>
        <w:t>En este sentido se han pronunciado también e</w:t>
      </w:r>
      <w:r w:rsidRPr="002570D1">
        <w:rPr>
          <w:rFonts w:eastAsia="Calibri"/>
          <w:sz w:val="20"/>
          <w:szCs w:val="20"/>
          <w:lang w:val="es-MX" w:eastAsia="en-US"/>
        </w:rPr>
        <w:t xml:space="preserve">l Comité </w:t>
      </w:r>
      <w:r w:rsidR="00874307">
        <w:rPr>
          <w:rFonts w:eastAsia="Calibri"/>
          <w:sz w:val="20"/>
          <w:szCs w:val="20"/>
          <w:lang w:val="es-MX" w:eastAsia="en-US"/>
        </w:rPr>
        <w:t>DESC</w:t>
      </w:r>
      <w:r w:rsidRPr="002570D1">
        <w:rPr>
          <w:rFonts w:eastAsia="Calibri"/>
          <w:sz w:val="20"/>
          <w:szCs w:val="20"/>
          <w:vertAlign w:val="superscript"/>
          <w:lang w:val="es-MX" w:eastAsia="en-US"/>
        </w:rPr>
        <w:footnoteReference w:id="238"/>
      </w:r>
      <w:r w:rsidR="003326E6">
        <w:rPr>
          <w:rFonts w:eastAsia="Calibri"/>
          <w:sz w:val="20"/>
          <w:szCs w:val="20"/>
          <w:lang w:val="es-MX" w:eastAsia="en-US"/>
        </w:rPr>
        <w:t xml:space="preserve"> y</w:t>
      </w:r>
      <w:r w:rsidRPr="002570D1">
        <w:rPr>
          <w:rFonts w:eastAsia="Calibri"/>
          <w:sz w:val="20"/>
          <w:szCs w:val="20"/>
          <w:lang w:val="es-MX" w:eastAsia="en-US"/>
        </w:rPr>
        <w:t xml:space="preserve"> el Tribunal Europeo de Derechos Humanos</w:t>
      </w:r>
      <w:r w:rsidRPr="002570D1">
        <w:rPr>
          <w:rFonts w:eastAsia="Calibri"/>
          <w:sz w:val="20"/>
          <w:szCs w:val="20"/>
          <w:vertAlign w:val="superscript"/>
          <w:lang w:val="es-MX" w:eastAsia="en-US"/>
        </w:rPr>
        <w:footnoteReference w:id="239"/>
      </w:r>
      <w:r>
        <w:rPr>
          <w:rFonts w:eastAsia="Calibri"/>
          <w:sz w:val="20"/>
          <w:szCs w:val="20"/>
          <w:lang w:val="es-MX" w:eastAsia="en-US"/>
        </w:rPr>
        <w:t xml:space="preserve">. </w:t>
      </w:r>
    </w:p>
    <w:p w14:paraId="3D4326CF" w14:textId="77777777" w:rsidR="002570D1" w:rsidRPr="002570D1" w:rsidRDefault="002570D1" w:rsidP="002570D1">
      <w:pPr>
        <w:ind w:right="-360"/>
        <w:rPr>
          <w:rFonts w:eastAsia="Calibri"/>
          <w:sz w:val="20"/>
          <w:szCs w:val="20"/>
          <w:lang w:val="es-MX" w:eastAsia="en-US"/>
        </w:rPr>
      </w:pPr>
    </w:p>
    <w:p w14:paraId="54349A75" w14:textId="77777777" w:rsidR="00636C77" w:rsidRPr="0059117C" w:rsidRDefault="002570D1" w:rsidP="00636C77">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val="es-MX" w:eastAsia="en-US"/>
        </w:rPr>
        <w:t xml:space="preserve">Sobre el particular, en materia de salud, la Corte </w:t>
      </w:r>
      <w:r w:rsidR="00636C77">
        <w:rPr>
          <w:rFonts w:eastAsia="Calibri"/>
          <w:sz w:val="20"/>
          <w:szCs w:val="20"/>
          <w:lang w:val="es-MX" w:eastAsia="en-US"/>
        </w:rPr>
        <w:t xml:space="preserve">estima que </w:t>
      </w:r>
      <w:r w:rsidRPr="002570D1">
        <w:rPr>
          <w:rFonts w:eastAsia="Calibri"/>
          <w:sz w:val="20"/>
          <w:szCs w:val="20"/>
          <w:lang w:val="es-MX" w:eastAsia="en-US"/>
        </w:rPr>
        <w:t>no toda muerte acaecida por negligencias médicas debe ser atribuida al Estado internacionalmente</w:t>
      </w:r>
      <w:r w:rsidR="00636C77" w:rsidRPr="002570D1">
        <w:rPr>
          <w:rFonts w:eastAsia="Calibri"/>
          <w:sz w:val="20"/>
          <w:szCs w:val="20"/>
          <w:vertAlign w:val="superscript"/>
          <w:lang w:val="es-MX" w:eastAsia="en-US"/>
        </w:rPr>
        <w:footnoteReference w:id="240"/>
      </w:r>
      <w:r w:rsidRPr="002570D1">
        <w:rPr>
          <w:rFonts w:eastAsia="Calibri"/>
          <w:sz w:val="20"/>
          <w:szCs w:val="20"/>
          <w:lang w:val="es-MX" w:eastAsia="en-US"/>
        </w:rPr>
        <w:t>. Para ello,</w:t>
      </w:r>
      <w:r w:rsidRPr="002570D1">
        <w:rPr>
          <w:rFonts w:eastAsia="Calibri"/>
          <w:sz w:val="20"/>
          <w:szCs w:val="20"/>
          <w:lang w:val="es-AR" w:eastAsia="en-US"/>
        </w:rPr>
        <w:t xml:space="preserve"> </w:t>
      </w:r>
      <w:r w:rsidRPr="002570D1">
        <w:rPr>
          <w:rFonts w:eastAsia="Calibri"/>
          <w:sz w:val="20"/>
          <w:szCs w:val="20"/>
          <w:lang w:val="es-ES_tradnl" w:eastAsia="en-US"/>
        </w:rPr>
        <w:t xml:space="preserve">corresponderá atender las circunstancias particulares del caso. </w:t>
      </w:r>
    </w:p>
    <w:p w14:paraId="01164A62" w14:textId="77777777" w:rsidR="001C02D8" w:rsidRPr="0059117C" w:rsidRDefault="001C02D8" w:rsidP="0059117C">
      <w:pPr>
        <w:tabs>
          <w:tab w:val="left" w:pos="567"/>
        </w:tabs>
        <w:rPr>
          <w:rFonts w:eastAsia="Calibri"/>
          <w:sz w:val="20"/>
          <w:szCs w:val="20"/>
          <w:lang w:val="es-MX" w:eastAsia="en-US"/>
        </w:rPr>
      </w:pPr>
    </w:p>
    <w:p w14:paraId="4F3036D7" w14:textId="123C76C6" w:rsidR="002570D1" w:rsidRPr="002570D1" w:rsidRDefault="0001661C" w:rsidP="00636C77">
      <w:pPr>
        <w:numPr>
          <w:ilvl w:val="0"/>
          <w:numId w:val="2"/>
        </w:numPr>
        <w:tabs>
          <w:tab w:val="left" w:pos="567"/>
          <w:tab w:val="num" w:pos="1569"/>
          <w:tab w:val="num" w:pos="12305"/>
        </w:tabs>
        <w:ind w:left="0" w:firstLine="0"/>
        <w:rPr>
          <w:rFonts w:eastAsia="Calibri"/>
          <w:sz w:val="20"/>
          <w:szCs w:val="20"/>
          <w:lang w:val="es-MX" w:eastAsia="en-US"/>
        </w:rPr>
      </w:pPr>
      <w:r w:rsidRPr="00B1523A">
        <w:rPr>
          <w:rFonts w:eastAsia="Calibri"/>
          <w:sz w:val="20"/>
          <w:szCs w:val="20"/>
          <w:lang w:val="es-ES_tradnl" w:eastAsia="en-US"/>
        </w:rPr>
        <w:t>P</w:t>
      </w:r>
      <w:r w:rsidR="00636C77">
        <w:rPr>
          <w:rFonts w:eastAsia="Calibri"/>
          <w:sz w:val="20"/>
          <w:szCs w:val="20"/>
          <w:lang w:val="es-ES_tradnl" w:eastAsia="en-US"/>
        </w:rPr>
        <w:t>ara efectos de determinar la responsabilidad internacional del Estado en casos de muerte</w:t>
      </w:r>
      <w:r w:rsidR="00874307">
        <w:rPr>
          <w:rFonts w:eastAsia="Calibri"/>
          <w:sz w:val="20"/>
          <w:szCs w:val="20"/>
          <w:lang w:val="es-ES_tradnl" w:eastAsia="en-US"/>
        </w:rPr>
        <w:t xml:space="preserve"> en el contexto médico</w:t>
      </w:r>
      <w:r w:rsidR="00636C77">
        <w:rPr>
          <w:rFonts w:eastAsia="Calibri"/>
          <w:sz w:val="20"/>
          <w:szCs w:val="20"/>
          <w:lang w:val="es-ES_tradnl" w:eastAsia="en-US"/>
        </w:rPr>
        <w:t xml:space="preserve">, es preciso acreditar los siguientes elementos: </w:t>
      </w:r>
      <w:r w:rsidR="00636C77" w:rsidRPr="002570D1">
        <w:rPr>
          <w:rFonts w:eastAsia="Calibri"/>
          <w:sz w:val="20"/>
          <w:szCs w:val="18"/>
          <w:lang w:val="es-HN" w:eastAsia="en-US"/>
        </w:rPr>
        <w:t xml:space="preserve">a) cuando por actos u omisiones se niegue a un paciente el acceso a la salud en situaciones de </w:t>
      </w:r>
      <w:r w:rsidR="002A64C9">
        <w:rPr>
          <w:rFonts w:eastAsia="Calibri"/>
          <w:sz w:val="20"/>
          <w:szCs w:val="18"/>
          <w:lang w:val="es-HN" w:eastAsia="en-US"/>
        </w:rPr>
        <w:t>urgencia</w:t>
      </w:r>
      <w:r w:rsidR="002A64C9" w:rsidRPr="002570D1">
        <w:rPr>
          <w:rFonts w:eastAsia="Calibri"/>
          <w:sz w:val="20"/>
          <w:szCs w:val="18"/>
          <w:lang w:val="es-HN" w:eastAsia="en-US"/>
        </w:rPr>
        <w:t xml:space="preserve"> </w:t>
      </w:r>
      <w:r w:rsidR="00636C77" w:rsidRPr="002570D1">
        <w:rPr>
          <w:rFonts w:eastAsia="Calibri"/>
          <w:sz w:val="20"/>
          <w:szCs w:val="18"/>
          <w:lang w:val="es-HN" w:eastAsia="en-US"/>
        </w:rPr>
        <w:t>médica o tratamiento</w:t>
      </w:r>
      <w:r w:rsidR="000650AB">
        <w:rPr>
          <w:rFonts w:eastAsia="Calibri"/>
          <w:sz w:val="20"/>
          <w:szCs w:val="18"/>
          <w:lang w:val="es-HN" w:eastAsia="en-US"/>
        </w:rPr>
        <w:t>s</w:t>
      </w:r>
      <w:r w:rsidR="00636C77" w:rsidRPr="002570D1">
        <w:rPr>
          <w:rFonts w:eastAsia="Calibri"/>
          <w:sz w:val="20"/>
          <w:szCs w:val="18"/>
          <w:lang w:val="es-HN" w:eastAsia="en-US"/>
        </w:rPr>
        <w:t xml:space="preserve"> médicos esenciales, a pesar de </w:t>
      </w:r>
      <w:r w:rsidR="000650AB">
        <w:rPr>
          <w:rFonts w:eastAsia="Calibri"/>
          <w:sz w:val="20"/>
          <w:szCs w:val="18"/>
          <w:lang w:val="es-HN" w:eastAsia="en-US"/>
        </w:rPr>
        <w:t>ser previsible</w:t>
      </w:r>
      <w:r w:rsidR="00F914DD">
        <w:rPr>
          <w:rFonts w:eastAsia="Calibri"/>
          <w:sz w:val="20"/>
          <w:szCs w:val="18"/>
          <w:lang w:val="es-HN" w:eastAsia="en-US"/>
        </w:rPr>
        <w:t xml:space="preserve"> </w:t>
      </w:r>
      <w:r w:rsidR="00636C77" w:rsidRPr="002570D1">
        <w:rPr>
          <w:rFonts w:eastAsia="Calibri"/>
          <w:sz w:val="20"/>
          <w:szCs w:val="18"/>
          <w:lang w:val="es-HN" w:eastAsia="en-US"/>
        </w:rPr>
        <w:t>el riesgo que implica dicha denegación para la vida del paciente</w:t>
      </w:r>
      <w:r w:rsidR="001C02D8">
        <w:rPr>
          <w:rFonts w:eastAsia="Calibri"/>
          <w:sz w:val="20"/>
          <w:szCs w:val="18"/>
          <w:lang w:val="es-HN" w:eastAsia="en-US"/>
        </w:rPr>
        <w:t>; o bien, b) se acredite una negligencia médica grave</w:t>
      </w:r>
      <w:r w:rsidR="00963653">
        <w:rPr>
          <w:rStyle w:val="FootnoteReference"/>
          <w:rFonts w:eastAsia="Calibri"/>
          <w:sz w:val="20"/>
          <w:szCs w:val="18"/>
          <w:lang w:val="es-HN" w:eastAsia="en-US"/>
        </w:rPr>
        <w:footnoteReference w:id="241"/>
      </w:r>
      <w:r w:rsidR="001C02D8">
        <w:rPr>
          <w:rFonts w:eastAsia="Calibri"/>
          <w:sz w:val="20"/>
          <w:szCs w:val="18"/>
          <w:lang w:val="es-HN" w:eastAsia="en-US"/>
        </w:rPr>
        <w:t>;</w:t>
      </w:r>
      <w:r w:rsidR="00636C77">
        <w:rPr>
          <w:rFonts w:eastAsia="Calibri"/>
          <w:sz w:val="20"/>
          <w:szCs w:val="18"/>
          <w:lang w:val="es-HN" w:eastAsia="en-US"/>
        </w:rPr>
        <w:t xml:space="preserve"> y </w:t>
      </w:r>
      <w:r w:rsidR="001C02D8" w:rsidRPr="005F3EE7">
        <w:rPr>
          <w:rFonts w:eastAsia="Calibri"/>
          <w:sz w:val="20"/>
          <w:szCs w:val="18"/>
          <w:lang w:val="es-HN" w:eastAsia="en-US"/>
        </w:rPr>
        <w:t>c</w:t>
      </w:r>
      <w:r w:rsidR="00636C77" w:rsidRPr="005F3EE7">
        <w:rPr>
          <w:rFonts w:eastAsia="Calibri"/>
          <w:sz w:val="20"/>
          <w:szCs w:val="18"/>
          <w:lang w:val="es-HN" w:eastAsia="en-US"/>
        </w:rPr>
        <w:t>) la existe</w:t>
      </w:r>
      <w:r w:rsidR="00F20477" w:rsidRPr="005F3EE7">
        <w:rPr>
          <w:rFonts w:eastAsia="Calibri"/>
          <w:sz w:val="20"/>
          <w:szCs w:val="18"/>
          <w:lang w:val="es-HN" w:eastAsia="en-US"/>
        </w:rPr>
        <w:t>ncia de un nexo causal, entre el acto</w:t>
      </w:r>
      <w:r w:rsidR="003326E6">
        <w:rPr>
          <w:rFonts w:eastAsia="Calibri"/>
          <w:sz w:val="20"/>
          <w:szCs w:val="18"/>
          <w:lang w:val="es-HN" w:eastAsia="en-US"/>
        </w:rPr>
        <w:t xml:space="preserve"> </w:t>
      </w:r>
      <w:r w:rsidR="00636C77" w:rsidRPr="005F3EE7">
        <w:rPr>
          <w:rFonts w:eastAsia="Calibri"/>
          <w:sz w:val="20"/>
          <w:szCs w:val="18"/>
          <w:lang w:val="es-HN" w:eastAsia="en-US"/>
        </w:rPr>
        <w:t>acreditad</w:t>
      </w:r>
      <w:r w:rsidR="00EF1141" w:rsidRPr="00AB1E03">
        <w:rPr>
          <w:rFonts w:eastAsia="Calibri"/>
          <w:sz w:val="20"/>
          <w:szCs w:val="18"/>
          <w:lang w:val="es-HN" w:eastAsia="en-US"/>
        </w:rPr>
        <w:t>o</w:t>
      </w:r>
      <w:r w:rsidR="00636C77" w:rsidRPr="005F3EE7">
        <w:rPr>
          <w:rFonts w:eastAsia="Calibri"/>
          <w:sz w:val="20"/>
          <w:szCs w:val="18"/>
          <w:lang w:val="es-HN" w:eastAsia="en-US"/>
        </w:rPr>
        <w:t xml:space="preserve"> y el daño sufrido por el paciente</w:t>
      </w:r>
      <w:r w:rsidR="00636C77" w:rsidRPr="005F3EE7">
        <w:rPr>
          <w:rStyle w:val="FootnoteReference"/>
          <w:rFonts w:eastAsia="Calibri"/>
          <w:sz w:val="20"/>
          <w:szCs w:val="20"/>
          <w:lang w:val="es-MX" w:eastAsia="en-US"/>
        </w:rPr>
        <w:footnoteReference w:id="242"/>
      </w:r>
      <w:r w:rsidR="00EF1141" w:rsidRPr="00AB1E03">
        <w:rPr>
          <w:rFonts w:eastAsia="Calibri"/>
          <w:sz w:val="20"/>
          <w:szCs w:val="18"/>
          <w:lang w:val="es-HN" w:eastAsia="en-US"/>
        </w:rPr>
        <w:t xml:space="preserve">. </w:t>
      </w:r>
      <w:r w:rsidR="00EF1141" w:rsidRPr="00B1523A">
        <w:rPr>
          <w:rFonts w:eastAsia="Calibri"/>
          <w:sz w:val="20"/>
          <w:szCs w:val="18"/>
          <w:lang w:val="es-HN" w:eastAsia="en-US"/>
        </w:rPr>
        <w:t xml:space="preserve">Cuando la atribución de responsabilidad proviene de una </w:t>
      </w:r>
      <w:r w:rsidR="00356C7F" w:rsidRPr="00B1523A">
        <w:rPr>
          <w:bCs/>
          <w:sz w:val="20"/>
          <w:szCs w:val="20"/>
          <w:lang w:val="es-ES_tradnl"/>
        </w:rPr>
        <w:t>omisión</w:t>
      </w:r>
      <w:r w:rsidR="00847C4A">
        <w:rPr>
          <w:bCs/>
          <w:sz w:val="20"/>
          <w:szCs w:val="20"/>
          <w:lang w:val="es-ES_tradnl"/>
        </w:rPr>
        <w:t>,</w:t>
      </w:r>
      <w:r w:rsidR="00356C7F" w:rsidRPr="00B1523A">
        <w:rPr>
          <w:bCs/>
          <w:sz w:val="20"/>
          <w:szCs w:val="20"/>
          <w:lang w:val="es-ES_tradnl"/>
        </w:rPr>
        <w:t xml:space="preserve"> se requiere </w:t>
      </w:r>
      <w:r w:rsidR="00EF1141" w:rsidRPr="00B1523A">
        <w:rPr>
          <w:bCs/>
          <w:sz w:val="20"/>
          <w:szCs w:val="20"/>
          <w:lang w:val="es-ES_tradnl"/>
        </w:rPr>
        <w:t xml:space="preserve">verificar </w:t>
      </w:r>
      <w:r w:rsidR="00356C7F" w:rsidRPr="00B1523A">
        <w:rPr>
          <w:bCs/>
          <w:sz w:val="20"/>
          <w:szCs w:val="20"/>
          <w:lang w:val="es-ES_tradnl"/>
        </w:rPr>
        <w:t xml:space="preserve">la probabilidad de que la </w:t>
      </w:r>
      <w:r w:rsidR="00EF1141" w:rsidRPr="00B1523A">
        <w:rPr>
          <w:bCs/>
          <w:sz w:val="20"/>
          <w:szCs w:val="20"/>
          <w:lang w:val="es-ES_tradnl"/>
        </w:rPr>
        <w:t xml:space="preserve">conducta omitida </w:t>
      </w:r>
      <w:r w:rsidR="00356C7F" w:rsidRPr="00B1523A">
        <w:rPr>
          <w:bCs/>
          <w:sz w:val="20"/>
          <w:szCs w:val="20"/>
          <w:lang w:val="es-ES_tradnl"/>
        </w:rPr>
        <w:t>hubiese interrumpido el proceso causal que desembocó en el resultado dañoso</w:t>
      </w:r>
      <w:r w:rsidR="00356C7F" w:rsidRPr="003326E6">
        <w:rPr>
          <w:sz w:val="20"/>
          <w:szCs w:val="20"/>
          <w:lang w:val="es-ES_tradnl"/>
        </w:rPr>
        <w:t>.</w:t>
      </w:r>
      <w:r w:rsidR="005F3EE7">
        <w:rPr>
          <w:rFonts w:eastAsia="Calibri"/>
          <w:sz w:val="20"/>
          <w:szCs w:val="20"/>
          <w:lang w:val="es-ES_tradnl" w:eastAsia="en-US"/>
        </w:rPr>
        <w:t xml:space="preserve"> </w:t>
      </w:r>
      <w:r w:rsidR="002570D1" w:rsidRPr="005F3EE7">
        <w:rPr>
          <w:rFonts w:eastAsia="Calibri"/>
          <w:sz w:val="20"/>
          <w:szCs w:val="20"/>
          <w:lang w:val="es-MX" w:eastAsia="en-US"/>
        </w:rPr>
        <w:t>Dicha</w:t>
      </w:r>
      <w:r w:rsidR="00874307">
        <w:rPr>
          <w:rFonts w:eastAsia="Calibri"/>
          <w:sz w:val="20"/>
          <w:szCs w:val="20"/>
          <w:lang w:val="es-MX" w:eastAsia="en-US"/>
        </w:rPr>
        <w:t>s</w:t>
      </w:r>
      <w:r w:rsidR="002570D1" w:rsidRPr="002570D1">
        <w:rPr>
          <w:rFonts w:eastAsia="Calibri"/>
          <w:sz w:val="20"/>
          <w:szCs w:val="20"/>
          <w:lang w:val="es-MX" w:eastAsia="en-US"/>
        </w:rPr>
        <w:t xml:space="preserve"> verificaci</w:t>
      </w:r>
      <w:r w:rsidR="00874307">
        <w:rPr>
          <w:rFonts w:eastAsia="Calibri"/>
          <w:sz w:val="20"/>
          <w:szCs w:val="20"/>
          <w:lang w:val="es-MX" w:eastAsia="en-US"/>
        </w:rPr>
        <w:t>ones</w:t>
      </w:r>
      <w:r w:rsidR="002570D1" w:rsidRPr="002570D1">
        <w:rPr>
          <w:rFonts w:eastAsia="Calibri"/>
          <w:sz w:val="20"/>
          <w:szCs w:val="20"/>
          <w:lang w:val="es-MX" w:eastAsia="en-US"/>
        </w:rPr>
        <w:t xml:space="preserve"> deberá tomar en consideración la posible situación de especial vulnerabilidad del afectado</w:t>
      </w:r>
      <w:r w:rsidR="003354BF" w:rsidRPr="002570D1">
        <w:rPr>
          <w:rFonts w:eastAsia="Calibri"/>
          <w:sz w:val="20"/>
          <w:szCs w:val="20"/>
          <w:vertAlign w:val="superscript"/>
          <w:lang w:val="es-MX" w:eastAsia="en-US"/>
        </w:rPr>
        <w:footnoteReference w:id="243"/>
      </w:r>
      <w:r w:rsidR="002570D1" w:rsidRPr="002570D1">
        <w:rPr>
          <w:rFonts w:eastAsia="Calibri"/>
          <w:sz w:val="20"/>
          <w:szCs w:val="20"/>
          <w:lang w:val="es-MX" w:eastAsia="en-US"/>
        </w:rPr>
        <w:t xml:space="preserve">, y frente a ello las medidas adoptadas para garantizar </w:t>
      </w:r>
      <w:r w:rsidR="00A6246E">
        <w:rPr>
          <w:rFonts w:eastAsia="Calibri"/>
          <w:sz w:val="20"/>
          <w:szCs w:val="20"/>
          <w:lang w:val="es-MX" w:eastAsia="en-US"/>
        </w:rPr>
        <w:t>su situación</w:t>
      </w:r>
      <w:r w:rsidR="001C02D8">
        <w:rPr>
          <w:rStyle w:val="FootnoteReference"/>
          <w:rFonts w:eastAsia="Calibri"/>
          <w:sz w:val="20"/>
          <w:szCs w:val="20"/>
          <w:lang w:val="es-MX" w:eastAsia="en-US"/>
        </w:rPr>
        <w:footnoteReference w:id="244"/>
      </w:r>
      <w:r w:rsidR="002570D1" w:rsidRPr="002570D1">
        <w:rPr>
          <w:rFonts w:eastAsia="Calibri"/>
          <w:sz w:val="20"/>
          <w:szCs w:val="20"/>
          <w:lang w:val="es-MX" w:eastAsia="en-US"/>
        </w:rPr>
        <w:t>.</w:t>
      </w:r>
    </w:p>
    <w:p w14:paraId="07B4BA84" w14:textId="77777777" w:rsidR="002570D1" w:rsidRPr="002570D1" w:rsidRDefault="002570D1" w:rsidP="0059117C">
      <w:pPr>
        <w:tabs>
          <w:tab w:val="left" w:pos="567"/>
        </w:tabs>
        <w:rPr>
          <w:rFonts w:eastAsia="Calibri"/>
          <w:sz w:val="20"/>
          <w:szCs w:val="20"/>
          <w:lang w:val="es-MX" w:eastAsia="en-US"/>
        </w:rPr>
      </w:pPr>
    </w:p>
    <w:p w14:paraId="3B6401D1" w14:textId="424AA6E1" w:rsidR="00963653" w:rsidRPr="0059117C" w:rsidRDefault="00A6246E" w:rsidP="002570D1">
      <w:pPr>
        <w:numPr>
          <w:ilvl w:val="0"/>
          <w:numId w:val="2"/>
        </w:numPr>
        <w:tabs>
          <w:tab w:val="left" w:pos="567"/>
          <w:tab w:val="num" w:pos="1569"/>
          <w:tab w:val="num" w:pos="12305"/>
        </w:tabs>
        <w:ind w:left="0" w:firstLine="0"/>
        <w:rPr>
          <w:rFonts w:eastAsia="Calibri"/>
          <w:sz w:val="20"/>
          <w:szCs w:val="20"/>
          <w:lang w:val="es-HN" w:eastAsia="en-US"/>
        </w:rPr>
      </w:pPr>
      <w:r>
        <w:rPr>
          <w:rFonts w:eastAsia="Calibri"/>
          <w:sz w:val="20"/>
          <w:szCs w:val="20"/>
          <w:lang w:val="es-HN" w:eastAsia="en-US"/>
        </w:rPr>
        <w:t xml:space="preserve">En el caso </w:t>
      </w:r>
      <w:r w:rsidRPr="0059117C">
        <w:rPr>
          <w:rFonts w:eastAsia="Calibri"/>
          <w:i/>
          <w:sz w:val="20"/>
          <w:szCs w:val="20"/>
          <w:lang w:val="es-HN" w:eastAsia="en-US"/>
        </w:rPr>
        <w:t>sub judice</w:t>
      </w:r>
      <w:r>
        <w:rPr>
          <w:rFonts w:eastAsia="Calibri"/>
          <w:sz w:val="20"/>
          <w:szCs w:val="20"/>
          <w:lang w:val="es-HN" w:eastAsia="en-US"/>
        </w:rPr>
        <w:t>, e</w:t>
      </w:r>
      <w:r w:rsidR="00031DB1">
        <w:rPr>
          <w:rFonts w:eastAsia="Calibri"/>
          <w:sz w:val="20"/>
          <w:szCs w:val="20"/>
          <w:lang w:val="es-HN" w:eastAsia="en-US"/>
        </w:rPr>
        <w:t>ste Tribunal</w:t>
      </w:r>
      <w:r w:rsidR="00963653">
        <w:rPr>
          <w:rFonts w:eastAsia="Calibri"/>
          <w:sz w:val="20"/>
          <w:szCs w:val="20"/>
          <w:lang w:val="es-HN" w:eastAsia="en-US"/>
        </w:rPr>
        <w:t xml:space="preserve"> acreditó una serie de omisiones en prestaciones básicas en materia de salud</w:t>
      </w:r>
      <w:r w:rsidR="000262AD">
        <w:rPr>
          <w:rStyle w:val="FootnoteReference"/>
          <w:rFonts w:eastAsia="Calibri"/>
          <w:sz w:val="20"/>
          <w:szCs w:val="20"/>
          <w:lang w:val="es-HN" w:eastAsia="en-US"/>
        </w:rPr>
        <w:footnoteReference w:id="245"/>
      </w:r>
      <w:r w:rsidR="00963653">
        <w:rPr>
          <w:rFonts w:eastAsia="Calibri"/>
          <w:sz w:val="20"/>
          <w:szCs w:val="20"/>
          <w:lang w:val="es-HN" w:eastAsia="en-US"/>
        </w:rPr>
        <w:t xml:space="preserve">, varias de las cuales inclusive fueron reconocidas por el Estado </w:t>
      </w:r>
      <w:r w:rsidR="00963653">
        <w:rPr>
          <w:rFonts w:eastAsia="Calibri"/>
          <w:sz w:val="20"/>
          <w:szCs w:val="20"/>
          <w:lang w:val="es-HN" w:eastAsia="en-US"/>
        </w:rPr>
        <w:lastRenderedPageBreak/>
        <w:t>(</w:t>
      </w:r>
      <w:r w:rsidR="00062586" w:rsidRPr="00062586">
        <w:rPr>
          <w:rFonts w:eastAsia="Calibri"/>
          <w:i/>
          <w:sz w:val="20"/>
          <w:szCs w:val="20"/>
          <w:lang w:val="es-HN" w:eastAsia="en-US"/>
        </w:rPr>
        <w:t>supra</w:t>
      </w:r>
      <w:r w:rsidR="00963653">
        <w:rPr>
          <w:rFonts w:eastAsia="Calibri"/>
          <w:sz w:val="20"/>
          <w:szCs w:val="20"/>
          <w:lang w:val="es-HN" w:eastAsia="en-US"/>
        </w:rPr>
        <w:t xml:space="preserve"> </w:t>
      </w:r>
      <w:proofErr w:type="spellStart"/>
      <w:r w:rsidR="00963653">
        <w:rPr>
          <w:rFonts w:eastAsia="Calibri"/>
          <w:sz w:val="20"/>
          <w:szCs w:val="20"/>
          <w:lang w:val="es-HN" w:eastAsia="en-US"/>
        </w:rPr>
        <w:t>párr</w:t>
      </w:r>
      <w:r w:rsidR="001A5114">
        <w:rPr>
          <w:rFonts w:eastAsia="Calibri"/>
          <w:sz w:val="20"/>
          <w:szCs w:val="20"/>
          <w:lang w:val="es-HN" w:eastAsia="en-US"/>
        </w:rPr>
        <w:t>s</w:t>
      </w:r>
      <w:proofErr w:type="spellEnd"/>
      <w:r w:rsidR="00963653">
        <w:rPr>
          <w:rFonts w:eastAsia="Calibri"/>
          <w:sz w:val="20"/>
          <w:szCs w:val="20"/>
          <w:lang w:val="es-HN" w:eastAsia="en-US"/>
        </w:rPr>
        <w:t>.</w:t>
      </w:r>
      <w:r w:rsidR="001A5114">
        <w:rPr>
          <w:rFonts w:eastAsia="Calibri"/>
          <w:sz w:val="20"/>
          <w:szCs w:val="20"/>
          <w:lang w:val="es-HN" w:eastAsia="en-US"/>
        </w:rPr>
        <w:t xml:space="preserve"> 17</w:t>
      </w:r>
      <w:r w:rsidR="0056695D">
        <w:rPr>
          <w:rFonts w:eastAsia="Calibri"/>
          <w:sz w:val="20"/>
          <w:szCs w:val="20"/>
          <w:lang w:val="es-HN" w:eastAsia="en-US"/>
        </w:rPr>
        <w:t xml:space="preserve"> y</w:t>
      </w:r>
      <w:r w:rsidR="001A5114">
        <w:rPr>
          <w:rFonts w:eastAsia="Calibri"/>
          <w:sz w:val="20"/>
          <w:szCs w:val="20"/>
          <w:lang w:val="es-HN" w:eastAsia="en-US"/>
        </w:rPr>
        <w:t xml:space="preserve"> 18</w:t>
      </w:r>
      <w:r w:rsidR="00963653">
        <w:rPr>
          <w:rFonts w:eastAsia="Calibri"/>
          <w:sz w:val="20"/>
          <w:szCs w:val="20"/>
          <w:lang w:val="es-HN" w:eastAsia="en-US"/>
        </w:rPr>
        <w:t>)</w:t>
      </w:r>
      <w:r w:rsidR="0056695D">
        <w:rPr>
          <w:rFonts w:eastAsia="Calibri"/>
          <w:sz w:val="20"/>
          <w:szCs w:val="20"/>
          <w:lang w:val="es-HN" w:eastAsia="en-US"/>
        </w:rPr>
        <w:t>.</w:t>
      </w:r>
      <w:r w:rsidR="00963653">
        <w:rPr>
          <w:rFonts w:eastAsia="Calibri"/>
          <w:sz w:val="20"/>
          <w:szCs w:val="20"/>
          <w:lang w:val="es-HN" w:eastAsia="en-US"/>
        </w:rPr>
        <w:t xml:space="preserve"> </w:t>
      </w:r>
      <w:r w:rsidR="0056695D">
        <w:rPr>
          <w:rFonts w:eastAsia="Calibri"/>
          <w:sz w:val="20"/>
          <w:szCs w:val="20"/>
          <w:lang w:val="es-HN" w:eastAsia="en-US"/>
        </w:rPr>
        <w:t xml:space="preserve">Particularmente en su segundo ingreso </w:t>
      </w:r>
      <w:r w:rsidR="00031DB1">
        <w:rPr>
          <w:rFonts w:eastAsia="Calibri"/>
          <w:sz w:val="20"/>
          <w:szCs w:val="20"/>
          <w:lang w:val="es-HN" w:eastAsia="en-US"/>
        </w:rPr>
        <w:t>se verificó que el Estado era consciente</w:t>
      </w:r>
      <w:r w:rsidR="00963653">
        <w:rPr>
          <w:rFonts w:eastAsia="Calibri"/>
          <w:sz w:val="20"/>
          <w:szCs w:val="20"/>
          <w:lang w:val="es-HN" w:eastAsia="en-US"/>
        </w:rPr>
        <w:t xml:space="preserve"> del tratamiento intensivo </w:t>
      </w:r>
      <w:r w:rsidR="000262AD">
        <w:rPr>
          <w:rFonts w:eastAsia="Calibri"/>
          <w:sz w:val="20"/>
          <w:szCs w:val="20"/>
          <w:lang w:val="es-HN" w:eastAsia="en-US"/>
        </w:rPr>
        <w:t>(dispuesto en la ficha clínica)</w:t>
      </w:r>
      <w:r w:rsidR="008867EC">
        <w:rPr>
          <w:rFonts w:eastAsia="Calibri"/>
          <w:sz w:val="20"/>
          <w:szCs w:val="20"/>
          <w:lang w:val="es-HN" w:eastAsia="en-US"/>
        </w:rPr>
        <w:t xml:space="preserve"> </w:t>
      </w:r>
      <w:r w:rsidR="00963653">
        <w:rPr>
          <w:rFonts w:eastAsia="Calibri"/>
          <w:sz w:val="20"/>
          <w:szCs w:val="20"/>
          <w:lang w:val="es-HN" w:eastAsia="en-US"/>
        </w:rPr>
        <w:t>que requería el señor Poblete Vilches</w:t>
      </w:r>
      <w:r w:rsidR="001A5114">
        <w:rPr>
          <w:rFonts w:eastAsia="Calibri"/>
          <w:sz w:val="20"/>
          <w:szCs w:val="20"/>
          <w:lang w:val="es-HN" w:eastAsia="en-US"/>
        </w:rPr>
        <w:t xml:space="preserve">, </w:t>
      </w:r>
      <w:r w:rsidR="0056695D">
        <w:rPr>
          <w:rFonts w:eastAsia="Calibri"/>
          <w:sz w:val="20"/>
          <w:szCs w:val="20"/>
          <w:lang w:val="es-HN" w:eastAsia="en-US"/>
        </w:rPr>
        <w:t xml:space="preserve">y </w:t>
      </w:r>
      <w:r w:rsidR="001A5114">
        <w:rPr>
          <w:rFonts w:eastAsia="Calibri"/>
          <w:sz w:val="20"/>
          <w:szCs w:val="20"/>
          <w:lang w:val="es-HN" w:eastAsia="en-US"/>
        </w:rPr>
        <w:t>no obstante no lo dispensó</w:t>
      </w:r>
      <w:r w:rsidR="00963653">
        <w:rPr>
          <w:rFonts w:eastAsia="Calibri"/>
          <w:sz w:val="20"/>
          <w:szCs w:val="20"/>
          <w:lang w:val="es-HN" w:eastAsia="en-US"/>
        </w:rPr>
        <w:t xml:space="preserve">. </w:t>
      </w:r>
    </w:p>
    <w:p w14:paraId="06A67AAF" w14:textId="77777777" w:rsidR="00963653" w:rsidRPr="0059117C" w:rsidRDefault="00963653" w:rsidP="0059117C">
      <w:pPr>
        <w:tabs>
          <w:tab w:val="left" w:pos="567"/>
        </w:tabs>
        <w:rPr>
          <w:rFonts w:eastAsia="Calibri"/>
          <w:sz w:val="20"/>
          <w:szCs w:val="20"/>
          <w:lang w:val="es-HN" w:eastAsia="en-US"/>
        </w:rPr>
      </w:pPr>
    </w:p>
    <w:p w14:paraId="3BBD3130" w14:textId="49F5011C" w:rsidR="002570D1" w:rsidRPr="002570D1" w:rsidRDefault="0056695D" w:rsidP="002570D1">
      <w:pPr>
        <w:numPr>
          <w:ilvl w:val="0"/>
          <w:numId w:val="2"/>
        </w:numPr>
        <w:tabs>
          <w:tab w:val="left" w:pos="567"/>
          <w:tab w:val="num" w:pos="1569"/>
          <w:tab w:val="num" w:pos="12305"/>
        </w:tabs>
        <w:ind w:left="0" w:firstLine="0"/>
        <w:rPr>
          <w:rFonts w:eastAsia="Calibri"/>
          <w:sz w:val="20"/>
          <w:szCs w:val="20"/>
          <w:lang w:val="es-HN" w:eastAsia="en-US"/>
        </w:rPr>
      </w:pPr>
      <w:r>
        <w:rPr>
          <w:rFonts w:eastAsia="Calibri"/>
          <w:sz w:val="20"/>
          <w:szCs w:val="20"/>
          <w:lang w:val="es-MX" w:eastAsia="en-US"/>
        </w:rPr>
        <w:t>L</w:t>
      </w:r>
      <w:r w:rsidR="000262AD">
        <w:rPr>
          <w:rFonts w:eastAsia="Calibri"/>
          <w:sz w:val="20"/>
          <w:szCs w:val="20"/>
          <w:lang w:val="es-MX" w:eastAsia="en-US"/>
        </w:rPr>
        <w:t xml:space="preserve">a Corte estima que </w:t>
      </w:r>
      <w:r w:rsidR="00F914DD">
        <w:rPr>
          <w:rFonts w:eastAsia="Calibri"/>
          <w:sz w:val="20"/>
          <w:szCs w:val="20"/>
          <w:lang w:val="es-MX" w:eastAsia="en-US"/>
        </w:rPr>
        <w:t>el Estado</w:t>
      </w:r>
      <w:r w:rsidR="000262AD" w:rsidRPr="002570D1">
        <w:rPr>
          <w:rFonts w:eastAsia="Calibri"/>
          <w:sz w:val="20"/>
          <w:szCs w:val="20"/>
          <w:lang w:val="es-MX" w:eastAsia="en-US"/>
        </w:rPr>
        <w:t xml:space="preserve"> negó </w:t>
      </w:r>
      <w:r w:rsidR="000262AD">
        <w:rPr>
          <w:rFonts w:eastAsia="Calibri"/>
          <w:sz w:val="20"/>
          <w:szCs w:val="20"/>
          <w:lang w:val="es-MX" w:eastAsia="en-US"/>
        </w:rPr>
        <w:t>a</w:t>
      </w:r>
      <w:r w:rsidR="000262AD" w:rsidRPr="002570D1">
        <w:rPr>
          <w:rFonts w:eastAsia="Calibri"/>
          <w:sz w:val="20"/>
          <w:szCs w:val="20"/>
          <w:lang w:val="es-MX" w:eastAsia="en-US"/>
        </w:rPr>
        <w:t xml:space="preserve">l señor Poblete Vilches un tratamiento médico de </w:t>
      </w:r>
      <w:r w:rsidR="002A64C9">
        <w:rPr>
          <w:rFonts w:eastAsia="Calibri"/>
          <w:sz w:val="20"/>
          <w:szCs w:val="20"/>
          <w:lang w:val="es-MX" w:eastAsia="en-US"/>
        </w:rPr>
        <w:t>urgencia</w:t>
      </w:r>
      <w:r w:rsidR="00F914DD">
        <w:rPr>
          <w:rFonts w:eastAsia="Calibri"/>
          <w:sz w:val="20"/>
          <w:szCs w:val="20"/>
          <w:lang w:val="es-MX" w:eastAsia="en-US"/>
        </w:rPr>
        <w:t>, no obstante habría consciencia</w:t>
      </w:r>
      <w:r w:rsidR="006D5706">
        <w:rPr>
          <w:rFonts w:eastAsia="Calibri"/>
          <w:sz w:val="20"/>
          <w:szCs w:val="20"/>
          <w:lang w:val="es-MX" w:eastAsia="en-US"/>
        </w:rPr>
        <w:t>,</w:t>
      </w:r>
      <w:r w:rsidR="00F914DD">
        <w:rPr>
          <w:rFonts w:eastAsia="Calibri"/>
          <w:sz w:val="20"/>
          <w:szCs w:val="20"/>
          <w:lang w:val="es-MX" w:eastAsia="en-US"/>
        </w:rPr>
        <w:t xml:space="preserve"> </w:t>
      </w:r>
      <w:r w:rsidR="006D5706">
        <w:rPr>
          <w:rFonts w:eastAsia="Calibri"/>
          <w:sz w:val="20"/>
          <w:szCs w:val="20"/>
          <w:lang w:val="es-MX" w:eastAsia="en-US"/>
        </w:rPr>
        <w:t xml:space="preserve">por parte del personal médico, </w:t>
      </w:r>
      <w:r w:rsidR="000262AD" w:rsidRPr="002570D1">
        <w:rPr>
          <w:rFonts w:eastAsia="Calibri"/>
          <w:sz w:val="20"/>
          <w:szCs w:val="20"/>
          <w:lang w:val="es-MX" w:eastAsia="en-US"/>
        </w:rPr>
        <w:t xml:space="preserve">que su vida </w:t>
      </w:r>
      <w:r w:rsidR="006D5706">
        <w:rPr>
          <w:rFonts w:eastAsia="Calibri"/>
          <w:sz w:val="20"/>
          <w:szCs w:val="20"/>
          <w:lang w:val="es-MX" w:eastAsia="en-US"/>
        </w:rPr>
        <w:t>se encontraba</w:t>
      </w:r>
      <w:r w:rsidR="000262AD" w:rsidRPr="002570D1">
        <w:rPr>
          <w:rFonts w:eastAsia="Calibri"/>
          <w:sz w:val="20"/>
          <w:szCs w:val="20"/>
          <w:lang w:val="es-MX" w:eastAsia="en-US"/>
        </w:rPr>
        <w:t xml:space="preserve"> en riesgo si no se dispensaba el soporte vital requerido</w:t>
      </w:r>
      <w:r w:rsidR="00F914DD">
        <w:rPr>
          <w:rFonts w:eastAsia="Calibri"/>
          <w:sz w:val="20"/>
          <w:szCs w:val="20"/>
          <w:lang w:val="es-MX" w:eastAsia="en-US"/>
        </w:rPr>
        <w:t xml:space="preserve">, </w:t>
      </w:r>
      <w:r w:rsidR="006D5706">
        <w:rPr>
          <w:rFonts w:eastAsia="Calibri"/>
          <w:sz w:val="20"/>
          <w:szCs w:val="20"/>
          <w:lang w:val="es-MX" w:eastAsia="en-US"/>
        </w:rPr>
        <w:t xml:space="preserve">y </w:t>
      </w:r>
      <w:r w:rsidR="00F914DD">
        <w:rPr>
          <w:rFonts w:eastAsia="Calibri"/>
          <w:sz w:val="20"/>
          <w:szCs w:val="20"/>
          <w:lang w:val="es-MX" w:eastAsia="en-US"/>
        </w:rPr>
        <w:t>particularmente frente a su situación de adulto mayor</w:t>
      </w:r>
      <w:r w:rsidR="006D5706">
        <w:rPr>
          <w:rFonts w:eastAsia="Calibri"/>
          <w:sz w:val="20"/>
          <w:szCs w:val="20"/>
          <w:lang w:val="es-MX" w:eastAsia="en-US"/>
        </w:rPr>
        <w:t xml:space="preserve"> (</w:t>
      </w:r>
      <w:r w:rsidR="006D5706" w:rsidRPr="00F914DD">
        <w:rPr>
          <w:rFonts w:eastAsia="Calibri"/>
          <w:i/>
          <w:sz w:val="20"/>
          <w:szCs w:val="20"/>
          <w:lang w:val="es-MX" w:eastAsia="en-US"/>
        </w:rPr>
        <w:t>supra</w:t>
      </w:r>
      <w:r w:rsidR="006D5706">
        <w:rPr>
          <w:rFonts w:eastAsia="Calibri"/>
          <w:sz w:val="20"/>
          <w:szCs w:val="20"/>
          <w:lang w:val="es-MX" w:eastAsia="en-US"/>
        </w:rPr>
        <w:t xml:space="preserve"> párr. </w:t>
      </w:r>
      <w:r w:rsidR="001A5114">
        <w:rPr>
          <w:rFonts w:eastAsia="Calibri"/>
          <w:sz w:val="20"/>
          <w:szCs w:val="20"/>
          <w:lang w:val="es-MX" w:eastAsia="en-US"/>
        </w:rPr>
        <w:t>137</w:t>
      </w:r>
      <w:r w:rsidR="006D5706">
        <w:rPr>
          <w:rFonts w:eastAsia="Calibri"/>
          <w:sz w:val="20"/>
          <w:szCs w:val="20"/>
          <w:lang w:val="es-MX" w:eastAsia="en-US"/>
        </w:rPr>
        <w:t>)</w:t>
      </w:r>
      <w:r w:rsidR="00F914DD">
        <w:rPr>
          <w:rFonts w:eastAsia="Calibri"/>
          <w:sz w:val="20"/>
          <w:szCs w:val="20"/>
          <w:lang w:val="es-MX" w:eastAsia="en-US"/>
        </w:rPr>
        <w:t>.</w:t>
      </w:r>
      <w:r w:rsidR="000262AD">
        <w:rPr>
          <w:rFonts w:eastAsia="Calibri"/>
          <w:sz w:val="20"/>
          <w:szCs w:val="20"/>
          <w:lang w:val="es-MX" w:eastAsia="en-US"/>
        </w:rPr>
        <w:t xml:space="preserve"> Así, </w:t>
      </w:r>
      <w:r w:rsidR="002570D1" w:rsidRPr="002570D1">
        <w:rPr>
          <w:rFonts w:eastAsia="Calibri"/>
          <w:sz w:val="20"/>
          <w:szCs w:val="20"/>
          <w:lang w:val="es-MX" w:eastAsia="en-US"/>
        </w:rPr>
        <w:t>el Estado no adoptó las medidas necesarias, básicas y urgentes que razonablemente podrían haberse adoptado para garantizar</w:t>
      </w:r>
      <w:r>
        <w:rPr>
          <w:rFonts w:eastAsia="Calibri"/>
          <w:sz w:val="20"/>
          <w:szCs w:val="20"/>
          <w:lang w:val="es-MX" w:eastAsia="en-US"/>
        </w:rPr>
        <w:t xml:space="preserve"> su</w:t>
      </w:r>
      <w:r w:rsidR="002570D1" w:rsidRPr="002570D1">
        <w:rPr>
          <w:rFonts w:eastAsia="Calibri"/>
          <w:sz w:val="20"/>
          <w:szCs w:val="20"/>
          <w:lang w:val="es-MX" w:eastAsia="en-US"/>
        </w:rPr>
        <w:t xml:space="preserve"> derecho a la vida </w:t>
      </w:r>
      <w:r w:rsidR="003354BF">
        <w:rPr>
          <w:rFonts w:eastAsia="Calibri"/>
          <w:sz w:val="20"/>
          <w:szCs w:val="20"/>
          <w:lang w:val="es-MX" w:eastAsia="en-US"/>
        </w:rPr>
        <w:t>(</w:t>
      </w:r>
      <w:r w:rsidR="00062586" w:rsidRPr="00062586">
        <w:rPr>
          <w:rFonts w:eastAsia="Calibri"/>
          <w:i/>
          <w:sz w:val="20"/>
          <w:szCs w:val="20"/>
          <w:lang w:val="es-MX" w:eastAsia="en-US"/>
        </w:rPr>
        <w:t>supra</w:t>
      </w:r>
      <w:r w:rsidR="003354BF">
        <w:rPr>
          <w:rFonts w:eastAsia="Calibri"/>
          <w:sz w:val="20"/>
          <w:szCs w:val="20"/>
          <w:lang w:val="es-MX" w:eastAsia="en-US"/>
        </w:rPr>
        <w:t xml:space="preserve"> </w:t>
      </w:r>
      <w:proofErr w:type="spellStart"/>
      <w:r w:rsidR="003354BF">
        <w:rPr>
          <w:rFonts w:eastAsia="Calibri"/>
          <w:sz w:val="20"/>
          <w:szCs w:val="20"/>
          <w:lang w:val="es-MX" w:eastAsia="en-US"/>
        </w:rPr>
        <w:t>párr</w:t>
      </w:r>
      <w:r w:rsidR="001A5114">
        <w:rPr>
          <w:rFonts w:eastAsia="Calibri"/>
          <w:sz w:val="20"/>
          <w:szCs w:val="20"/>
          <w:lang w:val="es-MX" w:eastAsia="en-US"/>
        </w:rPr>
        <w:t>s</w:t>
      </w:r>
      <w:proofErr w:type="spellEnd"/>
      <w:r w:rsidR="003354BF">
        <w:rPr>
          <w:rFonts w:eastAsia="Calibri"/>
          <w:sz w:val="20"/>
          <w:szCs w:val="20"/>
          <w:lang w:val="es-MX" w:eastAsia="en-US"/>
        </w:rPr>
        <w:t xml:space="preserve">. </w:t>
      </w:r>
      <w:r w:rsidR="001A5114">
        <w:rPr>
          <w:rFonts w:eastAsia="Calibri"/>
          <w:sz w:val="20"/>
          <w:szCs w:val="20"/>
          <w:lang w:val="es-MX" w:eastAsia="en-US"/>
        </w:rPr>
        <w:t>141</w:t>
      </w:r>
      <w:r>
        <w:rPr>
          <w:rFonts w:eastAsia="Calibri"/>
          <w:sz w:val="20"/>
          <w:szCs w:val="20"/>
          <w:lang w:val="es-MX" w:eastAsia="en-US"/>
        </w:rPr>
        <w:t xml:space="preserve"> y</w:t>
      </w:r>
      <w:r w:rsidR="001A5114">
        <w:rPr>
          <w:rFonts w:eastAsia="Calibri"/>
          <w:sz w:val="20"/>
          <w:szCs w:val="20"/>
          <w:lang w:val="es-MX" w:eastAsia="en-US"/>
        </w:rPr>
        <w:t xml:space="preserve"> 142</w:t>
      </w:r>
      <w:r w:rsidR="003354BF">
        <w:rPr>
          <w:rFonts w:eastAsia="Calibri"/>
          <w:sz w:val="20"/>
          <w:szCs w:val="20"/>
          <w:lang w:val="es-MX" w:eastAsia="en-US"/>
        </w:rPr>
        <w:t>)</w:t>
      </w:r>
      <w:r w:rsidR="002570D1" w:rsidRPr="002570D1">
        <w:rPr>
          <w:rFonts w:eastAsia="Calibri"/>
          <w:sz w:val="20"/>
          <w:szCs w:val="20"/>
          <w:lang w:val="es-MX" w:eastAsia="en-US"/>
        </w:rPr>
        <w:t>.</w:t>
      </w:r>
      <w:r w:rsidR="002570D1" w:rsidRPr="002570D1">
        <w:rPr>
          <w:rFonts w:eastAsia="Calibri"/>
          <w:sz w:val="20"/>
          <w:szCs w:val="20"/>
          <w:lang w:eastAsia="en-US"/>
        </w:rPr>
        <w:t xml:space="preserve"> </w:t>
      </w:r>
      <w:r w:rsidR="004669FF">
        <w:rPr>
          <w:rFonts w:eastAsia="Calibri"/>
          <w:sz w:val="20"/>
          <w:szCs w:val="20"/>
          <w:lang w:eastAsia="en-US"/>
        </w:rPr>
        <w:t xml:space="preserve">Asimismo, el Estado no aportó una justificación válida para haber negado los servicios básicos de urgencia. </w:t>
      </w:r>
    </w:p>
    <w:p w14:paraId="6414DF51" w14:textId="77777777" w:rsidR="002570D1" w:rsidRPr="002570D1" w:rsidRDefault="002570D1" w:rsidP="0059117C">
      <w:pPr>
        <w:tabs>
          <w:tab w:val="left" w:pos="1134"/>
        </w:tabs>
        <w:ind w:right="-360"/>
        <w:rPr>
          <w:rFonts w:eastAsia="Calibri"/>
          <w:sz w:val="20"/>
          <w:szCs w:val="20"/>
          <w:lang w:val="es-HN" w:eastAsia="en-US"/>
        </w:rPr>
      </w:pPr>
    </w:p>
    <w:p w14:paraId="0FC82150" w14:textId="5EBFF06D" w:rsidR="002570D1" w:rsidRPr="00AB1E03" w:rsidRDefault="0066579C" w:rsidP="00AB1E03">
      <w:pPr>
        <w:numPr>
          <w:ilvl w:val="0"/>
          <w:numId w:val="2"/>
        </w:numPr>
        <w:tabs>
          <w:tab w:val="left" w:pos="567"/>
          <w:tab w:val="num" w:pos="1569"/>
          <w:tab w:val="num" w:pos="12305"/>
        </w:tabs>
        <w:ind w:left="0" w:firstLine="0"/>
        <w:rPr>
          <w:rFonts w:eastAsia="Calibri"/>
          <w:b/>
          <w:sz w:val="20"/>
          <w:szCs w:val="20"/>
          <w:lang w:val="es-HN" w:eastAsia="en-US"/>
        </w:rPr>
      </w:pPr>
      <w:r w:rsidRPr="00AB1E03">
        <w:rPr>
          <w:rFonts w:eastAsia="Calibri"/>
          <w:sz w:val="20"/>
          <w:szCs w:val="20"/>
          <w:lang w:eastAsia="en-US"/>
        </w:rPr>
        <w:t>Respecto del</w:t>
      </w:r>
      <w:r w:rsidR="002570D1" w:rsidRPr="00EF1141">
        <w:rPr>
          <w:rFonts w:eastAsia="Calibri"/>
          <w:sz w:val="20"/>
          <w:szCs w:val="20"/>
          <w:lang w:eastAsia="en-US"/>
        </w:rPr>
        <w:t xml:space="preserve"> nexo causal</w:t>
      </w:r>
      <w:r w:rsidR="005F3EE7" w:rsidRPr="00AB1E03">
        <w:rPr>
          <w:rFonts w:eastAsia="Calibri"/>
          <w:sz w:val="20"/>
          <w:szCs w:val="20"/>
          <w:lang w:eastAsia="en-US"/>
        </w:rPr>
        <w:t>,</w:t>
      </w:r>
      <w:r w:rsidR="002570D1" w:rsidRPr="001A5114">
        <w:rPr>
          <w:rFonts w:eastAsia="Calibri"/>
          <w:sz w:val="20"/>
          <w:szCs w:val="20"/>
          <w:lang w:eastAsia="en-US"/>
        </w:rPr>
        <w:t xml:space="preserve"> </w:t>
      </w:r>
      <w:r w:rsidRPr="00B1523A">
        <w:rPr>
          <w:rFonts w:eastAsia="Calibri"/>
          <w:sz w:val="20"/>
          <w:szCs w:val="20"/>
          <w:lang w:eastAsia="en-US"/>
        </w:rPr>
        <w:t>la Corte estima que</w:t>
      </w:r>
      <w:r w:rsidRPr="00B1523A">
        <w:rPr>
          <w:rFonts w:eastAsia="Calibri"/>
          <w:sz w:val="20"/>
          <w:szCs w:val="20"/>
          <w:lang w:val="es-HN" w:eastAsia="en-US"/>
        </w:rPr>
        <w:t xml:space="preserve"> </w:t>
      </w:r>
      <w:r w:rsidR="0056695D">
        <w:rPr>
          <w:rFonts w:eastAsia="Calibri"/>
          <w:sz w:val="20"/>
          <w:szCs w:val="20"/>
          <w:lang w:val="es-HN" w:eastAsia="en-US"/>
        </w:rPr>
        <w:t>no</w:t>
      </w:r>
      <w:r w:rsidR="00382384" w:rsidRPr="00B1523A">
        <w:rPr>
          <w:rFonts w:eastAsia="Calibri"/>
          <w:sz w:val="20"/>
          <w:szCs w:val="20"/>
          <w:lang w:val="es-HN" w:eastAsia="en-US"/>
        </w:rPr>
        <w:t xml:space="preserve"> se puede imputar causalmente el resultado</w:t>
      </w:r>
      <w:r w:rsidR="00FB7D02" w:rsidRPr="00B1523A">
        <w:rPr>
          <w:rFonts w:eastAsia="Calibri"/>
          <w:sz w:val="20"/>
          <w:szCs w:val="20"/>
          <w:lang w:val="es-HN" w:eastAsia="en-US"/>
        </w:rPr>
        <w:t xml:space="preserve"> dañino a la falta de atención de la salud</w:t>
      </w:r>
      <w:r w:rsidR="00382384" w:rsidRPr="00B1523A">
        <w:rPr>
          <w:rFonts w:eastAsia="Calibri"/>
          <w:sz w:val="20"/>
          <w:szCs w:val="20"/>
          <w:lang w:val="es-HN" w:eastAsia="en-US"/>
        </w:rPr>
        <w:t>, porque se trata de una omisión</w:t>
      </w:r>
      <w:r w:rsidR="001A5114" w:rsidRPr="00B1523A">
        <w:rPr>
          <w:rFonts w:eastAsia="Calibri"/>
          <w:sz w:val="20"/>
          <w:szCs w:val="20"/>
          <w:lang w:val="es-HN" w:eastAsia="en-US"/>
        </w:rPr>
        <w:t>,</w:t>
      </w:r>
      <w:r w:rsidR="00382384" w:rsidRPr="00B1523A">
        <w:rPr>
          <w:rFonts w:eastAsia="Calibri"/>
          <w:sz w:val="20"/>
          <w:szCs w:val="20"/>
          <w:lang w:val="es-HN" w:eastAsia="en-US"/>
        </w:rPr>
        <w:t xml:space="preserve"> y es de toda evidencia que las o</w:t>
      </w:r>
      <w:r w:rsidR="007870CF" w:rsidRPr="00B1523A">
        <w:rPr>
          <w:rFonts w:eastAsia="Calibri"/>
          <w:sz w:val="20"/>
          <w:szCs w:val="20"/>
          <w:lang w:val="es-HN" w:eastAsia="en-US"/>
        </w:rPr>
        <w:t>misiones no “causan”</w:t>
      </w:r>
      <w:r w:rsidR="001A5114" w:rsidRPr="00B1523A">
        <w:rPr>
          <w:rFonts w:eastAsia="Calibri"/>
          <w:sz w:val="20"/>
          <w:szCs w:val="20"/>
          <w:lang w:val="es-HN" w:eastAsia="en-US"/>
        </w:rPr>
        <w:t>,</w:t>
      </w:r>
      <w:r w:rsidR="007870CF" w:rsidRPr="00B1523A">
        <w:rPr>
          <w:rFonts w:eastAsia="Calibri"/>
          <w:sz w:val="20"/>
          <w:szCs w:val="20"/>
          <w:lang w:val="es-HN" w:eastAsia="en-US"/>
        </w:rPr>
        <w:t xml:space="preserve"> si no que</w:t>
      </w:r>
      <w:r w:rsidR="00382384" w:rsidRPr="00B1523A">
        <w:rPr>
          <w:rFonts w:eastAsia="Calibri"/>
          <w:sz w:val="20"/>
          <w:szCs w:val="20"/>
          <w:lang w:val="es-HN" w:eastAsia="en-US"/>
        </w:rPr>
        <w:t xml:space="preserve"> dejan andar una causalidad que “debía” ser interrumpida por la conducta jurídicamente ord</w:t>
      </w:r>
      <w:r w:rsidR="002740DF" w:rsidRPr="00B1523A">
        <w:rPr>
          <w:rFonts w:eastAsia="Calibri"/>
          <w:sz w:val="20"/>
          <w:szCs w:val="20"/>
          <w:lang w:val="es-HN" w:eastAsia="en-US"/>
        </w:rPr>
        <w:t>enada</w:t>
      </w:r>
      <w:r w:rsidR="00382384" w:rsidRPr="00B1523A">
        <w:rPr>
          <w:rFonts w:eastAsia="Calibri"/>
          <w:sz w:val="20"/>
          <w:szCs w:val="20"/>
          <w:lang w:val="es-HN" w:eastAsia="en-US"/>
        </w:rPr>
        <w:t xml:space="preserve">. En consecuencia, siempre se debe </w:t>
      </w:r>
      <w:r w:rsidRPr="00B1523A">
        <w:rPr>
          <w:rFonts w:eastAsia="Calibri"/>
          <w:sz w:val="20"/>
          <w:szCs w:val="20"/>
          <w:lang w:val="es-HN" w:eastAsia="en-US"/>
        </w:rPr>
        <w:t xml:space="preserve">valorar </w:t>
      </w:r>
      <w:r w:rsidR="00382384" w:rsidRPr="00B1523A">
        <w:rPr>
          <w:rFonts w:eastAsia="Calibri"/>
          <w:sz w:val="20"/>
          <w:szCs w:val="20"/>
          <w:lang w:val="es-HN" w:eastAsia="en-US"/>
        </w:rPr>
        <w:t>sobre una probabilidad acerca de la interrupción de una causalidad que no se interrumpió. Dado</w:t>
      </w:r>
      <w:r w:rsidR="0056695D">
        <w:rPr>
          <w:rFonts w:eastAsia="Calibri"/>
          <w:sz w:val="20"/>
          <w:szCs w:val="20"/>
          <w:lang w:val="es-HN" w:eastAsia="en-US"/>
        </w:rPr>
        <w:t xml:space="preserve"> ello</w:t>
      </w:r>
      <w:r w:rsidR="00382384" w:rsidRPr="00B1523A">
        <w:rPr>
          <w:rFonts w:eastAsia="Calibri"/>
          <w:sz w:val="20"/>
          <w:szCs w:val="20"/>
          <w:lang w:val="es-HN" w:eastAsia="en-US"/>
        </w:rPr>
        <w:t xml:space="preserve">, lo probado en el caso, </w:t>
      </w:r>
      <w:r w:rsidR="00FB7D02" w:rsidRPr="00B1523A">
        <w:rPr>
          <w:rFonts w:eastAsia="Calibri"/>
          <w:sz w:val="20"/>
          <w:szCs w:val="20"/>
          <w:lang w:val="es-HN" w:eastAsia="en-US"/>
        </w:rPr>
        <w:t xml:space="preserve">existía </w:t>
      </w:r>
      <w:r w:rsidR="00382384" w:rsidRPr="00B1523A">
        <w:rPr>
          <w:rFonts w:eastAsia="Calibri"/>
          <w:sz w:val="20"/>
          <w:szCs w:val="20"/>
          <w:lang w:val="es-HN" w:eastAsia="en-US"/>
        </w:rPr>
        <w:t xml:space="preserve">una alta probabilidad de que una asistencia adecuada </w:t>
      </w:r>
      <w:r w:rsidR="005F3EE7" w:rsidRPr="00B1523A">
        <w:rPr>
          <w:rFonts w:eastAsia="Calibri"/>
          <w:sz w:val="20"/>
          <w:szCs w:val="20"/>
          <w:lang w:val="es-HN" w:eastAsia="en-US"/>
        </w:rPr>
        <w:t xml:space="preserve">en materia de salud </w:t>
      </w:r>
      <w:r w:rsidR="00382384" w:rsidRPr="00B1523A">
        <w:rPr>
          <w:rFonts w:eastAsia="Calibri"/>
          <w:sz w:val="20"/>
          <w:szCs w:val="20"/>
          <w:lang w:val="es-HN" w:eastAsia="en-US"/>
        </w:rPr>
        <w:t xml:space="preserve">hubiese al menos prolongado la vida del señor </w:t>
      </w:r>
      <w:r w:rsidR="00847C4A">
        <w:rPr>
          <w:rFonts w:eastAsia="Calibri"/>
          <w:sz w:val="20"/>
          <w:szCs w:val="20"/>
          <w:lang w:val="es-HN" w:eastAsia="en-US"/>
        </w:rPr>
        <w:t xml:space="preserve">Poblete </w:t>
      </w:r>
      <w:r w:rsidR="00382384" w:rsidRPr="00B1523A">
        <w:rPr>
          <w:rFonts w:eastAsia="Calibri"/>
          <w:sz w:val="20"/>
          <w:szCs w:val="20"/>
          <w:lang w:val="es-HN" w:eastAsia="en-US"/>
        </w:rPr>
        <w:t xml:space="preserve">Vilches, por lo cual debe concluirse que </w:t>
      </w:r>
      <w:r w:rsidR="00E7256E" w:rsidRPr="00B1523A">
        <w:rPr>
          <w:rFonts w:eastAsia="Calibri"/>
          <w:sz w:val="20"/>
          <w:szCs w:val="20"/>
          <w:lang w:val="es-HN" w:eastAsia="en-US"/>
        </w:rPr>
        <w:t>la omisi</w:t>
      </w:r>
      <w:r w:rsidR="005F3EE7" w:rsidRPr="00B1523A">
        <w:rPr>
          <w:rFonts w:eastAsia="Calibri"/>
          <w:sz w:val="20"/>
          <w:szCs w:val="20"/>
          <w:lang w:val="es-HN" w:eastAsia="en-US"/>
        </w:rPr>
        <w:t>ón</w:t>
      </w:r>
      <w:r w:rsidR="00E7256E" w:rsidRPr="00B1523A">
        <w:rPr>
          <w:rFonts w:eastAsia="Calibri"/>
          <w:sz w:val="20"/>
          <w:szCs w:val="20"/>
          <w:lang w:val="es-HN" w:eastAsia="en-US"/>
        </w:rPr>
        <w:t xml:space="preserve"> de prestaciones básicas en materia de salud</w:t>
      </w:r>
      <w:r w:rsidR="00E7256E" w:rsidRPr="00B1523A" w:rsidDel="00E7256E">
        <w:rPr>
          <w:rFonts w:eastAsia="Calibri"/>
          <w:sz w:val="20"/>
          <w:szCs w:val="20"/>
          <w:lang w:val="es-HN" w:eastAsia="en-US"/>
        </w:rPr>
        <w:t xml:space="preserve"> </w:t>
      </w:r>
      <w:r w:rsidR="00382384" w:rsidRPr="00B1523A">
        <w:rPr>
          <w:rFonts w:eastAsia="Calibri"/>
          <w:sz w:val="20"/>
          <w:szCs w:val="20"/>
          <w:lang w:val="es-HN" w:eastAsia="en-US"/>
        </w:rPr>
        <w:t>afect</w:t>
      </w:r>
      <w:r w:rsidR="00E7256E" w:rsidRPr="00B1523A">
        <w:rPr>
          <w:rFonts w:eastAsia="Calibri"/>
          <w:sz w:val="20"/>
          <w:szCs w:val="20"/>
          <w:lang w:val="es-HN" w:eastAsia="en-US"/>
        </w:rPr>
        <w:t>ó</w:t>
      </w:r>
      <w:r w:rsidR="00382384" w:rsidRPr="00B1523A">
        <w:rPr>
          <w:rFonts w:eastAsia="Calibri"/>
          <w:sz w:val="20"/>
          <w:szCs w:val="20"/>
          <w:lang w:val="es-HN" w:eastAsia="en-US"/>
        </w:rPr>
        <w:t xml:space="preserve"> su derecho a la vida</w:t>
      </w:r>
      <w:r w:rsidR="00847C4A">
        <w:rPr>
          <w:rFonts w:eastAsia="Calibri"/>
          <w:sz w:val="20"/>
          <w:szCs w:val="20"/>
          <w:lang w:val="es-HN" w:eastAsia="en-US"/>
        </w:rPr>
        <w:t xml:space="preserve"> (artículo 4 de la Convención)</w:t>
      </w:r>
      <w:r w:rsidR="00382384" w:rsidRPr="00B1523A">
        <w:rPr>
          <w:rFonts w:eastAsia="Calibri"/>
          <w:sz w:val="20"/>
          <w:szCs w:val="20"/>
          <w:lang w:val="es-HN" w:eastAsia="en-US"/>
        </w:rPr>
        <w:t>.</w:t>
      </w:r>
      <w:r w:rsidR="00382384" w:rsidRPr="00AB1E03">
        <w:rPr>
          <w:rFonts w:eastAsia="Calibri"/>
          <w:b/>
          <w:sz w:val="20"/>
          <w:szCs w:val="20"/>
          <w:lang w:val="es-HN" w:eastAsia="en-US"/>
        </w:rPr>
        <w:t xml:space="preserve"> </w:t>
      </w:r>
    </w:p>
    <w:p w14:paraId="0BB2A959" w14:textId="77777777" w:rsidR="00630070" w:rsidRDefault="00630070" w:rsidP="002570D1">
      <w:pPr>
        <w:rPr>
          <w:rFonts w:eastAsia="Calibri"/>
          <w:sz w:val="18"/>
          <w:szCs w:val="20"/>
          <w:lang w:val="es-ES_tradnl" w:eastAsia="en-US"/>
        </w:rPr>
      </w:pPr>
    </w:p>
    <w:p w14:paraId="71E07150" w14:textId="7B820440" w:rsidR="00967ED8" w:rsidRPr="00AB1E03" w:rsidRDefault="00967ED8" w:rsidP="00967ED8">
      <w:pPr>
        <w:ind w:left="708" w:firstLine="708"/>
        <w:rPr>
          <w:rFonts w:eastAsia="Calibri"/>
          <w:b/>
          <w:i/>
          <w:sz w:val="20"/>
          <w:szCs w:val="20"/>
          <w:lang w:val="es-ES_tradnl" w:eastAsia="en-US"/>
        </w:rPr>
      </w:pPr>
      <w:r w:rsidRPr="00AB1E03">
        <w:rPr>
          <w:rFonts w:eastAsia="Calibri"/>
          <w:b/>
          <w:i/>
          <w:sz w:val="20"/>
          <w:szCs w:val="20"/>
          <w:lang w:val="es-ES_tradnl" w:eastAsia="en-US"/>
        </w:rPr>
        <w:t>1.2.</w:t>
      </w:r>
      <w:r w:rsidR="001A5114">
        <w:rPr>
          <w:rFonts w:eastAsia="Calibri"/>
          <w:b/>
          <w:i/>
          <w:sz w:val="20"/>
          <w:szCs w:val="20"/>
          <w:lang w:val="es-ES_tradnl" w:eastAsia="en-US"/>
        </w:rPr>
        <w:t>2</w:t>
      </w:r>
      <w:r w:rsidRPr="00AB1E03">
        <w:rPr>
          <w:rFonts w:eastAsia="Calibri"/>
          <w:b/>
          <w:i/>
          <w:sz w:val="20"/>
          <w:szCs w:val="20"/>
          <w:lang w:val="es-ES_tradnl" w:eastAsia="en-US"/>
        </w:rPr>
        <w:t xml:space="preserve"> Respecto del derecho a la integridad personal</w:t>
      </w:r>
    </w:p>
    <w:p w14:paraId="1A4BAAB7" w14:textId="77777777" w:rsidR="00967ED8" w:rsidRPr="00AB1E03" w:rsidRDefault="00967ED8" w:rsidP="002570D1">
      <w:pPr>
        <w:rPr>
          <w:rFonts w:eastAsia="Calibri"/>
          <w:sz w:val="20"/>
          <w:szCs w:val="20"/>
          <w:lang w:val="es-ES_tradnl" w:eastAsia="en-US"/>
        </w:rPr>
      </w:pPr>
    </w:p>
    <w:p w14:paraId="6F9280AB" w14:textId="45EA0156" w:rsidR="00967ED8" w:rsidRPr="00B1523A" w:rsidRDefault="00967ED8" w:rsidP="007E5CD5">
      <w:pPr>
        <w:numPr>
          <w:ilvl w:val="0"/>
          <w:numId w:val="2"/>
        </w:numPr>
        <w:tabs>
          <w:tab w:val="left" w:pos="567"/>
          <w:tab w:val="num" w:pos="1569"/>
          <w:tab w:val="num" w:pos="12305"/>
        </w:tabs>
        <w:ind w:left="0" w:firstLine="0"/>
        <w:rPr>
          <w:sz w:val="20"/>
          <w:szCs w:val="20"/>
          <w:lang w:val="es-ES" w:eastAsia="x-none"/>
        </w:rPr>
      </w:pPr>
      <w:r w:rsidRPr="00B1523A">
        <w:rPr>
          <w:sz w:val="20"/>
          <w:szCs w:val="20"/>
          <w:lang w:val="es-ES" w:eastAsia="x-none"/>
        </w:rPr>
        <w:t>En relación con el artículo 5.1 de la Convención, la Corte ha establecido que la integridad personal se halla directa e inmediatamente vinculad</w:t>
      </w:r>
      <w:r w:rsidR="0056695D">
        <w:rPr>
          <w:sz w:val="20"/>
          <w:szCs w:val="20"/>
          <w:lang w:val="es-ES" w:eastAsia="x-none"/>
        </w:rPr>
        <w:t>a</w:t>
      </w:r>
      <w:r w:rsidRPr="00B1523A">
        <w:rPr>
          <w:sz w:val="20"/>
          <w:szCs w:val="20"/>
          <w:lang w:val="es-ES" w:eastAsia="x-none"/>
        </w:rPr>
        <w:t xml:space="preserve"> con la atención a la salud humana</w:t>
      </w:r>
      <w:r w:rsidRPr="00B1523A">
        <w:rPr>
          <w:sz w:val="20"/>
          <w:szCs w:val="20"/>
          <w:vertAlign w:val="superscript"/>
          <w:lang w:val="es-ES" w:eastAsia="x-none"/>
        </w:rPr>
        <w:footnoteReference w:id="246"/>
      </w:r>
      <w:r w:rsidRPr="00B1523A">
        <w:rPr>
          <w:sz w:val="20"/>
          <w:szCs w:val="20"/>
          <w:lang w:val="es-ES" w:eastAsia="x-none"/>
        </w:rPr>
        <w:t>, y que la falta de atención médica adecuada puede conllevar la vulneración del artículo 5.1 de la Convención</w:t>
      </w:r>
      <w:r w:rsidRPr="00B1523A">
        <w:rPr>
          <w:rFonts w:cs="Verdana"/>
          <w:sz w:val="20"/>
          <w:szCs w:val="20"/>
          <w:vertAlign w:val="superscript"/>
          <w:lang w:val="es-ES" w:eastAsia="x-none"/>
        </w:rPr>
        <w:footnoteReference w:id="247"/>
      </w:r>
      <w:r w:rsidRPr="00B1523A">
        <w:rPr>
          <w:sz w:val="20"/>
          <w:szCs w:val="20"/>
          <w:lang w:val="es-ES" w:eastAsia="x-none"/>
        </w:rPr>
        <w:t>. En este sentido, la Corte ha sostenido que la protección del derecho a la integridad personal supone la regulación de los servicios de salud en el ámbito interno, así como la implementación de una serie de mecanismos tendientes a tutelar la efectividad de dicha regulación</w:t>
      </w:r>
      <w:r w:rsidRPr="00B1523A">
        <w:rPr>
          <w:sz w:val="20"/>
          <w:szCs w:val="20"/>
          <w:vertAlign w:val="superscript"/>
          <w:lang w:val="es-ES" w:eastAsia="x-none"/>
        </w:rPr>
        <w:footnoteReference w:id="248"/>
      </w:r>
      <w:r w:rsidR="007F108A">
        <w:rPr>
          <w:sz w:val="20"/>
          <w:szCs w:val="20"/>
          <w:lang w:val="es-ES" w:eastAsia="x-none"/>
        </w:rPr>
        <w:t xml:space="preserve"> (</w:t>
      </w:r>
      <w:r w:rsidR="007F108A" w:rsidRPr="00B1523A">
        <w:rPr>
          <w:i/>
          <w:sz w:val="20"/>
          <w:szCs w:val="20"/>
          <w:lang w:val="es-ES" w:eastAsia="x-none"/>
        </w:rPr>
        <w:t>supra</w:t>
      </w:r>
      <w:r w:rsidR="007F108A">
        <w:rPr>
          <w:sz w:val="20"/>
          <w:szCs w:val="20"/>
          <w:lang w:val="es-ES" w:eastAsia="x-none"/>
        </w:rPr>
        <w:t xml:space="preserve"> párr. 124)</w:t>
      </w:r>
      <w:r w:rsidRPr="00B1523A">
        <w:rPr>
          <w:sz w:val="20"/>
          <w:szCs w:val="20"/>
          <w:lang w:val="es-ES" w:eastAsia="x-none"/>
        </w:rPr>
        <w:t xml:space="preserve">. </w:t>
      </w:r>
      <w:r w:rsidRPr="00B1523A">
        <w:rPr>
          <w:sz w:val="20"/>
          <w:szCs w:val="20"/>
          <w:lang w:val="es-ES"/>
        </w:rPr>
        <w:t>Por tanto, esta</w:t>
      </w:r>
      <w:r w:rsidRPr="00AB1E03">
        <w:rPr>
          <w:b/>
          <w:sz w:val="20"/>
          <w:szCs w:val="20"/>
          <w:lang w:val="es-ES"/>
        </w:rPr>
        <w:t xml:space="preserve"> </w:t>
      </w:r>
      <w:r w:rsidRPr="00B1523A">
        <w:rPr>
          <w:sz w:val="20"/>
          <w:szCs w:val="20"/>
          <w:lang w:val="es-ES"/>
        </w:rPr>
        <w:t>Corte ha señalado que, a los efectos de dar cumplimiento a la obligación de garantizar el derecho a la integridad personal y en el marco de la salud,</w:t>
      </w:r>
      <w:r w:rsidRPr="00AB1E03">
        <w:rPr>
          <w:b/>
          <w:sz w:val="20"/>
          <w:szCs w:val="20"/>
          <w:lang w:val="es-ES"/>
        </w:rPr>
        <w:t xml:space="preserve"> </w:t>
      </w:r>
      <w:r w:rsidRPr="00B1523A">
        <w:rPr>
          <w:sz w:val="20"/>
          <w:szCs w:val="20"/>
          <w:lang w:val="es-ES"/>
        </w:rPr>
        <w:t>los Estados deben establecer un marco normativo adecuado que regule la prestación de servicios de salud, estableciendo estándares de calidad para las instituciones públicas y privadas, que permita prevenir cualquier amenaza de vulneración a la integridad personal en dichas prestaciones</w:t>
      </w:r>
      <w:r w:rsidRPr="00B1523A">
        <w:rPr>
          <w:rStyle w:val="FootnoteReference"/>
          <w:sz w:val="20"/>
          <w:szCs w:val="20"/>
          <w:lang w:val="es-ES"/>
        </w:rPr>
        <w:footnoteReference w:id="249"/>
      </w:r>
      <w:r w:rsidRPr="00B1523A">
        <w:rPr>
          <w:sz w:val="20"/>
          <w:szCs w:val="20"/>
          <w:lang w:val="es-ES"/>
        </w:rPr>
        <w:t>.</w:t>
      </w:r>
    </w:p>
    <w:p w14:paraId="41F31C88" w14:textId="77777777" w:rsidR="00967ED8" w:rsidRPr="00B1523A" w:rsidRDefault="00967ED8" w:rsidP="002570D1">
      <w:pPr>
        <w:rPr>
          <w:rFonts w:eastAsia="Calibri"/>
          <w:sz w:val="18"/>
          <w:szCs w:val="20"/>
          <w:lang w:val="es-CL" w:eastAsia="en-US"/>
        </w:rPr>
      </w:pPr>
    </w:p>
    <w:p w14:paraId="7490208D" w14:textId="04777F0F" w:rsidR="00F42440" w:rsidRPr="00B1523A" w:rsidRDefault="00F42440" w:rsidP="007E5CD5">
      <w:pPr>
        <w:numPr>
          <w:ilvl w:val="0"/>
          <w:numId w:val="2"/>
        </w:numPr>
        <w:tabs>
          <w:tab w:val="left" w:pos="567"/>
          <w:tab w:val="num" w:pos="1569"/>
          <w:tab w:val="num" w:pos="12305"/>
        </w:tabs>
        <w:ind w:left="0" w:firstLine="0"/>
        <w:rPr>
          <w:rFonts w:eastAsia="Calibri"/>
          <w:sz w:val="20"/>
          <w:szCs w:val="20"/>
          <w:lang w:eastAsia="en-US"/>
        </w:rPr>
      </w:pPr>
      <w:r w:rsidRPr="00B1523A">
        <w:rPr>
          <w:rFonts w:eastAsia="Calibri"/>
          <w:sz w:val="20"/>
          <w:szCs w:val="20"/>
          <w:lang w:val="es-CL" w:eastAsia="en-US"/>
        </w:rPr>
        <w:t xml:space="preserve">La Corte nota que </w:t>
      </w:r>
      <w:r w:rsidRPr="00B1523A">
        <w:rPr>
          <w:rFonts w:eastAsia="Calibri"/>
          <w:sz w:val="20"/>
          <w:szCs w:val="20"/>
          <w:lang w:eastAsia="en-US"/>
        </w:rPr>
        <w:t>en su declar</w:t>
      </w:r>
      <w:r w:rsidR="005F3EE7" w:rsidRPr="00B1523A">
        <w:rPr>
          <w:rFonts w:eastAsia="Calibri"/>
          <w:sz w:val="20"/>
          <w:szCs w:val="20"/>
          <w:lang w:eastAsia="en-US"/>
        </w:rPr>
        <w:t>ación ante esta Corte la Dra.</w:t>
      </w:r>
      <w:r w:rsidRPr="00B1523A">
        <w:rPr>
          <w:rFonts w:eastAsia="Calibri"/>
          <w:sz w:val="20"/>
          <w:szCs w:val="20"/>
          <w:lang w:eastAsia="en-US"/>
        </w:rPr>
        <w:t xml:space="preserve"> Sandra Castillo </w:t>
      </w:r>
      <w:proofErr w:type="spellStart"/>
      <w:r w:rsidRPr="00B1523A">
        <w:rPr>
          <w:rFonts w:eastAsia="Calibri"/>
          <w:sz w:val="20"/>
          <w:szCs w:val="20"/>
          <w:lang w:eastAsia="en-US"/>
        </w:rPr>
        <w:t>Montúfar</w:t>
      </w:r>
      <w:proofErr w:type="spellEnd"/>
      <w:r w:rsidRPr="00B1523A">
        <w:rPr>
          <w:rFonts w:eastAsia="Calibri"/>
          <w:sz w:val="20"/>
          <w:szCs w:val="20"/>
          <w:lang w:eastAsia="en-US"/>
        </w:rPr>
        <w:t xml:space="preserve"> manifestó que: </w:t>
      </w:r>
    </w:p>
    <w:p w14:paraId="61EB2802" w14:textId="77777777" w:rsidR="00F42440" w:rsidRPr="00B1523A" w:rsidRDefault="00F42440" w:rsidP="002570D1">
      <w:pPr>
        <w:rPr>
          <w:rFonts w:eastAsia="Calibri"/>
          <w:sz w:val="18"/>
          <w:szCs w:val="20"/>
          <w:lang w:eastAsia="en-US"/>
        </w:rPr>
      </w:pPr>
    </w:p>
    <w:p w14:paraId="14C7F1AB" w14:textId="4629D5A5" w:rsidR="00F42440" w:rsidRPr="00B1523A" w:rsidRDefault="00F42440" w:rsidP="00AB1E03">
      <w:pPr>
        <w:ind w:left="708"/>
        <w:rPr>
          <w:rFonts w:eastAsia="Calibri"/>
          <w:sz w:val="18"/>
          <w:szCs w:val="20"/>
          <w:lang w:val="es-CL" w:eastAsia="en-US"/>
        </w:rPr>
      </w:pPr>
      <w:r w:rsidRPr="00B1523A">
        <w:rPr>
          <w:rFonts w:eastAsia="Calibri"/>
          <w:sz w:val="18"/>
          <w:szCs w:val="20"/>
          <w:lang w:eastAsia="en-US"/>
        </w:rPr>
        <w:lastRenderedPageBreak/>
        <w:t xml:space="preserve">“posterior a la cirugía de mérito, el 5 de febrero de 2001 “[…] [a]l llegar al domicilio de don Vinicio Poblete Vilches [se encontró] con un paciente con un gran deterioro físico y psíquico, en un estado febril y </w:t>
      </w:r>
      <w:proofErr w:type="spellStart"/>
      <w:r w:rsidRPr="00B1523A">
        <w:rPr>
          <w:rFonts w:eastAsia="Calibri"/>
          <w:sz w:val="18"/>
          <w:szCs w:val="20"/>
          <w:lang w:eastAsia="en-US"/>
        </w:rPr>
        <w:t>estupuroso</w:t>
      </w:r>
      <w:proofErr w:type="spellEnd"/>
      <w:r w:rsidRPr="00B1523A">
        <w:rPr>
          <w:rFonts w:eastAsia="Calibri"/>
          <w:sz w:val="18"/>
          <w:szCs w:val="20"/>
          <w:lang w:eastAsia="en-US"/>
        </w:rPr>
        <w:t xml:space="preserve"> [sic] y en un estado de coma […] [e]</w:t>
      </w:r>
      <w:proofErr w:type="spellStart"/>
      <w:r w:rsidRPr="00B1523A">
        <w:rPr>
          <w:rFonts w:eastAsia="Calibri"/>
          <w:sz w:val="18"/>
          <w:szCs w:val="20"/>
          <w:lang w:eastAsia="en-US"/>
        </w:rPr>
        <w:t>ra</w:t>
      </w:r>
      <w:proofErr w:type="spellEnd"/>
      <w:r w:rsidRPr="00B1523A">
        <w:rPr>
          <w:rFonts w:eastAsia="Calibri"/>
          <w:sz w:val="18"/>
          <w:szCs w:val="20"/>
          <w:lang w:eastAsia="en-US"/>
        </w:rPr>
        <w:t xml:space="preserve"> una [sic] paciente grave con un cuadro séptico sin respuestas a estímulos, sensibilidades verbales o de gran sensibilidad. Estaba inconsciente por lo que debía ser trasladado de suma urgencia a un hospital […]”</w:t>
      </w:r>
      <w:r w:rsidRPr="00B1523A">
        <w:rPr>
          <w:rStyle w:val="FootnoteReference"/>
          <w:rFonts w:eastAsia="Calibri"/>
          <w:sz w:val="18"/>
          <w:szCs w:val="20"/>
          <w:lang w:eastAsia="en-US"/>
        </w:rPr>
        <w:footnoteReference w:id="250"/>
      </w:r>
      <w:r w:rsidRPr="00B1523A">
        <w:rPr>
          <w:rFonts w:eastAsia="Calibri"/>
          <w:sz w:val="18"/>
          <w:szCs w:val="20"/>
          <w:lang w:eastAsia="en-US"/>
        </w:rPr>
        <w:t xml:space="preserve">. </w:t>
      </w:r>
    </w:p>
    <w:p w14:paraId="6B4A7D9B" w14:textId="77777777" w:rsidR="00F42440" w:rsidRPr="00B1523A" w:rsidRDefault="00F42440" w:rsidP="002570D1">
      <w:pPr>
        <w:rPr>
          <w:rFonts w:eastAsia="Calibri"/>
          <w:sz w:val="18"/>
          <w:szCs w:val="20"/>
          <w:lang w:val="es-CL" w:eastAsia="en-US"/>
        </w:rPr>
      </w:pPr>
    </w:p>
    <w:p w14:paraId="016493BE" w14:textId="3C07D3B4" w:rsidR="00F42440" w:rsidRPr="00B1523A" w:rsidRDefault="00FC10FD" w:rsidP="007E5CD5">
      <w:pPr>
        <w:numPr>
          <w:ilvl w:val="0"/>
          <w:numId w:val="2"/>
        </w:numPr>
        <w:tabs>
          <w:tab w:val="left" w:pos="567"/>
          <w:tab w:val="num" w:pos="1569"/>
          <w:tab w:val="num" w:pos="12305"/>
        </w:tabs>
        <w:ind w:left="0" w:firstLine="0"/>
        <w:rPr>
          <w:rFonts w:eastAsia="Calibri"/>
          <w:sz w:val="20"/>
          <w:szCs w:val="20"/>
          <w:lang w:val="es-CL" w:eastAsia="en-US"/>
        </w:rPr>
      </w:pPr>
      <w:r w:rsidRPr="00B1523A">
        <w:rPr>
          <w:rFonts w:eastAsia="Calibri"/>
          <w:sz w:val="20"/>
          <w:szCs w:val="20"/>
          <w:lang w:val="es-CL" w:eastAsia="en-US"/>
        </w:rPr>
        <w:t xml:space="preserve">En relación con </w:t>
      </w:r>
      <w:r w:rsidR="007F108A">
        <w:rPr>
          <w:rFonts w:eastAsia="Calibri"/>
          <w:sz w:val="20"/>
          <w:szCs w:val="20"/>
          <w:lang w:val="es-CL" w:eastAsia="en-US"/>
        </w:rPr>
        <w:t xml:space="preserve">el </w:t>
      </w:r>
      <w:r w:rsidR="00F42440" w:rsidRPr="00B1523A">
        <w:rPr>
          <w:rFonts w:eastAsia="Calibri"/>
          <w:sz w:val="20"/>
          <w:szCs w:val="20"/>
          <w:lang w:val="es-CL" w:eastAsia="en-US"/>
        </w:rPr>
        <w:t xml:space="preserve">segundo ingreso, </w:t>
      </w:r>
      <w:r w:rsidRPr="00B1523A">
        <w:rPr>
          <w:rFonts w:eastAsia="Calibri"/>
          <w:sz w:val="20"/>
          <w:szCs w:val="20"/>
          <w:lang w:val="es-CL" w:eastAsia="en-US"/>
        </w:rPr>
        <w:t xml:space="preserve">los </w:t>
      </w:r>
      <w:r w:rsidRPr="00B1523A">
        <w:rPr>
          <w:rFonts w:eastAsia="Calibri"/>
          <w:sz w:val="20"/>
          <w:szCs w:val="20"/>
          <w:lang w:eastAsia="en-US"/>
        </w:rPr>
        <w:t>familiares señalaron</w:t>
      </w:r>
      <w:r w:rsidR="007C786B">
        <w:rPr>
          <w:rFonts w:eastAsia="Calibri"/>
          <w:sz w:val="20"/>
          <w:szCs w:val="20"/>
          <w:lang w:eastAsia="en-US"/>
        </w:rPr>
        <w:t>,</w:t>
      </w:r>
      <w:r w:rsidRPr="00B1523A">
        <w:rPr>
          <w:rFonts w:eastAsia="Calibri"/>
          <w:sz w:val="20"/>
          <w:szCs w:val="20"/>
          <w:lang w:eastAsia="en-US"/>
        </w:rPr>
        <w:t xml:space="preserve"> sobre la situación del señor Poblete</w:t>
      </w:r>
      <w:r w:rsidR="007C786B">
        <w:rPr>
          <w:rFonts w:eastAsia="Calibri"/>
          <w:sz w:val="20"/>
          <w:szCs w:val="20"/>
          <w:lang w:eastAsia="en-US"/>
        </w:rPr>
        <w:t>,</w:t>
      </w:r>
      <w:r w:rsidRPr="00B1523A">
        <w:rPr>
          <w:rFonts w:eastAsia="Calibri"/>
          <w:sz w:val="20"/>
          <w:szCs w:val="20"/>
          <w:lang w:eastAsia="en-US"/>
        </w:rPr>
        <w:t xml:space="preserve"> que:</w:t>
      </w:r>
    </w:p>
    <w:p w14:paraId="5C2CA215" w14:textId="77777777" w:rsidR="00F42440" w:rsidRPr="00B1523A" w:rsidRDefault="00F42440" w:rsidP="002570D1">
      <w:pPr>
        <w:rPr>
          <w:rFonts w:eastAsia="Calibri"/>
          <w:sz w:val="20"/>
          <w:lang w:val="es-CL" w:eastAsia="en-US"/>
        </w:rPr>
      </w:pPr>
    </w:p>
    <w:p w14:paraId="3942BD1B" w14:textId="242C7F74" w:rsidR="00FC10FD" w:rsidRPr="00B1523A" w:rsidRDefault="00FC10FD" w:rsidP="00AB1E03">
      <w:pPr>
        <w:ind w:left="708"/>
        <w:rPr>
          <w:rFonts w:eastAsia="Calibri"/>
          <w:sz w:val="18"/>
          <w:szCs w:val="20"/>
          <w:lang w:eastAsia="en-US"/>
        </w:rPr>
      </w:pPr>
      <w:r w:rsidRPr="00B1523A">
        <w:rPr>
          <w:rFonts w:eastAsia="Calibri"/>
          <w:sz w:val="18"/>
          <w:szCs w:val="20"/>
          <w:lang w:eastAsia="en-US"/>
        </w:rPr>
        <w:t xml:space="preserve">“lo dejaron hospitalizado en el pasillo, desnudo, tapado solo con una sabanilla, amarrado y sin supervisión médica [durante] dos días”’; que “el </w:t>
      </w:r>
      <w:proofErr w:type="spellStart"/>
      <w:r w:rsidRPr="00B1523A">
        <w:rPr>
          <w:rFonts w:eastAsia="Calibri"/>
          <w:sz w:val="18"/>
          <w:szCs w:val="20"/>
          <w:lang w:eastAsia="en-US"/>
        </w:rPr>
        <w:t>dia</w:t>
      </w:r>
      <w:proofErr w:type="spellEnd"/>
      <w:r w:rsidRPr="00B1523A">
        <w:rPr>
          <w:rFonts w:eastAsia="Calibri"/>
          <w:sz w:val="18"/>
          <w:szCs w:val="20"/>
          <w:lang w:eastAsia="en-US"/>
        </w:rPr>
        <w:t xml:space="preserve"> 6 de febrero [el señor Poblete Vilches] estaba aún peor y acostado en una camilla en un pasillo [y] [n]o lo habían ingresado aun a la UCI”, y que al día siguiente “a las cinco cuarenta de la mañana y luego de una larga agonía […] falleció”</w:t>
      </w:r>
      <w:r w:rsidRPr="00B1523A">
        <w:rPr>
          <w:rStyle w:val="FootnoteReference"/>
          <w:rFonts w:eastAsia="Calibri"/>
          <w:sz w:val="18"/>
          <w:szCs w:val="20"/>
          <w:lang w:eastAsia="en-US"/>
        </w:rPr>
        <w:footnoteReference w:id="251"/>
      </w:r>
      <w:r w:rsidRPr="00B1523A">
        <w:rPr>
          <w:rFonts w:eastAsia="Calibri"/>
          <w:sz w:val="18"/>
          <w:szCs w:val="20"/>
          <w:lang w:eastAsia="en-US"/>
        </w:rPr>
        <w:t xml:space="preserve">. </w:t>
      </w:r>
    </w:p>
    <w:p w14:paraId="305DCDFA" w14:textId="77777777" w:rsidR="00FC10FD" w:rsidRPr="00B1523A" w:rsidRDefault="00FC10FD" w:rsidP="002570D1">
      <w:pPr>
        <w:rPr>
          <w:rFonts w:eastAsia="Calibri"/>
          <w:sz w:val="18"/>
          <w:szCs w:val="20"/>
          <w:lang w:eastAsia="en-US"/>
        </w:rPr>
      </w:pPr>
    </w:p>
    <w:p w14:paraId="6A5AF74C" w14:textId="432F3A2D" w:rsidR="00967ED8" w:rsidRPr="00B1523A" w:rsidRDefault="00967ED8" w:rsidP="007E5CD5">
      <w:pPr>
        <w:numPr>
          <w:ilvl w:val="0"/>
          <w:numId w:val="2"/>
        </w:numPr>
        <w:tabs>
          <w:tab w:val="left" w:pos="567"/>
          <w:tab w:val="num" w:pos="1569"/>
          <w:tab w:val="num" w:pos="12305"/>
        </w:tabs>
        <w:ind w:left="0" w:firstLine="0"/>
        <w:rPr>
          <w:rFonts w:eastAsia="Calibri"/>
          <w:sz w:val="20"/>
          <w:szCs w:val="20"/>
          <w:lang w:val="es-CL" w:eastAsia="en-US"/>
        </w:rPr>
      </w:pPr>
      <w:r w:rsidRPr="00B1523A">
        <w:rPr>
          <w:rFonts w:eastAsia="Calibri"/>
          <w:sz w:val="20"/>
          <w:szCs w:val="20"/>
          <w:lang w:val="es-CL" w:eastAsia="en-US"/>
        </w:rPr>
        <w:t>En el presente caso la Corte verific</w:t>
      </w:r>
      <w:r w:rsidR="005644EC" w:rsidRPr="00B1523A">
        <w:rPr>
          <w:rFonts w:eastAsia="Calibri"/>
          <w:sz w:val="20"/>
          <w:szCs w:val="20"/>
          <w:lang w:val="es-CL" w:eastAsia="en-US"/>
        </w:rPr>
        <w:t xml:space="preserve">ó </w:t>
      </w:r>
      <w:r w:rsidRPr="00B1523A">
        <w:rPr>
          <w:rFonts w:eastAsia="Calibri"/>
          <w:sz w:val="20"/>
          <w:szCs w:val="20"/>
          <w:lang w:val="es-CL" w:eastAsia="en-US"/>
        </w:rPr>
        <w:t xml:space="preserve">distintas omisiones en la atención brindada que contribuyeron en el deterioro de la salud del señor </w:t>
      </w:r>
      <w:r w:rsidR="00187538" w:rsidRPr="00B1523A">
        <w:rPr>
          <w:rFonts w:eastAsia="Calibri"/>
          <w:sz w:val="20"/>
          <w:szCs w:val="20"/>
          <w:lang w:val="es-CL" w:eastAsia="en-US"/>
        </w:rPr>
        <w:t>Poblete</w:t>
      </w:r>
      <w:r w:rsidRPr="00B1523A">
        <w:rPr>
          <w:rFonts w:eastAsia="Calibri"/>
          <w:sz w:val="20"/>
          <w:szCs w:val="20"/>
          <w:lang w:val="es-CL" w:eastAsia="en-US"/>
        </w:rPr>
        <w:t xml:space="preserve"> Vilches (</w:t>
      </w:r>
      <w:r w:rsidRPr="00B1523A">
        <w:rPr>
          <w:rFonts w:eastAsia="Calibri"/>
          <w:i/>
          <w:sz w:val="20"/>
          <w:szCs w:val="20"/>
          <w:lang w:val="es-CL" w:eastAsia="en-US"/>
        </w:rPr>
        <w:t>supra</w:t>
      </w:r>
      <w:r w:rsidRPr="00B1523A">
        <w:rPr>
          <w:rFonts w:eastAsia="Calibri"/>
          <w:sz w:val="20"/>
          <w:szCs w:val="20"/>
          <w:lang w:val="es-CL" w:eastAsia="en-US"/>
        </w:rPr>
        <w:t xml:space="preserve"> </w:t>
      </w:r>
      <w:proofErr w:type="spellStart"/>
      <w:r w:rsidRPr="00B1523A">
        <w:rPr>
          <w:rFonts w:eastAsia="Calibri"/>
          <w:sz w:val="20"/>
          <w:szCs w:val="20"/>
          <w:lang w:val="es-CL" w:eastAsia="en-US"/>
        </w:rPr>
        <w:t>párrs</w:t>
      </w:r>
      <w:proofErr w:type="spellEnd"/>
      <w:r w:rsidRPr="00B1523A">
        <w:rPr>
          <w:rFonts w:eastAsia="Calibri"/>
          <w:sz w:val="20"/>
          <w:szCs w:val="20"/>
          <w:lang w:val="es-CL" w:eastAsia="en-US"/>
        </w:rPr>
        <w:t xml:space="preserve">. </w:t>
      </w:r>
      <w:r w:rsidR="007F108A">
        <w:rPr>
          <w:rFonts w:eastAsia="Calibri"/>
          <w:sz w:val="20"/>
          <w:szCs w:val="20"/>
          <w:lang w:val="es-CL" w:eastAsia="en-US"/>
        </w:rPr>
        <w:t>133 a 143</w:t>
      </w:r>
      <w:r w:rsidRPr="00B1523A">
        <w:rPr>
          <w:rFonts w:eastAsia="Calibri"/>
          <w:sz w:val="20"/>
          <w:szCs w:val="20"/>
          <w:lang w:val="es-CL" w:eastAsia="en-US"/>
        </w:rPr>
        <w:t xml:space="preserve">). </w:t>
      </w:r>
      <w:r w:rsidR="00187538" w:rsidRPr="00B1523A">
        <w:rPr>
          <w:rFonts w:eastAsia="Calibri"/>
          <w:sz w:val="20"/>
          <w:szCs w:val="20"/>
          <w:lang w:val="es-CL" w:eastAsia="en-US"/>
        </w:rPr>
        <w:t>Dichas omisiones</w:t>
      </w:r>
      <w:r w:rsidR="005644EC" w:rsidRPr="00B1523A">
        <w:rPr>
          <w:rFonts w:eastAsia="Calibri"/>
          <w:sz w:val="20"/>
          <w:szCs w:val="20"/>
          <w:lang w:val="es-CL" w:eastAsia="en-US"/>
        </w:rPr>
        <w:t xml:space="preserve">, </w:t>
      </w:r>
      <w:r w:rsidR="00847C4A">
        <w:rPr>
          <w:rFonts w:eastAsia="Calibri"/>
          <w:sz w:val="20"/>
          <w:szCs w:val="20"/>
          <w:lang w:val="es-CL" w:eastAsia="en-US"/>
        </w:rPr>
        <w:t xml:space="preserve">varias de ellas </w:t>
      </w:r>
      <w:r w:rsidR="005644EC" w:rsidRPr="00B1523A">
        <w:rPr>
          <w:rFonts w:eastAsia="Calibri"/>
          <w:sz w:val="20"/>
          <w:szCs w:val="20"/>
          <w:lang w:val="es-CL" w:eastAsia="en-US"/>
        </w:rPr>
        <w:t>reconocidas por el propio Estado,</w:t>
      </w:r>
      <w:r w:rsidR="00187538" w:rsidRPr="00B1523A">
        <w:rPr>
          <w:rFonts w:eastAsia="Calibri"/>
          <w:sz w:val="20"/>
          <w:szCs w:val="20"/>
          <w:lang w:val="es-CL" w:eastAsia="en-US"/>
        </w:rPr>
        <w:t xml:space="preserve"> se dieron </w:t>
      </w:r>
      <w:r w:rsidR="005644EC" w:rsidRPr="00B1523A">
        <w:rPr>
          <w:rFonts w:eastAsia="Calibri"/>
          <w:sz w:val="20"/>
          <w:szCs w:val="20"/>
          <w:lang w:val="es-CL" w:eastAsia="en-US"/>
        </w:rPr>
        <w:t xml:space="preserve">particularmente, tanto </w:t>
      </w:r>
      <w:r w:rsidR="00187538" w:rsidRPr="00B1523A">
        <w:rPr>
          <w:rFonts w:eastAsia="Calibri"/>
          <w:sz w:val="20"/>
          <w:szCs w:val="20"/>
          <w:lang w:val="es-CL" w:eastAsia="en-US"/>
        </w:rPr>
        <w:t>en el primer ingreso</w:t>
      </w:r>
      <w:r w:rsidR="005644EC" w:rsidRPr="00B1523A">
        <w:rPr>
          <w:rFonts w:eastAsia="Calibri"/>
          <w:sz w:val="20"/>
          <w:szCs w:val="20"/>
          <w:lang w:val="es-CL" w:eastAsia="en-US"/>
        </w:rPr>
        <w:t>,</w:t>
      </w:r>
      <w:r w:rsidR="00187538" w:rsidRPr="00B1523A">
        <w:rPr>
          <w:rFonts w:eastAsia="Calibri"/>
          <w:sz w:val="20"/>
          <w:szCs w:val="20"/>
          <w:lang w:val="es-CL" w:eastAsia="en-US"/>
        </w:rPr>
        <w:t xml:space="preserve"> con </w:t>
      </w:r>
      <w:r w:rsidR="005644EC" w:rsidRPr="00B1523A">
        <w:rPr>
          <w:rFonts w:eastAsia="Calibri"/>
          <w:sz w:val="20"/>
          <w:szCs w:val="20"/>
          <w:lang w:val="es-CL" w:eastAsia="en-US"/>
        </w:rPr>
        <w:t>el alta temprana y</w:t>
      </w:r>
      <w:r w:rsidR="00187538" w:rsidRPr="00B1523A">
        <w:rPr>
          <w:rFonts w:eastAsia="Calibri"/>
          <w:sz w:val="20"/>
          <w:szCs w:val="20"/>
          <w:lang w:val="es-CL" w:eastAsia="en-US"/>
        </w:rPr>
        <w:t xml:space="preserve"> la falta de información a los familiares respecto de la condición y cuidado del paciente, a fin de que pudieran </w:t>
      </w:r>
      <w:r w:rsidR="005644EC" w:rsidRPr="00B1523A">
        <w:rPr>
          <w:rFonts w:eastAsia="Calibri"/>
          <w:sz w:val="20"/>
          <w:szCs w:val="20"/>
          <w:lang w:val="es-CL" w:eastAsia="en-US"/>
        </w:rPr>
        <w:t xml:space="preserve">advertir </w:t>
      </w:r>
      <w:r w:rsidR="00187538" w:rsidRPr="00B1523A">
        <w:rPr>
          <w:rFonts w:eastAsia="Calibri"/>
          <w:sz w:val="20"/>
          <w:szCs w:val="20"/>
          <w:lang w:val="es-CL" w:eastAsia="en-US"/>
        </w:rPr>
        <w:t>adecuadamente los signos de alarma y la manera de cómo responder,</w:t>
      </w:r>
      <w:r w:rsidR="005644EC" w:rsidRPr="00B1523A">
        <w:rPr>
          <w:rFonts w:eastAsia="Calibri"/>
          <w:sz w:val="20"/>
          <w:szCs w:val="20"/>
          <w:lang w:val="es-CL" w:eastAsia="en-US"/>
        </w:rPr>
        <w:t xml:space="preserve"> así como</w:t>
      </w:r>
      <w:r w:rsidR="00187538" w:rsidRPr="00B1523A">
        <w:rPr>
          <w:rFonts w:eastAsia="Calibri"/>
          <w:sz w:val="20"/>
          <w:szCs w:val="20"/>
          <w:lang w:val="es-CL" w:eastAsia="en-US"/>
        </w:rPr>
        <w:t xml:space="preserve"> </w:t>
      </w:r>
      <w:r w:rsidR="005644EC" w:rsidRPr="00B1523A">
        <w:rPr>
          <w:rFonts w:eastAsia="Calibri"/>
          <w:sz w:val="20"/>
          <w:szCs w:val="20"/>
          <w:lang w:val="es-CL" w:eastAsia="en-US"/>
        </w:rPr>
        <w:t>en el segundo ingreso con la negación de los servicios básicos que requería, y en su caso la ausencia de traslado a otro centro con disponibilidad</w:t>
      </w:r>
      <w:r w:rsidR="00C569E5" w:rsidRPr="00B1523A">
        <w:rPr>
          <w:rFonts w:eastAsia="Calibri"/>
          <w:sz w:val="20"/>
          <w:szCs w:val="20"/>
          <w:lang w:val="es-CL" w:eastAsia="en-US"/>
        </w:rPr>
        <w:t>.</w:t>
      </w:r>
      <w:r w:rsidR="005F3EE7" w:rsidRPr="00B1523A">
        <w:rPr>
          <w:rFonts w:eastAsia="Calibri"/>
          <w:sz w:val="20"/>
          <w:szCs w:val="20"/>
          <w:lang w:val="es-CL" w:eastAsia="en-US"/>
        </w:rPr>
        <w:t xml:space="preserve"> </w:t>
      </w:r>
      <w:r w:rsidR="007C786B">
        <w:rPr>
          <w:rFonts w:eastAsia="Calibri"/>
          <w:sz w:val="20"/>
          <w:szCs w:val="20"/>
          <w:lang w:val="es-CL" w:eastAsia="en-US"/>
        </w:rPr>
        <w:t xml:space="preserve">Particularmente, </w:t>
      </w:r>
      <w:r w:rsidR="007C786B">
        <w:rPr>
          <w:rFonts w:eastAsia="Calibri"/>
          <w:color w:val="000000" w:themeColor="text1"/>
          <w:sz w:val="20"/>
          <w:szCs w:val="20"/>
          <w:lang w:val="es-CL" w:eastAsia="en-US"/>
        </w:rPr>
        <w:t>d</w:t>
      </w:r>
      <w:r w:rsidR="00C569E5" w:rsidRPr="00B1523A">
        <w:rPr>
          <w:rFonts w:eastAsia="Calibri"/>
          <w:color w:val="000000" w:themeColor="text1"/>
          <w:sz w:val="20"/>
          <w:szCs w:val="20"/>
          <w:lang w:val="es-CL" w:eastAsia="en-US"/>
        </w:rPr>
        <w:t xml:space="preserve">ichas </w:t>
      </w:r>
      <w:r w:rsidR="005F3EE7" w:rsidRPr="00B1523A">
        <w:rPr>
          <w:rFonts w:eastAsia="Calibri"/>
          <w:color w:val="000000" w:themeColor="text1"/>
          <w:sz w:val="20"/>
          <w:szCs w:val="20"/>
          <w:lang w:val="es-CL" w:eastAsia="en-US"/>
        </w:rPr>
        <w:t xml:space="preserve">situaciones </w:t>
      </w:r>
      <w:r w:rsidR="00C569E5" w:rsidRPr="00B1523A">
        <w:rPr>
          <w:rFonts w:eastAsia="Calibri"/>
          <w:color w:val="000000" w:themeColor="text1"/>
          <w:sz w:val="20"/>
          <w:szCs w:val="20"/>
          <w:lang w:val="es-CL" w:eastAsia="en-US"/>
        </w:rPr>
        <w:t xml:space="preserve">derivaron </w:t>
      </w:r>
      <w:r w:rsidR="007F108A">
        <w:rPr>
          <w:rFonts w:eastAsia="Calibri"/>
          <w:color w:val="000000" w:themeColor="text1"/>
          <w:sz w:val="20"/>
          <w:szCs w:val="20"/>
          <w:lang w:val="es-CL" w:eastAsia="en-US"/>
        </w:rPr>
        <w:t xml:space="preserve">en </w:t>
      </w:r>
      <w:r w:rsidR="00C569E5" w:rsidRPr="00B1523A">
        <w:rPr>
          <w:rFonts w:eastAsia="Calibri"/>
          <w:color w:val="000000" w:themeColor="text1"/>
          <w:sz w:val="20"/>
          <w:szCs w:val="20"/>
          <w:lang w:val="es-CL" w:eastAsia="en-US"/>
        </w:rPr>
        <w:t>que, durante al menos cinco días,</w:t>
      </w:r>
      <w:r w:rsidR="005F3EE7" w:rsidRPr="00B1523A">
        <w:rPr>
          <w:rFonts w:eastAsia="Calibri"/>
          <w:color w:val="000000" w:themeColor="text1"/>
          <w:sz w:val="20"/>
          <w:szCs w:val="20"/>
          <w:lang w:val="es-CL" w:eastAsia="en-US"/>
        </w:rPr>
        <w:t xml:space="preserve"> el s</w:t>
      </w:r>
      <w:r w:rsidR="00C569E5" w:rsidRPr="00B1523A">
        <w:rPr>
          <w:rFonts w:eastAsia="Calibri"/>
          <w:color w:val="000000" w:themeColor="text1"/>
          <w:sz w:val="20"/>
          <w:szCs w:val="20"/>
          <w:lang w:val="es-CL" w:eastAsia="en-US"/>
        </w:rPr>
        <w:t>eñor Poblete Vilches experimentara</w:t>
      </w:r>
      <w:r w:rsidR="005F3EE7" w:rsidRPr="00B1523A">
        <w:rPr>
          <w:rFonts w:eastAsia="Calibri"/>
          <w:color w:val="000000" w:themeColor="text1"/>
          <w:sz w:val="20"/>
          <w:szCs w:val="20"/>
          <w:lang w:val="es-CL" w:eastAsia="en-US"/>
        </w:rPr>
        <w:t xml:space="preserve"> </w:t>
      </w:r>
      <w:r w:rsidR="001A65F9" w:rsidRPr="00B1523A">
        <w:rPr>
          <w:rFonts w:eastAsia="Calibri"/>
          <w:color w:val="000000" w:themeColor="text1"/>
          <w:sz w:val="20"/>
          <w:szCs w:val="20"/>
          <w:lang w:val="es-CL" w:eastAsia="en-US"/>
        </w:rPr>
        <w:t xml:space="preserve">diversos </w:t>
      </w:r>
      <w:r w:rsidR="00C569E5" w:rsidRPr="00B1523A">
        <w:rPr>
          <w:rFonts w:eastAsia="Calibri"/>
          <w:color w:val="000000" w:themeColor="text1"/>
          <w:sz w:val="20"/>
          <w:szCs w:val="20"/>
          <w:lang w:val="es-CL" w:eastAsia="en-US"/>
        </w:rPr>
        <w:t>sufrimientos motivo de la desatención a sus particulares condiciones de salud</w:t>
      </w:r>
      <w:r w:rsidR="00291E55">
        <w:rPr>
          <w:rFonts w:eastAsia="Calibri"/>
          <w:color w:val="000000" w:themeColor="text1"/>
          <w:sz w:val="20"/>
          <w:szCs w:val="20"/>
          <w:lang w:val="es-CL" w:eastAsia="en-US"/>
        </w:rPr>
        <w:t xml:space="preserve"> </w:t>
      </w:r>
      <w:r w:rsidR="00291E55">
        <w:rPr>
          <w:rFonts w:eastAsia="Calibri"/>
          <w:sz w:val="20"/>
          <w:szCs w:val="20"/>
          <w:lang w:val="es-CL" w:eastAsia="en-US"/>
        </w:rPr>
        <w:t>(</w:t>
      </w:r>
      <w:r w:rsidR="007D42DC">
        <w:rPr>
          <w:rFonts w:eastAsia="Calibri"/>
          <w:i/>
          <w:sz w:val="20"/>
          <w:szCs w:val="20"/>
          <w:lang w:val="es-CL" w:eastAsia="en-US"/>
        </w:rPr>
        <w:t>supra</w:t>
      </w:r>
      <w:r w:rsidR="00291E55">
        <w:rPr>
          <w:rFonts w:eastAsia="Calibri"/>
          <w:sz w:val="20"/>
          <w:szCs w:val="20"/>
          <w:lang w:val="es-CL" w:eastAsia="en-US"/>
        </w:rPr>
        <w:t xml:space="preserve"> </w:t>
      </w:r>
      <w:proofErr w:type="spellStart"/>
      <w:r w:rsidR="00291E55">
        <w:rPr>
          <w:rFonts w:eastAsia="Calibri"/>
          <w:sz w:val="20"/>
          <w:szCs w:val="20"/>
          <w:lang w:val="es-CL" w:eastAsia="en-US"/>
        </w:rPr>
        <w:t>párrs</w:t>
      </w:r>
      <w:proofErr w:type="spellEnd"/>
      <w:r w:rsidR="00291E55">
        <w:rPr>
          <w:rFonts w:eastAsia="Calibri"/>
          <w:sz w:val="20"/>
          <w:szCs w:val="20"/>
          <w:lang w:val="es-CL" w:eastAsia="en-US"/>
        </w:rPr>
        <w:t>. 153 y 154)</w:t>
      </w:r>
      <w:r w:rsidR="005644EC" w:rsidRPr="00B1523A">
        <w:rPr>
          <w:rFonts w:eastAsia="Calibri"/>
          <w:sz w:val="20"/>
          <w:szCs w:val="20"/>
          <w:lang w:val="es-CL" w:eastAsia="en-US"/>
        </w:rPr>
        <w:t xml:space="preserve">. Al respecto, la Corte estima que </w:t>
      </w:r>
      <w:r w:rsidR="00291E55">
        <w:rPr>
          <w:rFonts w:eastAsia="Calibri"/>
          <w:sz w:val="20"/>
          <w:szCs w:val="20"/>
          <w:lang w:val="es-CL" w:eastAsia="en-US"/>
        </w:rPr>
        <w:t>tales</w:t>
      </w:r>
      <w:r w:rsidR="00E7256E" w:rsidRPr="00B1523A">
        <w:rPr>
          <w:rFonts w:eastAsia="Calibri"/>
          <w:sz w:val="20"/>
          <w:szCs w:val="20"/>
          <w:lang w:val="es-CL" w:eastAsia="en-US"/>
        </w:rPr>
        <w:t xml:space="preserve"> hechos anteriormente enunciados constituyen una vulneración de </w:t>
      </w:r>
      <w:r w:rsidR="005644EC" w:rsidRPr="00B1523A">
        <w:rPr>
          <w:rFonts w:eastAsia="Calibri"/>
          <w:sz w:val="20"/>
          <w:szCs w:val="20"/>
          <w:lang w:val="es-CL" w:eastAsia="en-US"/>
        </w:rPr>
        <w:t>su derecho a la integridad personal</w:t>
      </w:r>
      <w:r w:rsidR="002740DF" w:rsidRPr="00B1523A">
        <w:rPr>
          <w:rFonts w:eastAsia="Calibri"/>
          <w:sz w:val="20"/>
          <w:szCs w:val="20"/>
          <w:lang w:val="es-CL" w:eastAsia="en-US"/>
        </w:rPr>
        <w:t>, así</w:t>
      </w:r>
      <w:r w:rsidR="007C786B">
        <w:rPr>
          <w:rFonts w:eastAsia="Calibri"/>
          <w:sz w:val="20"/>
          <w:szCs w:val="20"/>
          <w:lang w:val="es-CL" w:eastAsia="en-US"/>
        </w:rPr>
        <w:t xml:space="preserve"> </w:t>
      </w:r>
      <w:r w:rsidR="002740DF" w:rsidRPr="00B1523A">
        <w:rPr>
          <w:rFonts w:eastAsia="Calibri"/>
          <w:sz w:val="20"/>
          <w:szCs w:val="20"/>
          <w:lang w:val="es-CL" w:eastAsia="en-US"/>
        </w:rPr>
        <w:t xml:space="preserve">reconocido por el </w:t>
      </w:r>
      <w:r w:rsidR="007F108A">
        <w:rPr>
          <w:rFonts w:eastAsia="Calibri"/>
          <w:sz w:val="20"/>
          <w:szCs w:val="20"/>
          <w:lang w:val="es-CL" w:eastAsia="en-US"/>
        </w:rPr>
        <w:t xml:space="preserve">propio </w:t>
      </w:r>
      <w:r w:rsidR="002740DF" w:rsidRPr="00B1523A">
        <w:rPr>
          <w:rFonts w:eastAsia="Calibri"/>
          <w:sz w:val="20"/>
          <w:szCs w:val="20"/>
          <w:lang w:val="es-CL" w:eastAsia="en-US"/>
        </w:rPr>
        <w:t>Estado</w:t>
      </w:r>
      <w:r w:rsidR="005644EC" w:rsidRPr="00B1523A">
        <w:rPr>
          <w:rFonts w:eastAsia="Calibri"/>
          <w:sz w:val="20"/>
          <w:szCs w:val="20"/>
          <w:lang w:val="es-CL" w:eastAsia="en-US"/>
        </w:rPr>
        <w:t xml:space="preserve">. </w:t>
      </w:r>
    </w:p>
    <w:p w14:paraId="264FCC0D" w14:textId="77777777" w:rsidR="00967ED8" w:rsidRPr="00AB1E03" w:rsidRDefault="00967ED8" w:rsidP="002570D1">
      <w:pPr>
        <w:rPr>
          <w:rFonts w:eastAsia="Calibri"/>
          <w:sz w:val="18"/>
          <w:szCs w:val="20"/>
          <w:lang w:val="es-CL" w:eastAsia="en-US"/>
        </w:rPr>
      </w:pPr>
    </w:p>
    <w:p w14:paraId="7BCC8658" w14:textId="2A86B130" w:rsidR="002570D1" w:rsidRPr="00C96765" w:rsidRDefault="002570D1" w:rsidP="00AB1E03">
      <w:pPr>
        <w:numPr>
          <w:ilvl w:val="0"/>
          <w:numId w:val="2"/>
        </w:numPr>
        <w:tabs>
          <w:tab w:val="left" w:pos="567"/>
          <w:tab w:val="num" w:pos="1569"/>
          <w:tab w:val="num" w:pos="12305"/>
        </w:tabs>
        <w:ind w:left="0" w:firstLine="0"/>
        <w:rPr>
          <w:rFonts w:eastAsia="Calibri"/>
          <w:sz w:val="20"/>
          <w:szCs w:val="20"/>
          <w:lang w:val="es-ES_tradnl" w:eastAsia="en-US"/>
        </w:rPr>
      </w:pPr>
      <w:r w:rsidRPr="00C96765">
        <w:rPr>
          <w:rFonts w:eastAsia="Calibri"/>
          <w:sz w:val="20"/>
          <w:szCs w:val="20"/>
          <w:lang w:val="es-ES_tradnl" w:eastAsia="en-US"/>
        </w:rPr>
        <w:t xml:space="preserve">En vista de </w:t>
      </w:r>
      <w:r w:rsidR="000262AD" w:rsidRPr="00C96765">
        <w:rPr>
          <w:rFonts w:eastAsia="Calibri"/>
          <w:sz w:val="20"/>
          <w:szCs w:val="20"/>
          <w:lang w:val="es-ES_tradnl" w:eastAsia="en-US"/>
        </w:rPr>
        <w:t>lo anterior</w:t>
      </w:r>
      <w:r w:rsidRPr="00C96765">
        <w:rPr>
          <w:rFonts w:eastAsia="Calibri"/>
          <w:sz w:val="20"/>
          <w:szCs w:val="20"/>
          <w:lang w:val="es-ES_tradnl" w:eastAsia="en-US"/>
        </w:rPr>
        <w:t>, el Tribunal concluye que el Estado es responsable por la violación del deber de garantía de</w:t>
      </w:r>
      <w:r w:rsidR="005644EC" w:rsidRPr="00C96765">
        <w:rPr>
          <w:rFonts w:eastAsia="Calibri"/>
          <w:sz w:val="20"/>
          <w:szCs w:val="20"/>
          <w:lang w:val="es-ES_tradnl" w:eastAsia="en-US"/>
        </w:rPr>
        <w:t xml:space="preserve"> los</w:t>
      </w:r>
      <w:r w:rsidRPr="00B1523A">
        <w:rPr>
          <w:rFonts w:eastAsia="Calibri"/>
          <w:sz w:val="20"/>
          <w:szCs w:val="20"/>
          <w:lang w:val="es-ES_tradnl" w:eastAsia="en-US"/>
        </w:rPr>
        <w:t xml:space="preserve"> derecho</w:t>
      </w:r>
      <w:r w:rsidR="005644EC" w:rsidRPr="00B1523A">
        <w:rPr>
          <w:rFonts w:eastAsia="Calibri"/>
          <w:sz w:val="20"/>
          <w:szCs w:val="20"/>
          <w:lang w:val="es-ES_tradnl" w:eastAsia="en-US"/>
        </w:rPr>
        <w:t>s</w:t>
      </w:r>
      <w:r w:rsidRPr="00C96765">
        <w:rPr>
          <w:rFonts w:eastAsia="Calibri"/>
          <w:sz w:val="20"/>
          <w:szCs w:val="20"/>
          <w:lang w:val="es-ES_tradnl" w:eastAsia="en-US"/>
        </w:rPr>
        <w:t xml:space="preserve"> a la vida</w:t>
      </w:r>
      <w:r w:rsidR="005644EC" w:rsidRPr="00C96765">
        <w:rPr>
          <w:rFonts w:eastAsia="Calibri"/>
          <w:sz w:val="20"/>
          <w:szCs w:val="20"/>
          <w:lang w:val="es-ES_tradnl" w:eastAsia="en-US"/>
        </w:rPr>
        <w:t xml:space="preserve"> e integridad personal</w:t>
      </w:r>
      <w:r w:rsidRPr="00C96765">
        <w:rPr>
          <w:rFonts w:eastAsia="Calibri"/>
          <w:sz w:val="20"/>
          <w:szCs w:val="20"/>
          <w:lang w:val="es-ES_tradnl" w:eastAsia="en-US"/>
        </w:rPr>
        <w:t xml:space="preserve">, </w:t>
      </w:r>
      <w:r w:rsidR="000262AD" w:rsidRPr="00C96765">
        <w:rPr>
          <w:rFonts w:eastAsia="Calibri"/>
          <w:sz w:val="20"/>
          <w:szCs w:val="20"/>
          <w:lang w:val="es-ES_tradnl" w:eastAsia="en-US"/>
        </w:rPr>
        <w:t>reconocido</w:t>
      </w:r>
      <w:r w:rsidR="005644EC" w:rsidRPr="00B1523A">
        <w:rPr>
          <w:rFonts w:eastAsia="Calibri"/>
          <w:sz w:val="20"/>
          <w:szCs w:val="20"/>
          <w:lang w:val="es-ES_tradnl" w:eastAsia="en-US"/>
        </w:rPr>
        <w:t>s</w:t>
      </w:r>
      <w:r w:rsidR="000262AD" w:rsidRPr="00C96765">
        <w:rPr>
          <w:rFonts w:eastAsia="Calibri"/>
          <w:sz w:val="20"/>
          <w:szCs w:val="20"/>
          <w:lang w:val="es-ES_tradnl" w:eastAsia="en-US"/>
        </w:rPr>
        <w:t xml:space="preserve"> en los artículos 4</w:t>
      </w:r>
      <w:r w:rsidR="005644EC" w:rsidRPr="00C96765">
        <w:rPr>
          <w:rFonts w:eastAsia="Calibri"/>
          <w:sz w:val="20"/>
          <w:szCs w:val="20"/>
          <w:lang w:val="es-ES_tradnl" w:eastAsia="en-US"/>
        </w:rPr>
        <w:t xml:space="preserve"> y 5 </w:t>
      </w:r>
      <w:r w:rsidR="000262AD" w:rsidRPr="00C96765">
        <w:rPr>
          <w:rFonts w:eastAsia="Calibri"/>
          <w:sz w:val="20"/>
          <w:szCs w:val="20"/>
          <w:lang w:val="es-ES_tradnl" w:eastAsia="en-US"/>
        </w:rPr>
        <w:t xml:space="preserve">de la Convención Americana, </w:t>
      </w:r>
      <w:r w:rsidRPr="00C96765">
        <w:rPr>
          <w:rFonts w:eastAsia="Calibri"/>
          <w:sz w:val="20"/>
          <w:szCs w:val="20"/>
          <w:lang w:val="es-ES_tradnl" w:eastAsia="en-US"/>
        </w:rPr>
        <w:t xml:space="preserve">en relación con </w:t>
      </w:r>
      <w:r w:rsidR="004669FF" w:rsidRPr="00C96765">
        <w:rPr>
          <w:rFonts w:eastAsia="Calibri"/>
          <w:sz w:val="20"/>
          <w:szCs w:val="20"/>
          <w:lang w:val="es-ES_tradnl" w:eastAsia="en-US"/>
        </w:rPr>
        <w:t>los</w:t>
      </w:r>
      <w:r w:rsidRPr="00C96765">
        <w:rPr>
          <w:rFonts w:eastAsia="Calibri"/>
          <w:sz w:val="20"/>
          <w:szCs w:val="20"/>
          <w:lang w:val="es-ES_tradnl" w:eastAsia="en-US"/>
        </w:rPr>
        <w:t xml:space="preserve"> derecho</w:t>
      </w:r>
      <w:r w:rsidR="004669FF" w:rsidRPr="00C96765">
        <w:rPr>
          <w:rFonts w:eastAsia="Calibri"/>
          <w:sz w:val="20"/>
          <w:szCs w:val="20"/>
          <w:lang w:val="es-ES_tradnl" w:eastAsia="en-US"/>
        </w:rPr>
        <w:t>s</w:t>
      </w:r>
      <w:r w:rsidRPr="00C96765">
        <w:rPr>
          <w:rFonts w:eastAsia="Calibri"/>
          <w:sz w:val="20"/>
          <w:szCs w:val="20"/>
          <w:lang w:val="es-ES_tradnl" w:eastAsia="en-US"/>
        </w:rPr>
        <w:t xml:space="preserve"> a la salud y no discriminación, </w:t>
      </w:r>
      <w:r w:rsidR="004669FF" w:rsidRPr="00C96765">
        <w:rPr>
          <w:rFonts w:eastAsia="Calibri"/>
          <w:sz w:val="20"/>
          <w:szCs w:val="20"/>
          <w:lang w:val="es-ES_tradnl" w:eastAsia="en-US"/>
        </w:rPr>
        <w:t xml:space="preserve">de conformidad con </w:t>
      </w:r>
      <w:r w:rsidR="000262AD" w:rsidRPr="00C96765">
        <w:rPr>
          <w:rFonts w:eastAsia="Calibri"/>
          <w:sz w:val="20"/>
          <w:szCs w:val="20"/>
          <w:lang w:val="es-ES_tradnl" w:eastAsia="en-US"/>
        </w:rPr>
        <w:t>los artículos</w:t>
      </w:r>
      <w:r w:rsidR="001E299B" w:rsidRPr="00C96765">
        <w:rPr>
          <w:rFonts w:eastAsia="Calibri"/>
          <w:sz w:val="20"/>
          <w:szCs w:val="20"/>
          <w:lang w:val="es-ES_tradnl" w:eastAsia="en-US"/>
        </w:rPr>
        <w:t xml:space="preserve"> </w:t>
      </w:r>
      <w:r w:rsidRPr="00C96765">
        <w:rPr>
          <w:rFonts w:eastAsia="Calibri"/>
          <w:sz w:val="20"/>
          <w:szCs w:val="20"/>
          <w:lang w:val="es-ES_tradnl" w:eastAsia="en-US"/>
        </w:rPr>
        <w:t>26</w:t>
      </w:r>
      <w:r w:rsidR="001E299B" w:rsidRPr="00C96765">
        <w:rPr>
          <w:rFonts w:eastAsia="Calibri"/>
          <w:sz w:val="20"/>
          <w:szCs w:val="20"/>
          <w:lang w:val="es-ES_tradnl" w:eastAsia="en-US"/>
        </w:rPr>
        <w:t xml:space="preserve"> y 1.1</w:t>
      </w:r>
      <w:r w:rsidRPr="00C96765">
        <w:rPr>
          <w:rFonts w:eastAsia="Calibri"/>
          <w:sz w:val="20"/>
          <w:szCs w:val="20"/>
          <w:lang w:val="es-ES_tradnl" w:eastAsia="en-US"/>
        </w:rPr>
        <w:t xml:space="preserve"> de la </w:t>
      </w:r>
      <w:r w:rsidR="000262AD" w:rsidRPr="00C96765">
        <w:rPr>
          <w:rFonts w:eastAsia="Calibri"/>
          <w:sz w:val="20"/>
          <w:szCs w:val="20"/>
          <w:lang w:val="es-ES_tradnl" w:eastAsia="en-US"/>
        </w:rPr>
        <w:t>misma</w:t>
      </w:r>
      <w:r w:rsidRPr="00C96765">
        <w:rPr>
          <w:rFonts w:eastAsia="Calibri"/>
          <w:sz w:val="20"/>
          <w:szCs w:val="20"/>
          <w:lang w:val="es-ES_tradnl" w:eastAsia="en-US"/>
        </w:rPr>
        <w:t xml:space="preserve">, en perjuicio del señor Poblete Vilches. </w:t>
      </w:r>
    </w:p>
    <w:p w14:paraId="704AE3F0" w14:textId="77777777" w:rsidR="002570D1" w:rsidRPr="00EB31AC" w:rsidRDefault="00164C05" w:rsidP="009F4015">
      <w:pPr>
        <w:pStyle w:val="Heading4"/>
        <w:ind w:left="1276"/>
        <w:rPr>
          <w:rFonts w:eastAsia="Calibri"/>
          <w:b/>
          <w:lang w:val="es-ES" w:eastAsia="x-none"/>
        </w:rPr>
      </w:pPr>
      <w:bookmarkStart w:id="84" w:name="_Toc513644472"/>
      <w:r>
        <w:rPr>
          <w:rFonts w:eastAsia="Calibri"/>
          <w:b/>
          <w:lang w:val="es-ES_tradnl" w:eastAsia="en-US"/>
        </w:rPr>
        <w:t xml:space="preserve">1.3 </w:t>
      </w:r>
      <w:r w:rsidR="002570D1" w:rsidRPr="000F4170">
        <w:rPr>
          <w:rFonts w:eastAsia="Calibri"/>
          <w:b/>
          <w:lang w:val="es-ES_tradnl" w:eastAsia="en-US"/>
        </w:rPr>
        <w:t>Derecho al consentimiento informado en materia de salud</w:t>
      </w:r>
      <w:r w:rsidR="00B92B58" w:rsidRPr="000F4170">
        <w:rPr>
          <w:rFonts w:eastAsia="Calibri"/>
          <w:b/>
          <w:lang w:val="es-ES_tradnl" w:eastAsia="en-US"/>
        </w:rPr>
        <w:t xml:space="preserve"> y  acceso a la información</w:t>
      </w:r>
      <w:bookmarkEnd w:id="84"/>
    </w:p>
    <w:p w14:paraId="041765B4" w14:textId="77777777" w:rsidR="002570D1" w:rsidRDefault="002570D1" w:rsidP="002570D1">
      <w:pPr>
        <w:ind w:right="-360"/>
        <w:rPr>
          <w:rFonts w:eastAsia="Calibri"/>
          <w:sz w:val="20"/>
          <w:szCs w:val="20"/>
          <w:lang w:val="es-ES_tradnl" w:eastAsia="en-US"/>
        </w:rPr>
      </w:pPr>
    </w:p>
    <w:p w14:paraId="67D02B37" w14:textId="38328A0B" w:rsidR="00BC5B4D" w:rsidRPr="009F4015" w:rsidRDefault="00BC5B4D" w:rsidP="009F4015">
      <w:pPr>
        <w:pStyle w:val="Heading4"/>
        <w:spacing w:before="0"/>
        <w:ind w:left="2124"/>
        <w:rPr>
          <w:rFonts w:eastAsia="Calibri"/>
          <w:b/>
          <w:lang w:val="es-ES_tradnl" w:eastAsia="en-US"/>
        </w:rPr>
      </w:pPr>
      <w:bookmarkStart w:id="85" w:name="_Toc513644473"/>
      <w:r w:rsidRPr="009F4015">
        <w:rPr>
          <w:rFonts w:eastAsia="Calibri"/>
          <w:b/>
          <w:lang w:val="es-ES_tradnl" w:eastAsia="en-US"/>
        </w:rPr>
        <w:t>1.3.1. Respecto del señor Vinicio Poblete y el reconocimiento parcial de responsabilidad del Estado</w:t>
      </w:r>
      <w:bookmarkEnd w:id="85"/>
    </w:p>
    <w:p w14:paraId="255D5EEC" w14:textId="77777777" w:rsidR="00BC5B4D" w:rsidRPr="002570D1" w:rsidRDefault="00BC5B4D" w:rsidP="002570D1">
      <w:pPr>
        <w:ind w:right="-360"/>
        <w:rPr>
          <w:rFonts w:eastAsia="Calibri"/>
          <w:sz w:val="20"/>
          <w:szCs w:val="20"/>
          <w:lang w:val="es-ES_tradnl" w:eastAsia="en-US"/>
        </w:rPr>
      </w:pPr>
    </w:p>
    <w:p w14:paraId="10A55314" w14:textId="0E41354A" w:rsidR="002570D1" w:rsidRDefault="002570D1" w:rsidP="002570D1">
      <w:pPr>
        <w:numPr>
          <w:ilvl w:val="0"/>
          <w:numId w:val="2"/>
        </w:numPr>
        <w:tabs>
          <w:tab w:val="left" w:pos="567"/>
          <w:tab w:val="num" w:pos="1569"/>
          <w:tab w:val="num" w:pos="12305"/>
        </w:tabs>
        <w:ind w:left="0" w:firstLine="0"/>
        <w:rPr>
          <w:rFonts w:eastAsia="Calibri"/>
          <w:sz w:val="20"/>
          <w:szCs w:val="20"/>
          <w:lang w:val="es-ES_tradnl" w:eastAsia="en-US"/>
        </w:rPr>
      </w:pPr>
      <w:r w:rsidRPr="002570D1">
        <w:rPr>
          <w:rFonts w:eastAsia="Calibri"/>
          <w:sz w:val="20"/>
          <w:szCs w:val="20"/>
          <w:lang w:val="es-ES_tradnl" w:eastAsia="en-US"/>
        </w:rPr>
        <w:t xml:space="preserve">En el presente caso, la Corte advierte que no existe controversia sobre las violaciones </w:t>
      </w:r>
      <w:r w:rsidR="008867EC" w:rsidRPr="002570D1">
        <w:rPr>
          <w:rFonts w:eastAsia="Calibri"/>
          <w:sz w:val="20"/>
          <w:szCs w:val="20"/>
          <w:lang w:val="es-ES_tradnl" w:eastAsia="en-US"/>
        </w:rPr>
        <w:t xml:space="preserve">de la Convención </w:t>
      </w:r>
      <w:r w:rsidR="008867EC">
        <w:rPr>
          <w:rFonts w:eastAsia="Calibri"/>
          <w:sz w:val="20"/>
          <w:szCs w:val="20"/>
          <w:lang w:val="es-ES_tradnl" w:eastAsia="en-US"/>
        </w:rPr>
        <w:t xml:space="preserve">alegadas </w:t>
      </w:r>
      <w:r w:rsidRPr="002570D1">
        <w:rPr>
          <w:rFonts w:eastAsia="Calibri"/>
          <w:sz w:val="20"/>
          <w:szCs w:val="20"/>
          <w:lang w:val="es-ES_tradnl" w:eastAsia="en-US"/>
        </w:rPr>
        <w:t>en perjuicio del señor Poblete Vilches, ya que el Estado aceptó la responsabilidad internacional por la violación de los derechos al acceso a la información</w:t>
      </w:r>
      <w:r w:rsidR="00BC5B4D">
        <w:rPr>
          <w:rFonts w:eastAsia="Calibri"/>
          <w:sz w:val="20"/>
          <w:szCs w:val="20"/>
          <w:lang w:val="es-ES_tradnl" w:eastAsia="en-US"/>
        </w:rPr>
        <w:t xml:space="preserve"> </w:t>
      </w:r>
      <w:r w:rsidR="00BC5B4D" w:rsidRPr="00B1523A">
        <w:rPr>
          <w:rFonts w:eastAsia="Calibri"/>
          <w:sz w:val="20"/>
          <w:szCs w:val="20"/>
          <w:lang w:val="es-ES_tradnl" w:eastAsia="en-US"/>
        </w:rPr>
        <w:t>(artículos 13)</w:t>
      </w:r>
      <w:r w:rsidRPr="00B1523A">
        <w:rPr>
          <w:rFonts w:eastAsia="Calibri"/>
          <w:sz w:val="20"/>
          <w:szCs w:val="20"/>
          <w:lang w:val="es-ES_tradnl" w:eastAsia="en-US"/>
        </w:rPr>
        <w:t xml:space="preserve">, la dignidad </w:t>
      </w:r>
      <w:r w:rsidR="00BC5B4D" w:rsidRPr="00B1523A">
        <w:rPr>
          <w:rFonts w:eastAsia="Calibri"/>
          <w:sz w:val="20"/>
          <w:szCs w:val="20"/>
          <w:lang w:val="es-ES_tradnl" w:eastAsia="en-US"/>
        </w:rPr>
        <w:t xml:space="preserve">(artículo 11) </w:t>
      </w:r>
      <w:r w:rsidRPr="00DB1744">
        <w:rPr>
          <w:rFonts w:eastAsia="Calibri"/>
          <w:sz w:val="20"/>
          <w:szCs w:val="20"/>
          <w:lang w:val="es-ES_tradnl" w:eastAsia="en-US"/>
        </w:rPr>
        <w:t xml:space="preserve">y la libertad personal </w:t>
      </w:r>
      <w:r w:rsidR="00BC5B4D" w:rsidRPr="00B1523A">
        <w:rPr>
          <w:rFonts w:eastAsia="Calibri"/>
          <w:sz w:val="20"/>
          <w:szCs w:val="20"/>
          <w:lang w:val="es-ES_tradnl" w:eastAsia="en-US"/>
        </w:rPr>
        <w:t xml:space="preserve">(artículo 7) </w:t>
      </w:r>
      <w:r w:rsidRPr="00DB1744">
        <w:rPr>
          <w:rFonts w:eastAsia="Calibri"/>
          <w:sz w:val="20"/>
          <w:szCs w:val="20"/>
          <w:lang w:val="es-ES_tradnl" w:eastAsia="en-US"/>
        </w:rPr>
        <w:t>(</w:t>
      </w:r>
      <w:r w:rsidR="00062586" w:rsidRPr="00DB1744">
        <w:rPr>
          <w:rFonts w:eastAsia="Calibri"/>
          <w:i/>
          <w:sz w:val="20"/>
          <w:szCs w:val="20"/>
          <w:lang w:val="es-ES_tradnl" w:eastAsia="en-US"/>
        </w:rPr>
        <w:t>supra</w:t>
      </w:r>
      <w:r w:rsidRPr="00DB1744">
        <w:rPr>
          <w:rFonts w:eastAsia="Calibri"/>
          <w:sz w:val="20"/>
          <w:szCs w:val="20"/>
          <w:lang w:val="es-ES_tradnl" w:eastAsia="en-US"/>
        </w:rPr>
        <w:t xml:space="preserve"> párr.</w:t>
      </w:r>
      <w:r w:rsidR="00DB1744" w:rsidRPr="00DB1744">
        <w:rPr>
          <w:rFonts w:eastAsia="Calibri"/>
          <w:sz w:val="20"/>
          <w:szCs w:val="20"/>
          <w:lang w:val="es-ES_tradnl" w:eastAsia="en-US"/>
        </w:rPr>
        <w:t xml:space="preserve"> 16</w:t>
      </w:r>
      <w:r w:rsidRPr="00DB1744">
        <w:rPr>
          <w:rFonts w:eastAsia="Calibri"/>
          <w:sz w:val="20"/>
          <w:szCs w:val="20"/>
          <w:lang w:val="es-ES_tradnl" w:eastAsia="en-US"/>
        </w:rPr>
        <w:t>)</w:t>
      </w:r>
      <w:r w:rsidR="008867EC" w:rsidRPr="00DB1744">
        <w:rPr>
          <w:rFonts w:eastAsia="Calibri"/>
          <w:sz w:val="20"/>
          <w:szCs w:val="20"/>
          <w:lang w:val="es-ES_tradnl" w:eastAsia="en-US"/>
        </w:rPr>
        <w:t>.</w:t>
      </w:r>
      <w:r w:rsidR="00BC5B4D" w:rsidRPr="00DB1744">
        <w:rPr>
          <w:rFonts w:eastAsia="Calibri"/>
          <w:sz w:val="20"/>
          <w:szCs w:val="20"/>
          <w:lang w:val="es-ES_tradnl" w:eastAsia="en-US"/>
        </w:rPr>
        <w:t xml:space="preserve"> En este sentido, la Corte acoge el alcance de dicho reconocimiento en perjuicio del señor Poblete Vilches</w:t>
      </w:r>
      <w:r w:rsidR="00762119">
        <w:rPr>
          <w:rFonts w:eastAsia="Calibri"/>
          <w:sz w:val="20"/>
          <w:szCs w:val="20"/>
          <w:lang w:val="es-ES_tradnl" w:eastAsia="en-US"/>
        </w:rPr>
        <w:t>.</w:t>
      </w:r>
    </w:p>
    <w:p w14:paraId="3170F1F2" w14:textId="77777777" w:rsidR="00853F33" w:rsidRDefault="00853F33" w:rsidP="0059117C">
      <w:pPr>
        <w:tabs>
          <w:tab w:val="left" w:pos="567"/>
        </w:tabs>
        <w:rPr>
          <w:rFonts w:eastAsia="Calibri"/>
          <w:sz w:val="20"/>
          <w:szCs w:val="20"/>
          <w:lang w:val="es-ES_tradnl" w:eastAsia="en-US"/>
        </w:rPr>
      </w:pPr>
    </w:p>
    <w:p w14:paraId="54FE95EC" w14:textId="16848CA1" w:rsidR="00853F33" w:rsidRPr="00853F33" w:rsidRDefault="00853F33" w:rsidP="002570D1">
      <w:pPr>
        <w:numPr>
          <w:ilvl w:val="0"/>
          <w:numId w:val="2"/>
        </w:numPr>
        <w:tabs>
          <w:tab w:val="left" w:pos="567"/>
          <w:tab w:val="num" w:pos="1569"/>
          <w:tab w:val="num" w:pos="12305"/>
        </w:tabs>
        <w:ind w:left="0" w:firstLine="0"/>
        <w:rPr>
          <w:rFonts w:eastAsia="Calibri"/>
          <w:sz w:val="20"/>
          <w:szCs w:val="20"/>
          <w:lang w:val="es-ES_tradnl" w:eastAsia="en-US"/>
        </w:rPr>
      </w:pPr>
      <w:r>
        <w:rPr>
          <w:sz w:val="20"/>
          <w:szCs w:val="20"/>
        </w:rPr>
        <w:t>Al respecto, el Estado reconoció los siguientes hechos</w:t>
      </w:r>
      <w:r w:rsidRPr="0059117C">
        <w:rPr>
          <w:sz w:val="20"/>
          <w:szCs w:val="20"/>
        </w:rPr>
        <w:t xml:space="preserve">: i) la presunta víctima se encontraba inconsciente al momento en que se decidiera su intervención quirúrgica y por ello, no estaba en condiciones de consentir ningún tipo de procedimiento; ii) los familiares no fueron </w:t>
      </w:r>
      <w:r w:rsidRPr="0059117C">
        <w:rPr>
          <w:sz w:val="20"/>
          <w:szCs w:val="20"/>
        </w:rPr>
        <w:lastRenderedPageBreak/>
        <w:t xml:space="preserve">debidamente informados del procedimiento que se realizaría a la presunta víctima; iii) la única referencia a la existencia de un supuesto consentimiento por parte de la familia se encuentra en el expediente clínico, el cual a su vez, plantea dudas sobre la manera en que fue obtenido y su autenticidad; iv) de la historia clínica no resulta información o registro alguno que permita entender que el supuesto consentimiento informado fue brindado de acuerdo a los requisitos establecidos por el derecho internacional, y v) en el expediente médico existen dudas sobre si los familiares comprendieron la situación en la que se encontraba la presunta víctima. </w:t>
      </w:r>
      <w:r w:rsidRPr="00B1523A">
        <w:rPr>
          <w:sz w:val="20"/>
          <w:szCs w:val="20"/>
        </w:rPr>
        <w:t>(</w:t>
      </w:r>
      <w:r w:rsidR="00DB1744">
        <w:rPr>
          <w:i/>
          <w:sz w:val="20"/>
          <w:szCs w:val="20"/>
        </w:rPr>
        <w:t>supra</w:t>
      </w:r>
      <w:r w:rsidR="00DB1744">
        <w:rPr>
          <w:sz w:val="20"/>
          <w:szCs w:val="20"/>
        </w:rPr>
        <w:t xml:space="preserve"> párr. 18 </w:t>
      </w:r>
      <w:r w:rsidRPr="00B1523A">
        <w:rPr>
          <w:sz w:val="20"/>
          <w:szCs w:val="20"/>
        </w:rPr>
        <w:t>)</w:t>
      </w:r>
    </w:p>
    <w:p w14:paraId="45CA63BD" w14:textId="77777777" w:rsidR="002570D1" w:rsidRPr="002570D1" w:rsidRDefault="002570D1" w:rsidP="002570D1">
      <w:pPr>
        <w:ind w:left="-90" w:right="-360"/>
        <w:rPr>
          <w:rFonts w:eastAsia="Calibri"/>
          <w:sz w:val="20"/>
          <w:szCs w:val="20"/>
          <w:lang w:val="es-ES_tradnl" w:eastAsia="en-US"/>
        </w:rPr>
      </w:pPr>
    </w:p>
    <w:p w14:paraId="00611DCF" w14:textId="73909672" w:rsidR="00853F33" w:rsidRPr="003F402C" w:rsidRDefault="00853F33" w:rsidP="005430FF">
      <w:pPr>
        <w:numPr>
          <w:ilvl w:val="0"/>
          <w:numId w:val="2"/>
        </w:numPr>
        <w:tabs>
          <w:tab w:val="left" w:pos="567"/>
          <w:tab w:val="num" w:pos="1569"/>
          <w:tab w:val="num" w:pos="12305"/>
        </w:tabs>
        <w:ind w:left="0" w:firstLine="0"/>
        <w:rPr>
          <w:rFonts w:eastAsia="Calibri"/>
          <w:sz w:val="20"/>
          <w:szCs w:val="20"/>
          <w:lang w:eastAsia="en-US"/>
        </w:rPr>
      </w:pPr>
      <w:r>
        <w:rPr>
          <w:rFonts w:eastAsia="Calibri"/>
          <w:sz w:val="20"/>
          <w:szCs w:val="20"/>
          <w:lang w:val="es-ES_tradnl" w:eastAsia="en-US"/>
        </w:rPr>
        <w:t xml:space="preserve">Frente a los familiares del señor Poblete Vilches, </w:t>
      </w:r>
      <w:r w:rsidR="003354BF" w:rsidRPr="002570D1">
        <w:rPr>
          <w:rFonts w:eastAsia="Calibri"/>
          <w:sz w:val="20"/>
          <w:szCs w:val="20"/>
          <w:lang w:val="es-ES_tradnl" w:eastAsia="en-US"/>
        </w:rPr>
        <w:t xml:space="preserve">la Corte </w:t>
      </w:r>
      <w:r w:rsidR="003354BF">
        <w:rPr>
          <w:rFonts w:eastAsia="Calibri"/>
          <w:sz w:val="20"/>
          <w:szCs w:val="20"/>
          <w:lang w:val="es-ES_tradnl" w:eastAsia="en-US"/>
        </w:rPr>
        <w:t>nota</w:t>
      </w:r>
      <w:r w:rsidR="003354BF" w:rsidRPr="002570D1">
        <w:rPr>
          <w:rFonts w:eastAsia="Calibri"/>
          <w:sz w:val="20"/>
          <w:szCs w:val="20"/>
          <w:lang w:val="es-ES_tradnl" w:eastAsia="en-US"/>
        </w:rPr>
        <w:t xml:space="preserve"> que el Estado reconoció que en el presente caso no hubo un consentimiento previo, libre, pleno, e informado</w:t>
      </w:r>
      <w:r w:rsidR="00E82480">
        <w:rPr>
          <w:rFonts w:eastAsia="Calibri"/>
          <w:sz w:val="20"/>
          <w:szCs w:val="20"/>
          <w:lang w:val="es-ES_tradnl" w:eastAsia="en-US"/>
        </w:rPr>
        <w:t xml:space="preserve">, de </w:t>
      </w:r>
      <w:r w:rsidR="00E82480" w:rsidRPr="00F41641">
        <w:rPr>
          <w:rFonts w:eastAsia="Calibri"/>
          <w:sz w:val="20"/>
          <w:szCs w:val="20"/>
          <w:lang w:val="es-ES_tradnl" w:eastAsia="en-US"/>
        </w:rPr>
        <w:t>conformidad con el artículo 13 convencional</w:t>
      </w:r>
      <w:r w:rsidR="003354BF" w:rsidRPr="00F41641">
        <w:rPr>
          <w:rFonts w:eastAsia="Calibri"/>
          <w:sz w:val="20"/>
          <w:szCs w:val="20"/>
          <w:lang w:val="es-ES_tradnl" w:eastAsia="en-US"/>
        </w:rPr>
        <w:t>.</w:t>
      </w:r>
      <w:r w:rsidRPr="00F41641">
        <w:rPr>
          <w:rFonts w:eastAsia="Calibri"/>
          <w:sz w:val="20"/>
          <w:szCs w:val="20"/>
          <w:lang w:val="es-ES_tradnl" w:eastAsia="en-US"/>
        </w:rPr>
        <w:t xml:space="preserve"> Sin embargo, no reconoció responsabilidad internacional por la alegada violación del artículo 7 y 11 en perjuicio de los mismos</w:t>
      </w:r>
      <w:r w:rsidR="00762119">
        <w:rPr>
          <w:rFonts w:eastAsia="Calibri"/>
          <w:sz w:val="20"/>
          <w:szCs w:val="20"/>
          <w:lang w:val="es-ES_tradnl" w:eastAsia="en-US"/>
        </w:rPr>
        <w:t xml:space="preserve"> (</w:t>
      </w:r>
      <w:r w:rsidR="00762119" w:rsidRPr="00B1523A">
        <w:rPr>
          <w:rFonts w:eastAsia="Calibri"/>
          <w:i/>
          <w:sz w:val="20"/>
          <w:szCs w:val="20"/>
          <w:lang w:val="es-ES_tradnl" w:eastAsia="en-US"/>
        </w:rPr>
        <w:t>supra</w:t>
      </w:r>
      <w:r w:rsidR="00762119">
        <w:rPr>
          <w:rFonts w:eastAsia="Calibri"/>
          <w:sz w:val="20"/>
          <w:szCs w:val="20"/>
          <w:lang w:val="es-ES_tradnl" w:eastAsia="en-US"/>
        </w:rPr>
        <w:t xml:space="preserve"> </w:t>
      </w:r>
      <w:proofErr w:type="spellStart"/>
      <w:r w:rsidR="00762119">
        <w:rPr>
          <w:rFonts w:eastAsia="Calibri"/>
          <w:sz w:val="20"/>
          <w:szCs w:val="20"/>
          <w:lang w:val="es-ES_tradnl" w:eastAsia="en-US"/>
        </w:rPr>
        <w:t>párrs</w:t>
      </w:r>
      <w:proofErr w:type="spellEnd"/>
      <w:r w:rsidRPr="00F41641">
        <w:rPr>
          <w:rFonts w:eastAsia="Calibri"/>
          <w:sz w:val="20"/>
          <w:szCs w:val="20"/>
          <w:lang w:val="es-ES_tradnl" w:eastAsia="en-US"/>
        </w:rPr>
        <w:t>.</w:t>
      </w:r>
      <w:r w:rsidR="00762119">
        <w:rPr>
          <w:rFonts w:eastAsia="Calibri"/>
          <w:sz w:val="20"/>
          <w:szCs w:val="20"/>
          <w:lang w:val="es-ES_tradnl" w:eastAsia="en-US"/>
        </w:rPr>
        <w:t xml:space="preserve"> 30 y 98)</w:t>
      </w:r>
      <w:r w:rsidR="003354BF" w:rsidRPr="003F402C">
        <w:rPr>
          <w:rFonts w:eastAsia="Calibri"/>
          <w:sz w:val="20"/>
          <w:szCs w:val="20"/>
          <w:lang w:val="es-ES_tradnl" w:eastAsia="en-US"/>
        </w:rPr>
        <w:t xml:space="preserve"> </w:t>
      </w:r>
    </w:p>
    <w:p w14:paraId="28C14101" w14:textId="77777777" w:rsidR="00853F33" w:rsidRPr="003F402C" w:rsidRDefault="00853F33" w:rsidP="0059117C">
      <w:pPr>
        <w:tabs>
          <w:tab w:val="left" w:pos="567"/>
        </w:tabs>
        <w:rPr>
          <w:rFonts w:eastAsia="Calibri"/>
          <w:sz w:val="20"/>
          <w:szCs w:val="20"/>
          <w:lang w:eastAsia="en-US"/>
        </w:rPr>
      </w:pPr>
    </w:p>
    <w:p w14:paraId="7DA7D0A0" w14:textId="78A67682" w:rsidR="006D0C07" w:rsidRPr="007E5CD5" w:rsidRDefault="00E82480" w:rsidP="00AB1E03">
      <w:pPr>
        <w:numPr>
          <w:ilvl w:val="0"/>
          <w:numId w:val="2"/>
        </w:numPr>
        <w:tabs>
          <w:tab w:val="left" w:pos="567"/>
          <w:tab w:val="num" w:pos="1569"/>
          <w:tab w:val="num" w:pos="12305"/>
        </w:tabs>
        <w:ind w:left="0" w:firstLine="0"/>
        <w:rPr>
          <w:rFonts w:eastAsia="Calibri"/>
          <w:sz w:val="20"/>
          <w:szCs w:val="20"/>
          <w:lang w:eastAsia="en-US"/>
        </w:rPr>
      </w:pPr>
      <w:r w:rsidRPr="00DB1744">
        <w:rPr>
          <w:rFonts w:eastAsia="Calibri"/>
          <w:sz w:val="20"/>
          <w:szCs w:val="20"/>
          <w:lang w:val="es-ES_tradnl" w:eastAsia="en-US"/>
        </w:rPr>
        <w:t>Para efectos del presente caso, este Tribunal comprende</w:t>
      </w:r>
      <w:r w:rsidR="006D0C07" w:rsidRPr="00DB1744">
        <w:rPr>
          <w:rFonts w:eastAsia="Calibri"/>
          <w:sz w:val="20"/>
          <w:szCs w:val="20"/>
          <w:lang w:val="es-ES_tradnl" w:eastAsia="en-US"/>
        </w:rPr>
        <w:t xml:space="preserve"> que</w:t>
      </w:r>
      <w:r w:rsidRPr="00DB1744">
        <w:rPr>
          <w:rFonts w:eastAsia="Calibri"/>
          <w:sz w:val="20"/>
          <w:szCs w:val="20"/>
          <w:lang w:val="es-ES_tradnl" w:eastAsia="en-US"/>
        </w:rPr>
        <w:t xml:space="preserve"> </w:t>
      </w:r>
      <w:r w:rsidR="006D0C07" w:rsidRPr="00B1523A">
        <w:rPr>
          <w:rFonts w:eastAsia="Calibri"/>
          <w:sz w:val="20"/>
          <w:szCs w:val="20"/>
          <w:lang w:val="es-ES_tradnl" w:eastAsia="en-US"/>
        </w:rPr>
        <w:t>el</w:t>
      </w:r>
      <w:r w:rsidR="006D0C07" w:rsidRPr="00B1523A">
        <w:rPr>
          <w:rFonts w:eastAsia="Calibri"/>
          <w:sz w:val="20"/>
          <w:szCs w:val="20"/>
          <w:lang w:val="es-ES_tradnl"/>
        </w:rPr>
        <w:t xml:space="preserve"> consentimiento informado es parte del elemento de la accesibilidad de la información (</w:t>
      </w:r>
      <w:r w:rsidR="006D0C07" w:rsidRPr="00B1523A">
        <w:rPr>
          <w:rFonts w:eastAsia="Calibri"/>
          <w:i/>
          <w:sz w:val="20"/>
          <w:szCs w:val="20"/>
          <w:lang w:val="es-ES_tradnl"/>
        </w:rPr>
        <w:t>supra</w:t>
      </w:r>
      <w:r w:rsidR="006D0C07" w:rsidRPr="00B1523A">
        <w:rPr>
          <w:rFonts w:eastAsia="Calibri"/>
          <w:sz w:val="20"/>
          <w:szCs w:val="20"/>
          <w:lang w:val="es-ES_tradnl"/>
        </w:rPr>
        <w:t xml:space="preserve"> párr. </w:t>
      </w:r>
      <w:r w:rsidR="00DB1744" w:rsidRPr="00B1523A">
        <w:rPr>
          <w:rFonts w:eastAsia="Calibri"/>
          <w:sz w:val="20"/>
          <w:szCs w:val="20"/>
          <w:lang w:val="es-ES_tradnl"/>
        </w:rPr>
        <w:t>121</w:t>
      </w:r>
      <w:r w:rsidR="006D0C07" w:rsidRPr="00B1523A">
        <w:rPr>
          <w:rFonts w:eastAsia="Calibri"/>
          <w:sz w:val="20"/>
          <w:szCs w:val="20"/>
          <w:lang w:val="es-ES_tradnl"/>
        </w:rPr>
        <w:t xml:space="preserve">) y por tanto del derecho a la salud (artículo 26). Por </w:t>
      </w:r>
      <w:r w:rsidR="00762119">
        <w:rPr>
          <w:rFonts w:eastAsia="Calibri"/>
          <w:sz w:val="20"/>
          <w:szCs w:val="20"/>
          <w:lang w:val="es-ES_tradnl"/>
        </w:rPr>
        <w:t>ello</w:t>
      </w:r>
      <w:r w:rsidR="00C569E5" w:rsidRPr="00B1523A">
        <w:rPr>
          <w:rFonts w:eastAsia="Calibri"/>
          <w:sz w:val="20"/>
          <w:szCs w:val="20"/>
          <w:lang w:val="es-ES_tradnl"/>
        </w:rPr>
        <w:t>,</w:t>
      </w:r>
      <w:r w:rsidR="006D0C07" w:rsidRPr="00B1523A">
        <w:rPr>
          <w:rFonts w:eastAsia="Calibri"/>
          <w:sz w:val="20"/>
          <w:szCs w:val="20"/>
          <w:lang w:val="es-ES_tradnl"/>
        </w:rPr>
        <w:t xml:space="preserve"> el acceso a la información –contemplado en el artículo 13 de la CADH–, adquiere un carácter instrumental</w:t>
      </w:r>
      <w:r w:rsidR="00DB1744">
        <w:rPr>
          <w:rStyle w:val="FootnoteReference"/>
          <w:rFonts w:eastAsia="Calibri"/>
          <w:sz w:val="20"/>
          <w:szCs w:val="20"/>
          <w:lang w:val="es-ES_tradnl"/>
        </w:rPr>
        <w:footnoteReference w:id="252"/>
      </w:r>
      <w:r w:rsidR="00762119">
        <w:rPr>
          <w:rFonts w:eastAsia="Calibri"/>
          <w:sz w:val="20"/>
          <w:szCs w:val="20"/>
          <w:lang w:val="es-ES_tradnl"/>
        </w:rPr>
        <w:t xml:space="preserve"> </w:t>
      </w:r>
      <w:r w:rsidR="006D0C07" w:rsidRPr="00B1523A">
        <w:rPr>
          <w:rFonts w:eastAsia="Calibri"/>
          <w:sz w:val="20"/>
          <w:szCs w:val="20"/>
          <w:lang w:val="es-ES_tradnl"/>
        </w:rPr>
        <w:t>para garantizar y respetar el derecho a la salud. Así el derecho al acceso a la información es una garantía para hacer realidad la derivación del derecho contemplado en el artículo 26 de Convención,</w:t>
      </w:r>
      <w:r w:rsidR="006D0C07" w:rsidRPr="00F41641">
        <w:rPr>
          <w:rFonts w:eastAsia="Calibri"/>
          <w:b/>
          <w:sz w:val="20"/>
          <w:szCs w:val="20"/>
          <w:lang w:val="es-ES_tradnl"/>
        </w:rPr>
        <w:t xml:space="preserve"> </w:t>
      </w:r>
      <w:r w:rsidR="006D0C07" w:rsidRPr="00F41641">
        <w:rPr>
          <w:rFonts w:eastAsia="Calibri"/>
          <w:sz w:val="20"/>
          <w:szCs w:val="20"/>
          <w:lang w:val="es-ES_tradnl"/>
        </w:rPr>
        <w:t>con la posibilidad de que se acrediten otros derechos relacionados, de acuerdo con las particularidades del caso en concreto.</w:t>
      </w:r>
      <w:r w:rsidR="006D0C07" w:rsidRPr="003F402C">
        <w:rPr>
          <w:rFonts w:eastAsia="Calibri"/>
          <w:sz w:val="20"/>
          <w:szCs w:val="20"/>
          <w:lang w:val="es-ES_tradnl"/>
        </w:rPr>
        <w:t xml:space="preserve"> En este sentido, y siendo que persiste el alcance de la controversia en relación </w:t>
      </w:r>
      <w:r w:rsidR="00847C4A">
        <w:rPr>
          <w:rFonts w:eastAsia="Calibri"/>
          <w:sz w:val="20"/>
          <w:szCs w:val="20"/>
          <w:lang w:val="es-ES_tradnl"/>
        </w:rPr>
        <w:t xml:space="preserve">con </w:t>
      </w:r>
      <w:r w:rsidR="006D0C07" w:rsidRPr="003F402C">
        <w:rPr>
          <w:rFonts w:eastAsia="Calibri"/>
          <w:sz w:val="20"/>
          <w:szCs w:val="20"/>
          <w:lang w:val="es-ES_tradnl"/>
        </w:rPr>
        <w:t xml:space="preserve">aspectos puntuales del consentimiento a favor de los familiares, a continuación </w:t>
      </w:r>
      <w:r w:rsidR="00847C4A">
        <w:rPr>
          <w:rFonts w:eastAsia="Calibri"/>
          <w:sz w:val="20"/>
          <w:szCs w:val="20"/>
          <w:lang w:val="es-ES_tradnl"/>
        </w:rPr>
        <w:t xml:space="preserve">esta Corte </w:t>
      </w:r>
      <w:r w:rsidR="006D0C07" w:rsidRPr="003F402C">
        <w:rPr>
          <w:rFonts w:eastAsia="Calibri"/>
          <w:sz w:val="20"/>
          <w:szCs w:val="20"/>
          <w:lang w:val="es-ES_tradnl"/>
        </w:rPr>
        <w:t xml:space="preserve">se pronunciará sobre: i) el consentimiento por representación o sustitución, </w:t>
      </w:r>
      <w:r w:rsidR="006D0C07" w:rsidRPr="00AA65C5">
        <w:rPr>
          <w:rFonts w:eastAsia="Calibri"/>
          <w:sz w:val="20"/>
          <w:szCs w:val="20"/>
          <w:lang w:val="es-ES_tradnl"/>
        </w:rPr>
        <w:t>y ii) la alegada violación del artículo 11 y 7 en perjuicio de los familiares</w:t>
      </w:r>
      <w:r w:rsidR="006D0C07" w:rsidRPr="00AA65C5">
        <w:rPr>
          <w:rFonts w:eastAsia="Calibri"/>
          <w:sz w:val="20"/>
          <w:szCs w:val="20"/>
        </w:rPr>
        <w:t>.</w:t>
      </w:r>
    </w:p>
    <w:p w14:paraId="7DF6A12C" w14:textId="630A7E86" w:rsidR="006D0C07" w:rsidRPr="00F41641" w:rsidRDefault="006D0C07" w:rsidP="00920D09">
      <w:pPr>
        <w:ind w:right="-360"/>
        <w:rPr>
          <w:rFonts w:eastAsia="Calibri"/>
          <w:sz w:val="20"/>
          <w:szCs w:val="20"/>
          <w:lang w:eastAsia="en-US"/>
        </w:rPr>
      </w:pPr>
    </w:p>
    <w:p w14:paraId="3F52C153" w14:textId="2701C628" w:rsidR="002570D1" w:rsidRPr="00A34C6F" w:rsidRDefault="00164C05" w:rsidP="002A64C9">
      <w:pPr>
        <w:pStyle w:val="Heading4"/>
        <w:spacing w:before="0"/>
        <w:ind w:left="2124"/>
        <w:rPr>
          <w:rFonts w:eastAsia="Calibri"/>
          <w:b/>
          <w:lang w:val="es-ES_tradnl" w:eastAsia="en-US"/>
        </w:rPr>
      </w:pPr>
      <w:bookmarkStart w:id="86" w:name="_Toc513644474"/>
      <w:r w:rsidRPr="00A34C6F">
        <w:rPr>
          <w:rFonts w:eastAsia="Calibri"/>
          <w:b/>
          <w:lang w:val="es-ES_tradnl" w:eastAsia="en-US"/>
        </w:rPr>
        <w:t>1.3.</w:t>
      </w:r>
      <w:r w:rsidR="00CE7971">
        <w:rPr>
          <w:rFonts w:eastAsia="Calibri"/>
          <w:b/>
          <w:lang w:val="es-ES_tradnl" w:eastAsia="en-US"/>
        </w:rPr>
        <w:t>2</w:t>
      </w:r>
      <w:r w:rsidR="002570D1" w:rsidRPr="00A34C6F">
        <w:rPr>
          <w:rFonts w:eastAsia="Calibri"/>
          <w:b/>
          <w:lang w:val="es-ES_tradnl" w:eastAsia="en-US"/>
        </w:rPr>
        <w:t xml:space="preserve"> Consentimiento </w:t>
      </w:r>
      <w:r w:rsidR="00E82480" w:rsidRPr="00A34C6F">
        <w:rPr>
          <w:rFonts w:eastAsia="Calibri"/>
          <w:b/>
          <w:lang w:val="es-ES_tradnl" w:eastAsia="en-US"/>
        </w:rPr>
        <w:t xml:space="preserve">por sustitución </w:t>
      </w:r>
      <w:r w:rsidR="001E299B" w:rsidRPr="00A34C6F">
        <w:rPr>
          <w:rFonts w:eastAsia="Calibri"/>
          <w:b/>
          <w:lang w:val="es-ES_tradnl" w:eastAsia="en-US"/>
        </w:rPr>
        <w:t>y acceso a la información en materia de salud</w:t>
      </w:r>
      <w:r w:rsidR="00756AA2" w:rsidRPr="00A34C6F">
        <w:rPr>
          <w:rFonts w:eastAsia="Calibri"/>
          <w:b/>
          <w:lang w:val="es-ES_tradnl" w:eastAsia="en-US"/>
        </w:rPr>
        <w:t xml:space="preserve"> a favor de los familiares</w:t>
      </w:r>
      <w:bookmarkEnd w:id="86"/>
    </w:p>
    <w:p w14:paraId="530867CA" w14:textId="77777777" w:rsidR="00BC5B4D" w:rsidRPr="00AB1E03" w:rsidRDefault="00BC5B4D" w:rsidP="00BC5B4D">
      <w:pPr>
        <w:ind w:right="-360"/>
        <w:rPr>
          <w:rFonts w:eastAsia="Calibri"/>
          <w:i/>
          <w:sz w:val="20"/>
          <w:szCs w:val="20"/>
          <w:lang w:val="es-ES_tradnl" w:eastAsia="en-US"/>
        </w:rPr>
      </w:pPr>
    </w:p>
    <w:p w14:paraId="02BA9AF1" w14:textId="2B52C1A4" w:rsidR="002570D1" w:rsidRPr="0059117C" w:rsidRDefault="002570D1" w:rsidP="00920D09">
      <w:pPr>
        <w:numPr>
          <w:ilvl w:val="0"/>
          <w:numId w:val="2"/>
        </w:numPr>
        <w:tabs>
          <w:tab w:val="left" w:pos="567"/>
          <w:tab w:val="num" w:pos="1569"/>
          <w:tab w:val="num" w:pos="12305"/>
        </w:tabs>
        <w:ind w:left="0" w:firstLine="0"/>
        <w:rPr>
          <w:rFonts w:eastAsia="Calibri"/>
          <w:b/>
          <w:i/>
          <w:lang w:eastAsia="en-US"/>
        </w:rPr>
      </w:pPr>
      <w:r w:rsidRPr="002570D1">
        <w:rPr>
          <w:rFonts w:eastAsia="Calibri"/>
          <w:sz w:val="20"/>
          <w:szCs w:val="20"/>
          <w:lang w:eastAsia="en-US"/>
        </w:rPr>
        <w:t xml:space="preserve">Respecto del derecho a obtener un consentimiento informado, la Corte </w:t>
      </w:r>
      <w:r w:rsidR="00756AA2">
        <w:rPr>
          <w:rFonts w:eastAsia="Calibri"/>
          <w:sz w:val="20"/>
          <w:szCs w:val="20"/>
          <w:lang w:eastAsia="en-US"/>
        </w:rPr>
        <w:t xml:space="preserve">ha reconocido </w:t>
      </w:r>
      <w:r w:rsidRPr="002570D1">
        <w:rPr>
          <w:rFonts w:eastAsia="Calibri"/>
          <w:sz w:val="20"/>
          <w:szCs w:val="20"/>
          <w:lang w:eastAsia="en-US"/>
        </w:rPr>
        <w:t>que el artículo 13 de la Convención Americana incluye el derecho a buscar, recibir y difundir informaciones e ideas de toda índole</w:t>
      </w:r>
      <w:r w:rsidRPr="002570D1">
        <w:rPr>
          <w:rFonts w:eastAsia="Calibri"/>
          <w:sz w:val="20"/>
          <w:szCs w:val="20"/>
          <w:vertAlign w:val="superscript"/>
          <w:lang w:val="es-ES_tradnl" w:eastAsia="en-US"/>
        </w:rPr>
        <w:footnoteReference w:id="253"/>
      </w:r>
      <w:r w:rsidRPr="002570D1">
        <w:rPr>
          <w:rFonts w:eastAsia="Calibri"/>
          <w:sz w:val="20"/>
          <w:szCs w:val="20"/>
          <w:lang w:eastAsia="en-US"/>
        </w:rPr>
        <w:t>, lo cual protege el derecho de acceso a la información, incluyendo información relacionada con la salud de las personas</w:t>
      </w:r>
      <w:r w:rsidRPr="002570D1">
        <w:rPr>
          <w:rFonts w:eastAsia="Calibri"/>
          <w:sz w:val="20"/>
          <w:szCs w:val="20"/>
          <w:vertAlign w:val="superscript"/>
          <w:lang w:val="es-ES_tradnl" w:eastAsia="en-US"/>
        </w:rPr>
        <w:footnoteReference w:id="254"/>
      </w:r>
      <w:r w:rsidRPr="002570D1">
        <w:rPr>
          <w:rFonts w:eastAsia="Calibri"/>
          <w:sz w:val="20"/>
          <w:szCs w:val="20"/>
          <w:lang w:eastAsia="en-US"/>
        </w:rPr>
        <w:t xml:space="preserve">. En este sentido, </w:t>
      </w:r>
      <w:r w:rsidR="008A2242">
        <w:rPr>
          <w:rFonts w:eastAsia="Calibri"/>
          <w:sz w:val="20"/>
          <w:szCs w:val="20"/>
          <w:lang w:eastAsia="en-US"/>
        </w:rPr>
        <w:t xml:space="preserve">se </w:t>
      </w:r>
      <w:r w:rsidRPr="002570D1">
        <w:rPr>
          <w:rFonts w:eastAsia="Calibri"/>
          <w:sz w:val="20"/>
          <w:szCs w:val="20"/>
          <w:lang w:eastAsia="en-US"/>
        </w:rPr>
        <w:t>establec</w:t>
      </w:r>
      <w:r w:rsidR="008A2242">
        <w:rPr>
          <w:rFonts w:eastAsia="Calibri"/>
          <w:sz w:val="20"/>
          <w:szCs w:val="20"/>
          <w:lang w:eastAsia="en-US"/>
        </w:rPr>
        <w:t>ió</w:t>
      </w:r>
      <w:r w:rsidRPr="002570D1">
        <w:rPr>
          <w:rFonts w:eastAsia="Calibri"/>
          <w:sz w:val="20"/>
          <w:szCs w:val="20"/>
          <w:lang w:eastAsia="en-US"/>
        </w:rPr>
        <w:t xml:space="preserve"> que el consentimiento informado consiste “en una decisión previa de aceptar o someterse a un acto médico en sentido amplio, obtenida de manera libre, es decir sin amenazas ni coerción, inducción o alicientes impropios, manifestada con posterioridad a la obtención de información adecuada, completa, fidedigna, comprensible y accesible, siempre que esta información haya sido realmente comprendida, lo que permitirá el consentimiento pleno del individuo”. Esta regla no sólo consiste en un acto de aceptación, sino en el resultado de un proceso en el cual deben cumplirse los siguientes elementos para que sea considerado válido, a saber que sea previo, libre, pleno e informado</w:t>
      </w:r>
      <w:r w:rsidRPr="002570D1">
        <w:rPr>
          <w:rFonts w:eastAsia="Calibri"/>
          <w:sz w:val="20"/>
          <w:szCs w:val="20"/>
          <w:vertAlign w:val="superscript"/>
          <w:lang w:val="es-ES_tradnl" w:eastAsia="en-US"/>
        </w:rPr>
        <w:footnoteReference w:id="255"/>
      </w:r>
      <w:r w:rsidRPr="002570D1">
        <w:rPr>
          <w:rFonts w:eastAsia="Calibri"/>
          <w:sz w:val="20"/>
          <w:szCs w:val="20"/>
          <w:lang w:eastAsia="en-US"/>
        </w:rPr>
        <w:t>.</w:t>
      </w:r>
      <w:r w:rsidR="006D6467">
        <w:rPr>
          <w:rFonts w:eastAsia="Calibri"/>
          <w:sz w:val="20"/>
          <w:szCs w:val="20"/>
          <w:lang w:eastAsia="en-US"/>
        </w:rPr>
        <w:t xml:space="preserve"> </w:t>
      </w:r>
      <w:r w:rsidR="00E03C26" w:rsidRPr="00B1523A">
        <w:rPr>
          <w:rFonts w:eastAsia="Calibri"/>
          <w:sz w:val="20"/>
          <w:szCs w:val="20"/>
        </w:rPr>
        <w:t xml:space="preserve">Al respecto, como regla general, el </w:t>
      </w:r>
      <w:r w:rsidR="00E03C26" w:rsidRPr="00B1523A">
        <w:rPr>
          <w:rFonts w:eastAsia="Calibri"/>
          <w:sz w:val="20"/>
          <w:szCs w:val="20"/>
        </w:rPr>
        <w:lastRenderedPageBreak/>
        <w:t>consentimiento es personal, en tanto debe ser brindado por la persona que accederá́ al procedimiento</w:t>
      </w:r>
      <w:r w:rsidR="006B4745">
        <w:rPr>
          <w:rStyle w:val="FootnoteReference"/>
          <w:rFonts w:eastAsia="Calibri"/>
          <w:sz w:val="20"/>
          <w:szCs w:val="20"/>
        </w:rPr>
        <w:footnoteReference w:id="256"/>
      </w:r>
      <w:r w:rsidR="00C569E5" w:rsidRPr="00B1523A">
        <w:rPr>
          <w:rFonts w:eastAsia="Calibri"/>
          <w:sz w:val="20"/>
          <w:szCs w:val="20"/>
        </w:rPr>
        <w:t>.</w:t>
      </w:r>
      <w:r w:rsidR="00E03C26" w:rsidRPr="00B1523A">
        <w:rPr>
          <w:rFonts w:eastAsia="Calibri"/>
          <w:sz w:val="20"/>
          <w:szCs w:val="20"/>
        </w:rPr>
        <w:t xml:space="preserve">  </w:t>
      </w:r>
    </w:p>
    <w:p w14:paraId="4BD6C799" w14:textId="77777777" w:rsidR="00756AA2" w:rsidRPr="001E299B" w:rsidRDefault="00756AA2" w:rsidP="0059117C">
      <w:pPr>
        <w:tabs>
          <w:tab w:val="left" w:pos="567"/>
        </w:tabs>
        <w:rPr>
          <w:rFonts w:eastAsia="Calibri"/>
          <w:b/>
          <w:i/>
          <w:lang w:eastAsia="en-US"/>
        </w:rPr>
      </w:pPr>
    </w:p>
    <w:p w14:paraId="09B40D55" w14:textId="6F69A295" w:rsidR="002570D1" w:rsidRPr="002570D1" w:rsidRDefault="002570D1" w:rsidP="002570D1">
      <w:pPr>
        <w:numPr>
          <w:ilvl w:val="0"/>
          <w:numId w:val="2"/>
        </w:numPr>
        <w:tabs>
          <w:tab w:val="left" w:pos="567"/>
          <w:tab w:val="num" w:pos="1569"/>
          <w:tab w:val="num" w:pos="12305"/>
        </w:tabs>
        <w:ind w:left="0" w:firstLine="0"/>
        <w:rPr>
          <w:rFonts w:eastAsia="Calibri"/>
          <w:sz w:val="20"/>
          <w:szCs w:val="20"/>
          <w:lang w:val="es-MX" w:eastAsia="en-US"/>
        </w:rPr>
      </w:pPr>
      <w:r w:rsidRPr="002570D1">
        <w:rPr>
          <w:rFonts w:eastAsia="Calibri"/>
          <w:sz w:val="20"/>
          <w:szCs w:val="20"/>
          <w:lang w:eastAsia="en-US"/>
        </w:rPr>
        <w:t xml:space="preserve">La Corte </w:t>
      </w:r>
      <w:r w:rsidR="004A6FC7">
        <w:rPr>
          <w:rFonts w:eastAsia="Calibri"/>
          <w:sz w:val="20"/>
          <w:szCs w:val="20"/>
          <w:lang w:val="es-MX" w:eastAsia="en-US"/>
        </w:rPr>
        <w:t xml:space="preserve">ha dispuesto también </w:t>
      </w:r>
      <w:r w:rsidRPr="002570D1">
        <w:rPr>
          <w:rFonts w:eastAsia="Calibri"/>
          <w:sz w:val="20"/>
          <w:szCs w:val="20"/>
          <w:lang w:eastAsia="en-US"/>
        </w:rPr>
        <w:t xml:space="preserve">que los prestadores de salud deberán informar al </w:t>
      </w:r>
      <w:r w:rsidR="00762119">
        <w:rPr>
          <w:rFonts w:eastAsia="Calibri"/>
          <w:sz w:val="20"/>
          <w:szCs w:val="20"/>
          <w:lang w:eastAsia="en-US"/>
        </w:rPr>
        <w:t>paciente</w:t>
      </w:r>
      <w:r w:rsidR="00291E55">
        <w:rPr>
          <w:rFonts w:eastAsia="Calibri"/>
          <w:sz w:val="20"/>
          <w:szCs w:val="20"/>
          <w:lang w:eastAsia="en-US"/>
        </w:rPr>
        <w:t>,</w:t>
      </w:r>
      <w:r w:rsidR="00762119">
        <w:rPr>
          <w:rFonts w:eastAsia="Calibri"/>
          <w:sz w:val="20"/>
          <w:szCs w:val="20"/>
          <w:lang w:eastAsia="en-US"/>
        </w:rPr>
        <w:t xml:space="preserve"> </w:t>
      </w:r>
      <w:r w:rsidR="0070441D">
        <w:rPr>
          <w:rFonts w:eastAsia="Calibri"/>
          <w:sz w:val="20"/>
          <w:szCs w:val="20"/>
          <w:lang w:eastAsia="en-US"/>
        </w:rPr>
        <w:t xml:space="preserve">al </w:t>
      </w:r>
      <w:r w:rsidRPr="002570D1">
        <w:rPr>
          <w:rFonts w:eastAsia="Calibri"/>
          <w:sz w:val="20"/>
          <w:szCs w:val="20"/>
          <w:lang w:eastAsia="en-US"/>
        </w:rPr>
        <w:t>menos, sobre: i) la evaluación de</w:t>
      </w:r>
      <w:r w:rsidR="00762119">
        <w:rPr>
          <w:rFonts w:eastAsia="Calibri"/>
          <w:sz w:val="20"/>
          <w:szCs w:val="20"/>
          <w:lang w:eastAsia="en-US"/>
        </w:rPr>
        <w:t>l</w:t>
      </w:r>
      <w:r w:rsidRPr="002570D1">
        <w:rPr>
          <w:rFonts w:eastAsia="Calibri"/>
          <w:sz w:val="20"/>
          <w:szCs w:val="20"/>
          <w:lang w:eastAsia="en-US"/>
        </w:rPr>
        <w:t xml:space="preserve"> diagnóstico; ii) el objetivo, método, duración probable, beneficios y riesgos esperados del tratamiento propuesto; iii) los posibles efectos desfavorables del tratamiento propuesto; iv) las alternativas de tratamiento, incluyendo aquellas menos intrusivas, y el posible dolor o malestar, riesgos, beneficios y efectos secundarios del tratamiento alternativo propuesto; v) las consecuencias de los tratamientos, y vi) lo que se estima ocurrirá antes, durante y después del tratamiento</w:t>
      </w:r>
      <w:r w:rsidRPr="002570D1">
        <w:rPr>
          <w:rFonts w:eastAsia="Calibri"/>
          <w:sz w:val="20"/>
          <w:szCs w:val="20"/>
          <w:vertAlign w:val="superscript"/>
          <w:lang w:val="es-ES_tradnl" w:eastAsia="en-US"/>
        </w:rPr>
        <w:footnoteReference w:id="257"/>
      </w:r>
      <w:r w:rsidRPr="002570D1">
        <w:rPr>
          <w:rFonts w:eastAsia="Calibri"/>
          <w:sz w:val="20"/>
          <w:szCs w:val="20"/>
          <w:lang w:eastAsia="en-US"/>
        </w:rPr>
        <w:t xml:space="preserve"> .</w:t>
      </w:r>
    </w:p>
    <w:p w14:paraId="5B702AB4" w14:textId="77777777" w:rsidR="002570D1" w:rsidRPr="002570D1" w:rsidRDefault="002570D1" w:rsidP="002570D1">
      <w:pPr>
        <w:tabs>
          <w:tab w:val="left" w:pos="567"/>
        </w:tabs>
        <w:contextualSpacing/>
        <w:rPr>
          <w:rFonts w:eastAsia="Calibri"/>
          <w:sz w:val="20"/>
          <w:szCs w:val="20"/>
          <w:lang w:val="es-MX" w:eastAsia="en-US"/>
        </w:rPr>
      </w:pPr>
    </w:p>
    <w:p w14:paraId="79231766" w14:textId="45A33059" w:rsidR="006D78F3" w:rsidRPr="006D78F3" w:rsidRDefault="002570D1" w:rsidP="0059117C">
      <w:pPr>
        <w:numPr>
          <w:ilvl w:val="0"/>
          <w:numId w:val="2"/>
        </w:numPr>
        <w:tabs>
          <w:tab w:val="left" w:pos="567"/>
          <w:tab w:val="num" w:pos="1569"/>
          <w:tab w:val="num" w:pos="12305"/>
        </w:tabs>
        <w:ind w:left="0" w:firstLine="0"/>
        <w:rPr>
          <w:rFonts w:eastAsiaTheme="minorHAnsi"/>
          <w:sz w:val="20"/>
          <w:szCs w:val="20"/>
          <w:lang w:val="es-MX" w:eastAsia="en-US"/>
        </w:rPr>
      </w:pPr>
      <w:r w:rsidRPr="00756AA2">
        <w:rPr>
          <w:rFonts w:eastAsia="MS Mincho"/>
          <w:sz w:val="20"/>
          <w:szCs w:val="20"/>
          <w:lang w:val="es-MX" w:eastAsia="en-US" w:bidi="en-US"/>
        </w:rPr>
        <w:t xml:space="preserve">En el presente caso, la Corte recuerda que los hechos que versan sobre la falta de consentimiento informado de los familiares son los que sucedieron en torno al procedimiento quirúrgico efectuado al señor Poblete Vilches </w:t>
      </w:r>
      <w:r w:rsidR="008A2242">
        <w:rPr>
          <w:rFonts w:eastAsia="MS Mincho"/>
          <w:sz w:val="20"/>
          <w:szCs w:val="20"/>
          <w:lang w:val="es-MX" w:eastAsia="en-US" w:bidi="en-US"/>
        </w:rPr>
        <w:t>durante su primer ingreso</w:t>
      </w:r>
      <w:r w:rsidR="004A6FC7" w:rsidRPr="00756AA2">
        <w:rPr>
          <w:rFonts w:eastAsia="MS Mincho"/>
          <w:sz w:val="20"/>
          <w:szCs w:val="20"/>
          <w:lang w:val="es-MX" w:eastAsia="en-US" w:bidi="en-US"/>
        </w:rPr>
        <w:t xml:space="preserve">. </w:t>
      </w:r>
      <w:r w:rsidR="004A6FC7" w:rsidRPr="00B1523A">
        <w:rPr>
          <w:rFonts w:eastAsia="MS Mincho"/>
          <w:sz w:val="20"/>
          <w:szCs w:val="20"/>
          <w:lang w:val="es-MX" w:eastAsia="en-US" w:bidi="en-US"/>
        </w:rPr>
        <w:t xml:space="preserve">No obstante, </w:t>
      </w:r>
      <w:r w:rsidR="006B4745">
        <w:rPr>
          <w:rFonts w:eastAsia="MS Mincho"/>
          <w:sz w:val="20"/>
          <w:szCs w:val="20"/>
          <w:lang w:val="es-MX" w:eastAsia="en-US" w:bidi="en-US"/>
        </w:rPr>
        <w:t xml:space="preserve">en referencia al segundo ingreso, los hechos versan sobre aspectos del acceso a la información por parte de los familiares </w:t>
      </w:r>
      <w:r w:rsidR="004A6FC7" w:rsidRPr="00B1523A">
        <w:rPr>
          <w:rFonts w:eastAsia="MS Mincho"/>
          <w:sz w:val="20"/>
          <w:szCs w:val="20"/>
          <w:lang w:val="es-MX" w:eastAsia="en-US" w:bidi="en-US"/>
        </w:rPr>
        <w:t>(</w:t>
      </w:r>
      <w:r w:rsidR="003B52C8">
        <w:rPr>
          <w:rFonts w:eastAsia="MS Mincho"/>
          <w:i/>
          <w:sz w:val="20"/>
          <w:szCs w:val="20"/>
          <w:lang w:val="es-MX" w:eastAsia="en-US" w:bidi="en-US"/>
        </w:rPr>
        <w:t>infra</w:t>
      </w:r>
      <w:r w:rsidR="004A6FC7" w:rsidRPr="00B1523A">
        <w:rPr>
          <w:rFonts w:eastAsia="MS Mincho"/>
          <w:i/>
          <w:sz w:val="20"/>
          <w:szCs w:val="20"/>
          <w:lang w:val="es-MX" w:eastAsia="en-US" w:bidi="en-US"/>
        </w:rPr>
        <w:t xml:space="preserve"> </w:t>
      </w:r>
      <w:r w:rsidR="004A6FC7" w:rsidRPr="00B1523A">
        <w:rPr>
          <w:rFonts w:eastAsia="MS Mincho"/>
          <w:sz w:val="20"/>
          <w:szCs w:val="20"/>
          <w:lang w:val="es-MX" w:eastAsia="en-US" w:bidi="en-US"/>
        </w:rPr>
        <w:t xml:space="preserve">párr. </w:t>
      </w:r>
      <w:r w:rsidR="006B4745">
        <w:rPr>
          <w:rFonts w:eastAsia="MS Mincho"/>
          <w:sz w:val="20"/>
          <w:szCs w:val="20"/>
          <w:lang w:val="es-MX" w:eastAsia="en-US" w:bidi="en-US"/>
        </w:rPr>
        <w:t>173</w:t>
      </w:r>
      <w:r w:rsidR="004A6FC7" w:rsidRPr="00B1523A">
        <w:rPr>
          <w:rFonts w:eastAsia="MS Mincho"/>
          <w:sz w:val="20"/>
          <w:szCs w:val="20"/>
          <w:lang w:val="es-MX" w:eastAsia="en-US" w:bidi="en-US"/>
        </w:rPr>
        <w:t>)</w:t>
      </w:r>
      <w:r w:rsidRPr="00B1523A">
        <w:rPr>
          <w:rFonts w:eastAsia="MS Mincho"/>
          <w:sz w:val="20"/>
          <w:szCs w:val="20"/>
          <w:lang w:val="es-MX" w:eastAsia="en-US" w:bidi="en-US"/>
        </w:rPr>
        <w:t>.</w:t>
      </w:r>
      <w:r w:rsidRPr="00756AA2">
        <w:rPr>
          <w:rFonts w:eastAsia="MS Mincho"/>
          <w:sz w:val="20"/>
          <w:szCs w:val="20"/>
          <w:lang w:val="es-MX" w:eastAsia="en-US" w:bidi="en-US"/>
        </w:rPr>
        <w:t xml:space="preserve"> </w:t>
      </w:r>
    </w:p>
    <w:p w14:paraId="5245A65B" w14:textId="77777777" w:rsidR="006D78F3" w:rsidRDefault="006D78F3" w:rsidP="0059117C">
      <w:pPr>
        <w:tabs>
          <w:tab w:val="left" w:pos="567"/>
        </w:tabs>
        <w:rPr>
          <w:rFonts w:eastAsiaTheme="minorHAnsi"/>
          <w:sz w:val="20"/>
          <w:szCs w:val="20"/>
          <w:lang w:val="es-MX" w:eastAsia="en-US"/>
        </w:rPr>
      </w:pPr>
    </w:p>
    <w:p w14:paraId="550BC61A" w14:textId="60BF7334" w:rsidR="002570D1" w:rsidRDefault="00756AA2" w:rsidP="0059117C">
      <w:pPr>
        <w:numPr>
          <w:ilvl w:val="0"/>
          <w:numId w:val="2"/>
        </w:numPr>
        <w:tabs>
          <w:tab w:val="left" w:pos="567"/>
          <w:tab w:val="num" w:pos="1569"/>
          <w:tab w:val="num" w:pos="12305"/>
        </w:tabs>
        <w:ind w:left="0" w:firstLine="0"/>
        <w:rPr>
          <w:rFonts w:eastAsia="Calibri"/>
          <w:sz w:val="20"/>
          <w:szCs w:val="20"/>
          <w:lang w:val="es-MX" w:eastAsia="en-US"/>
        </w:rPr>
      </w:pPr>
      <w:r>
        <w:rPr>
          <w:rFonts w:eastAsiaTheme="minorHAnsi"/>
          <w:sz w:val="20"/>
          <w:szCs w:val="20"/>
          <w:lang w:val="es-MX" w:eastAsia="en-US"/>
        </w:rPr>
        <w:t xml:space="preserve">Al respecto, </w:t>
      </w:r>
      <w:r>
        <w:rPr>
          <w:rFonts w:eastAsia="MS Mincho"/>
          <w:sz w:val="20"/>
          <w:szCs w:val="20"/>
          <w:lang w:val="es-MX" w:eastAsia="en-US" w:bidi="en-US"/>
        </w:rPr>
        <w:t>d</w:t>
      </w:r>
      <w:r w:rsidR="002570D1" w:rsidRPr="002570D1">
        <w:rPr>
          <w:rFonts w:eastAsia="MS Mincho"/>
          <w:sz w:val="20"/>
          <w:szCs w:val="20"/>
          <w:lang w:val="es-MX" w:eastAsia="en-US" w:bidi="en-US"/>
        </w:rPr>
        <w:t xml:space="preserve">urante su primer ingreso, el señor Poblete Vilches fue trasladado al “pabellón” para hacerle una incisión para verificar si tenía líquido en el corazón, </w:t>
      </w:r>
      <w:r w:rsidR="00E017B9">
        <w:rPr>
          <w:rFonts w:eastAsia="MS Mincho"/>
          <w:sz w:val="20"/>
          <w:szCs w:val="20"/>
          <w:lang w:val="es-MX" w:eastAsia="en-US" w:bidi="en-US"/>
        </w:rPr>
        <w:t xml:space="preserve">pese a que </w:t>
      </w:r>
      <w:r w:rsidR="002570D1" w:rsidRPr="002570D1">
        <w:rPr>
          <w:rFonts w:eastAsia="MS Mincho"/>
          <w:sz w:val="20"/>
          <w:szCs w:val="20"/>
          <w:lang w:val="es-MX" w:eastAsia="en-US" w:bidi="en-US"/>
        </w:rPr>
        <w:t xml:space="preserve">sus parientes informaron al personal médico que él no podía ser intervenido quirúrgicamente por ser diabético. Al salir de la intervención quirúrgica el señor Poblete tenía en la cintura tres heridas de las cuales salía un tubo de drenaje. </w:t>
      </w:r>
      <w:r w:rsidR="002570D1" w:rsidRPr="002570D1">
        <w:rPr>
          <w:rFonts w:eastAsia="Calibri"/>
          <w:sz w:val="20"/>
          <w:szCs w:val="20"/>
          <w:lang w:val="es-MX" w:eastAsia="en-US"/>
        </w:rPr>
        <w:t>En el presente caso las representantes alegaron que a los familiares del señor Poblete Vilches nunca se les proporcionó información antes o después de la intervención quirúrgica que se le realizó al señor Poblete Vilches en su primer ingreso al Hospital Sotero del Río</w:t>
      </w:r>
      <w:r w:rsidR="00C82C41">
        <w:rPr>
          <w:rStyle w:val="FootnoteReference"/>
          <w:rFonts w:eastAsia="Calibri"/>
          <w:sz w:val="20"/>
          <w:szCs w:val="20"/>
          <w:lang w:val="es-MX" w:eastAsia="en-US"/>
        </w:rPr>
        <w:footnoteReference w:id="258"/>
      </w:r>
      <w:r w:rsidR="002570D1" w:rsidRPr="002570D1">
        <w:rPr>
          <w:rFonts w:eastAsia="Calibri"/>
          <w:sz w:val="20"/>
          <w:szCs w:val="20"/>
          <w:lang w:val="es-MX" w:eastAsia="en-US"/>
        </w:rPr>
        <w:t>. Además, manifestaron que ellos nunca otorgaron su autorización para dicha intervención y que la autorización que consta en el expediente médico es falsa. (</w:t>
      </w:r>
      <w:r w:rsidR="00062586" w:rsidRPr="00062586">
        <w:rPr>
          <w:rFonts w:eastAsia="Calibri"/>
          <w:i/>
          <w:sz w:val="20"/>
          <w:szCs w:val="20"/>
          <w:lang w:val="es-MX" w:eastAsia="en-US"/>
        </w:rPr>
        <w:t>supra</w:t>
      </w:r>
      <w:r w:rsidR="002570D1" w:rsidRPr="002570D1">
        <w:rPr>
          <w:rFonts w:eastAsia="Calibri"/>
          <w:sz w:val="20"/>
          <w:szCs w:val="20"/>
          <w:lang w:val="es-MX" w:eastAsia="en-US"/>
        </w:rPr>
        <w:t xml:space="preserve"> </w:t>
      </w:r>
      <w:proofErr w:type="spellStart"/>
      <w:r w:rsidR="002570D1" w:rsidRPr="002570D1">
        <w:rPr>
          <w:rFonts w:eastAsia="Calibri"/>
          <w:sz w:val="20"/>
          <w:szCs w:val="20"/>
          <w:lang w:val="es-MX" w:eastAsia="en-US"/>
        </w:rPr>
        <w:t>párr</w:t>
      </w:r>
      <w:r w:rsidR="00C82C41">
        <w:rPr>
          <w:rFonts w:eastAsia="Calibri"/>
          <w:sz w:val="20"/>
          <w:szCs w:val="20"/>
          <w:lang w:val="es-MX" w:eastAsia="en-US"/>
        </w:rPr>
        <w:t>s</w:t>
      </w:r>
      <w:proofErr w:type="spellEnd"/>
      <w:r w:rsidR="002570D1" w:rsidRPr="002570D1">
        <w:rPr>
          <w:rFonts w:eastAsia="Calibri"/>
          <w:sz w:val="20"/>
          <w:szCs w:val="20"/>
          <w:lang w:val="es-MX" w:eastAsia="en-US"/>
        </w:rPr>
        <w:t xml:space="preserve">. </w:t>
      </w:r>
      <w:r w:rsidR="00C82C41">
        <w:rPr>
          <w:rFonts w:eastAsia="Calibri"/>
          <w:sz w:val="20"/>
          <w:szCs w:val="20"/>
          <w:lang w:val="es-MX" w:eastAsia="en-US"/>
        </w:rPr>
        <w:t>45 a 47</w:t>
      </w:r>
      <w:r w:rsidR="002570D1" w:rsidRPr="002570D1">
        <w:rPr>
          <w:rFonts w:eastAsia="Calibri"/>
          <w:sz w:val="20"/>
          <w:szCs w:val="20"/>
          <w:lang w:val="es-MX" w:eastAsia="en-US"/>
        </w:rPr>
        <w:t xml:space="preserve">). </w:t>
      </w:r>
    </w:p>
    <w:p w14:paraId="3FBBB381" w14:textId="77777777" w:rsidR="00E6413F" w:rsidRPr="0059117C" w:rsidRDefault="00E6413F" w:rsidP="002570D1">
      <w:pPr>
        <w:tabs>
          <w:tab w:val="left" w:pos="567"/>
        </w:tabs>
        <w:rPr>
          <w:rFonts w:eastAsia="Calibri"/>
          <w:sz w:val="20"/>
          <w:szCs w:val="20"/>
          <w:lang w:eastAsia="en-US"/>
        </w:rPr>
      </w:pPr>
    </w:p>
    <w:p w14:paraId="1EE23076" w14:textId="77777777" w:rsidR="00A90C28" w:rsidRPr="0059117C" w:rsidRDefault="008A2242" w:rsidP="002570D1">
      <w:pPr>
        <w:numPr>
          <w:ilvl w:val="0"/>
          <w:numId w:val="2"/>
        </w:numPr>
        <w:tabs>
          <w:tab w:val="left" w:pos="567"/>
          <w:tab w:val="num" w:pos="1569"/>
          <w:tab w:val="num" w:pos="12305"/>
        </w:tabs>
        <w:ind w:left="0" w:firstLine="0"/>
        <w:rPr>
          <w:rFonts w:eastAsia="Calibri"/>
          <w:sz w:val="20"/>
          <w:szCs w:val="20"/>
          <w:lang w:eastAsia="en-US"/>
        </w:rPr>
      </w:pPr>
      <w:r>
        <w:rPr>
          <w:rFonts w:eastAsia="Calibri"/>
          <w:sz w:val="20"/>
          <w:szCs w:val="20"/>
          <w:lang w:val="es-MX" w:eastAsia="en-US"/>
        </w:rPr>
        <w:t xml:space="preserve">La Corte toma nota de la </w:t>
      </w:r>
      <w:r w:rsidR="002570D1" w:rsidRPr="002570D1">
        <w:rPr>
          <w:rFonts w:eastAsia="Calibri"/>
          <w:sz w:val="20"/>
          <w:szCs w:val="20"/>
          <w:lang w:val="es-MX" w:eastAsia="en-US"/>
        </w:rPr>
        <w:t xml:space="preserve">normativa interna que existía </w:t>
      </w:r>
      <w:r>
        <w:rPr>
          <w:rFonts w:eastAsia="Calibri"/>
          <w:sz w:val="20"/>
          <w:szCs w:val="20"/>
          <w:lang w:val="es-MX" w:eastAsia="en-US"/>
        </w:rPr>
        <w:t xml:space="preserve">al momento de los hechos, particularmente </w:t>
      </w:r>
      <w:r w:rsidR="002570D1" w:rsidRPr="002570D1">
        <w:rPr>
          <w:rFonts w:eastAsia="Calibri"/>
          <w:sz w:val="20"/>
          <w:szCs w:val="20"/>
          <w:lang w:val="es-MX" w:eastAsia="en-US"/>
        </w:rPr>
        <w:t>respecto del consentimiento requerido para la práctica de procedimientos como los que conciernen a este caso</w:t>
      </w:r>
      <w:r w:rsidR="00E82480">
        <w:rPr>
          <w:rFonts w:eastAsia="Calibri"/>
          <w:sz w:val="20"/>
          <w:szCs w:val="20"/>
          <w:lang w:val="es-MX" w:eastAsia="en-US"/>
        </w:rPr>
        <w:t xml:space="preserve">, </w:t>
      </w:r>
      <w:r>
        <w:rPr>
          <w:rFonts w:eastAsia="Calibri"/>
          <w:sz w:val="20"/>
          <w:szCs w:val="20"/>
          <w:lang w:val="es-MX" w:eastAsia="en-US"/>
        </w:rPr>
        <w:t>a saber:</w:t>
      </w:r>
      <w:r w:rsidR="00A90C28">
        <w:rPr>
          <w:rFonts w:eastAsia="Calibri"/>
          <w:sz w:val="20"/>
          <w:szCs w:val="20"/>
          <w:lang w:val="es-MX" w:eastAsia="en-US"/>
        </w:rPr>
        <w:t xml:space="preserve"> </w:t>
      </w:r>
    </w:p>
    <w:p w14:paraId="6669D51D" w14:textId="77777777" w:rsidR="008A2242" w:rsidRPr="0059117C" w:rsidRDefault="008A2242" w:rsidP="0059117C">
      <w:pPr>
        <w:tabs>
          <w:tab w:val="left" w:pos="567"/>
        </w:tabs>
        <w:rPr>
          <w:rFonts w:eastAsia="Calibri"/>
          <w:sz w:val="20"/>
          <w:szCs w:val="20"/>
          <w:lang w:eastAsia="en-US"/>
        </w:rPr>
      </w:pPr>
    </w:p>
    <w:p w14:paraId="0521A6DC" w14:textId="77777777" w:rsidR="00A90C28" w:rsidRPr="00840E52" w:rsidRDefault="00A90C28" w:rsidP="0059117C">
      <w:pPr>
        <w:tabs>
          <w:tab w:val="left" w:pos="567"/>
        </w:tabs>
        <w:ind w:left="567"/>
        <w:rPr>
          <w:rFonts w:eastAsia="Calibri"/>
          <w:sz w:val="18"/>
          <w:szCs w:val="20"/>
          <w:lang w:val="es-MX" w:eastAsia="en-US"/>
        </w:rPr>
      </w:pPr>
      <w:r w:rsidRPr="00840E52">
        <w:rPr>
          <w:rFonts w:eastAsia="Calibri"/>
          <w:sz w:val="18"/>
          <w:szCs w:val="20"/>
          <w:lang w:eastAsia="en-US"/>
        </w:rPr>
        <w:t xml:space="preserve">a) </w:t>
      </w:r>
      <w:r w:rsidR="00E82480" w:rsidRPr="00840E52">
        <w:rPr>
          <w:rFonts w:eastAsia="Calibri"/>
          <w:sz w:val="18"/>
          <w:szCs w:val="20"/>
          <w:lang w:val="es-MX" w:eastAsia="en-US"/>
        </w:rPr>
        <w:t>e</w:t>
      </w:r>
      <w:r w:rsidR="002570D1" w:rsidRPr="00840E52">
        <w:rPr>
          <w:rFonts w:eastAsia="Calibri"/>
          <w:sz w:val="18"/>
          <w:szCs w:val="20"/>
          <w:lang w:val="es-MX" w:eastAsia="en-US"/>
        </w:rPr>
        <w:t>l Decreto Supremo Número 42 de 1986, que aprobó el Reglamento Orgánico de los Servicios de Salud, en su artículo 105 disponía que “los profesionales tratantes deberán informar, en lo posible y cuando proceda, a los pacientes, a sus representantes legales o a los familiares de aquellos, sobre el diagnóstico y el pronóstico probable de su enfermedad, las medidas terapéuticas o médico-quirúrgicas que se les aplicarían y los riesgos que éstas o su omisión conllevan, para permitir su decisión informada, así como las acciones preventivas que correspondan al paciente o a su grupo familiar”.</w:t>
      </w:r>
    </w:p>
    <w:p w14:paraId="770AF9EB" w14:textId="77777777" w:rsidR="00A90C28" w:rsidRPr="00840E52" w:rsidRDefault="00A90C28" w:rsidP="0059117C">
      <w:pPr>
        <w:tabs>
          <w:tab w:val="left" w:pos="567"/>
        </w:tabs>
        <w:ind w:left="567"/>
        <w:rPr>
          <w:rFonts w:eastAsia="Calibri"/>
          <w:sz w:val="18"/>
          <w:szCs w:val="20"/>
          <w:lang w:val="es-MX" w:eastAsia="en-US"/>
        </w:rPr>
      </w:pPr>
    </w:p>
    <w:p w14:paraId="4563EFFB" w14:textId="22297DB4" w:rsidR="00E03C26" w:rsidRPr="00E87D1E" w:rsidRDefault="00A90C28" w:rsidP="00E03C26">
      <w:pPr>
        <w:tabs>
          <w:tab w:val="left" w:pos="567"/>
          <w:tab w:val="num" w:pos="12305"/>
        </w:tabs>
        <w:ind w:left="567"/>
        <w:rPr>
          <w:rFonts w:eastAsia="Calibri"/>
          <w:sz w:val="18"/>
          <w:szCs w:val="20"/>
          <w:lang w:val="es-MX"/>
        </w:rPr>
      </w:pPr>
      <w:r w:rsidRPr="00840E52">
        <w:rPr>
          <w:rFonts w:eastAsia="Calibri"/>
          <w:sz w:val="18"/>
          <w:szCs w:val="20"/>
          <w:lang w:eastAsia="en-US"/>
        </w:rPr>
        <w:t xml:space="preserve">b) </w:t>
      </w:r>
      <w:r w:rsidR="008A2242" w:rsidRPr="00840E52">
        <w:rPr>
          <w:rFonts w:eastAsia="Calibri"/>
          <w:sz w:val="18"/>
          <w:szCs w:val="20"/>
          <w:lang w:val="es-MX" w:eastAsia="en-US"/>
        </w:rPr>
        <w:t>l</w:t>
      </w:r>
      <w:r w:rsidR="002570D1" w:rsidRPr="00840E52">
        <w:rPr>
          <w:rFonts w:eastAsia="Calibri"/>
          <w:sz w:val="18"/>
          <w:szCs w:val="20"/>
          <w:lang w:val="es-MX" w:eastAsia="en-US"/>
        </w:rPr>
        <w:t>as “Normas y Documentos de Ética Médica” de 1986, elaboradas por el Colegio Médico de Chile, disponía en su artículo 15 que “</w:t>
      </w:r>
      <w:r w:rsidR="002570D1" w:rsidRPr="00840E52">
        <w:rPr>
          <w:rFonts w:eastAsia="Calibri"/>
          <w:sz w:val="18"/>
          <w:szCs w:val="20"/>
          <w:lang w:eastAsia="en-US"/>
        </w:rPr>
        <w:t xml:space="preserve">en los casos que fuera terapéuticamente necesario recurrir a tratamientos que entrañen riesgos ciertos o mutilación grave para el paciente, el medico deberá contar con el consentimiento expreso, dado con conocimiento de causa, por el enfermo, o sus </w:t>
      </w:r>
      <w:r w:rsidR="002570D1" w:rsidRPr="00840E52">
        <w:rPr>
          <w:rFonts w:eastAsia="Calibri"/>
          <w:sz w:val="18"/>
          <w:szCs w:val="20"/>
          <w:lang w:eastAsia="en-US"/>
        </w:rPr>
        <w:lastRenderedPageBreak/>
        <w:t>familiares responsables cuando sea menor de edad o este incapacitado para decidir</w:t>
      </w:r>
      <w:r w:rsidR="002570D1" w:rsidRPr="00840E52">
        <w:rPr>
          <w:rFonts w:eastAsia="Calibri"/>
          <w:sz w:val="18"/>
          <w:szCs w:val="20"/>
          <w:lang w:val="es-MX" w:eastAsia="en-US"/>
        </w:rPr>
        <w:t>.</w:t>
      </w:r>
      <w:r w:rsidR="002570D1" w:rsidRPr="008A187A">
        <w:rPr>
          <w:rFonts w:eastAsia="Calibri"/>
          <w:sz w:val="18"/>
          <w:szCs w:val="20"/>
          <w:lang w:val="es-MX" w:eastAsia="en-US"/>
        </w:rPr>
        <w:t xml:space="preserve"> </w:t>
      </w:r>
      <w:r w:rsidR="00E03C26" w:rsidRPr="00B1523A">
        <w:rPr>
          <w:rFonts w:eastAsia="Calibri"/>
          <w:sz w:val="18"/>
          <w:szCs w:val="20"/>
        </w:rPr>
        <w:t>En situaciones de urgencia médica o ausencia de los familiares responsables, sin que sea posible obtener comunicación con ellos o de no existir estos, el médico podrá prescindir de la autorización que establece el inciso precedente, sin perjuicio de procurar de obtener la opinión favorable de otro colega en el tratamiento"</w:t>
      </w:r>
      <w:r w:rsidR="00E03C26" w:rsidRPr="008A187A">
        <w:rPr>
          <w:rStyle w:val="FootnoteReference"/>
          <w:rFonts w:eastAsia="Calibri"/>
          <w:sz w:val="18"/>
        </w:rPr>
        <w:footnoteReference w:id="259"/>
      </w:r>
      <w:r w:rsidR="00E03C26" w:rsidRPr="00B1523A">
        <w:rPr>
          <w:rFonts w:eastAsia="Calibri"/>
          <w:sz w:val="18"/>
          <w:szCs w:val="20"/>
        </w:rPr>
        <w:t>.</w:t>
      </w:r>
      <w:r w:rsidR="00E03C26" w:rsidRPr="00F569D7">
        <w:rPr>
          <w:rFonts w:eastAsia="Calibri"/>
          <w:b/>
          <w:sz w:val="18"/>
          <w:szCs w:val="20"/>
        </w:rPr>
        <w:t xml:space="preserve"> </w:t>
      </w:r>
    </w:p>
    <w:p w14:paraId="7C999144" w14:textId="77777777" w:rsidR="00A90C28" w:rsidRPr="00840E52" w:rsidRDefault="00A90C28" w:rsidP="00AB1E03">
      <w:pPr>
        <w:tabs>
          <w:tab w:val="left" w:pos="567"/>
        </w:tabs>
        <w:rPr>
          <w:rFonts w:eastAsia="Calibri"/>
          <w:sz w:val="18"/>
          <w:szCs w:val="20"/>
          <w:lang w:eastAsia="en-US"/>
        </w:rPr>
      </w:pPr>
    </w:p>
    <w:p w14:paraId="2A66DBF5" w14:textId="3F79A9B9" w:rsidR="002570D1" w:rsidRPr="00840E52" w:rsidRDefault="00A90C28" w:rsidP="0059117C">
      <w:pPr>
        <w:tabs>
          <w:tab w:val="left" w:pos="567"/>
        </w:tabs>
        <w:ind w:left="567"/>
        <w:rPr>
          <w:rFonts w:eastAsia="Calibri"/>
          <w:sz w:val="18"/>
          <w:szCs w:val="20"/>
          <w:lang w:eastAsia="en-US"/>
        </w:rPr>
      </w:pPr>
      <w:r w:rsidRPr="00840E52">
        <w:rPr>
          <w:rFonts w:eastAsia="Calibri"/>
          <w:sz w:val="18"/>
          <w:szCs w:val="20"/>
          <w:lang w:eastAsia="en-US"/>
        </w:rPr>
        <w:t xml:space="preserve">c) </w:t>
      </w:r>
      <w:r w:rsidR="008A2242" w:rsidRPr="00840E52">
        <w:rPr>
          <w:rFonts w:eastAsia="Calibri"/>
          <w:sz w:val="18"/>
          <w:szCs w:val="20"/>
          <w:lang w:val="es-MX" w:eastAsia="en-US"/>
        </w:rPr>
        <w:t>e</w:t>
      </w:r>
      <w:r w:rsidR="002570D1" w:rsidRPr="00840E52">
        <w:rPr>
          <w:rFonts w:eastAsia="Calibri"/>
          <w:sz w:val="18"/>
          <w:szCs w:val="20"/>
          <w:lang w:val="es-MX" w:eastAsia="en-US"/>
        </w:rPr>
        <w:t xml:space="preserve">n 1999, el Fondo Nacional de Salud, en conjunto con el Ministerio de Salud de Chile elaboraron la “Carta de Derechos del Paciente” que disponía </w:t>
      </w:r>
      <w:r w:rsidR="002570D1" w:rsidRPr="00840E52">
        <w:rPr>
          <w:rFonts w:eastAsia="Calibri"/>
          <w:sz w:val="18"/>
          <w:szCs w:val="20"/>
          <w:lang w:eastAsia="en-US"/>
        </w:rPr>
        <w:t>los pasos a seguir para obtener el consentimiento informado del paciente, además de establecer los casos en que operan las excepciones: menores de edad, incapacidad judicial, deficiencias de comprensión, aun siendo mayor de edad, no tuviera capacidad de discernimiento para decidir acerca de un procedimiento. En este último debe requerirse el consentimiento informado de los parientes o allegados más próximos, a quien legalmente correspondería la representación</w:t>
      </w:r>
      <w:r w:rsidR="008A187A">
        <w:rPr>
          <w:rStyle w:val="FootnoteReference"/>
          <w:rFonts w:eastAsia="Calibri"/>
          <w:sz w:val="18"/>
          <w:szCs w:val="20"/>
          <w:lang w:eastAsia="en-US"/>
        </w:rPr>
        <w:footnoteReference w:id="260"/>
      </w:r>
      <w:r w:rsidR="00762119">
        <w:rPr>
          <w:rFonts w:eastAsia="Calibri"/>
          <w:sz w:val="18"/>
          <w:szCs w:val="20"/>
          <w:lang w:eastAsia="en-US"/>
        </w:rPr>
        <w:t>.</w:t>
      </w:r>
      <w:r w:rsidR="002570D1" w:rsidRPr="00840E52">
        <w:rPr>
          <w:rFonts w:eastAsia="Calibri"/>
          <w:b/>
          <w:sz w:val="18"/>
          <w:szCs w:val="20"/>
          <w:lang w:val="es-MX" w:eastAsia="en-US"/>
        </w:rPr>
        <w:t xml:space="preserve"> </w:t>
      </w:r>
    </w:p>
    <w:p w14:paraId="47112264" w14:textId="77777777" w:rsidR="00F32DA7" w:rsidRPr="00E6413F" w:rsidRDefault="00F32DA7" w:rsidP="005430FF">
      <w:pPr>
        <w:tabs>
          <w:tab w:val="left" w:pos="567"/>
        </w:tabs>
        <w:rPr>
          <w:rFonts w:eastAsia="Calibri"/>
          <w:sz w:val="20"/>
          <w:szCs w:val="20"/>
          <w:lang w:eastAsia="en-US"/>
        </w:rPr>
      </w:pPr>
    </w:p>
    <w:p w14:paraId="77612EBE" w14:textId="77777777" w:rsidR="00E6413F" w:rsidRPr="0059117C" w:rsidRDefault="00E6413F" w:rsidP="00E6413F">
      <w:pPr>
        <w:numPr>
          <w:ilvl w:val="0"/>
          <w:numId w:val="2"/>
        </w:numPr>
        <w:tabs>
          <w:tab w:val="left" w:pos="567"/>
          <w:tab w:val="num" w:pos="1569"/>
          <w:tab w:val="num" w:pos="12305"/>
        </w:tabs>
        <w:ind w:left="0" w:firstLine="0"/>
        <w:rPr>
          <w:rFonts w:eastAsia="Calibri"/>
          <w:sz w:val="20"/>
          <w:szCs w:val="20"/>
          <w:lang w:val="es-MX" w:eastAsia="en-US"/>
        </w:rPr>
      </w:pPr>
      <w:r>
        <w:rPr>
          <w:rFonts w:eastAsia="Calibri"/>
          <w:sz w:val="20"/>
          <w:szCs w:val="20"/>
          <w:lang w:val="es-MX" w:eastAsia="en-US"/>
        </w:rPr>
        <w:t>En vista de lo anterior, l</w:t>
      </w:r>
      <w:r w:rsidRPr="0059117C">
        <w:rPr>
          <w:rFonts w:eastAsia="Calibri"/>
          <w:sz w:val="20"/>
          <w:szCs w:val="20"/>
          <w:lang w:val="es-MX" w:eastAsia="en-US"/>
        </w:rPr>
        <w:t>a Corte entiende que el consentimiento por representación o sustitución se actualiza cuando se ha comprobado que el paciente, por su especial condición, no se encuentra en la capacidad de tomar una decisión en relación a su salud, por lo cual esta potestad le es otorgada a su representante, autoridad, persona, familiar o institución designada por ley. Sin embargo, cualquier limitación en la toma de decisiones tiene que tener en cuenta las capacidades evolutivas del paciente, y su condición actual para brindar el consentimiento</w:t>
      </w:r>
      <w:r w:rsidRPr="0059117C">
        <w:rPr>
          <w:rFonts w:eastAsia="Calibri"/>
          <w:sz w:val="20"/>
          <w:szCs w:val="20"/>
          <w:vertAlign w:val="superscript"/>
          <w:lang w:val="es-MX" w:eastAsia="en-US"/>
        </w:rPr>
        <w:footnoteReference w:id="261"/>
      </w:r>
      <w:r w:rsidRPr="0059117C">
        <w:rPr>
          <w:rFonts w:eastAsia="Calibri"/>
          <w:sz w:val="20"/>
          <w:szCs w:val="20"/>
          <w:lang w:val="es-MX" w:eastAsia="en-US"/>
        </w:rPr>
        <w:t>. Esta Corte considera que entre los elementos necesarios para otorgar el consentimiento informado por parte de sus familiares, este también debe de ser previo, libre, pleno e informado</w:t>
      </w:r>
      <w:r w:rsidRPr="0059117C">
        <w:rPr>
          <w:rFonts w:eastAsia="Calibri"/>
          <w:sz w:val="20"/>
          <w:szCs w:val="20"/>
          <w:vertAlign w:val="superscript"/>
          <w:lang w:val="es-MX" w:eastAsia="en-US"/>
        </w:rPr>
        <w:footnoteReference w:id="262"/>
      </w:r>
      <w:r w:rsidRPr="0059117C">
        <w:rPr>
          <w:rFonts w:eastAsia="Calibri"/>
          <w:sz w:val="20"/>
          <w:szCs w:val="20"/>
          <w:lang w:val="es-MX" w:eastAsia="en-US"/>
        </w:rPr>
        <w:t xml:space="preserve">, a menos que se trate de una situación de emergencia, en donde la Corte ya ha </w:t>
      </w:r>
      <w:r w:rsidRPr="0059117C">
        <w:rPr>
          <w:rFonts w:eastAsia="Calibri"/>
          <w:sz w:val="20"/>
          <w:szCs w:val="20"/>
          <w:lang w:val="es-MX" w:eastAsia="en-US"/>
        </w:rPr>
        <w:lastRenderedPageBreak/>
        <w:t>reconocido que existen excepciones donde es posible que el personal de salud actúe sin la exigencia del consentimiento, en casos en los que éste no pueda ser brindado por la persona y que sea necesario un tratamiento médico o quirúrgico inmediato, de urgencia o de emergencia, ante un grave riesgo contra la vida o la salud del paciente</w:t>
      </w:r>
      <w:r w:rsidRPr="0059117C">
        <w:rPr>
          <w:rFonts w:eastAsia="Calibri"/>
          <w:sz w:val="20"/>
          <w:szCs w:val="20"/>
          <w:vertAlign w:val="superscript"/>
          <w:lang w:val="es-MX" w:eastAsia="en-US"/>
        </w:rPr>
        <w:footnoteReference w:id="263"/>
      </w:r>
      <w:r w:rsidRPr="0059117C">
        <w:rPr>
          <w:rFonts w:eastAsia="Calibri"/>
          <w:sz w:val="20"/>
          <w:szCs w:val="20"/>
          <w:lang w:val="es-MX" w:eastAsia="en-US"/>
        </w:rPr>
        <w:t xml:space="preserve">. </w:t>
      </w:r>
    </w:p>
    <w:p w14:paraId="664B15C0" w14:textId="77777777" w:rsidR="00E6413F" w:rsidRDefault="00E6413F" w:rsidP="005430FF">
      <w:pPr>
        <w:tabs>
          <w:tab w:val="left" w:pos="567"/>
        </w:tabs>
        <w:rPr>
          <w:rFonts w:eastAsia="Calibri"/>
          <w:sz w:val="20"/>
          <w:szCs w:val="20"/>
          <w:lang w:eastAsia="en-US"/>
        </w:rPr>
      </w:pPr>
    </w:p>
    <w:p w14:paraId="698E41C9" w14:textId="397103F6" w:rsidR="00A90C28" w:rsidRPr="007E5CD5" w:rsidRDefault="00A90C28" w:rsidP="0059117C">
      <w:pPr>
        <w:numPr>
          <w:ilvl w:val="0"/>
          <w:numId w:val="2"/>
        </w:numPr>
        <w:tabs>
          <w:tab w:val="left" w:pos="567"/>
          <w:tab w:val="num" w:pos="1569"/>
          <w:tab w:val="num" w:pos="12305"/>
        </w:tabs>
        <w:ind w:left="0" w:firstLine="0"/>
        <w:rPr>
          <w:rFonts w:eastAsia="Calibri"/>
          <w:sz w:val="20"/>
          <w:szCs w:val="20"/>
          <w:lang w:eastAsia="en-US"/>
        </w:rPr>
      </w:pPr>
      <w:r w:rsidRPr="007E5CD5">
        <w:rPr>
          <w:rFonts w:eastAsia="Calibri"/>
          <w:sz w:val="20"/>
          <w:szCs w:val="20"/>
          <w:lang w:val="es-MX" w:eastAsia="en-US"/>
        </w:rPr>
        <w:t xml:space="preserve">Al respecto, </w:t>
      </w:r>
      <w:r w:rsidR="004738DD" w:rsidRPr="007E5CD5">
        <w:rPr>
          <w:rFonts w:eastAsia="Calibri"/>
          <w:sz w:val="20"/>
          <w:szCs w:val="20"/>
          <w:lang w:eastAsia="en-US"/>
        </w:rPr>
        <w:t>ni las representantes ni el Estado controvirtieron que dicha intervención quirúrgica practicada al señor Poblete Vilches (en su primer ingreso), se tratara de un procedimiento de emergencia. Tampoco</w:t>
      </w:r>
      <w:r w:rsidR="004738DD" w:rsidRPr="007E5CD5">
        <w:rPr>
          <w:rFonts w:eastAsia="Calibri"/>
          <w:sz w:val="20"/>
          <w:szCs w:val="20"/>
          <w:lang w:val="es-MX" w:eastAsia="en-US"/>
        </w:rPr>
        <w:t xml:space="preserve"> </w:t>
      </w:r>
      <w:r w:rsidRPr="007E5CD5">
        <w:rPr>
          <w:rFonts w:eastAsia="Calibri"/>
          <w:sz w:val="20"/>
          <w:szCs w:val="20"/>
          <w:lang w:eastAsia="en-US"/>
        </w:rPr>
        <w:t xml:space="preserve">existen elementos </w:t>
      </w:r>
      <w:r w:rsidR="004738DD" w:rsidRPr="007E5CD5">
        <w:rPr>
          <w:rFonts w:eastAsia="Calibri"/>
          <w:sz w:val="20"/>
          <w:szCs w:val="20"/>
          <w:lang w:eastAsia="en-US"/>
        </w:rPr>
        <w:t xml:space="preserve">de prueba </w:t>
      </w:r>
      <w:r w:rsidRPr="007E5CD5">
        <w:rPr>
          <w:rFonts w:eastAsia="Calibri"/>
          <w:sz w:val="20"/>
          <w:szCs w:val="20"/>
          <w:lang w:eastAsia="en-US"/>
        </w:rPr>
        <w:t xml:space="preserve">que permitan </w:t>
      </w:r>
      <w:r w:rsidR="004738DD" w:rsidRPr="007E5CD5">
        <w:rPr>
          <w:rFonts w:eastAsia="Calibri"/>
          <w:sz w:val="20"/>
          <w:szCs w:val="20"/>
          <w:lang w:eastAsia="en-US"/>
        </w:rPr>
        <w:t>acreditar lo contrario.</w:t>
      </w:r>
      <w:r w:rsidRPr="007E5CD5">
        <w:rPr>
          <w:rFonts w:eastAsia="Calibri"/>
          <w:sz w:val="20"/>
          <w:szCs w:val="20"/>
          <w:lang w:eastAsia="en-US"/>
        </w:rPr>
        <w:t xml:space="preserve"> En virtud de lo anterior, la Corte </w:t>
      </w:r>
      <w:r w:rsidR="00DC241A" w:rsidRPr="007E5CD5">
        <w:rPr>
          <w:rFonts w:eastAsia="Calibri"/>
          <w:sz w:val="20"/>
          <w:szCs w:val="20"/>
          <w:lang w:eastAsia="en-US"/>
        </w:rPr>
        <w:t>estima</w:t>
      </w:r>
      <w:r w:rsidRPr="007E5CD5">
        <w:rPr>
          <w:rFonts w:eastAsia="Calibri"/>
          <w:sz w:val="20"/>
          <w:szCs w:val="20"/>
          <w:lang w:eastAsia="en-US"/>
        </w:rPr>
        <w:t xml:space="preserve"> que dicho procedimiento de punción no correspondía a un procedimiento de emergencia, por lo que, de acuerdo con la propia normativa interna</w:t>
      </w:r>
      <w:r w:rsidR="007626CD" w:rsidRPr="007E5CD5">
        <w:rPr>
          <w:rFonts w:eastAsia="Calibri"/>
          <w:sz w:val="20"/>
          <w:szCs w:val="20"/>
          <w:lang w:eastAsia="en-US"/>
        </w:rPr>
        <w:t xml:space="preserve"> (</w:t>
      </w:r>
      <w:r w:rsidR="007626CD" w:rsidRPr="007E5CD5">
        <w:rPr>
          <w:rFonts w:eastAsia="Calibri"/>
          <w:i/>
          <w:sz w:val="20"/>
          <w:szCs w:val="20"/>
          <w:lang w:eastAsia="en-US"/>
        </w:rPr>
        <w:t xml:space="preserve">supra </w:t>
      </w:r>
      <w:r w:rsidR="007626CD" w:rsidRPr="007E5CD5">
        <w:rPr>
          <w:rFonts w:eastAsia="Calibri"/>
          <w:sz w:val="20"/>
          <w:szCs w:val="20"/>
          <w:lang w:eastAsia="en-US"/>
        </w:rPr>
        <w:t>párr.</w:t>
      </w:r>
      <w:r w:rsidR="006B0DAE">
        <w:rPr>
          <w:rFonts w:eastAsia="Calibri"/>
          <w:sz w:val="20"/>
          <w:szCs w:val="20"/>
          <w:lang w:eastAsia="en-US"/>
        </w:rPr>
        <w:t xml:space="preserve"> 165</w:t>
      </w:r>
      <w:r w:rsidR="007626CD" w:rsidRPr="007E5CD5">
        <w:rPr>
          <w:rFonts w:eastAsia="Calibri"/>
          <w:sz w:val="20"/>
          <w:szCs w:val="20"/>
          <w:lang w:eastAsia="en-US"/>
        </w:rPr>
        <w:t>)</w:t>
      </w:r>
      <w:r w:rsidRPr="007E5CD5">
        <w:rPr>
          <w:rFonts w:eastAsia="Calibri"/>
          <w:sz w:val="20"/>
          <w:szCs w:val="20"/>
          <w:lang w:eastAsia="en-US"/>
        </w:rPr>
        <w:t xml:space="preserve">, </w:t>
      </w:r>
      <w:r w:rsidR="00762119">
        <w:rPr>
          <w:rFonts w:eastAsia="Calibri"/>
          <w:sz w:val="20"/>
          <w:szCs w:val="20"/>
          <w:lang w:eastAsia="en-US"/>
        </w:rPr>
        <w:t xml:space="preserve">resultaba </w:t>
      </w:r>
      <w:proofErr w:type="spellStart"/>
      <w:r w:rsidRPr="007E5CD5">
        <w:rPr>
          <w:rFonts w:eastAsia="Calibri"/>
          <w:sz w:val="20"/>
          <w:szCs w:val="20"/>
          <w:lang w:eastAsia="en-US"/>
        </w:rPr>
        <w:t>aplicaba</w:t>
      </w:r>
      <w:r w:rsidR="00762119">
        <w:rPr>
          <w:rFonts w:eastAsia="Calibri"/>
          <w:sz w:val="20"/>
          <w:szCs w:val="20"/>
          <w:lang w:eastAsia="en-US"/>
        </w:rPr>
        <w:t>ble</w:t>
      </w:r>
      <w:proofErr w:type="spellEnd"/>
      <w:r w:rsidRPr="007E5CD5">
        <w:rPr>
          <w:rFonts w:eastAsia="Calibri"/>
          <w:sz w:val="20"/>
          <w:szCs w:val="20"/>
          <w:lang w:eastAsia="en-US"/>
        </w:rPr>
        <w:t xml:space="preserve"> la obtención del consentimiento por parte de los familiares, lo cual no se realizó en el caso concreto</w:t>
      </w:r>
      <w:r w:rsidR="00AA65C5" w:rsidRPr="007E5CD5">
        <w:rPr>
          <w:rStyle w:val="FootnoteReference"/>
          <w:rFonts w:eastAsia="Calibri"/>
          <w:sz w:val="20"/>
        </w:rPr>
        <w:footnoteReference w:id="264"/>
      </w:r>
      <w:r w:rsidRPr="007E5CD5">
        <w:rPr>
          <w:rFonts w:eastAsia="Calibri"/>
          <w:sz w:val="20"/>
          <w:szCs w:val="20"/>
          <w:lang w:eastAsia="en-US"/>
        </w:rPr>
        <w:t xml:space="preserve">. </w:t>
      </w:r>
    </w:p>
    <w:p w14:paraId="1CFFB7BD" w14:textId="77777777" w:rsidR="001B222D" w:rsidRPr="00AB1E03" w:rsidRDefault="001B222D" w:rsidP="00E03C26">
      <w:pPr>
        <w:ind w:right="-360"/>
        <w:rPr>
          <w:rFonts w:eastAsia="Calibri"/>
          <w:b/>
          <w:sz w:val="20"/>
          <w:szCs w:val="20"/>
          <w:lang w:val="es-ES_tradnl" w:eastAsia="en-US"/>
        </w:rPr>
      </w:pPr>
    </w:p>
    <w:p w14:paraId="4FC818A8" w14:textId="3FB1C178" w:rsidR="001B222D" w:rsidRPr="00B1523A" w:rsidRDefault="001B222D" w:rsidP="00AB1E03">
      <w:pPr>
        <w:widowControl w:val="0"/>
        <w:numPr>
          <w:ilvl w:val="0"/>
          <w:numId w:val="2"/>
        </w:numPr>
        <w:tabs>
          <w:tab w:val="left" w:pos="567"/>
          <w:tab w:val="num" w:pos="1247"/>
          <w:tab w:val="num" w:pos="12305"/>
        </w:tabs>
        <w:adjustRightInd w:val="0"/>
        <w:ind w:left="0" w:firstLine="0"/>
        <w:textAlignment w:val="baseline"/>
        <w:rPr>
          <w:sz w:val="20"/>
          <w:szCs w:val="20"/>
        </w:rPr>
      </w:pPr>
      <w:r w:rsidRPr="00B1523A">
        <w:rPr>
          <w:rFonts w:eastAsia="Calibri"/>
          <w:sz w:val="20"/>
          <w:szCs w:val="20"/>
          <w:lang w:eastAsia="en-US"/>
        </w:rPr>
        <w:t>En cuanto al derecho a la dignidad consagrado en el artículo 11 de la Convención Americana, la Corte ha analizado que un aspecto central del reconocimiento de la dignidad constituye la posibilidad de todo ser humano de auto-determinarse y escoger libremente las opciones y circunstancias que le dan sentido a su existencia, conforme a sus propias opciones y convicciones</w:t>
      </w:r>
      <w:r w:rsidRPr="00B1523A">
        <w:rPr>
          <w:rFonts w:eastAsia="Calibri"/>
          <w:sz w:val="20"/>
          <w:szCs w:val="20"/>
          <w:vertAlign w:val="superscript"/>
          <w:lang w:val="es-ES_tradnl" w:eastAsia="en-US"/>
        </w:rPr>
        <w:footnoteReference w:id="265"/>
      </w:r>
      <w:r w:rsidRPr="00B1523A">
        <w:rPr>
          <w:rFonts w:eastAsia="Calibri"/>
          <w:sz w:val="20"/>
          <w:szCs w:val="20"/>
          <w:lang w:eastAsia="en-US"/>
        </w:rPr>
        <w:t xml:space="preserve">. </w:t>
      </w:r>
      <w:r w:rsidRPr="00B1523A">
        <w:rPr>
          <w:sz w:val="20"/>
          <w:szCs w:val="20"/>
        </w:rPr>
        <w:t xml:space="preserve">Por su parte, el inciso segundo establece la inviolabilidad de la vida privada y familiar, entre otras esferas protegidas. </w:t>
      </w:r>
      <w:r w:rsidR="00FA1F4E" w:rsidRPr="00B1523A">
        <w:rPr>
          <w:sz w:val="20"/>
          <w:szCs w:val="20"/>
        </w:rPr>
        <w:t>En este sentido</w:t>
      </w:r>
      <w:r w:rsidRPr="00B1523A">
        <w:rPr>
          <w:sz w:val="20"/>
          <w:szCs w:val="20"/>
        </w:rPr>
        <w:t>, la Corte reitera que el artículo 11.2 de la Convención Americana está estrechamente relacionado con el derecho reconocido en el artículo 17 de la misma</w:t>
      </w:r>
      <w:r w:rsidRPr="00B1523A">
        <w:rPr>
          <w:sz w:val="20"/>
          <w:szCs w:val="20"/>
          <w:vertAlign w:val="superscript"/>
        </w:rPr>
        <w:footnoteReference w:id="266"/>
      </w:r>
      <w:r w:rsidRPr="00B1523A">
        <w:rPr>
          <w:sz w:val="20"/>
          <w:szCs w:val="20"/>
        </w:rPr>
        <w:t>, el cual reconoce el papel central de la familia y la vida familiar en la existencia de una persona y en la sociedad en general</w:t>
      </w:r>
      <w:r w:rsidRPr="00B1523A">
        <w:rPr>
          <w:rStyle w:val="FootnoteReference"/>
          <w:sz w:val="20"/>
          <w:szCs w:val="20"/>
        </w:rPr>
        <w:footnoteReference w:id="267"/>
      </w:r>
      <w:r w:rsidRPr="00B1523A">
        <w:rPr>
          <w:sz w:val="20"/>
          <w:szCs w:val="20"/>
        </w:rPr>
        <w:t xml:space="preserve">. </w:t>
      </w:r>
    </w:p>
    <w:p w14:paraId="579385B2" w14:textId="77777777" w:rsidR="001B222D" w:rsidRPr="00AB1E03" w:rsidRDefault="001B222D" w:rsidP="00AB1E03">
      <w:pPr>
        <w:widowControl w:val="0"/>
        <w:tabs>
          <w:tab w:val="left" w:pos="567"/>
        </w:tabs>
        <w:adjustRightInd w:val="0"/>
        <w:textAlignment w:val="baseline"/>
        <w:rPr>
          <w:b/>
          <w:sz w:val="20"/>
          <w:szCs w:val="20"/>
        </w:rPr>
      </w:pPr>
    </w:p>
    <w:p w14:paraId="1D2E47EC" w14:textId="2157EEEA" w:rsidR="001B222D" w:rsidRPr="00AB1E03" w:rsidRDefault="001B222D" w:rsidP="00AB1E03">
      <w:pPr>
        <w:widowControl w:val="0"/>
        <w:numPr>
          <w:ilvl w:val="0"/>
          <w:numId w:val="2"/>
        </w:numPr>
        <w:tabs>
          <w:tab w:val="left" w:pos="567"/>
          <w:tab w:val="num" w:pos="1247"/>
          <w:tab w:val="num" w:pos="12305"/>
        </w:tabs>
        <w:adjustRightInd w:val="0"/>
        <w:ind w:left="0" w:firstLine="0"/>
        <w:textAlignment w:val="baseline"/>
        <w:rPr>
          <w:b/>
          <w:sz w:val="20"/>
          <w:szCs w:val="20"/>
        </w:rPr>
      </w:pPr>
      <w:r w:rsidRPr="00B1523A">
        <w:rPr>
          <w:rFonts w:eastAsia="Calibri"/>
          <w:sz w:val="20"/>
          <w:szCs w:val="20"/>
          <w:lang w:eastAsia="en-US"/>
        </w:rPr>
        <w:t xml:space="preserve">Asimismo, este Tribunal </w:t>
      </w:r>
      <w:r w:rsidR="00762119">
        <w:rPr>
          <w:rFonts w:eastAsia="Calibri"/>
          <w:sz w:val="20"/>
          <w:szCs w:val="20"/>
          <w:lang w:eastAsia="en-US"/>
        </w:rPr>
        <w:t xml:space="preserve">ha </w:t>
      </w:r>
      <w:r w:rsidRPr="00B1523A">
        <w:rPr>
          <w:rFonts w:eastAsia="Calibri"/>
          <w:sz w:val="20"/>
          <w:szCs w:val="20"/>
          <w:lang w:eastAsia="en-US"/>
        </w:rPr>
        <w:t>interpret</w:t>
      </w:r>
      <w:r w:rsidR="00762119">
        <w:rPr>
          <w:rFonts w:eastAsia="Calibri"/>
          <w:sz w:val="20"/>
          <w:szCs w:val="20"/>
          <w:lang w:eastAsia="en-US"/>
        </w:rPr>
        <w:t>ado</w:t>
      </w:r>
      <w:r w:rsidRPr="00B1523A">
        <w:rPr>
          <w:rFonts w:eastAsia="Calibri"/>
          <w:sz w:val="20"/>
          <w:szCs w:val="20"/>
          <w:lang w:eastAsia="en-US"/>
        </w:rPr>
        <w:t xml:space="preserve"> de manera amplia el concepto de libertad que está consagrado en el artículo 7 de la Convención</w:t>
      </w:r>
      <w:r w:rsidR="00762119">
        <w:rPr>
          <w:rFonts w:eastAsia="Calibri"/>
          <w:sz w:val="20"/>
          <w:szCs w:val="20"/>
          <w:lang w:eastAsia="en-US"/>
        </w:rPr>
        <w:t>,</w:t>
      </w:r>
      <w:r w:rsidRPr="00B1523A">
        <w:rPr>
          <w:rFonts w:eastAsia="Calibri"/>
          <w:sz w:val="20"/>
          <w:szCs w:val="20"/>
          <w:lang w:eastAsia="en-US"/>
        </w:rPr>
        <w:t xml:space="preserve"> definiéndola como la capacidad de hacer y no</w:t>
      </w:r>
      <w:r w:rsidRPr="00AB1E03">
        <w:rPr>
          <w:rFonts w:eastAsia="Calibri"/>
          <w:b/>
          <w:sz w:val="20"/>
          <w:szCs w:val="20"/>
          <w:lang w:eastAsia="en-US"/>
        </w:rPr>
        <w:t xml:space="preserve"> </w:t>
      </w:r>
      <w:r w:rsidRPr="00B1523A">
        <w:rPr>
          <w:rFonts w:eastAsia="Calibri"/>
          <w:sz w:val="20"/>
          <w:szCs w:val="20"/>
          <w:lang w:eastAsia="en-US"/>
        </w:rPr>
        <w:t xml:space="preserve">hacer todo lo que esté lícitamente permitido, permitiéndole a toda persona organizar, conforme a la ley, su vida individual y social conforme a sus propias opciones y convicciones. </w:t>
      </w:r>
      <w:r w:rsidR="00FA1F4E" w:rsidRPr="00B1523A">
        <w:rPr>
          <w:rFonts w:eastAsia="Calibri"/>
          <w:sz w:val="20"/>
          <w:szCs w:val="20"/>
          <w:lang w:eastAsia="en-US"/>
        </w:rPr>
        <w:t>La Corte reitera que este derecho está relacionado con la libertad de</w:t>
      </w:r>
      <w:r w:rsidR="00FA1F4E" w:rsidRPr="00AB1E03">
        <w:rPr>
          <w:rFonts w:eastAsia="Calibri"/>
          <w:b/>
          <w:sz w:val="20"/>
          <w:szCs w:val="20"/>
          <w:lang w:eastAsia="en-US"/>
        </w:rPr>
        <w:t xml:space="preserve"> </w:t>
      </w:r>
      <w:r w:rsidR="00FA1F4E" w:rsidRPr="00B1523A">
        <w:rPr>
          <w:rFonts w:eastAsia="Calibri"/>
          <w:sz w:val="20"/>
          <w:szCs w:val="20"/>
          <w:lang w:eastAsia="en-US"/>
        </w:rPr>
        <w:t>tomar decisiones en materia de</w:t>
      </w:r>
      <w:r w:rsidR="00FA1F4E" w:rsidRPr="00AB1E03">
        <w:rPr>
          <w:rFonts w:eastAsia="Calibri"/>
          <w:b/>
          <w:sz w:val="20"/>
          <w:szCs w:val="20"/>
          <w:lang w:eastAsia="en-US"/>
        </w:rPr>
        <w:t xml:space="preserve"> </w:t>
      </w:r>
      <w:r w:rsidR="00FA1F4E" w:rsidRPr="00B1523A">
        <w:rPr>
          <w:rFonts w:eastAsia="Calibri"/>
          <w:sz w:val="20"/>
          <w:szCs w:val="20"/>
          <w:lang w:eastAsia="en-US"/>
        </w:rPr>
        <w:t>salud</w:t>
      </w:r>
      <w:r w:rsidR="00FA1F4E" w:rsidRPr="00B1523A">
        <w:rPr>
          <w:rStyle w:val="FootnoteReference"/>
          <w:rFonts w:eastAsia="Calibri"/>
          <w:sz w:val="20"/>
          <w:szCs w:val="20"/>
          <w:lang w:eastAsia="en-US"/>
        </w:rPr>
        <w:footnoteReference w:id="268"/>
      </w:r>
      <w:r w:rsidR="00FA1F4E" w:rsidRPr="00B1523A">
        <w:rPr>
          <w:rFonts w:eastAsia="Calibri"/>
          <w:sz w:val="20"/>
          <w:szCs w:val="20"/>
          <w:lang w:eastAsia="en-US"/>
        </w:rPr>
        <w:t>.</w:t>
      </w:r>
      <w:r w:rsidR="00FA1F4E" w:rsidRPr="00AB1E03">
        <w:rPr>
          <w:rFonts w:eastAsia="Calibri"/>
          <w:b/>
          <w:sz w:val="20"/>
          <w:szCs w:val="20"/>
          <w:lang w:eastAsia="en-US"/>
        </w:rPr>
        <w:t xml:space="preserve"> </w:t>
      </w:r>
    </w:p>
    <w:p w14:paraId="587D77AB" w14:textId="77777777" w:rsidR="001B222D" w:rsidRPr="00AB1E03" w:rsidRDefault="001B222D" w:rsidP="00AB1E03">
      <w:pPr>
        <w:tabs>
          <w:tab w:val="left" w:pos="567"/>
        </w:tabs>
        <w:rPr>
          <w:rFonts w:eastAsia="Calibri"/>
          <w:b/>
          <w:sz w:val="20"/>
          <w:szCs w:val="20"/>
          <w:lang w:val="es-ES_tradnl" w:eastAsia="en-US"/>
        </w:rPr>
      </w:pPr>
    </w:p>
    <w:p w14:paraId="33B4FDFA" w14:textId="6E8722A1" w:rsidR="00DB67A0" w:rsidRPr="00B1523A" w:rsidRDefault="00E03C26" w:rsidP="00AB1E03">
      <w:pPr>
        <w:numPr>
          <w:ilvl w:val="0"/>
          <w:numId w:val="2"/>
        </w:numPr>
        <w:tabs>
          <w:tab w:val="left" w:pos="567"/>
          <w:tab w:val="num" w:pos="1569"/>
          <w:tab w:val="num" w:pos="12305"/>
        </w:tabs>
        <w:ind w:left="0" w:firstLine="0"/>
        <w:rPr>
          <w:rFonts w:eastAsia="Calibri"/>
          <w:sz w:val="20"/>
          <w:szCs w:val="20"/>
          <w:lang w:val="es-ES_tradnl" w:eastAsia="en-US"/>
        </w:rPr>
      </w:pPr>
      <w:r w:rsidRPr="00AB1E03">
        <w:rPr>
          <w:rFonts w:eastAsia="Calibri"/>
          <w:b/>
          <w:sz w:val="20"/>
          <w:szCs w:val="20"/>
          <w:lang w:val="es-ES_tradnl" w:eastAsia="en-US"/>
        </w:rPr>
        <w:t xml:space="preserve"> </w:t>
      </w:r>
      <w:r w:rsidR="00DB67A0" w:rsidRPr="00B1523A">
        <w:rPr>
          <w:rFonts w:eastAsia="Calibri"/>
          <w:sz w:val="20"/>
          <w:szCs w:val="20"/>
          <w:lang w:val="es-ES_tradnl" w:eastAsia="en-US"/>
        </w:rPr>
        <w:t>A este respecto</w:t>
      </w:r>
      <w:r w:rsidR="00FA1F4E" w:rsidRPr="00B1523A">
        <w:rPr>
          <w:rFonts w:eastAsia="Calibri"/>
          <w:sz w:val="20"/>
          <w:szCs w:val="20"/>
          <w:lang w:val="es-ES_tradnl" w:eastAsia="en-US"/>
        </w:rPr>
        <w:t>, l</w:t>
      </w:r>
      <w:r w:rsidR="001B222D" w:rsidRPr="00B1523A">
        <w:rPr>
          <w:rFonts w:eastAsia="Calibri"/>
          <w:sz w:val="20"/>
          <w:szCs w:val="20"/>
          <w:lang w:val="es-ES_tradnl" w:eastAsia="en-US"/>
        </w:rPr>
        <w:t xml:space="preserve">a Corte ha reconocido la relación existente entre </w:t>
      </w:r>
      <w:r w:rsidR="001B222D" w:rsidRPr="00B1523A">
        <w:rPr>
          <w:rFonts w:eastAsia="MS Mincho"/>
          <w:sz w:val="20"/>
          <w:szCs w:val="20"/>
          <w:lang w:eastAsia="en-US" w:bidi="en-US"/>
        </w:rPr>
        <w:t>la obtención del consentimiento informado antes de la realización de cualquier acto médico, y la autonomía y la auto-determinación del individuo, como parte del respeto y garantía de la dignidad de todo ser humano, así como en su derecho a la libertad</w:t>
      </w:r>
      <w:r w:rsidR="00EC38BB" w:rsidRPr="00B1523A">
        <w:rPr>
          <w:rFonts w:eastAsia="MS Mincho"/>
          <w:sz w:val="20"/>
          <w:szCs w:val="20"/>
          <w:lang w:eastAsia="en-US" w:bidi="en-US"/>
        </w:rPr>
        <w:t>. Por lo tanto, el Tribunal</w:t>
      </w:r>
      <w:r w:rsidR="001B222D" w:rsidRPr="00B1523A">
        <w:rPr>
          <w:rFonts w:eastAsia="MS Mincho"/>
          <w:sz w:val="20"/>
          <w:szCs w:val="20"/>
          <w:lang w:eastAsia="en-US" w:bidi="en-US"/>
        </w:rPr>
        <w:t xml:space="preserve"> entiende que la necesidad de obtención del consentimiento informado protege no sólo el derecho de los pacientes a decidir libremente si desean someterse o no a un acto médico, sino que es un mecanismo fundamental para lograr el respeto y garantía de distintos derechos humanos reconocidos por la Convención Americana, como lo son la dignidad, libertad personal, integridad personal, incluida la atención a la salud, la vida privada y familiar</w:t>
      </w:r>
      <w:r w:rsidR="001B222D" w:rsidRPr="00B1523A">
        <w:rPr>
          <w:rStyle w:val="FootnoteReference"/>
          <w:rFonts w:eastAsia="MS Mincho"/>
          <w:sz w:val="20"/>
          <w:szCs w:val="20"/>
          <w:lang w:eastAsia="en-US" w:bidi="en-US"/>
        </w:rPr>
        <w:footnoteReference w:id="269"/>
      </w:r>
      <w:r w:rsidR="001B222D" w:rsidRPr="00B1523A">
        <w:rPr>
          <w:rFonts w:eastAsia="MS Mincho"/>
          <w:sz w:val="20"/>
          <w:szCs w:val="20"/>
          <w:lang w:eastAsia="en-US" w:bidi="en-US"/>
        </w:rPr>
        <w:t>.</w:t>
      </w:r>
      <w:r w:rsidR="00FA1F4E" w:rsidRPr="00B1523A">
        <w:rPr>
          <w:rFonts w:eastAsia="Calibri"/>
          <w:sz w:val="20"/>
          <w:szCs w:val="20"/>
          <w:lang w:val="es-ES_tradnl" w:eastAsia="en-US"/>
        </w:rPr>
        <w:t xml:space="preserve"> </w:t>
      </w:r>
      <w:r w:rsidR="00FA1F4E" w:rsidRPr="00B1523A">
        <w:rPr>
          <w:bCs/>
          <w:sz w:val="20"/>
          <w:szCs w:val="20"/>
        </w:rPr>
        <w:t xml:space="preserve">De este modo, </w:t>
      </w:r>
      <w:r w:rsidR="00FA1F4E" w:rsidRPr="00B1523A">
        <w:rPr>
          <w:sz w:val="20"/>
          <w:szCs w:val="20"/>
        </w:rPr>
        <w:t xml:space="preserve">la </w:t>
      </w:r>
      <w:r w:rsidR="00FA1F4E" w:rsidRPr="00B1523A">
        <w:rPr>
          <w:sz w:val="20"/>
          <w:szCs w:val="20"/>
        </w:rPr>
        <w:lastRenderedPageBreak/>
        <w:t>existencia de una conexión entre el consentimiento informado</w:t>
      </w:r>
      <w:r w:rsidR="00FA1F4E" w:rsidRPr="00B1523A">
        <w:rPr>
          <w:bCs/>
          <w:sz w:val="20"/>
          <w:szCs w:val="20"/>
        </w:rPr>
        <w:t xml:space="preserve"> con </w:t>
      </w:r>
      <w:r w:rsidR="00FA1F4E" w:rsidRPr="00B1523A">
        <w:rPr>
          <w:sz w:val="20"/>
          <w:szCs w:val="20"/>
        </w:rPr>
        <w:t>la autonomía personal y la libertad de tomar decisiones sobre el propio cuerpo y la salud exige, por un lado, que el Estado asegure y respete decisiones y elecciones hechas de forma libre y responsable y, por el otro, que se garantice el acceso a la información relevante para que las personas estén en condiciones de tomar decisiones informadas sobre el curso de acción respecto a su cuerpo y salud de acuerdo a su propio plan de existencia</w:t>
      </w:r>
      <w:r w:rsidR="00FA1F4E" w:rsidRPr="00B1523A">
        <w:rPr>
          <w:sz w:val="20"/>
          <w:szCs w:val="20"/>
          <w:vertAlign w:val="superscript"/>
        </w:rPr>
        <w:footnoteReference w:id="270"/>
      </w:r>
      <w:r w:rsidR="00FA1F4E" w:rsidRPr="00B1523A">
        <w:rPr>
          <w:sz w:val="20"/>
          <w:szCs w:val="20"/>
        </w:rPr>
        <w:t>.</w:t>
      </w:r>
    </w:p>
    <w:p w14:paraId="075C05C9" w14:textId="77777777" w:rsidR="00FA1F4E" w:rsidRPr="00AB1E03" w:rsidRDefault="00FA1F4E" w:rsidP="00AB1E03">
      <w:pPr>
        <w:tabs>
          <w:tab w:val="left" w:pos="567"/>
        </w:tabs>
        <w:rPr>
          <w:rFonts w:eastAsia="Calibri"/>
          <w:b/>
          <w:sz w:val="20"/>
          <w:szCs w:val="20"/>
          <w:lang w:val="es-ES_tradnl" w:eastAsia="en-US"/>
        </w:rPr>
      </w:pPr>
    </w:p>
    <w:p w14:paraId="66FF2718" w14:textId="05D79D3A" w:rsidR="00DB67A0" w:rsidRPr="00B1523A" w:rsidRDefault="00FA1F4E" w:rsidP="00AB1E03">
      <w:pPr>
        <w:numPr>
          <w:ilvl w:val="0"/>
          <w:numId w:val="2"/>
        </w:numPr>
        <w:tabs>
          <w:tab w:val="left" w:pos="567"/>
          <w:tab w:val="num" w:pos="1569"/>
          <w:tab w:val="num" w:pos="12305"/>
        </w:tabs>
        <w:ind w:left="0" w:firstLine="0"/>
        <w:rPr>
          <w:rFonts w:eastAsia="Calibri"/>
          <w:sz w:val="20"/>
          <w:szCs w:val="20"/>
          <w:lang w:val="es-ES_tradnl" w:eastAsia="en-US"/>
        </w:rPr>
      </w:pPr>
      <w:r w:rsidRPr="00B1523A">
        <w:rPr>
          <w:rFonts w:eastAsia="Calibri"/>
          <w:sz w:val="20"/>
          <w:szCs w:val="20"/>
          <w:lang w:val="es-ES_tradnl" w:eastAsia="en-US"/>
        </w:rPr>
        <w:t xml:space="preserve">La Corte observa que el derecho a la obtención de un consentimiento informado por parte de los familiares ya fue reconocido por </w:t>
      </w:r>
      <w:r w:rsidR="002730F1" w:rsidRPr="00B1523A">
        <w:rPr>
          <w:rFonts w:eastAsia="Calibri"/>
          <w:sz w:val="20"/>
          <w:szCs w:val="20"/>
          <w:lang w:val="es-ES_tradnl" w:eastAsia="en-US"/>
        </w:rPr>
        <w:t>el</w:t>
      </w:r>
      <w:r w:rsidRPr="00B1523A">
        <w:rPr>
          <w:rFonts w:eastAsia="Calibri"/>
          <w:sz w:val="20"/>
          <w:szCs w:val="20"/>
          <w:lang w:val="es-ES_tradnl" w:eastAsia="en-US"/>
        </w:rPr>
        <w:t xml:space="preserve"> Estado (</w:t>
      </w:r>
      <w:r w:rsidRPr="00B1523A">
        <w:rPr>
          <w:rFonts w:eastAsia="Calibri"/>
          <w:i/>
          <w:sz w:val="20"/>
          <w:szCs w:val="20"/>
          <w:lang w:val="es-ES_tradnl" w:eastAsia="en-US"/>
        </w:rPr>
        <w:t>supra</w:t>
      </w:r>
      <w:r w:rsidR="001137DA" w:rsidRPr="00B1523A">
        <w:rPr>
          <w:rFonts w:eastAsia="Calibri"/>
          <w:sz w:val="20"/>
          <w:szCs w:val="20"/>
          <w:lang w:val="es-ES_tradnl" w:eastAsia="en-US"/>
        </w:rPr>
        <w:t xml:space="preserve"> párr. 1</w:t>
      </w:r>
      <w:r w:rsidR="000E37CE">
        <w:rPr>
          <w:rFonts w:eastAsia="Calibri"/>
          <w:sz w:val="20"/>
          <w:szCs w:val="20"/>
          <w:lang w:val="es-ES_tradnl" w:eastAsia="en-US"/>
        </w:rPr>
        <w:t>6</w:t>
      </w:r>
      <w:r w:rsidRPr="00B1523A">
        <w:rPr>
          <w:rFonts w:eastAsia="Calibri"/>
          <w:sz w:val="20"/>
          <w:szCs w:val="20"/>
          <w:lang w:val="es-ES_tradnl" w:eastAsia="en-US"/>
        </w:rPr>
        <w:t>)</w:t>
      </w:r>
      <w:r w:rsidR="000E37CE">
        <w:rPr>
          <w:rFonts w:eastAsia="Calibri"/>
          <w:sz w:val="20"/>
          <w:szCs w:val="20"/>
          <w:lang w:val="es-ES_tradnl" w:eastAsia="en-US"/>
        </w:rPr>
        <w:t xml:space="preserve">. En este sentido, </w:t>
      </w:r>
      <w:r w:rsidR="002730F1" w:rsidRPr="00B1523A">
        <w:rPr>
          <w:rFonts w:eastAsia="Calibri"/>
          <w:sz w:val="20"/>
          <w:szCs w:val="20"/>
          <w:lang w:val="es-ES_tradnl" w:eastAsia="en-US"/>
        </w:rPr>
        <w:t>tomando en consideración lo establecido en la legislación interna y dado que el señor Poblete Vilches no se encontraba en la capacidad de tomar una decisión relativa a su salud</w:t>
      </w:r>
      <w:r w:rsidR="000D627F">
        <w:rPr>
          <w:rFonts w:eastAsia="Calibri"/>
          <w:sz w:val="20"/>
          <w:szCs w:val="20"/>
          <w:lang w:val="es-ES_tradnl" w:eastAsia="en-US"/>
        </w:rPr>
        <w:t xml:space="preserve">, </w:t>
      </w:r>
      <w:r w:rsidR="002730F1" w:rsidRPr="00B1523A">
        <w:rPr>
          <w:rFonts w:eastAsia="Calibri"/>
          <w:sz w:val="20"/>
          <w:szCs w:val="20"/>
          <w:lang w:val="es-ES_tradnl" w:eastAsia="en-US"/>
        </w:rPr>
        <w:t xml:space="preserve">esta potestad correspondía ser otorgada a sus familiares. </w:t>
      </w:r>
    </w:p>
    <w:p w14:paraId="7A8F59F3" w14:textId="77777777" w:rsidR="002730F1" w:rsidRPr="00C426E9" w:rsidRDefault="002730F1" w:rsidP="00AB1E03">
      <w:pPr>
        <w:tabs>
          <w:tab w:val="left" w:pos="567"/>
        </w:tabs>
        <w:rPr>
          <w:rFonts w:eastAsia="Calibri"/>
          <w:b/>
          <w:sz w:val="20"/>
          <w:szCs w:val="20"/>
          <w:lang w:val="es-ES_tradnl" w:eastAsia="en-US"/>
        </w:rPr>
      </w:pPr>
    </w:p>
    <w:p w14:paraId="69E2636E" w14:textId="34546039" w:rsidR="002730F1" w:rsidRPr="00B1523A" w:rsidRDefault="002730F1" w:rsidP="00AB1E03">
      <w:pPr>
        <w:numPr>
          <w:ilvl w:val="0"/>
          <w:numId w:val="2"/>
        </w:numPr>
        <w:tabs>
          <w:tab w:val="left" w:pos="567"/>
          <w:tab w:val="num" w:pos="1569"/>
          <w:tab w:val="num" w:pos="12305"/>
        </w:tabs>
        <w:ind w:left="0" w:firstLine="0"/>
        <w:rPr>
          <w:rFonts w:eastAsia="Calibri"/>
          <w:sz w:val="20"/>
          <w:szCs w:val="20"/>
          <w:lang w:val="es-ES_tradnl" w:eastAsia="en-US"/>
        </w:rPr>
      </w:pPr>
      <w:r w:rsidRPr="00B1523A">
        <w:rPr>
          <w:rFonts w:eastAsia="Calibri"/>
          <w:sz w:val="20"/>
          <w:szCs w:val="20"/>
          <w:lang w:val="es-ES_tradnl" w:eastAsia="en-US"/>
        </w:rPr>
        <w:t xml:space="preserve">De este modo, tomando en consideración la relación existente entre el consentimiento informado </w:t>
      </w:r>
      <w:r w:rsidR="00847C4A">
        <w:rPr>
          <w:rFonts w:eastAsia="Calibri"/>
          <w:sz w:val="20"/>
          <w:szCs w:val="20"/>
          <w:lang w:val="es-ES_tradnl" w:eastAsia="en-US"/>
        </w:rPr>
        <w:t xml:space="preserve">en materia de salud </w:t>
      </w:r>
      <w:r w:rsidR="00F46F85" w:rsidRPr="00B1523A">
        <w:rPr>
          <w:rFonts w:eastAsia="Calibri"/>
          <w:sz w:val="20"/>
          <w:szCs w:val="20"/>
          <w:lang w:val="es-ES_tradnl" w:eastAsia="en-US"/>
        </w:rPr>
        <w:t xml:space="preserve">(artículos 26 y 13) </w:t>
      </w:r>
      <w:r w:rsidRPr="00B1523A">
        <w:rPr>
          <w:rFonts w:eastAsia="Calibri"/>
          <w:sz w:val="20"/>
          <w:szCs w:val="20"/>
          <w:lang w:val="es-ES_tradnl" w:eastAsia="en-US"/>
        </w:rPr>
        <w:t>y los artículos 7 y 11 de la Convención Americana, la Corte considera que</w:t>
      </w:r>
      <w:r w:rsidR="001A65F9" w:rsidRPr="00B1523A">
        <w:rPr>
          <w:rFonts w:eastAsia="Calibri"/>
          <w:sz w:val="20"/>
          <w:szCs w:val="20"/>
          <w:lang w:val="es-ES_tradnl" w:eastAsia="en-US"/>
        </w:rPr>
        <w:t xml:space="preserve"> en el presente caso,</w:t>
      </w:r>
      <w:r w:rsidRPr="00B1523A">
        <w:rPr>
          <w:rFonts w:eastAsia="Calibri"/>
          <w:sz w:val="20"/>
          <w:szCs w:val="20"/>
          <w:lang w:val="es-ES_tradnl" w:eastAsia="en-US"/>
        </w:rPr>
        <w:t xml:space="preserve"> el derecho de los familiares a tomar decisiones libres en materia de salud y su derecho a contar con la información necesaria</w:t>
      </w:r>
      <w:r w:rsidR="006930C3" w:rsidRPr="00B1523A">
        <w:rPr>
          <w:rFonts w:eastAsia="Calibri"/>
          <w:sz w:val="20"/>
          <w:szCs w:val="20"/>
          <w:lang w:val="es-ES_tradnl" w:eastAsia="en-US"/>
        </w:rPr>
        <w:t xml:space="preserve"> para tomar estas decisiones</w:t>
      </w:r>
      <w:r w:rsidRPr="00B1523A">
        <w:rPr>
          <w:rFonts w:eastAsia="Calibri"/>
          <w:sz w:val="20"/>
          <w:szCs w:val="20"/>
          <w:lang w:val="es-ES_tradnl" w:eastAsia="en-US"/>
        </w:rPr>
        <w:t xml:space="preserve">, al igual que </w:t>
      </w:r>
      <w:r w:rsidR="006930C3" w:rsidRPr="00B1523A">
        <w:rPr>
          <w:rFonts w:eastAsia="Calibri"/>
          <w:sz w:val="20"/>
          <w:szCs w:val="20"/>
          <w:lang w:val="es-ES_tradnl" w:eastAsia="en-US"/>
        </w:rPr>
        <w:t xml:space="preserve">su derecho a la </w:t>
      </w:r>
      <w:r w:rsidR="00DB67A0" w:rsidRPr="00B1523A">
        <w:rPr>
          <w:rFonts w:eastAsia="Calibri"/>
          <w:sz w:val="20"/>
          <w:szCs w:val="20"/>
          <w:lang w:val="es-ES_tradnl" w:eastAsia="en-US"/>
        </w:rPr>
        <w:t xml:space="preserve">dignidad, desde los componentes de </w:t>
      </w:r>
      <w:r w:rsidR="006930C3" w:rsidRPr="00B1523A">
        <w:rPr>
          <w:rFonts w:eastAsia="Calibri"/>
          <w:sz w:val="20"/>
          <w:szCs w:val="20"/>
          <w:lang w:val="es-ES_tradnl" w:eastAsia="en-US"/>
        </w:rPr>
        <w:t>vida privada y familiar fueron afectados</w:t>
      </w:r>
      <w:r w:rsidR="00DB67A0" w:rsidRPr="00B1523A">
        <w:rPr>
          <w:rFonts w:eastAsia="Calibri"/>
          <w:sz w:val="20"/>
          <w:szCs w:val="20"/>
          <w:lang w:val="es-ES_tradnl" w:eastAsia="en-US"/>
        </w:rPr>
        <w:t xml:space="preserve"> al no tener la posibilidad de otorgar su consentimiento informado</w:t>
      </w:r>
      <w:r w:rsidR="002A605E" w:rsidRPr="00B1523A">
        <w:rPr>
          <w:rFonts w:eastAsia="Calibri"/>
          <w:sz w:val="20"/>
          <w:szCs w:val="20"/>
          <w:lang w:val="es-ES_tradnl" w:eastAsia="en-US"/>
        </w:rPr>
        <w:t>.</w:t>
      </w:r>
    </w:p>
    <w:p w14:paraId="33E29F55" w14:textId="77777777" w:rsidR="00C426E9" w:rsidRDefault="00C426E9" w:rsidP="00AB1E03">
      <w:pPr>
        <w:tabs>
          <w:tab w:val="left" w:pos="567"/>
        </w:tabs>
        <w:rPr>
          <w:rFonts w:eastAsia="Calibri"/>
          <w:sz w:val="20"/>
          <w:szCs w:val="20"/>
          <w:lang w:val="es-ES_tradnl" w:eastAsia="en-US"/>
        </w:rPr>
      </w:pPr>
    </w:p>
    <w:p w14:paraId="757E7D17" w14:textId="538305FC" w:rsidR="001A65F9" w:rsidRPr="00B1523A" w:rsidRDefault="001A65F9" w:rsidP="00976DFC">
      <w:pPr>
        <w:numPr>
          <w:ilvl w:val="0"/>
          <w:numId w:val="2"/>
        </w:numPr>
        <w:tabs>
          <w:tab w:val="left" w:pos="567"/>
          <w:tab w:val="num" w:pos="1569"/>
          <w:tab w:val="num" w:pos="12305"/>
        </w:tabs>
        <w:ind w:left="0" w:firstLine="0"/>
        <w:rPr>
          <w:rFonts w:eastAsia="Calibri"/>
          <w:sz w:val="20"/>
          <w:szCs w:val="20"/>
          <w:lang w:val="es-MX" w:eastAsia="en-US"/>
        </w:rPr>
      </w:pPr>
      <w:r w:rsidRPr="00B1523A">
        <w:rPr>
          <w:rFonts w:eastAsia="Calibri"/>
          <w:sz w:val="20"/>
          <w:szCs w:val="20"/>
          <w:lang w:val="es-MX" w:eastAsia="en-US"/>
        </w:rPr>
        <w:t xml:space="preserve"> Con base en lo anterior, este Tribunal concluye que el Estado incumplió con su obligación internacional de obtener, a través de su personal de salud, el consentimiento informado por parte de los familiares del señor Poblete Vilches, para la práctica de los actos médicos realizados durante su primer ingreso en el Hospital </w:t>
      </w:r>
      <w:proofErr w:type="spellStart"/>
      <w:r w:rsidRPr="00B1523A">
        <w:rPr>
          <w:rFonts w:eastAsia="Calibri"/>
          <w:sz w:val="20"/>
          <w:szCs w:val="20"/>
          <w:lang w:val="es-MX" w:eastAsia="en-US"/>
        </w:rPr>
        <w:t>Sótero</w:t>
      </w:r>
      <w:proofErr w:type="spellEnd"/>
      <w:r w:rsidRPr="00B1523A">
        <w:rPr>
          <w:rFonts w:eastAsia="Calibri"/>
          <w:sz w:val="20"/>
          <w:szCs w:val="20"/>
          <w:lang w:val="es-MX" w:eastAsia="en-US"/>
        </w:rPr>
        <w:t xml:space="preserve"> del Río. Adicionalmente,</w:t>
      </w:r>
      <w:r w:rsidR="000D627F">
        <w:rPr>
          <w:rFonts w:eastAsia="Calibri"/>
          <w:sz w:val="20"/>
          <w:szCs w:val="20"/>
          <w:lang w:val="es-MX" w:eastAsia="en-US"/>
        </w:rPr>
        <w:t xml:space="preserve"> el Estado vulneró el derecho de acceso a la información de los familiares, debido a que</w:t>
      </w:r>
      <w:r w:rsidRPr="00B1523A">
        <w:rPr>
          <w:rFonts w:eastAsia="Calibri"/>
          <w:sz w:val="20"/>
          <w:szCs w:val="20"/>
          <w:lang w:val="es-MX" w:eastAsia="en-US"/>
        </w:rPr>
        <w:t xml:space="preserve"> no se</w:t>
      </w:r>
      <w:r w:rsidR="000D627F">
        <w:rPr>
          <w:rFonts w:eastAsia="Calibri"/>
          <w:sz w:val="20"/>
          <w:szCs w:val="20"/>
          <w:lang w:val="es-MX" w:eastAsia="en-US"/>
        </w:rPr>
        <w:t xml:space="preserve"> les</w:t>
      </w:r>
      <w:r w:rsidRPr="00B1523A">
        <w:rPr>
          <w:rFonts w:eastAsia="Calibri"/>
          <w:sz w:val="20"/>
          <w:szCs w:val="20"/>
          <w:lang w:val="es-MX" w:eastAsia="en-US"/>
        </w:rPr>
        <w:t xml:space="preserve"> otorgó información clara y precisa sobre el alta al paciente y sus cuidados</w:t>
      </w:r>
      <w:r w:rsidR="000D627F">
        <w:rPr>
          <w:rFonts w:eastAsia="Calibri"/>
          <w:sz w:val="20"/>
          <w:szCs w:val="20"/>
          <w:lang w:val="es-MX" w:eastAsia="en-US"/>
        </w:rPr>
        <w:t xml:space="preserve"> necesarios</w:t>
      </w:r>
      <w:r w:rsidRPr="00B1523A">
        <w:rPr>
          <w:rFonts w:eastAsia="Calibri"/>
          <w:sz w:val="20"/>
          <w:szCs w:val="20"/>
          <w:lang w:val="es-MX" w:eastAsia="en-US"/>
        </w:rPr>
        <w:t>.</w:t>
      </w:r>
      <w:r w:rsidR="000D627F">
        <w:rPr>
          <w:rFonts w:eastAsia="Calibri"/>
          <w:sz w:val="20"/>
          <w:szCs w:val="20"/>
          <w:lang w:val="es-MX" w:eastAsia="en-US"/>
        </w:rPr>
        <w:t xml:space="preserve"> Asimismo, se vulneró éste derecho debido a que durante el segundo ingreso, no se proporcionó información</w:t>
      </w:r>
      <w:r w:rsidR="00117E41">
        <w:rPr>
          <w:rFonts w:eastAsia="Calibri"/>
          <w:sz w:val="20"/>
          <w:szCs w:val="20"/>
          <w:lang w:val="es-MX" w:eastAsia="en-US"/>
        </w:rPr>
        <w:t xml:space="preserve"> clara y </w:t>
      </w:r>
      <w:r w:rsidR="001320B0">
        <w:rPr>
          <w:rFonts w:eastAsia="Calibri"/>
          <w:sz w:val="20"/>
          <w:szCs w:val="20"/>
          <w:lang w:val="es-MX" w:eastAsia="en-US"/>
        </w:rPr>
        <w:t xml:space="preserve">accesible </w:t>
      </w:r>
      <w:r w:rsidR="000D627F">
        <w:rPr>
          <w:rFonts w:eastAsia="Calibri"/>
          <w:sz w:val="20"/>
          <w:szCs w:val="20"/>
          <w:lang w:val="es-MX" w:eastAsia="en-US"/>
        </w:rPr>
        <w:t>respecto del diagnóstico y atención médica otorgada al señor Poblete Vilches</w:t>
      </w:r>
      <w:r w:rsidRPr="00B1523A">
        <w:rPr>
          <w:rFonts w:eastAsia="Calibri"/>
          <w:sz w:val="20"/>
          <w:szCs w:val="20"/>
          <w:lang w:val="es-MX" w:eastAsia="en-US"/>
        </w:rPr>
        <w:t>. Por ende, la Corte considera que se violó el derecho a obtener un consentimiento informado y acceso a la información en materia de salud, de conformidad con los artículos 26, 13, 11 y 7 de la Convención Americana, en relación con el artículo 1.1 del mismo instrumento, en perjuicio del señor Poblete Vilches y sus familiares.</w:t>
      </w:r>
    </w:p>
    <w:p w14:paraId="1ECAC81C" w14:textId="77777777" w:rsidR="001A65F9" w:rsidRPr="001B222D" w:rsidRDefault="001A65F9" w:rsidP="003B52C8">
      <w:pPr>
        <w:tabs>
          <w:tab w:val="left" w:pos="567"/>
        </w:tabs>
        <w:rPr>
          <w:rFonts w:eastAsia="Calibri"/>
          <w:sz w:val="20"/>
          <w:szCs w:val="20"/>
          <w:lang w:val="es-ES_tradnl" w:eastAsia="en-US"/>
        </w:rPr>
      </w:pPr>
    </w:p>
    <w:p w14:paraId="6F8ECB59" w14:textId="76B31FA6" w:rsidR="002570D1" w:rsidRPr="00164C05" w:rsidRDefault="00164C05" w:rsidP="003B52C8">
      <w:pPr>
        <w:pStyle w:val="Heading4"/>
        <w:spacing w:before="0"/>
        <w:ind w:left="2124"/>
        <w:rPr>
          <w:rFonts w:eastAsia="Calibri"/>
          <w:b/>
          <w:lang w:val="es-ES_tradnl" w:eastAsia="en-US"/>
        </w:rPr>
      </w:pPr>
      <w:bookmarkStart w:id="87" w:name="_Toc513644475"/>
      <w:r>
        <w:rPr>
          <w:rFonts w:eastAsia="Calibri"/>
          <w:b/>
          <w:lang w:val="es-ES_tradnl" w:eastAsia="en-US"/>
        </w:rPr>
        <w:t xml:space="preserve">1.4 </w:t>
      </w:r>
      <w:r w:rsidR="002570D1" w:rsidRPr="00164C05">
        <w:rPr>
          <w:rFonts w:eastAsia="Calibri"/>
          <w:b/>
          <w:lang w:val="es-ES_tradnl" w:eastAsia="en-US"/>
        </w:rPr>
        <w:t xml:space="preserve">Conclusión </w:t>
      </w:r>
      <w:r w:rsidR="000055DC">
        <w:rPr>
          <w:rFonts w:eastAsia="Calibri"/>
          <w:b/>
          <w:lang w:val="es-ES_tradnl" w:eastAsia="en-US"/>
        </w:rPr>
        <w:t>g</w:t>
      </w:r>
      <w:r w:rsidR="002570D1" w:rsidRPr="00164C05">
        <w:rPr>
          <w:rFonts w:eastAsia="Calibri"/>
          <w:b/>
          <w:lang w:val="es-ES_tradnl" w:eastAsia="en-US"/>
        </w:rPr>
        <w:t xml:space="preserve">eneral </w:t>
      </w:r>
      <w:r w:rsidR="000055DC">
        <w:rPr>
          <w:rFonts w:eastAsia="Calibri"/>
          <w:b/>
          <w:lang w:val="es-ES_tradnl" w:eastAsia="en-US"/>
        </w:rPr>
        <w:t xml:space="preserve">sobre </w:t>
      </w:r>
      <w:r w:rsidR="00A34C6F">
        <w:rPr>
          <w:rFonts w:eastAsia="Calibri"/>
          <w:b/>
          <w:lang w:val="es-ES_tradnl" w:eastAsia="en-US"/>
        </w:rPr>
        <w:t xml:space="preserve">el </w:t>
      </w:r>
      <w:r w:rsidR="000055DC">
        <w:rPr>
          <w:rFonts w:eastAsia="Calibri"/>
          <w:b/>
          <w:lang w:val="es-ES_tradnl" w:eastAsia="en-US"/>
        </w:rPr>
        <w:t>derecho a la salud</w:t>
      </w:r>
      <w:bookmarkEnd w:id="87"/>
    </w:p>
    <w:p w14:paraId="541C0A12" w14:textId="77777777" w:rsidR="002570D1" w:rsidRPr="002570D1" w:rsidRDefault="002570D1" w:rsidP="003B52C8">
      <w:pPr>
        <w:ind w:left="-90" w:right="-360"/>
        <w:contextualSpacing/>
        <w:rPr>
          <w:rFonts w:eastAsia="Calibri"/>
          <w:sz w:val="20"/>
          <w:szCs w:val="20"/>
          <w:highlight w:val="yellow"/>
          <w:lang w:val="es-ES_tradnl" w:eastAsia="en-US"/>
        </w:rPr>
      </w:pPr>
    </w:p>
    <w:p w14:paraId="52BB2E3A" w14:textId="5EB3FB12" w:rsidR="00E017B9" w:rsidRDefault="00E017B9" w:rsidP="002570D1">
      <w:pPr>
        <w:numPr>
          <w:ilvl w:val="0"/>
          <w:numId w:val="2"/>
        </w:numPr>
        <w:tabs>
          <w:tab w:val="left" w:pos="567"/>
          <w:tab w:val="num" w:pos="1569"/>
          <w:tab w:val="num" w:pos="12305"/>
        </w:tabs>
        <w:ind w:left="0" w:firstLine="0"/>
        <w:rPr>
          <w:rFonts w:eastAsia="Calibri"/>
          <w:sz w:val="20"/>
          <w:szCs w:val="20"/>
          <w:lang w:val="es-ES_tradnl" w:eastAsia="en-US"/>
        </w:rPr>
      </w:pPr>
      <w:r>
        <w:rPr>
          <w:rFonts w:eastAsia="Calibri"/>
          <w:sz w:val="20"/>
          <w:szCs w:val="20"/>
          <w:lang w:val="es-ES_tradnl" w:eastAsia="en-US"/>
        </w:rPr>
        <w:t>Tomando en cuenta las consideraciones expuestas, esta Corte verificó que: i) el derecho a la salud es un derecho autónomo protegido po</w:t>
      </w:r>
      <w:r w:rsidR="000055DC">
        <w:rPr>
          <w:rFonts w:eastAsia="Calibri"/>
          <w:sz w:val="20"/>
          <w:szCs w:val="20"/>
          <w:lang w:val="es-ES_tradnl" w:eastAsia="en-US"/>
        </w:rPr>
        <w:t xml:space="preserve">r </w:t>
      </w:r>
      <w:r w:rsidR="006656A6">
        <w:rPr>
          <w:rFonts w:eastAsia="Calibri"/>
          <w:sz w:val="20"/>
          <w:szCs w:val="20"/>
          <w:lang w:val="es-ES_tradnl" w:eastAsia="en-US"/>
        </w:rPr>
        <w:t xml:space="preserve">el artículo 26 de </w:t>
      </w:r>
      <w:r w:rsidR="000055DC">
        <w:rPr>
          <w:rFonts w:eastAsia="Calibri"/>
          <w:sz w:val="20"/>
          <w:szCs w:val="20"/>
          <w:lang w:val="es-ES_tradnl" w:eastAsia="en-US"/>
        </w:rPr>
        <w:t>la Convención Americana; ii) este derecho</w:t>
      </w:r>
      <w:r>
        <w:rPr>
          <w:rFonts w:eastAsia="Calibri"/>
          <w:sz w:val="20"/>
          <w:szCs w:val="20"/>
          <w:lang w:val="es-ES_tradnl" w:eastAsia="en-US"/>
        </w:rPr>
        <w:t xml:space="preserve"> en situaciones de </w:t>
      </w:r>
      <w:r w:rsidR="002A64C9">
        <w:rPr>
          <w:rFonts w:eastAsia="Calibri"/>
          <w:sz w:val="20"/>
          <w:szCs w:val="20"/>
          <w:lang w:val="es-ES_tradnl" w:eastAsia="en-US"/>
        </w:rPr>
        <w:t xml:space="preserve">urgencia </w:t>
      </w:r>
      <w:r>
        <w:rPr>
          <w:rFonts w:eastAsia="Calibri"/>
          <w:sz w:val="20"/>
          <w:szCs w:val="20"/>
          <w:lang w:val="es-ES_tradnl" w:eastAsia="en-US"/>
        </w:rPr>
        <w:t>exige a los Estados velar por una adecuada regulación</w:t>
      </w:r>
      <w:r w:rsidR="00E5581F">
        <w:rPr>
          <w:rFonts w:eastAsia="Calibri"/>
          <w:sz w:val="20"/>
          <w:szCs w:val="20"/>
          <w:lang w:val="es-ES_tradnl" w:eastAsia="en-US"/>
        </w:rPr>
        <w:t xml:space="preserve"> </w:t>
      </w:r>
      <w:r w:rsidR="00E5581F">
        <w:rPr>
          <w:sz w:val="20"/>
          <w:szCs w:val="20"/>
          <w:lang w:val="es-ES_tradnl"/>
        </w:rPr>
        <w:t>de los servicios de salud</w:t>
      </w:r>
      <w:r>
        <w:rPr>
          <w:rFonts w:eastAsia="Calibri"/>
          <w:sz w:val="20"/>
          <w:szCs w:val="20"/>
          <w:lang w:val="es-ES_tradnl" w:eastAsia="en-US"/>
        </w:rPr>
        <w:t xml:space="preserve">, brindando los servicios necesarios de conformidad con los </w:t>
      </w:r>
      <w:r w:rsidR="00117E41">
        <w:rPr>
          <w:rFonts w:eastAsia="Calibri"/>
          <w:sz w:val="20"/>
          <w:szCs w:val="20"/>
          <w:lang w:val="es-ES_tradnl" w:eastAsia="en-US"/>
        </w:rPr>
        <w:t xml:space="preserve">elementos </w:t>
      </w:r>
      <w:r>
        <w:rPr>
          <w:rFonts w:eastAsia="Calibri"/>
          <w:sz w:val="20"/>
          <w:szCs w:val="20"/>
          <w:lang w:val="es-ES_tradnl" w:eastAsia="en-US"/>
        </w:rPr>
        <w:t xml:space="preserve">de </w:t>
      </w:r>
      <w:r w:rsidRPr="00A145A0">
        <w:rPr>
          <w:rFonts w:eastAsia="Calibri"/>
          <w:sz w:val="20"/>
          <w:szCs w:val="20"/>
          <w:lang w:val="es-ES_tradnl" w:eastAsia="en-US"/>
        </w:rPr>
        <w:t>disponibilidad, accesibilidad, calidad y aceptabilidad, en condiciones de igualdad</w:t>
      </w:r>
      <w:r w:rsidR="00E03C26" w:rsidRPr="00A145A0">
        <w:rPr>
          <w:rFonts w:eastAsia="Calibri"/>
          <w:sz w:val="20"/>
          <w:szCs w:val="20"/>
          <w:lang w:val="es-ES_tradnl" w:eastAsia="en-US"/>
        </w:rPr>
        <w:t xml:space="preserve"> y sin discriminación</w:t>
      </w:r>
      <w:r w:rsidRPr="00A145A0">
        <w:rPr>
          <w:rFonts w:eastAsia="Calibri"/>
          <w:sz w:val="20"/>
          <w:szCs w:val="20"/>
          <w:lang w:val="es-ES_tradnl" w:eastAsia="en-US"/>
        </w:rPr>
        <w:t>, pero también brindando medidas positivas respecto de grupos en situación de vulnerabilidad</w:t>
      </w:r>
      <w:r w:rsidR="008D03CA" w:rsidRPr="00A145A0">
        <w:rPr>
          <w:rFonts w:eastAsia="Calibri"/>
          <w:sz w:val="20"/>
          <w:szCs w:val="20"/>
          <w:lang w:val="es-ES_tradnl" w:eastAsia="en-US"/>
        </w:rPr>
        <w:t xml:space="preserve">; iii) </w:t>
      </w:r>
      <w:r w:rsidR="0001661C" w:rsidRPr="00B1523A">
        <w:rPr>
          <w:rFonts w:eastAsia="Calibri"/>
          <w:sz w:val="20"/>
          <w:szCs w:val="20"/>
          <w:lang w:val="es-ES_tradnl" w:eastAsia="en-US"/>
        </w:rPr>
        <w:t>las personas mayores</w:t>
      </w:r>
      <w:r w:rsidRPr="00A145A0">
        <w:rPr>
          <w:rFonts w:eastAsia="Calibri"/>
          <w:sz w:val="20"/>
          <w:szCs w:val="20"/>
          <w:lang w:val="es-ES_tradnl" w:eastAsia="en-US"/>
        </w:rPr>
        <w:t xml:space="preserve"> gozan de un nivel reforzado de protección respecto de servicios de salud de </w:t>
      </w:r>
      <w:r w:rsidR="008D03CA" w:rsidRPr="00A145A0">
        <w:rPr>
          <w:rFonts w:eastAsia="Calibri"/>
          <w:sz w:val="20"/>
          <w:szCs w:val="20"/>
          <w:lang w:val="es-ES_tradnl" w:eastAsia="en-US"/>
        </w:rPr>
        <w:t xml:space="preserve">prevención y </w:t>
      </w:r>
      <w:r w:rsidR="002A64C9" w:rsidRPr="00A145A0">
        <w:rPr>
          <w:rFonts w:eastAsia="Calibri"/>
          <w:sz w:val="20"/>
          <w:szCs w:val="20"/>
          <w:lang w:val="es-ES_tradnl" w:eastAsia="en-US"/>
        </w:rPr>
        <w:t>urgencia</w:t>
      </w:r>
      <w:r w:rsidRPr="00A145A0">
        <w:rPr>
          <w:rFonts w:eastAsia="Calibri"/>
          <w:sz w:val="20"/>
          <w:szCs w:val="20"/>
          <w:lang w:val="es-ES_tradnl" w:eastAsia="en-US"/>
        </w:rPr>
        <w:t xml:space="preserve">; iv) </w:t>
      </w:r>
      <w:r w:rsidR="008D03CA" w:rsidRPr="00A145A0">
        <w:rPr>
          <w:rFonts w:eastAsia="Calibri"/>
          <w:sz w:val="20"/>
          <w:szCs w:val="20"/>
          <w:lang w:val="es-ES_tradnl" w:eastAsia="en-US"/>
        </w:rPr>
        <w:t xml:space="preserve">a fin de que se impute la responsabilidad del Estado por muertes </w:t>
      </w:r>
      <w:r w:rsidR="009A08AB" w:rsidRPr="00A145A0">
        <w:rPr>
          <w:rFonts w:eastAsia="Calibri"/>
          <w:sz w:val="20"/>
          <w:szCs w:val="20"/>
          <w:lang w:val="es-ES_tradnl" w:eastAsia="en-US"/>
        </w:rPr>
        <w:t xml:space="preserve">médicas </w:t>
      </w:r>
      <w:r w:rsidR="008D03CA" w:rsidRPr="00A145A0">
        <w:rPr>
          <w:rFonts w:eastAsia="Calibri"/>
          <w:sz w:val="20"/>
          <w:szCs w:val="20"/>
          <w:lang w:val="es-ES_tradnl" w:eastAsia="en-US"/>
        </w:rPr>
        <w:t>es necesario que se acredite la negación de un servicio esencial o tratamiento pese a</w:t>
      </w:r>
      <w:r w:rsidR="009A08AB" w:rsidRPr="00A145A0">
        <w:rPr>
          <w:rFonts w:eastAsia="Calibri"/>
          <w:sz w:val="20"/>
          <w:szCs w:val="20"/>
          <w:lang w:val="es-ES_tradnl" w:eastAsia="en-US"/>
        </w:rPr>
        <w:t xml:space="preserve"> la previsibilidad del</w:t>
      </w:r>
      <w:r w:rsidR="008D03CA" w:rsidRPr="00A145A0">
        <w:rPr>
          <w:rFonts w:eastAsia="Calibri"/>
          <w:sz w:val="20"/>
          <w:szCs w:val="20"/>
          <w:lang w:val="es-ES_tradnl" w:eastAsia="en-US"/>
        </w:rPr>
        <w:t xml:space="preserve"> riesgo que enfrenta el paciente, </w:t>
      </w:r>
      <w:r w:rsidR="008719A8" w:rsidRPr="00A145A0">
        <w:rPr>
          <w:rFonts w:eastAsia="Calibri"/>
          <w:sz w:val="20"/>
          <w:szCs w:val="20"/>
          <w:lang w:val="es-ES_tradnl" w:eastAsia="en-US"/>
        </w:rPr>
        <w:t xml:space="preserve">o bien una negligencia médica grave, </w:t>
      </w:r>
      <w:r w:rsidR="008D03CA" w:rsidRPr="00A145A0">
        <w:rPr>
          <w:rFonts w:eastAsia="Calibri"/>
          <w:sz w:val="20"/>
          <w:szCs w:val="20"/>
          <w:lang w:val="es-ES_tradnl" w:eastAsia="en-US"/>
        </w:rPr>
        <w:t xml:space="preserve">y </w:t>
      </w:r>
      <w:r w:rsidR="009A08AB" w:rsidRPr="00A145A0">
        <w:rPr>
          <w:rFonts w:eastAsia="Calibri"/>
          <w:sz w:val="20"/>
          <w:szCs w:val="20"/>
          <w:lang w:val="es-ES_tradnl" w:eastAsia="en-US"/>
        </w:rPr>
        <w:t xml:space="preserve">que </w:t>
      </w:r>
      <w:r w:rsidR="008D03CA" w:rsidRPr="00A145A0">
        <w:rPr>
          <w:rFonts w:eastAsia="Calibri"/>
          <w:sz w:val="20"/>
          <w:szCs w:val="20"/>
          <w:lang w:val="es-ES_tradnl" w:eastAsia="en-US"/>
        </w:rPr>
        <w:t xml:space="preserve">se corrobore un nexo </w:t>
      </w:r>
      <w:r w:rsidR="007A74DF" w:rsidRPr="00A145A0">
        <w:rPr>
          <w:rFonts w:eastAsia="Calibri"/>
          <w:sz w:val="20"/>
          <w:szCs w:val="20"/>
          <w:lang w:val="es-ES_tradnl" w:eastAsia="en-US"/>
        </w:rPr>
        <w:t xml:space="preserve">causal entre </w:t>
      </w:r>
      <w:r w:rsidR="008719A8" w:rsidRPr="00A145A0">
        <w:rPr>
          <w:rFonts w:eastAsia="Calibri"/>
          <w:sz w:val="20"/>
          <w:szCs w:val="20"/>
          <w:lang w:val="es-ES_tradnl" w:eastAsia="en-US"/>
        </w:rPr>
        <w:t xml:space="preserve">la </w:t>
      </w:r>
      <w:r w:rsidR="009A08AB" w:rsidRPr="00A145A0">
        <w:rPr>
          <w:rFonts w:eastAsia="Calibri"/>
          <w:sz w:val="20"/>
          <w:szCs w:val="20"/>
          <w:lang w:val="es-ES_tradnl" w:eastAsia="en-US"/>
        </w:rPr>
        <w:t xml:space="preserve">acción </w:t>
      </w:r>
      <w:r w:rsidR="008719A8" w:rsidRPr="00A145A0">
        <w:rPr>
          <w:rFonts w:eastAsia="Calibri"/>
          <w:sz w:val="20"/>
          <w:szCs w:val="20"/>
          <w:lang w:val="es-ES_tradnl" w:eastAsia="en-US"/>
        </w:rPr>
        <w:t>y el daño</w:t>
      </w:r>
      <w:r w:rsidR="00F46F85" w:rsidRPr="00A145A0">
        <w:rPr>
          <w:rFonts w:eastAsia="Calibri"/>
          <w:sz w:val="20"/>
          <w:szCs w:val="20"/>
          <w:lang w:val="es-ES_tradnl" w:eastAsia="en-US"/>
        </w:rPr>
        <w:t xml:space="preserve">. </w:t>
      </w:r>
      <w:r w:rsidR="00F46F85" w:rsidRPr="00B1523A">
        <w:rPr>
          <w:rFonts w:eastAsia="Calibri"/>
          <w:sz w:val="20"/>
          <w:szCs w:val="18"/>
          <w:lang w:val="es-HN" w:eastAsia="en-US"/>
        </w:rPr>
        <w:t xml:space="preserve">Cuando se trata de una </w:t>
      </w:r>
      <w:r w:rsidR="00F46F85" w:rsidRPr="00B1523A">
        <w:rPr>
          <w:bCs/>
          <w:sz w:val="20"/>
          <w:szCs w:val="20"/>
          <w:lang w:val="es-ES_tradnl"/>
        </w:rPr>
        <w:t>omisión se debe verificar la probabilidad de que la conducta omitida hubiese interrumpido el proceso causal que desembocó en el resultado dañoso</w:t>
      </w:r>
      <w:r w:rsidR="008D03CA" w:rsidRPr="00A145A0">
        <w:rPr>
          <w:rFonts w:eastAsia="Calibri"/>
          <w:sz w:val="20"/>
          <w:szCs w:val="20"/>
          <w:lang w:val="es-ES_tradnl" w:eastAsia="en-US"/>
        </w:rPr>
        <w:t xml:space="preserve">; </w:t>
      </w:r>
      <w:r w:rsidR="00F46F85" w:rsidRPr="00A145A0">
        <w:rPr>
          <w:rFonts w:eastAsia="Calibri"/>
          <w:sz w:val="20"/>
          <w:szCs w:val="20"/>
          <w:lang w:val="es-ES_tradnl" w:eastAsia="en-US"/>
        </w:rPr>
        <w:t xml:space="preserve">v) </w:t>
      </w:r>
      <w:r w:rsidR="00F46F85" w:rsidRPr="00B1523A">
        <w:rPr>
          <w:sz w:val="20"/>
          <w:szCs w:val="20"/>
          <w:lang w:val="es-ES" w:eastAsia="x-none"/>
        </w:rPr>
        <w:t xml:space="preserve">la falta de atención médica </w:t>
      </w:r>
      <w:r w:rsidR="00F46F85" w:rsidRPr="00B1523A">
        <w:rPr>
          <w:sz w:val="20"/>
          <w:szCs w:val="20"/>
          <w:lang w:val="es-ES" w:eastAsia="x-none"/>
        </w:rPr>
        <w:lastRenderedPageBreak/>
        <w:t xml:space="preserve">adecuada puede conllevar la vulneración de la integridad personal; y </w:t>
      </w:r>
      <w:r w:rsidR="008D03CA" w:rsidRPr="00A145A0">
        <w:rPr>
          <w:rFonts w:eastAsia="Calibri"/>
          <w:sz w:val="20"/>
          <w:szCs w:val="20"/>
          <w:lang w:val="es-ES_tradnl" w:eastAsia="en-US"/>
        </w:rPr>
        <w:t>v</w:t>
      </w:r>
      <w:r w:rsidR="00F46F85" w:rsidRPr="00A145A0">
        <w:rPr>
          <w:rFonts w:eastAsia="Calibri"/>
          <w:sz w:val="20"/>
          <w:szCs w:val="20"/>
          <w:lang w:val="es-ES_tradnl" w:eastAsia="en-US"/>
        </w:rPr>
        <w:t>i</w:t>
      </w:r>
      <w:r w:rsidR="008D03CA" w:rsidRPr="00A145A0">
        <w:rPr>
          <w:rFonts w:eastAsia="Calibri"/>
          <w:sz w:val="20"/>
          <w:szCs w:val="20"/>
          <w:lang w:val="es-ES_tradnl" w:eastAsia="en-US"/>
        </w:rPr>
        <w:t xml:space="preserve">) el consentimiento informado es una obligación a cargo de las instituciones de salud, </w:t>
      </w:r>
      <w:r w:rsidR="00E03C26" w:rsidRPr="00B1523A">
        <w:rPr>
          <w:rFonts w:eastAsia="Calibri"/>
          <w:sz w:val="20"/>
          <w:szCs w:val="20"/>
          <w:lang w:val="es-ES_tradnl"/>
        </w:rPr>
        <w:t xml:space="preserve">las personas mayores ostentan la titularidad de éste derecho, sin embargo, </w:t>
      </w:r>
      <w:r w:rsidR="008D03CA" w:rsidRPr="00A145A0">
        <w:rPr>
          <w:rFonts w:eastAsia="Calibri"/>
          <w:sz w:val="20"/>
          <w:szCs w:val="20"/>
          <w:lang w:val="es-ES_tradnl" w:eastAsia="en-US"/>
        </w:rPr>
        <w:t xml:space="preserve">se puede transferir </w:t>
      </w:r>
      <w:r w:rsidR="00F46F85" w:rsidRPr="00A145A0">
        <w:rPr>
          <w:rFonts w:eastAsia="Calibri"/>
          <w:sz w:val="20"/>
          <w:szCs w:val="20"/>
          <w:lang w:val="es-ES_tradnl" w:eastAsia="en-US"/>
        </w:rPr>
        <w:t>bajo</w:t>
      </w:r>
      <w:r w:rsidR="008D03CA" w:rsidRPr="00A145A0">
        <w:rPr>
          <w:rFonts w:eastAsia="Calibri"/>
          <w:sz w:val="20"/>
          <w:szCs w:val="20"/>
          <w:lang w:val="es-ES_tradnl" w:eastAsia="en-US"/>
        </w:rPr>
        <w:t xml:space="preserve"> ciertas circunstancias a sus familiares o representantes. Asimismo, persiste el deber de informar a los pacientes</w:t>
      </w:r>
      <w:r w:rsidR="009A08AB" w:rsidRPr="00A145A0">
        <w:rPr>
          <w:rFonts w:eastAsia="Calibri"/>
          <w:sz w:val="20"/>
          <w:szCs w:val="20"/>
          <w:lang w:val="es-ES_tradnl" w:eastAsia="en-US"/>
        </w:rPr>
        <w:t xml:space="preserve"> </w:t>
      </w:r>
      <w:r w:rsidR="008D03CA" w:rsidRPr="00A145A0">
        <w:rPr>
          <w:rFonts w:eastAsia="Calibri"/>
          <w:sz w:val="20"/>
          <w:szCs w:val="20"/>
          <w:lang w:val="es-ES_tradnl" w:eastAsia="en-US"/>
        </w:rPr>
        <w:t>o</w:t>
      </w:r>
      <w:r w:rsidR="006656A6" w:rsidRPr="00A145A0">
        <w:rPr>
          <w:rFonts w:eastAsia="Calibri"/>
          <w:sz w:val="20"/>
          <w:szCs w:val="20"/>
          <w:lang w:val="es-ES_tradnl" w:eastAsia="en-US"/>
        </w:rPr>
        <w:t>, en su caso cuando proceda, a sus</w:t>
      </w:r>
      <w:r w:rsidR="008D03CA" w:rsidRPr="00A145A0">
        <w:rPr>
          <w:rFonts w:eastAsia="Calibri"/>
          <w:sz w:val="20"/>
          <w:szCs w:val="20"/>
          <w:lang w:val="es-ES_tradnl" w:eastAsia="en-US"/>
        </w:rPr>
        <w:t xml:space="preserve"> representantes sobre </w:t>
      </w:r>
      <w:r w:rsidR="00E5581F" w:rsidRPr="00A145A0">
        <w:rPr>
          <w:rFonts w:eastAsia="Calibri"/>
          <w:sz w:val="20"/>
          <w:szCs w:val="20"/>
          <w:lang w:val="es-ES_tradnl" w:eastAsia="en-US"/>
        </w:rPr>
        <w:t>los</w:t>
      </w:r>
      <w:r w:rsidR="007A74DF" w:rsidRPr="00A145A0">
        <w:rPr>
          <w:rFonts w:eastAsia="Calibri"/>
          <w:sz w:val="20"/>
          <w:szCs w:val="20"/>
          <w:lang w:val="es-ES_tradnl" w:eastAsia="en-US"/>
        </w:rPr>
        <w:t xml:space="preserve"> procedimientos</w:t>
      </w:r>
      <w:r w:rsidR="00E5581F" w:rsidRPr="00A145A0">
        <w:rPr>
          <w:rFonts w:eastAsia="Calibri"/>
          <w:sz w:val="20"/>
          <w:szCs w:val="20"/>
          <w:lang w:val="es-ES_tradnl" w:eastAsia="en-US"/>
        </w:rPr>
        <w:t xml:space="preserve"> y condición del</w:t>
      </w:r>
      <w:r w:rsidR="008D03CA" w:rsidRPr="00A145A0">
        <w:rPr>
          <w:rFonts w:eastAsia="Calibri"/>
          <w:sz w:val="20"/>
          <w:szCs w:val="20"/>
          <w:lang w:val="es-ES_tradnl" w:eastAsia="en-US"/>
        </w:rPr>
        <w:t xml:space="preserve"> paciente.</w:t>
      </w:r>
      <w:r w:rsidR="008D03CA">
        <w:rPr>
          <w:rFonts w:eastAsia="Calibri"/>
          <w:sz w:val="20"/>
          <w:szCs w:val="20"/>
          <w:lang w:val="es-ES_tradnl" w:eastAsia="en-US"/>
        </w:rPr>
        <w:t xml:space="preserve"> </w:t>
      </w:r>
    </w:p>
    <w:p w14:paraId="71E9512B" w14:textId="77777777" w:rsidR="008D03CA" w:rsidRDefault="008D03CA" w:rsidP="00383565">
      <w:pPr>
        <w:tabs>
          <w:tab w:val="left" w:pos="567"/>
        </w:tabs>
        <w:rPr>
          <w:rFonts w:eastAsia="Calibri"/>
          <w:sz w:val="20"/>
          <w:szCs w:val="20"/>
          <w:lang w:val="es-ES_tradnl" w:eastAsia="en-US"/>
        </w:rPr>
      </w:pPr>
    </w:p>
    <w:p w14:paraId="1EDBC041" w14:textId="67CEE3EF" w:rsidR="008D03CA" w:rsidRDefault="008D03CA" w:rsidP="002570D1">
      <w:pPr>
        <w:numPr>
          <w:ilvl w:val="0"/>
          <w:numId w:val="2"/>
        </w:numPr>
        <w:tabs>
          <w:tab w:val="left" w:pos="567"/>
          <w:tab w:val="num" w:pos="1569"/>
          <w:tab w:val="num" w:pos="12305"/>
        </w:tabs>
        <w:ind w:left="0" w:firstLine="0"/>
        <w:rPr>
          <w:rFonts w:eastAsia="Calibri"/>
          <w:sz w:val="20"/>
          <w:szCs w:val="20"/>
          <w:lang w:val="es-ES_tradnl" w:eastAsia="en-US"/>
        </w:rPr>
      </w:pPr>
      <w:r>
        <w:rPr>
          <w:rFonts w:eastAsia="Calibri"/>
          <w:sz w:val="20"/>
          <w:szCs w:val="20"/>
          <w:lang w:val="es-ES_tradnl" w:eastAsia="en-US"/>
        </w:rPr>
        <w:t>En el caso concreto, la Corte considera que el Estado de Chile no garantizó que los servicios de salud brindados al señor Poblete Vilches cumplieran con los estándares referidos,</w:t>
      </w:r>
      <w:r w:rsidR="007A74DF">
        <w:rPr>
          <w:rFonts w:eastAsia="Calibri"/>
          <w:sz w:val="20"/>
          <w:szCs w:val="20"/>
          <w:lang w:val="es-ES_tradnl" w:eastAsia="en-US"/>
        </w:rPr>
        <w:t xml:space="preserve"> por lo que</w:t>
      </w:r>
      <w:r>
        <w:rPr>
          <w:rFonts w:eastAsia="Calibri"/>
          <w:sz w:val="20"/>
          <w:szCs w:val="20"/>
          <w:lang w:val="es-ES_tradnl" w:eastAsia="en-US"/>
        </w:rPr>
        <w:t xml:space="preserve"> incumplió en el otorgamiento de medidas básicas</w:t>
      </w:r>
      <w:r w:rsidR="00E5581F">
        <w:rPr>
          <w:rFonts w:eastAsia="Calibri"/>
          <w:sz w:val="20"/>
          <w:szCs w:val="20"/>
          <w:lang w:val="es-ES_tradnl" w:eastAsia="en-US"/>
        </w:rPr>
        <w:t xml:space="preserve">, es decir de sus obligaciones </w:t>
      </w:r>
      <w:r>
        <w:rPr>
          <w:rFonts w:eastAsia="Calibri"/>
          <w:sz w:val="20"/>
          <w:szCs w:val="20"/>
          <w:lang w:val="es-ES_tradnl" w:eastAsia="en-US"/>
        </w:rPr>
        <w:t xml:space="preserve">de carácter inmediato </w:t>
      </w:r>
      <w:r w:rsidR="00E5581F">
        <w:rPr>
          <w:rFonts w:eastAsia="Calibri"/>
          <w:sz w:val="20"/>
          <w:szCs w:val="20"/>
          <w:lang w:val="es-ES_tradnl" w:eastAsia="en-US"/>
        </w:rPr>
        <w:t xml:space="preserve">relacionadas con </w:t>
      </w:r>
      <w:r>
        <w:rPr>
          <w:rFonts w:eastAsia="Calibri"/>
          <w:sz w:val="20"/>
          <w:szCs w:val="20"/>
          <w:lang w:val="es-ES_tradnl" w:eastAsia="en-US"/>
        </w:rPr>
        <w:t xml:space="preserve">el derecho a la salud en situaciones de </w:t>
      </w:r>
      <w:r w:rsidR="002A64C9">
        <w:rPr>
          <w:rFonts w:eastAsia="Calibri"/>
          <w:sz w:val="20"/>
          <w:szCs w:val="20"/>
          <w:lang w:val="es-ES_tradnl" w:eastAsia="en-US"/>
        </w:rPr>
        <w:t>urgencia</w:t>
      </w:r>
      <w:r>
        <w:rPr>
          <w:rFonts w:eastAsia="Calibri"/>
          <w:sz w:val="20"/>
          <w:szCs w:val="20"/>
          <w:lang w:val="es-ES_tradnl" w:eastAsia="en-US"/>
        </w:rPr>
        <w:t xml:space="preserve">. </w:t>
      </w:r>
      <w:r w:rsidR="000055DC">
        <w:rPr>
          <w:rFonts w:eastAsia="Calibri"/>
          <w:sz w:val="20"/>
          <w:szCs w:val="20"/>
          <w:lang w:val="es-ES_tradnl" w:eastAsia="en-US"/>
        </w:rPr>
        <w:t xml:space="preserve">Asimismo, el Estado incumplió con su deber de obtener el consentimiento informado </w:t>
      </w:r>
      <w:r w:rsidR="006656A6">
        <w:rPr>
          <w:rFonts w:eastAsia="Calibri"/>
          <w:sz w:val="20"/>
          <w:szCs w:val="20"/>
          <w:lang w:val="es-ES_tradnl" w:eastAsia="en-US"/>
        </w:rPr>
        <w:t xml:space="preserve">por sustitución </w:t>
      </w:r>
      <w:r w:rsidR="000055DC">
        <w:rPr>
          <w:rFonts w:eastAsia="Calibri"/>
          <w:sz w:val="20"/>
          <w:szCs w:val="20"/>
          <w:lang w:val="es-ES_tradnl" w:eastAsia="en-US"/>
        </w:rPr>
        <w:t xml:space="preserve">de los familiares frente a la intervención quirúrgica practicada, así como de brindar información clara </w:t>
      </w:r>
      <w:r w:rsidR="00117E41">
        <w:rPr>
          <w:rFonts w:eastAsia="Calibri"/>
          <w:sz w:val="20"/>
          <w:szCs w:val="20"/>
          <w:lang w:val="es-ES_tradnl" w:eastAsia="en-US"/>
        </w:rPr>
        <w:t xml:space="preserve">y accesible </w:t>
      </w:r>
      <w:r w:rsidR="000055DC">
        <w:rPr>
          <w:rFonts w:eastAsia="Calibri"/>
          <w:sz w:val="20"/>
          <w:szCs w:val="20"/>
          <w:lang w:val="es-ES_tradnl" w:eastAsia="en-US"/>
        </w:rPr>
        <w:t>para los familiares respecto del tratamiento y procedimientos practicados al paciente. Las negligencias asumidas</w:t>
      </w:r>
      <w:r w:rsidR="00E5581F">
        <w:rPr>
          <w:rFonts w:eastAsia="Calibri"/>
          <w:sz w:val="20"/>
          <w:szCs w:val="20"/>
          <w:lang w:val="es-ES_tradnl" w:eastAsia="en-US"/>
        </w:rPr>
        <w:t xml:space="preserve"> en el segundo ingreso,</w:t>
      </w:r>
      <w:r w:rsidR="007A74DF">
        <w:rPr>
          <w:rFonts w:eastAsia="Calibri"/>
          <w:sz w:val="20"/>
          <w:szCs w:val="20"/>
          <w:lang w:val="es-ES_tradnl" w:eastAsia="en-US"/>
        </w:rPr>
        <w:t xml:space="preserve"> particularmente, </w:t>
      </w:r>
      <w:r w:rsidR="000055DC">
        <w:rPr>
          <w:rFonts w:eastAsia="Calibri"/>
          <w:sz w:val="20"/>
          <w:szCs w:val="20"/>
          <w:lang w:val="es-ES_tradnl" w:eastAsia="en-US"/>
        </w:rPr>
        <w:t>al negarle un respirador</w:t>
      </w:r>
      <w:r w:rsidR="00E5581F">
        <w:rPr>
          <w:rFonts w:eastAsia="Calibri"/>
          <w:sz w:val="20"/>
          <w:szCs w:val="20"/>
          <w:lang w:val="es-ES_tradnl" w:eastAsia="en-US"/>
        </w:rPr>
        <w:t>, así como la posibilidad de</w:t>
      </w:r>
      <w:r w:rsidR="000055DC">
        <w:rPr>
          <w:rFonts w:eastAsia="Calibri"/>
          <w:sz w:val="20"/>
          <w:szCs w:val="20"/>
          <w:lang w:val="es-ES_tradnl" w:eastAsia="en-US"/>
        </w:rPr>
        <w:t xml:space="preserve"> ingresar a la unidad de cuidados </w:t>
      </w:r>
      <w:r w:rsidR="00F02FA7">
        <w:rPr>
          <w:rFonts w:eastAsia="Calibri"/>
          <w:sz w:val="20"/>
          <w:szCs w:val="20"/>
          <w:lang w:val="es-ES_tradnl" w:eastAsia="en-US"/>
        </w:rPr>
        <w:t xml:space="preserve">requerida </w:t>
      </w:r>
      <w:r w:rsidR="000055DC">
        <w:rPr>
          <w:rFonts w:eastAsia="Calibri"/>
          <w:sz w:val="20"/>
          <w:szCs w:val="20"/>
          <w:lang w:val="es-ES_tradnl" w:eastAsia="en-US"/>
        </w:rPr>
        <w:t>y no ser trasladado a otro centro que pudiera brindarle tal</w:t>
      </w:r>
      <w:r w:rsidR="00117E41">
        <w:rPr>
          <w:rFonts w:eastAsia="Calibri"/>
          <w:sz w:val="20"/>
          <w:szCs w:val="20"/>
          <w:lang w:val="es-ES_tradnl" w:eastAsia="en-US"/>
        </w:rPr>
        <w:t>es medidas</w:t>
      </w:r>
      <w:r w:rsidR="000055DC">
        <w:rPr>
          <w:rFonts w:eastAsia="Calibri"/>
          <w:sz w:val="20"/>
          <w:szCs w:val="20"/>
          <w:lang w:val="es-ES_tradnl" w:eastAsia="en-US"/>
        </w:rPr>
        <w:t xml:space="preserve">, en parte por su condición de adulto mayor, redujo de manera considerable las posibilidades de </w:t>
      </w:r>
      <w:r w:rsidR="006656A6">
        <w:rPr>
          <w:rFonts w:eastAsia="Calibri"/>
          <w:sz w:val="20"/>
          <w:szCs w:val="20"/>
          <w:lang w:val="es-ES_tradnl" w:eastAsia="en-US"/>
        </w:rPr>
        <w:t xml:space="preserve">recuperación y </w:t>
      </w:r>
      <w:r w:rsidR="000055DC">
        <w:rPr>
          <w:rFonts w:eastAsia="Calibri"/>
          <w:sz w:val="20"/>
          <w:szCs w:val="20"/>
          <w:lang w:val="es-ES_tradnl" w:eastAsia="en-US"/>
        </w:rPr>
        <w:t xml:space="preserve">sobrevivencia del paciente, por lo que su fallecimiento resulta imputable al Estado. </w:t>
      </w:r>
      <w:r w:rsidR="00E03C26" w:rsidRPr="00B1523A">
        <w:rPr>
          <w:rFonts w:eastAsia="Calibri"/>
          <w:sz w:val="20"/>
          <w:szCs w:val="20"/>
          <w:lang w:val="es-ES_tradnl"/>
        </w:rPr>
        <w:t>Asimismo</w:t>
      </w:r>
      <w:r w:rsidR="001D21F5" w:rsidRPr="00B1523A">
        <w:rPr>
          <w:rFonts w:eastAsia="Calibri"/>
          <w:sz w:val="20"/>
          <w:szCs w:val="20"/>
          <w:lang w:val="es-ES_tradnl"/>
        </w:rPr>
        <w:t>,</w:t>
      </w:r>
      <w:r w:rsidR="00E03C26" w:rsidRPr="00B1523A">
        <w:rPr>
          <w:rFonts w:eastAsia="Calibri"/>
          <w:sz w:val="20"/>
          <w:szCs w:val="20"/>
          <w:lang w:val="es-ES_tradnl"/>
        </w:rPr>
        <w:t xml:space="preserve"> la Corte </w:t>
      </w:r>
      <w:r w:rsidR="00C426E9" w:rsidRPr="00B1523A">
        <w:rPr>
          <w:rFonts w:eastAsia="Calibri"/>
          <w:sz w:val="20"/>
          <w:szCs w:val="20"/>
          <w:lang w:val="es-ES_tradnl"/>
        </w:rPr>
        <w:t xml:space="preserve">sostuvo </w:t>
      </w:r>
      <w:r w:rsidR="00E03C26" w:rsidRPr="00B1523A">
        <w:rPr>
          <w:rFonts w:eastAsia="Calibri"/>
          <w:sz w:val="20"/>
          <w:szCs w:val="20"/>
          <w:lang w:val="es-ES_tradnl"/>
        </w:rPr>
        <w:t xml:space="preserve">que la edad del señor Poblete Vilches, como categoría protegida de la no discriminación, resultó ser una limitante para que recibiera </w:t>
      </w:r>
      <w:r w:rsidR="00117E41">
        <w:rPr>
          <w:rFonts w:eastAsia="Calibri"/>
          <w:sz w:val="20"/>
          <w:szCs w:val="20"/>
          <w:lang w:val="es-ES_tradnl"/>
        </w:rPr>
        <w:t xml:space="preserve">la </w:t>
      </w:r>
      <w:r w:rsidR="00E03C26" w:rsidRPr="00B1523A">
        <w:rPr>
          <w:rFonts w:eastAsia="Calibri"/>
          <w:sz w:val="20"/>
          <w:szCs w:val="20"/>
          <w:lang w:val="es-ES_tradnl"/>
        </w:rPr>
        <w:t>atención médica requerida.</w:t>
      </w:r>
    </w:p>
    <w:p w14:paraId="6F6B4B29" w14:textId="77777777" w:rsidR="008D03CA" w:rsidRPr="00383565" w:rsidRDefault="008D03CA" w:rsidP="00383565">
      <w:pPr>
        <w:tabs>
          <w:tab w:val="left" w:pos="567"/>
        </w:tabs>
        <w:rPr>
          <w:rFonts w:eastAsia="Calibri"/>
          <w:sz w:val="20"/>
          <w:szCs w:val="20"/>
          <w:lang w:val="es-ES_tradnl" w:eastAsia="en-US"/>
        </w:rPr>
      </w:pPr>
    </w:p>
    <w:p w14:paraId="022F6407" w14:textId="61B3387B" w:rsidR="002570D1" w:rsidRPr="00A145A0" w:rsidRDefault="002570D1" w:rsidP="002570D1">
      <w:pPr>
        <w:numPr>
          <w:ilvl w:val="0"/>
          <w:numId w:val="2"/>
        </w:numPr>
        <w:tabs>
          <w:tab w:val="left" w:pos="567"/>
          <w:tab w:val="num" w:pos="1569"/>
          <w:tab w:val="num" w:pos="12305"/>
        </w:tabs>
        <w:ind w:left="0" w:firstLine="0"/>
        <w:rPr>
          <w:rFonts w:eastAsia="Calibri"/>
          <w:sz w:val="20"/>
          <w:szCs w:val="20"/>
          <w:lang w:val="es-ES_tradnl" w:eastAsia="en-US"/>
        </w:rPr>
      </w:pPr>
      <w:r w:rsidRPr="00A145A0">
        <w:rPr>
          <w:rFonts w:eastAsia="Calibri"/>
          <w:sz w:val="20"/>
          <w:szCs w:val="20"/>
          <w:lang w:eastAsia="en-US"/>
        </w:rPr>
        <w:t xml:space="preserve">Por tanto, este </w:t>
      </w:r>
      <w:r w:rsidR="00E5581F" w:rsidRPr="00A145A0">
        <w:rPr>
          <w:rFonts w:eastAsia="Calibri"/>
          <w:sz w:val="20"/>
          <w:szCs w:val="20"/>
          <w:lang w:eastAsia="en-US"/>
        </w:rPr>
        <w:t>T</w:t>
      </w:r>
      <w:r w:rsidRPr="00A145A0">
        <w:rPr>
          <w:rFonts w:eastAsia="Calibri"/>
          <w:sz w:val="20"/>
          <w:szCs w:val="20"/>
          <w:lang w:eastAsia="en-US"/>
        </w:rPr>
        <w:t xml:space="preserve">ribunal considera que el Estado </w:t>
      </w:r>
      <w:r w:rsidR="00F02FA7" w:rsidRPr="00A145A0">
        <w:rPr>
          <w:rFonts w:eastAsia="Calibri"/>
          <w:sz w:val="20"/>
          <w:szCs w:val="20"/>
          <w:lang w:eastAsia="en-US"/>
        </w:rPr>
        <w:t xml:space="preserve">chileno </w:t>
      </w:r>
      <w:r w:rsidRPr="00A145A0">
        <w:rPr>
          <w:rFonts w:eastAsia="Calibri"/>
          <w:sz w:val="20"/>
          <w:szCs w:val="20"/>
          <w:lang w:eastAsia="en-US"/>
        </w:rPr>
        <w:t xml:space="preserve">es responsable internacionalmente por </w:t>
      </w:r>
      <w:r w:rsidR="00920D09" w:rsidRPr="00A145A0">
        <w:rPr>
          <w:rFonts w:eastAsia="Calibri"/>
          <w:sz w:val="20"/>
          <w:szCs w:val="20"/>
          <w:lang w:eastAsia="en-US"/>
        </w:rPr>
        <w:t xml:space="preserve">la falta de garantía de los </w:t>
      </w:r>
      <w:r w:rsidR="000055DC" w:rsidRPr="00A145A0">
        <w:rPr>
          <w:rFonts w:eastAsia="Calibri"/>
          <w:sz w:val="20"/>
          <w:szCs w:val="20"/>
          <w:lang w:eastAsia="en-US"/>
        </w:rPr>
        <w:t>derechos a la salud, vida,</w:t>
      </w:r>
      <w:r w:rsidR="001D21F5" w:rsidRPr="00A145A0">
        <w:rPr>
          <w:rFonts w:eastAsia="Calibri"/>
          <w:sz w:val="20"/>
          <w:szCs w:val="20"/>
          <w:lang w:eastAsia="en-US"/>
        </w:rPr>
        <w:t xml:space="preserve"> integridad personal,</w:t>
      </w:r>
      <w:r w:rsidR="000055DC" w:rsidRPr="00A145A0">
        <w:rPr>
          <w:rFonts w:eastAsia="Calibri"/>
          <w:sz w:val="20"/>
          <w:szCs w:val="20"/>
          <w:lang w:eastAsia="en-US"/>
        </w:rPr>
        <w:t xml:space="preserve"> </w:t>
      </w:r>
      <w:r w:rsidR="00E83EA1" w:rsidRPr="00B1523A">
        <w:rPr>
          <w:rFonts w:eastAsia="Calibri"/>
          <w:sz w:val="20"/>
          <w:szCs w:val="20"/>
          <w:lang w:eastAsia="en-US"/>
        </w:rPr>
        <w:t xml:space="preserve">libertad, dignidad y </w:t>
      </w:r>
      <w:r w:rsidR="000055DC" w:rsidRPr="00A145A0">
        <w:rPr>
          <w:rFonts w:eastAsia="Calibri"/>
          <w:sz w:val="20"/>
          <w:szCs w:val="20"/>
          <w:lang w:eastAsia="en-US"/>
        </w:rPr>
        <w:t xml:space="preserve">acceso a la información, de conformidad con los </w:t>
      </w:r>
      <w:r w:rsidRPr="00A145A0">
        <w:rPr>
          <w:rFonts w:eastAsia="Calibri"/>
          <w:sz w:val="20"/>
          <w:szCs w:val="20"/>
          <w:lang w:eastAsia="en-US"/>
        </w:rPr>
        <w:t>artículos 26, 4</w:t>
      </w:r>
      <w:r w:rsidR="001D21F5" w:rsidRPr="00B1523A">
        <w:rPr>
          <w:rFonts w:eastAsia="Calibri"/>
          <w:sz w:val="20"/>
          <w:szCs w:val="20"/>
          <w:lang w:eastAsia="en-US"/>
        </w:rPr>
        <w:t>, 5</w:t>
      </w:r>
      <w:r w:rsidR="00E83EA1" w:rsidRPr="00B1523A">
        <w:rPr>
          <w:rFonts w:eastAsia="Calibri"/>
          <w:sz w:val="20"/>
          <w:szCs w:val="20"/>
          <w:lang w:eastAsia="en-US"/>
        </w:rPr>
        <w:t xml:space="preserve">, </w:t>
      </w:r>
      <w:r w:rsidR="00F46F85" w:rsidRPr="00A145A0">
        <w:rPr>
          <w:rFonts w:eastAsia="Calibri"/>
          <w:sz w:val="20"/>
          <w:szCs w:val="20"/>
          <w:lang w:eastAsia="en-US"/>
        </w:rPr>
        <w:t xml:space="preserve">13, </w:t>
      </w:r>
      <w:r w:rsidR="00E83EA1" w:rsidRPr="00B1523A">
        <w:rPr>
          <w:rFonts w:eastAsia="Calibri"/>
          <w:sz w:val="20"/>
          <w:szCs w:val="20"/>
          <w:lang w:eastAsia="en-US"/>
        </w:rPr>
        <w:t>7</w:t>
      </w:r>
      <w:r w:rsidR="00F46F85" w:rsidRPr="00B1523A">
        <w:rPr>
          <w:rFonts w:eastAsia="Calibri"/>
          <w:sz w:val="20"/>
          <w:szCs w:val="20"/>
          <w:lang w:eastAsia="en-US"/>
        </w:rPr>
        <w:t xml:space="preserve"> y</w:t>
      </w:r>
      <w:r w:rsidR="00E83EA1" w:rsidRPr="00B1523A">
        <w:rPr>
          <w:rFonts w:eastAsia="Calibri"/>
          <w:sz w:val="20"/>
          <w:szCs w:val="20"/>
          <w:lang w:eastAsia="en-US"/>
        </w:rPr>
        <w:t xml:space="preserve"> 11</w:t>
      </w:r>
      <w:r w:rsidRPr="00A145A0">
        <w:rPr>
          <w:rFonts w:eastAsia="Calibri"/>
          <w:sz w:val="20"/>
          <w:szCs w:val="20"/>
          <w:lang w:eastAsia="en-US"/>
        </w:rPr>
        <w:t xml:space="preserve"> de la Convención Americana, </w:t>
      </w:r>
      <w:r w:rsidR="000055DC" w:rsidRPr="00A145A0">
        <w:rPr>
          <w:rFonts w:eastAsia="Calibri"/>
          <w:sz w:val="20"/>
          <w:szCs w:val="20"/>
          <w:lang w:eastAsia="en-US"/>
        </w:rPr>
        <w:t xml:space="preserve">en relación con las obligaciones de no discriminación del artículo 1.1 del mismo instrumento, </w:t>
      </w:r>
      <w:r w:rsidRPr="00A145A0">
        <w:rPr>
          <w:rFonts w:eastAsia="Calibri"/>
          <w:sz w:val="20"/>
          <w:szCs w:val="20"/>
          <w:lang w:eastAsia="en-US"/>
        </w:rPr>
        <w:t>en perjuicio del señor Poblete Vilches. As</w:t>
      </w:r>
      <w:r w:rsidR="000055DC" w:rsidRPr="00A145A0">
        <w:rPr>
          <w:rFonts w:eastAsia="Calibri"/>
          <w:sz w:val="20"/>
          <w:szCs w:val="20"/>
          <w:lang w:eastAsia="en-US"/>
        </w:rPr>
        <w:t>imismo, el Estado es responsable de la violación de los</w:t>
      </w:r>
      <w:r w:rsidRPr="00A145A0">
        <w:rPr>
          <w:rFonts w:eastAsia="Calibri"/>
          <w:sz w:val="20"/>
          <w:szCs w:val="20"/>
          <w:lang w:eastAsia="en-US"/>
        </w:rPr>
        <w:t xml:space="preserve"> artículos </w:t>
      </w:r>
      <w:r w:rsidR="00E83EA1" w:rsidRPr="00B1523A">
        <w:rPr>
          <w:rFonts w:eastAsia="Calibri"/>
          <w:sz w:val="20"/>
          <w:szCs w:val="20"/>
          <w:lang w:eastAsia="en-US"/>
        </w:rPr>
        <w:t>26</w:t>
      </w:r>
      <w:r w:rsidR="00F46F85" w:rsidRPr="00B1523A">
        <w:rPr>
          <w:rFonts w:eastAsia="Calibri"/>
          <w:sz w:val="20"/>
          <w:szCs w:val="20"/>
          <w:lang w:eastAsia="en-US"/>
        </w:rPr>
        <w:t>, 13, 7 y 11, en</w:t>
      </w:r>
      <w:r w:rsidRPr="00A145A0">
        <w:rPr>
          <w:rFonts w:eastAsia="Calibri"/>
          <w:sz w:val="20"/>
          <w:szCs w:val="20"/>
          <w:lang w:eastAsia="en-US"/>
        </w:rPr>
        <w:t xml:space="preserve"> perjuicio de sus familiares. </w:t>
      </w:r>
    </w:p>
    <w:p w14:paraId="6F1D04E1" w14:textId="77777777" w:rsidR="00D34E7C" w:rsidRPr="002570D1" w:rsidRDefault="00D34E7C" w:rsidP="00A83854">
      <w:pPr>
        <w:rPr>
          <w:sz w:val="20"/>
          <w:szCs w:val="20"/>
        </w:rPr>
      </w:pPr>
    </w:p>
    <w:p w14:paraId="47512F9D" w14:textId="77777777" w:rsidR="00E67349" w:rsidRPr="00E67349" w:rsidRDefault="00E67349" w:rsidP="006B2A4D">
      <w:pPr>
        <w:pStyle w:val="Title"/>
      </w:pPr>
      <w:bookmarkStart w:id="88" w:name="_Toc504131610"/>
      <w:bookmarkStart w:id="89" w:name="_Toc504484544"/>
      <w:bookmarkStart w:id="90" w:name="_Toc513644476"/>
      <w:r>
        <w:t>VI</w:t>
      </w:r>
      <w:r w:rsidR="00A83854">
        <w:t>I-2</w:t>
      </w:r>
      <w:bookmarkEnd w:id="88"/>
      <w:bookmarkEnd w:id="89"/>
      <w:bookmarkEnd w:id="90"/>
    </w:p>
    <w:p w14:paraId="109C7ED1" w14:textId="77777777" w:rsidR="00E67349" w:rsidRDefault="00E67349" w:rsidP="006B2A4D">
      <w:pPr>
        <w:pStyle w:val="Title"/>
      </w:pPr>
      <w:bookmarkStart w:id="91" w:name="_Toc513644477"/>
      <w:r w:rsidRPr="00E67349">
        <w:t>DERECHO</w:t>
      </w:r>
      <w:r w:rsidR="00A54B13">
        <w:t>S</w:t>
      </w:r>
      <w:r w:rsidRPr="00E67349">
        <w:t xml:space="preserve"> A LAS GARANTÍAS JUDICIALES Y A LA PROTECCIÓN JUDICIAL </w:t>
      </w:r>
      <w:bookmarkEnd w:id="66"/>
      <w:r w:rsidRPr="00E67349">
        <w:t xml:space="preserve">(ARTÍCULOS 8 </w:t>
      </w:r>
      <w:r w:rsidR="006A08E5">
        <w:t>Y 25 DE LA CONVENCIÓN AMERICANA</w:t>
      </w:r>
      <w:r w:rsidRPr="00E67349">
        <w:t>)</w:t>
      </w:r>
      <w:bookmarkEnd w:id="91"/>
    </w:p>
    <w:p w14:paraId="5EB9D72A" w14:textId="77777777" w:rsidR="000D4A1F" w:rsidRPr="000D4A1F" w:rsidRDefault="000D4A1F" w:rsidP="000D4A1F">
      <w:pPr>
        <w:rPr>
          <w:rFonts w:eastAsiaTheme="minorHAnsi"/>
          <w:sz w:val="20"/>
          <w:szCs w:val="20"/>
        </w:rPr>
      </w:pPr>
    </w:p>
    <w:p w14:paraId="1A804BCA" w14:textId="77777777" w:rsidR="00E67349" w:rsidRPr="000D4A1F" w:rsidRDefault="00E67349" w:rsidP="002726E0">
      <w:pPr>
        <w:pStyle w:val="Heading2"/>
        <w:numPr>
          <w:ilvl w:val="0"/>
          <w:numId w:val="11"/>
        </w:numPr>
      </w:pPr>
      <w:bookmarkStart w:id="92" w:name="_Toc513644478"/>
      <w:r w:rsidRPr="00E67349">
        <w:t>Argumentos de las partes y de la Comisión</w:t>
      </w:r>
      <w:bookmarkEnd w:id="92"/>
    </w:p>
    <w:p w14:paraId="46E83C94" w14:textId="77777777" w:rsidR="000D4A1F" w:rsidRPr="00E67349" w:rsidRDefault="000D4A1F" w:rsidP="000D4A1F">
      <w:pPr>
        <w:rPr>
          <w:rFonts w:eastAsiaTheme="minorHAnsi" w:cstheme="minorBidi"/>
          <w:b/>
          <w:sz w:val="20"/>
          <w:szCs w:val="20"/>
          <w:lang w:val="es-AR" w:eastAsia="en-US"/>
        </w:rPr>
      </w:pPr>
    </w:p>
    <w:p w14:paraId="28F6125B" w14:textId="51182518" w:rsidR="00012D32" w:rsidRPr="00B1523A" w:rsidRDefault="00E67349" w:rsidP="00B1523A">
      <w:pPr>
        <w:numPr>
          <w:ilvl w:val="0"/>
          <w:numId w:val="2"/>
        </w:numPr>
        <w:tabs>
          <w:tab w:val="left" w:pos="567"/>
          <w:tab w:val="num" w:pos="1569"/>
          <w:tab w:val="num" w:pos="12305"/>
        </w:tabs>
        <w:ind w:left="0" w:firstLine="0"/>
        <w:contextualSpacing/>
        <w:rPr>
          <w:rFonts w:eastAsiaTheme="minorHAnsi" w:cstheme="minorBidi"/>
          <w:sz w:val="20"/>
          <w:szCs w:val="20"/>
          <w:lang w:val="es-AR" w:eastAsia="en-US"/>
        </w:rPr>
      </w:pPr>
      <w:r w:rsidRPr="00012D32">
        <w:rPr>
          <w:rFonts w:eastAsiaTheme="minorHAnsi" w:cstheme="minorBidi"/>
          <w:sz w:val="20"/>
          <w:szCs w:val="20"/>
          <w:lang w:val="es-AR" w:eastAsia="en-US"/>
        </w:rPr>
        <w:t xml:space="preserve">La </w:t>
      </w:r>
      <w:r w:rsidRPr="00012D32">
        <w:rPr>
          <w:rFonts w:eastAsiaTheme="minorHAnsi" w:cstheme="minorBidi"/>
          <w:b/>
          <w:i/>
          <w:sz w:val="20"/>
          <w:szCs w:val="20"/>
          <w:lang w:val="es-AR" w:eastAsia="en-US"/>
        </w:rPr>
        <w:t>Comisión</w:t>
      </w:r>
      <w:r w:rsidRPr="00012D32">
        <w:rPr>
          <w:rFonts w:eastAsiaTheme="minorHAnsi" w:cstheme="minorBidi"/>
          <w:sz w:val="20"/>
          <w:szCs w:val="20"/>
          <w:lang w:val="es-AR" w:eastAsia="en-US"/>
        </w:rPr>
        <w:t xml:space="preserve"> alegó que el Estado violó los artículos 8 y 25 de la Convención Americana, en relación con el artículo 1.1 del mismo instrumento, respecto al deber de investigar con la debida diligencia y en un plazo razonable los hechos del presente caso, en perjuicio d</w:t>
      </w:r>
      <w:r w:rsidRPr="0042344A">
        <w:rPr>
          <w:rFonts w:eastAsiaTheme="minorHAnsi" w:cstheme="minorBidi"/>
          <w:sz w:val="20"/>
          <w:szCs w:val="20"/>
          <w:lang w:val="es-AR" w:eastAsia="en-US"/>
        </w:rPr>
        <w:t>e los familiares del señor Poblete Vilches. Respecto a la debida diligencia, observó que la primera querella criminal fue presen</w:t>
      </w:r>
      <w:r w:rsidRPr="00577C10">
        <w:rPr>
          <w:rFonts w:eastAsiaTheme="minorHAnsi" w:cstheme="minorBidi"/>
          <w:sz w:val="20"/>
          <w:szCs w:val="20"/>
          <w:lang w:val="es-AR" w:eastAsia="en-US"/>
        </w:rPr>
        <w:t xml:space="preserve">tada por los familiares del señor Poblete Vilches en noviembre de 2001, y que debido a varias declaratorias de incompetencia, fue hasta febrero de 2002 que se determinó cuál era la autoridad judicial competente para conocer de esta. Destacó que se realizaron diligencias en el proceso hasta el mes de octubre de 2002, ocho meses después, cuando se solicitó al Hospital </w:t>
      </w:r>
      <w:proofErr w:type="spellStart"/>
      <w:r w:rsidRPr="00577C10">
        <w:rPr>
          <w:rFonts w:eastAsiaTheme="minorHAnsi" w:cstheme="minorBidi"/>
          <w:sz w:val="20"/>
          <w:szCs w:val="20"/>
          <w:lang w:val="es-AR" w:eastAsia="en-US"/>
        </w:rPr>
        <w:t>Sótero</w:t>
      </w:r>
      <w:proofErr w:type="spellEnd"/>
      <w:r w:rsidRPr="00577C10">
        <w:rPr>
          <w:rFonts w:eastAsiaTheme="minorHAnsi" w:cstheme="minorBidi"/>
          <w:sz w:val="20"/>
          <w:szCs w:val="20"/>
          <w:lang w:val="es-AR" w:eastAsia="en-US"/>
        </w:rPr>
        <w:t xml:space="preserve"> del Río la ficha clínica del señor Poblete Vilches. Además, </w:t>
      </w:r>
      <w:r w:rsidR="00012D32" w:rsidRPr="00A42EDD">
        <w:rPr>
          <w:rFonts w:eastAsiaTheme="minorHAnsi" w:cstheme="minorBidi"/>
          <w:sz w:val="20"/>
          <w:szCs w:val="20"/>
          <w:lang w:val="es-AR" w:eastAsia="en-US"/>
        </w:rPr>
        <w:t>notó que entre la interposición de la primera querella y</w:t>
      </w:r>
      <w:r w:rsidRPr="00474B8B">
        <w:rPr>
          <w:rFonts w:eastAsiaTheme="minorHAnsi" w:cstheme="minorBidi"/>
          <w:sz w:val="20"/>
          <w:szCs w:val="20"/>
          <w:lang w:val="es-AR" w:eastAsia="en-US"/>
        </w:rPr>
        <w:t xml:space="preserve"> la citación de los primeros declarantes</w:t>
      </w:r>
      <w:r w:rsidR="00012D32" w:rsidRPr="00474B8B">
        <w:rPr>
          <w:rFonts w:eastAsiaTheme="minorHAnsi" w:cstheme="minorBidi"/>
          <w:sz w:val="20"/>
          <w:szCs w:val="20"/>
          <w:lang w:val="es-AR" w:eastAsia="en-US"/>
        </w:rPr>
        <w:t xml:space="preserve"> </w:t>
      </w:r>
      <w:r w:rsidRPr="00012D32">
        <w:rPr>
          <w:rFonts w:eastAsiaTheme="minorHAnsi" w:cstheme="minorBidi"/>
          <w:sz w:val="20"/>
          <w:szCs w:val="20"/>
          <w:lang w:val="es-AR" w:eastAsia="en-US"/>
        </w:rPr>
        <w:t xml:space="preserve">transcurrió </w:t>
      </w:r>
      <w:r w:rsidR="00012D32" w:rsidRPr="00012D32">
        <w:rPr>
          <w:rFonts w:eastAsiaTheme="minorHAnsi" w:cstheme="minorBidi"/>
          <w:sz w:val="20"/>
          <w:szCs w:val="20"/>
          <w:lang w:val="es-AR" w:eastAsia="en-US"/>
        </w:rPr>
        <w:t xml:space="preserve">más de </w:t>
      </w:r>
      <w:r w:rsidRPr="00012D32">
        <w:rPr>
          <w:rFonts w:eastAsiaTheme="minorHAnsi" w:cstheme="minorBidi"/>
          <w:sz w:val="20"/>
          <w:szCs w:val="20"/>
          <w:lang w:val="es-AR" w:eastAsia="en-US"/>
        </w:rPr>
        <w:t xml:space="preserve">un año y medio. Además, mencionó que en un periodo de cinco años, de 2003 a 2008, solo se solicitó un peritaje médico. Agregó que a la fecha no se ha realizado la exhumación del cuerpo del señor Poblete Vilches para efectos de realizar </w:t>
      </w:r>
      <w:r w:rsidR="00012D32">
        <w:rPr>
          <w:rFonts w:eastAsiaTheme="minorHAnsi" w:cstheme="minorBidi"/>
          <w:sz w:val="20"/>
          <w:szCs w:val="20"/>
          <w:lang w:val="es-AR" w:eastAsia="en-US"/>
        </w:rPr>
        <w:t>la</w:t>
      </w:r>
      <w:r w:rsidR="00012D32" w:rsidRPr="00012D32">
        <w:rPr>
          <w:rFonts w:eastAsiaTheme="minorHAnsi" w:cstheme="minorBidi"/>
          <w:sz w:val="20"/>
          <w:szCs w:val="20"/>
          <w:lang w:val="es-AR" w:eastAsia="en-US"/>
        </w:rPr>
        <w:t xml:space="preserve"> </w:t>
      </w:r>
      <w:r w:rsidRPr="00012D32">
        <w:rPr>
          <w:rFonts w:eastAsiaTheme="minorHAnsi" w:cstheme="minorBidi"/>
          <w:sz w:val="20"/>
          <w:szCs w:val="20"/>
          <w:lang w:val="es-AR" w:eastAsia="en-US"/>
        </w:rPr>
        <w:t>autopsia solicitada, en múltiples ocasiones por los representantes y resaltó que el Estado no justificó la no realización de estas diligencias. Adicionalmente, resaltó que no cuenta con información sobre la adopción de medidas correctivas para obtener una pericia que aclarara</w:t>
      </w:r>
      <w:r w:rsidR="00012D32">
        <w:rPr>
          <w:rFonts w:eastAsiaTheme="minorHAnsi" w:cstheme="minorBidi"/>
          <w:sz w:val="20"/>
          <w:szCs w:val="20"/>
          <w:lang w:val="es-AR" w:eastAsia="en-US"/>
        </w:rPr>
        <w:t xml:space="preserve"> los</w:t>
      </w:r>
      <w:r w:rsidRPr="00012D32">
        <w:rPr>
          <w:rFonts w:eastAsiaTheme="minorHAnsi" w:cstheme="minorBidi"/>
          <w:sz w:val="20"/>
          <w:szCs w:val="20"/>
          <w:lang w:val="es-AR" w:eastAsia="en-US"/>
        </w:rPr>
        <w:t xml:space="preserve"> interrogantes esenciales para determinar posibles responsabilidades por la muerte del señor Poblete Vilches.</w:t>
      </w:r>
      <w:r w:rsidRPr="00012D32">
        <w:rPr>
          <w:rFonts w:eastAsiaTheme="minorHAnsi" w:cstheme="minorBidi"/>
          <w:b/>
          <w:sz w:val="20"/>
          <w:szCs w:val="20"/>
          <w:lang w:val="es-AR" w:eastAsia="en-US"/>
        </w:rPr>
        <w:t xml:space="preserve"> </w:t>
      </w:r>
    </w:p>
    <w:p w14:paraId="0FDDE3B9" w14:textId="77777777" w:rsidR="00E67349" w:rsidRPr="00012D32" w:rsidRDefault="00E67349" w:rsidP="00B1523A">
      <w:pPr>
        <w:tabs>
          <w:tab w:val="left" w:pos="567"/>
        </w:tabs>
        <w:contextualSpacing/>
        <w:rPr>
          <w:rFonts w:eastAsiaTheme="minorHAnsi" w:cstheme="minorBidi"/>
          <w:sz w:val="20"/>
          <w:szCs w:val="20"/>
          <w:lang w:val="es-AR" w:eastAsia="en-US"/>
        </w:rPr>
      </w:pPr>
    </w:p>
    <w:p w14:paraId="4E75EFAC" w14:textId="7D79B1F2" w:rsidR="00E67349" w:rsidRPr="00E67349" w:rsidRDefault="00E67349" w:rsidP="000D4A1F">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E67349">
        <w:rPr>
          <w:rFonts w:eastAsiaTheme="minorHAnsi" w:cstheme="minorBidi"/>
          <w:sz w:val="20"/>
          <w:szCs w:val="20"/>
          <w:lang w:val="es-AR" w:eastAsia="en-US"/>
        </w:rPr>
        <w:lastRenderedPageBreak/>
        <w:t xml:space="preserve">De igual manera, la </w:t>
      </w:r>
      <w:r w:rsidRPr="00E67349">
        <w:rPr>
          <w:rFonts w:eastAsiaTheme="minorHAnsi" w:cstheme="minorBidi"/>
          <w:b/>
          <w:i/>
          <w:sz w:val="20"/>
          <w:szCs w:val="20"/>
          <w:lang w:val="es-AR" w:eastAsia="en-US"/>
        </w:rPr>
        <w:t xml:space="preserve">Comisión </w:t>
      </w:r>
      <w:r w:rsidRPr="00E67349">
        <w:rPr>
          <w:rFonts w:eastAsiaTheme="minorHAnsi" w:cstheme="minorBidi"/>
          <w:sz w:val="20"/>
          <w:szCs w:val="20"/>
          <w:lang w:val="es-AR" w:eastAsia="en-US"/>
        </w:rPr>
        <w:t xml:space="preserve">señaló que la declaración indagatoria del imputado Luis Carvajal Freire nunca fue realizada, a pesar de que el Primer Juzgado Civil comprobó que seguía laborando en el Hospital </w:t>
      </w:r>
      <w:proofErr w:type="spellStart"/>
      <w:r w:rsidRPr="00E67349">
        <w:rPr>
          <w:rFonts w:eastAsiaTheme="minorHAnsi" w:cstheme="minorBidi"/>
          <w:sz w:val="20"/>
          <w:szCs w:val="20"/>
          <w:lang w:val="es-AR" w:eastAsia="en-US"/>
        </w:rPr>
        <w:t>Sótero</w:t>
      </w:r>
      <w:proofErr w:type="spellEnd"/>
      <w:r w:rsidRPr="00E67349">
        <w:rPr>
          <w:rFonts w:eastAsiaTheme="minorHAnsi" w:cstheme="minorBidi"/>
          <w:sz w:val="20"/>
          <w:szCs w:val="20"/>
          <w:lang w:val="es-AR" w:eastAsia="en-US"/>
        </w:rPr>
        <w:t xml:space="preserve"> del Río, y que tampoco se obtuvieron algunas de las declaraciones solicitadas dentro del proceso por los familiares del señor Poblete Vilches. En este sentido, resaltó que a pesar de dichas omisiones probatorias, las autoridades judiciales dispusieron en dos oportunidades el sobreseimiento de la causa, en diciembre de 2006 y en junio de 2008. Además, la Comisión mencionó que desde la segunda reapertura de la investigación, no se cuenta con información que permita establecer que se han intentado subsanar las referidas omisiones. Finalmente, en relación a la obtención del consentimiento de los familiares para la realización del procedimiento del 26 de enero de 2001, resaltó la omisión del Estado de esclarecer las irregularidades verificadas respecto de estos hechos</w:t>
      </w:r>
      <w:r w:rsidR="00012D32" w:rsidRPr="00E67349">
        <w:rPr>
          <w:rFonts w:eastAsiaTheme="minorHAnsi" w:cstheme="minorBidi"/>
          <w:sz w:val="20"/>
          <w:szCs w:val="20"/>
          <w:lang w:val="es-AR" w:eastAsia="en-US"/>
        </w:rPr>
        <w:t>.</w:t>
      </w:r>
      <w:r w:rsidR="00012D32">
        <w:rPr>
          <w:rFonts w:eastAsiaTheme="minorHAnsi" w:cstheme="minorBidi"/>
          <w:sz w:val="20"/>
          <w:szCs w:val="20"/>
          <w:lang w:val="es-AR" w:eastAsia="en-US"/>
        </w:rPr>
        <w:t xml:space="preserve"> </w:t>
      </w:r>
      <w:r w:rsidRPr="00E67349">
        <w:rPr>
          <w:rFonts w:eastAsiaTheme="minorHAnsi" w:cstheme="minorBidi"/>
          <w:sz w:val="20"/>
          <w:szCs w:val="20"/>
          <w:lang w:val="es-AR" w:eastAsia="en-US"/>
        </w:rPr>
        <w:t xml:space="preserve">Por tanto, concluyó que el Estado “no investigó los hechos del presente caso con la debida diligencia”. </w:t>
      </w:r>
    </w:p>
    <w:p w14:paraId="1D786D8E" w14:textId="77777777" w:rsidR="00E67349" w:rsidRPr="00E67349" w:rsidRDefault="00E67349" w:rsidP="000D4A1F">
      <w:pPr>
        <w:tabs>
          <w:tab w:val="left" w:pos="0"/>
        </w:tabs>
        <w:contextualSpacing/>
        <w:rPr>
          <w:rFonts w:eastAsiaTheme="minorHAnsi" w:cstheme="minorBidi"/>
          <w:sz w:val="20"/>
          <w:szCs w:val="20"/>
          <w:lang w:val="es-AR" w:eastAsia="en-US"/>
        </w:rPr>
      </w:pPr>
    </w:p>
    <w:p w14:paraId="300FB2C9" w14:textId="7548D43E" w:rsidR="00E67349" w:rsidRDefault="00E67349" w:rsidP="000D4A1F">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E67349">
        <w:rPr>
          <w:rFonts w:eastAsiaTheme="minorHAnsi" w:cstheme="minorBidi"/>
          <w:sz w:val="20"/>
          <w:szCs w:val="20"/>
          <w:lang w:val="es-AR" w:eastAsia="en-US"/>
        </w:rPr>
        <w:t>Por otra parte, en relación al deber de investigar en un plazo razonable, la Comisión examinó los cuatro criterios establecidos en la jurisprudencia de la Corte. Respecto al primer elemento, la complejidad del asunto, observó que el presente caso versa sobre un alegado homicidio culposo en perjuicio de una sola víctima, ocurrido en un hospital público, en el que supuestamente estuvieron involucrados algunos médicos, por lo que no encontró motivos para considerar que este caso envolvió un nivel de complejidad tal que justificara la demora de más de 14 años. Sobre el segundo elemento, la actividad procesal del interesado, destacó que fue a instancia de parte, mediante las querellas criminales, que se iniciaron e impulsaron las investigaciones, por lo que argumentó que no es posible considerar que la demora se debió a acciones u omisiones de los familiares del señor Poblete. En relación al tercer elemento, la conducta de las autoridades judiciales, destacó que la reapertura de la causa en dos oportunidades no ha activado la realización de diligencias para subsanar las falencias en la investigación por parte de las autoridad, y por el contrario, señaló que desde la reapertura en 2008 hasta la fecha, no cuenta con información sobre actividad en el expediente, a excepción de las respuestas dadas por la Corte Suprema de Justicia ante las solicitudes de intervención por parte de los familiares. Por último, consideró que no resultaba necesario analizar el cuarto elemento, la afectación generada en la situación jurídica de la persona involucrada en el proceso. No obstante, hizo notar que en este tipo de casos, el resultado del proceso penal puede tener incidencia en las perspectivas de reparación. Finalmente, la Comisión concluyó que las investigaciones llevadas a cabo a nivel interno no cumplieron con la garantía de plazo razonable.</w:t>
      </w:r>
      <w:r w:rsidR="0042344A">
        <w:rPr>
          <w:rFonts w:eastAsiaTheme="minorHAnsi" w:cstheme="minorBidi"/>
          <w:sz w:val="20"/>
          <w:szCs w:val="20"/>
          <w:lang w:val="es-AR" w:eastAsia="en-US"/>
        </w:rPr>
        <w:t xml:space="preserve"> </w:t>
      </w:r>
      <w:r w:rsidRPr="00E67349">
        <w:rPr>
          <w:rFonts w:eastAsiaTheme="minorHAnsi" w:cstheme="minorBidi"/>
          <w:sz w:val="20"/>
          <w:szCs w:val="20"/>
          <w:lang w:val="es-AR" w:eastAsia="en-US"/>
        </w:rPr>
        <w:t>La Comisión consideró que el Estado no logró comprobar cómo un retardo injustificado en el proceso careció de impacto directo en el deber de debida diligencia en la investigación y resolución del proceso. Cabe señalar que la Comisión no se pronunció al respecto de la violación al derecho a un juez imparcial.</w:t>
      </w:r>
    </w:p>
    <w:p w14:paraId="654A8675" w14:textId="77777777" w:rsidR="00E67349" w:rsidRPr="00E67349" w:rsidRDefault="00E67349" w:rsidP="000D4A1F">
      <w:pPr>
        <w:tabs>
          <w:tab w:val="left" w:pos="567"/>
          <w:tab w:val="num" w:pos="12305"/>
        </w:tabs>
        <w:rPr>
          <w:rFonts w:eastAsiaTheme="minorHAnsi" w:cstheme="minorBidi"/>
          <w:sz w:val="20"/>
          <w:szCs w:val="20"/>
          <w:lang w:val="es-AR" w:eastAsia="en-US"/>
        </w:rPr>
      </w:pPr>
    </w:p>
    <w:p w14:paraId="7715349B" w14:textId="15235DE9" w:rsidR="00E67349" w:rsidRPr="00E67349" w:rsidRDefault="00E67349" w:rsidP="000D4A1F">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E67349">
        <w:rPr>
          <w:rFonts w:eastAsiaTheme="minorHAnsi" w:cstheme="minorBidi"/>
          <w:sz w:val="20"/>
          <w:szCs w:val="20"/>
          <w:lang w:val="es-AR" w:eastAsia="en-US"/>
        </w:rPr>
        <w:t xml:space="preserve">Las </w:t>
      </w:r>
      <w:r w:rsidRPr="00E67349">
        <w:rPr>
          <w:rFonts w:eastAsiaTheme="minorHAnsi" w:cstheme="minorBidi"/>
          <w:b/>
          <w:i/>
          <w:sz w:val="20"/>
          <w:szCs w:val="20"/>
          <w:lang w:val="es-AR" w:eastAsia="en-US"/>
        </w:rPr>
        <w:t>representantes</w:t>
      </w:r>
      <w:r w:rsidRPr="00E67349">
        <w:rPr>
          <w:rFonts w:eastAsiaTheme="minorHAnsi" w:cstheme="minorBidi"/>
          <w:sz w:val="20"/>
          <w:szCs w:val="20"/>
          <w:lang w:val="es-AR" w:eastAsia="en-US"/>
        </w:rPr>
        <w:t xml:space="preserve"> coincidieron con lo expuesto por la Comisión en torno a la violación de los artículos 8 y 25 de la Convención Americana.</w:t>
      </w:r>
      <w:r w:rsidR="0042344A">
        <w:rPr>
          <w:rFonts w:eastAsiaTheme="minorHAnsi" w:cstheme="minorBidi"/>
          <w:sz w:val="20"/>
          <w:szCs w:val="20"/>
          <w:lang w:val="es-AR" w:eastAsia="en-US"/>
        </w:rPr>
        <w:t xml:space="preserve"> </w:t>
      </w:r>
      <w:r w:rsidRPr="00E67349">
        <w:rPr>
          <w:rFonts w:eastAsiaTheme="minorHAnsi" w:cstheme="minorBidi"/>
          <w:sz w:val="20"/>
          <w:szCs w:val="20"/>
          <w:lang w:val="es-AR" w:eastAsia="en-US"/>
        </w:rPr>
        <w:t xml:space="preserve">En este sentido, sostuvieron que el proceso penal no cumplió con los estándares exigibles y que las víctimas no tuvieron acceso a un recurso eficaz contra la violación </w:t>
      </w:r>
      <w:r w:rsidR="00012D32">
        <w:rPr>
          <w:rFonts w:eastAsiaTheme="minorHAnsi" w:cstheme="minorBidi"/>
          <w:sz w:val="20"/>
          <w:szCs w:val="20"/>
          <w:lang w:val="es-AR" w:eastAsia="en-US"/>
        </w:rPr>
        <w:t>de</w:t>
      </w:r>
      <w:r w:rsidR="00012D32" w:rsidRPr="00E67349">
        <w:rPr>
          <w:rFonts w:eastAsiaTheme="minorHAnsi" w:cstheme="minorBidi"/>
          <w:sz w:val="20"/>
          <w:szCs w:val="20"/>
          <w:lang w:val="es-AR" w:eastAsia="en-US"/>
        </w:rPr>
        <w:t xml:space="preserve"> </w:t>
      </w:r>
      <w:r w:rsidRPr="00E67349">
        <w:rPr>
          <w:rFonts w:eastAsiaTheme="minorHAnsi" w:cstheme="minorBidi"/>
          <w:sz w:val="20"/>
          <w:szCs w:val="20"/>
          <w:lang w:val="es-AR" w:eastAsia="en-US"/>
        </w:rPr>
        <w:t>sus derechos, lo cual tuvo como consecuencia el que no pudieran gozar de una protección judicial efectiva. Resaltaron la ineficacia con la cual se desarrolló el proceso, y como muestra de ésta señalaron que no se realizaron los careos solicitados.</w:t>
      </w:r>
      <w:r w:rsidR="0042344A">
        <w:rPr>
          <w:rFonts w:eastAsiaTheme="minorHAnsi" w:cstheme="minorBidi"/>
          <w:sz w:val="20"/>
          <w:szCs w:val="20"/>
          <w:lang w:val="es-AR" w:eastAsia="en-US"/>
        </w:rPr>
        <w:t xml:space="preserve"> </w:t>
      </w:r>
      <w:r w:rsidRPr="00E67349">
        <w:rPr>
          <w:rFonts w:eastAsiaTheme="minorHAnsi" w:cstheme="minorBidi"/>
          <w:sz w:val="20"/>
          <w:szCs w:val="20"/>
          <w:lang w:val="es-AR" w:eastAsia="en-US"/>
        </w:rPr>
        <w:t xml:space="preserve">Asimismo, destacaron la falta de diligencia y efectividad de los operadores de justicia en impulsar las investigaciones, que fueron interrumpidas y dilatadas injustificadamente </w:t>
      </w:r>
      <w:r w:rsidR="0042344A">
        <w:rPr>
          <w:rFonts w:eastAsiaTheme="minorHAnsi" w:cstheme="minorBidi"/>
          <w:sz w:val="20"/>
          <w:szCs w:val="20"/>
          <w:lang w:val="es-AR" w:eastAsia="en-US"/>
        </w:rPr>
        <w:t>lo que provocó que el</w:t>
      </w:r>
      <w:r w:rsidRPr="00E67349">
        <w:rPr>
          <w:rFonts w:eastAsiaTheme="minorHAnsi" w:cstheme="minorBidi"/>
          <w:sz w:val="20"/>
          <w:szCs w:val="20"/>
          <w:lang w:val="es-AR" w:eastAsia="en-US"/>
        </w:rPr>
        <w:t xml:space="preserve"> proceso interno</w:t>
      </w:r>
      <w:r w:rsidR="0042344A">
        <w:rPr>
          <w:rFonts w:eastAsiaTheme="minorHAnsi" w:cstheme="minorBidi"/>
          <w:sz w:val="20"/>
          <w:szCs w:val="20"/>
          <w:lang w:val="es-AR" w:eastAsia="en-US"/>
        </w:rPr>
        <w:t xml:space="preserve"> tardara </w:t>
      </w:r>
      <w:r w:rsidRPr="00E67349">
        <w:rPr>
          <w:rFonts w:eastAsiaTheme="minorHAnsi" w:cstheme="minorBidi"/>
          <w:sz w:val="20"/>
          <w:szCs w:val="20"/>
          <w:lang w:val="es-AR" w:eastAsia="en-US"/>
        </w:rPr>
        <w:t xml:space="preserve">siete años. Adicionalmente alegaron la violación al derecho a un tribunal imparcial, previsto en el artículo 8.1 de la Convención Americana en perjuicio de los familiares del señor Poblete Vilches. En relación a lo anterior, estimaron que la solicitud de la jueza de realizar estudios sobre las facultades mentales de Vinicio y </w:t>
      </w:r>
      <w:proofErr w:type="spellStart"/>
      <w:r w:rsidRPr="00E67349">
        <w:rPr>
          <w:rFonts w:eastAsiaTheme="minorHAnsi" w:cstheme="minorBidi"/>
          <w:sz w:val="20"/>
          <w:szCs w:val="20"/>
          <w:lang w:val="es-AR" w:eastAsia="en-US"/>
        </w:rPr>
        <w:t>Cesia</w:t>
      </w:r>
      <w:proofErr w:type="spellEnd"/>
      <w:r w:rsidRPr="00E67349">
        <w:rPr>
          <w:rFonts w:eastAsiaTheme="minorHAnsi" w:cstheme="minorBidi"/>
          <w:sz w:val="20"/>
          <w:szCs w:val="20"/>
          <w:lang w:val="es-AR" w:eastAsia="en-US"/>
        </w:rPr>
        <w:t xml:space="preserve"> Poblete Tapia fue tomada de modo completamente infundado sin que del expediente pudiera desprenderse algún elemento que la motivara. Agregaron que la decisión de la jueza fue arbitraria ya que carecía de fundamento, y en consecuencia, la consideraron como una muestra </w:t>
      </w:r>
      <w:r w:rsidRPr="00E67349">
        <w:rPr>
          <w:rFonts w:eastAsiaTheme="minorHAnsi" w:cstheme="minorBidi"/>
          <w:sz w:val="20"/>
          <w:szCs w:val="20"/>
          <w:lang w:val="es-AR" w:eastAsia="en-US"/>
        </w:rPr>
        <w:lastRenderedPageBreak/>
        <w:t xml:space="preserve">de la falta de imparcialidad de la juzgadora. Concluyeron que el Estado falló en sus obligaciones de proporcionar acceso a la justicia y a la verdad. </w:t>
      </w:r>
    </w:p>
    <w:p w14:paraId="0390130D" w14:textId="77777777" w:rsidR="00E67349" w:rsidRPr="00E67349" w:rsidRDefault="00E67349" w:rsidP="000D4A1F">
      <w:pPr>
        <w:tabs>
          <w:tab w:val="left" w:pos="567"/>
          <w:tab w:val="num" w:pos="12305"/>
        </w:tabs>
        <w:rPr>
          <w:rFonts w:eastAsiaTheme="minorHAnsi" w:cstheme="minorBidi"/>
          <w:sz w:val="20"/>
          <w:szCs w:val="20"/>
          <w:lang w:val="es-AR" w:eastAsia="en-US"/>
        </w:rPr>
      </w:pPr>
    </w:p>
    <w:p w14:paraId="49378D0C" w14:textId="00EFEB69" w:rsidR="00E67349" w:rsidRDefault="00E67349" w:rsidP="000D4A1F">
      <w:pPr>
        <w:numPr>
          <w:ilvl w:val="0"/>
          <w:numId w:val="2"/>
        </w:numPr>
        <w:tabs>
          <w:tab w:val="left" w:pos="567"/>
          <w:tab w:val="num" w:pos="1569"/>
          <w:tab w:val="num" w:pos="12305"/>
        </w:tabs>
        <w:ind w:left="0" w:firstLine="0"/>
        <w:rPr>
          <w:b/>
          <w:sz w:val="20"/>
          <w:szCs w:val="20"/>
          <w:lang w:val="es-ES" w:eastAsia="en-US"/>
        </w:rPr>
      </w:pPr>
      <w:r w:rsidRPr="00E67349">
        <w:rPr>
          <w:sz w:val="20"/>
          <w:szCs w:val="20"/>
          <w:lang w:val="es-ES" w:eastAsia="en-US"/>
        </w:rPr>
        <w:t xml:space="preserve">El </w:t>
      </w:r>
      <w:r w:rsidRPr="00E67349">
        <w:rPr>
          <w:b/>
          <w:i/>
          <w:sz w:val="20"/>
          <w:szCs w:val="20"/>
          <w:lang w:val="es-ES" w:eastAsia="en-US"/>
        </w:rPr>
        <w:t>Estado</w:t>
      </w:r>
      <w:r w:rsidRPr="00E67349">
        <w:rPr>
          <w:sz w:val="20"/>
          <w:szCs w:val="20"/>
          <w:lang w:val="es-ES" w:eastAsia="en-US"/>
        </w:rPr>
        <w:t xml:space="preserve"> reconoció la violación de los artículos 8 y 25 de la Convención Americana, en relación con el derecho a un plazo razonable, considerando que la actuación de las autoridades chilenas no fue lo suficientemente diligente (</w:t>
      </w:r>
      <w:r w:rsidR="00062586" w:rsidRPr="00062586">
        <w:rPr>
          <w:i/>
          <w:sz w:val="20"/>
          <w:szCs w:val="20"/>
          <w:lang w:val="es-ES" w:eastAsia="en-US"/>
        </w:rPr>
        <w:t>supra</w:t>
      </w:r>
      <w:r w:rsidRPr="00E67349">
        <w:rPr>
          <w:i/>
          <w:sz w:val="20"/>
          <w:szCs w:val="20"/>
          <w:lang w:val="es-ES" w:eastAsia="en-US"/>
        </w:rPr>
        <w:t xml:space="preserve"> </w:t>
      </w:r>
      <w:r w:rsidRPr="00E67349">
        <w:rPr>
          <w:sz w:val="20"/>
          <w:szCs w:val="20"/>
          <w:lang w:val="es-ES" w:eastAsia="en-US"/>
        </w:rPr>
        <w:t xml:space="preserve">párr. </w:t>
      </w:r>
      <w:r w:rsidR="0042344A">
        <w:rPr>
          <w:sz w:val="20"/>
          <w:szCs w:val="20"/>
          <w:lang w:val="es-ES" w:eastAsia="en-US"/>
        </w:rPr>
        <w:t>16</w:t>
      </w:r>
      <w:r w:rsidR="0042344A" w:rsidRPr="00E67349">
        <w:rPr>
          <w:sz w:val="20"/>
          <w:szCs w:val="20"/>
          <w:lang w:val="es-ES" w:eastAsia="en-US"/>
        </w:rPr>
        <w:t xml:space="preserve">). </w:t>
      </w:r>
      <w:r w:rsidRPr="00E67349">
        <w:rPr>
          <w:sz w:val="20"/>
          <w:szCs w:val="20"/>
          <w:lang w:val="es-ES" w:eastAsia="en-US"/>
        </w:rPr>
        <w:t>No obstante, no reconoció la violación del derecho a la debida diligencia (</w:t>
      </w:r>
      <w:r w:rsidR="00062586" w:rsidRPr="00062586">
        <w:rPr>
          <w:i/>
          <w:sz w:val="20"/>
          <w:szCs w:val="20"/>
          <w:lang w:val="es-ES" w:eastAsia="en-US"/>
        </w:rPr>
        <w:t>supra</w:t>
      </w:r>
      <w:r w:rsidRPr="00E67349">
        <w:rPr>
          <w:i/>
          <w:sz w:val="20"/>
          <w:szCs w:val="20"/>
          <w:lang w:val="es-ES" w:eastAsia="en-US"/>
        </w:rPr>
        <w:t xml:space="preserve"> </w:t>
      </w:r>
      <w:r w:rsidRPr="00E67349">
        <w:rPr>
          <w:sz w:val="20"/>
          <w:szCs w:val="20"/>
          <w:lang w:val="es-ES" w:eastAsia="en-US"/>
        </w:rPr>
        <w:t xml:space="preserve">párr. </w:t>
      </w:r>
      <w:r w:rsidR="0096292E">
        <w:rPr>
          <w:sz w:val="20"/>
          <w:szCs w:val="20"/>
          <w:lang w:val="es-ES" w:eastAsia="en-US"/>
        </w:rPr>
        <w:t>20</w:t>
      </w:r>
      <w:r w:rsidRPr="00E67349">
        <w:rPr>
          <w:sz w:val="20"/>
          <w:szCs w:val="20"/>
          <w:lang w:val="es-ES" w:eastAsia="en-US"/>
        </w:rPr>
        <w:t xml:space="preserve">) debido a que estimó que el Primer Juzgado Civil realizó todas las diligencias probatorias necesarias. En particular, el Estado resaltó que respecto a la causa de muerte del señor Poblete Vilches se realizaron dos pericias médico-legales que establecieron que no se había faltado a la </w:t>
      </w:r>
      <w:proofErr w:type="spellStart"/>
      <w:r w:rsidRPr="00E67349">
        <w:rPr>
          <w:i/>
          <w:sz w:val="20"/>
          <w:szCs w:val="20"/>
          <w:lang w:val="es-ES" w:eastAsia="en-US"/>
        </w:rPr>
        <w:t>lex</w:t>
      </w:r>
      <w:proofErr w:type="spellEnd"/>
      <w:r w:rsidRPr="00E67349">
        <w:rPr>
          <w:i/>
          <w:sz w:val="20"/>
          <w:szCs w:val="20"/>
          <w:lang w:val="es-ES" w:eastAsia="en-US"/>
        </w:rPr>
        <w:t xml:space="preserve"> </w:t>
      </w:r>
      <w:proofErr w:type="spellStart"/>
      <w:r w:rsidRPr="00E67349">
        <w:rPr>
          <w:i/>
          <w:sz w:val="20"/>
          <w:szCs w:val="20"/>
          <w:lang w:val="es-ES" w:eastAsia="en-US"/>
        </w:rPr>
        <w:t>artis</w:t>
      </w:r>
      <w:proofErr w:type="spellEnd"/>
      <w:r w:rsidRPr="00E67349">
        <w:rPr>
          <w:sz w:val="20"/>
          <w:szCs w:val="20"/>
          <w:lang w:val="es-ES" w:eastAsia="en-US"/>
        </w:rPr>
        <w:t xml:space="preserve">, descartando el nexo causal entre el actuar de los médicos y la muerte del paciente. Agregó que las dos querellas interpuestas fueron tramitadas en su antiguo proceso penal inquisitivo en el cual quien conducía la investigación era la misma persona que juzgaba el asunto, restando la imparcialidad que exige el debido proceso. Resaltó que todas las diligencias probatorias fueron concedidas a excepción de la exhumación del cuerpo y los careos. En este sentido, señaló que se realizaron 19 de las 26 diligencias solicitadas, y aclaró que en el presente caso hubo dos querellas; la primera de mayo de 2001, en la cual todas las diligencias solicitadas fueron concedidas y el señor Vinicio y la señora </w:t>
      </w:r>
      <w:proofErr w:type="spellStart"/>
      <w:r w:rsidRPr="00E67349">
        <w:rPr>
          <w:sz w:val="20"/>
          <w:szCs w:val="20"/>
          <w:lang w:val="es-ES" w:eastAsia="en-US"/>
        </w:rPr>
        <w:t>Cesia</w:t>
      </w:r>
      <w:proofErr w:type="spellEnd"/>
      <w:r w:rsidRPr="00E67349">
        <w:rPr>
          <w:sz w:val="20"/>
          <w:szCs w:val="20"/>
          <w:lang w:val="es-ES" w:eastAsia="en-US"/>
        </w:rPr>
        <w:t xml:space="preserve"> Poblete Tapia no solicitaron ser citados a ratificar la querella, y la segunda interpuesta en octubre de 2005, para la cual los señores Poblete Tapia sí solicitaron la ratificación de la querella, siendo citados para abril de 2006, por lo que no fueron cinco años de demora en la citación, sino seis meses.</w:t>
      </w:r>
      <w:r w:rsidRPr="00E67349">
        <w:rPr>
          <w:b/>
          <w:sz w:val="20"/>
          <w:szCs w:val="20"/>
          <w:lang w:val="es-ES" w:eastAsia="en-US"/>
        </w:rPr>
        <w:t xml:space="preserve"> </w:t>
      </w:r>
      <w:r w:rsidRPr="00E67349">
        <w:rPr>
          <w:sz w:val="20"/>
          <w:szCs w:val="20"/>
          <w:lang w:val="es-ES" w:eastAsia="en-US"/>
        </w:rPr>
        <w:t>El Estado arguyó que la actividad investigativa del tribunal fue positiva y sustantiva, agotando todos los recursos legales a su alcance.</w:t>
      </w:r>
      <w:r w:rsidRPr="00E67349">
        <w:rPr>
          <w:b/>
          <w:sz w:val="20"/>
          <w:szCs w:val="20"/>
          <w:lang w:val="es-ES" w:eastAsia="en-US"/>
        </w:rPr>
        <w:t xml:space="preserve"> </w:t>
      </w:r>
      <w:r w:rsidRPr="00E67349">
        <w:rPr>
          <w:sz w:val="20"/>
          <w:szCs w:val="20"/>
          <w:lang w:val="es-ES" w:eastAsia="en-US"/>
        </w:rPr>
        <w:t>Asimismo, el Estado tampoco reconoció la violación al derecho a ser juzgado por un tribunal imparcial (</w:t>
      </w:r>
      <w:r w:rsidR="00062586" w:rsidRPr="00062586">
        <w:rPr>
          <w:i/>
          <w:sz w:val="20"/>
          <w:szCs w:val="20"/>
          <w:lang w:val="es-ES" w:eastAsia="en-US"/>
        </w:rPr>
        <w:t>supra</w:t>
      </w:r>
      <w:r w:rsidRPr="00E67349">
        <w:rPr>
          <w:i/>
          <w:sz w:val="20"/>
          <w:szCs w:val="20"/>
          <w:lang w:val="es-ES" w:eastAsia="en-US"/>
        </w:rPr>
        <w:t xml:space="preserve"> </w:t>
      </w:r>
      <w:r w:rsidRPr="00E67349">
        <w:rPr>
          <w:sz w:val="20"/>
          <w:szCs w:val="20"/>
          <w:lang w:val="es-ES" w:eastAsia="en-US"/>
        </w:rPr>
        <w:t xml:space="preserve">párr. </w:t>
      </w:r>
      <w:r w:rsidR="0042344A">
        <w:rPr>
          <w:sz w:val="20"/>
          <w:szCs w:val="20"/>
          <w:lang w:val="es-ES" w:eastAsia="en-US"/>
        </w:rPr>
        <w:t>20</w:t>
      </w:r>
      <w:r w:rsidR="0042344A" w:rsidRPr="00E67349">
        <w:rPr>
          <w:sz w:val="20"/>
          <w:szCs w:val="20"/>
          <w:lang w:val="es-ES" w:eastAsia="en-US"/>
        </w:rPr>
        <w:t xml:space="preserve">) </w:t>
      </w:r>
      <w:r w:rsidRPr="00E67349">
        <w:rPr>
          <w:sz w:val="20"/>
          <w:szCs w:val="20"/>
          <w:lang w:val="es-ES" w:eastAsia="en-US"/>
        </w:rPr>
        <w:t xml:space="preserve">debido a que consideró que el Juzgado competente actuó dentro de sus facultades legales teniendo como motivación la contenida en las normas. Al respecto, resaltó que la </w:t>
      </w:r>
      <w:r w:rsidR="0042344A">
        <w:rPr>
          <w:sz w:val="20"/>
          <w:szCs w:val="20"/>
          <w:lang w:val="es-ES" w:eastAsia="en-US"/>
        </w:rPr>
        <w:t>imparcialidad subjetiva</w:t>
      </w:r>
      <w:r w:rsidR="0042344A" w:rsidRPr="00E67349">
        <w:rPr>
          <w:sz w:val="20"/>
          <w:szCs w:val="20"/>
          <w:lang w:val="es-ES" w:eastAsia="en-US"/>
        </w:rPr>
        <w:t xml:space="preserve"> </w:t>
      </w:r>
      <w:r w:rsidRPr="00E67349">
        <w:rPr>
          <w:sz w:val="20"/>
          <w:szCs w:val="20"/>
          <w:lang w:val="es-ES" w:eastAsia="en-US"/>
        </w:rPr>
        <w:t xml:space="preserve">se presume a favor del juez y por tanto quien la alega debe probarla a través de elementos probatorios específicos y concretos. </w:t>
      </w:r>
    </w:p>
    <w:p w14:paraId="732AEF74" w14:textId="77777777" w:rsidR="00E67349" w:rsidRPr="00E67349" w:rsidRDefault="00E67349" w:rsidP="000D4A1F">
      <w:pPr>
        <w:tabs>
          <w:tab w:val="left" w:pos="567"/>
          <w:tab w:val="num" w:pos="12305"/>
        </w:tabs>
        <w:rPr>
          <w:b/>
          <w:sz w:val="20"/>
          <w:szCs w:val="20"/>
          <w:lang w:val="es-ES" w:eastAsia="en-US"/>
        </w:rPr>
      </w:pPr>
    </w:p>
    <w:p w14:paraId="51313D22" w14:textId="77777777" w:rsidR="00E67349" w:rsidRPr="00225E59" w:rsidRDefault="00E67349" w:rsidP="002A64C9">
      <w:pPr>
        <w:pStyle w:val="Heading2"/>
        <w:numPr>
          <w:ilvl w:val="0"/>
          <w:numId w:val="11"/>
        </w:numPr>
      </w:pPr>
      <w:bookmarkStart w:id="93" w:name="_Toc513644479"/>
      <w:r w:rsidRPr="00225E59">
        <w:t>Consideraciones de la Corte</w:t>
      </w:r>
      <w:bookmarkEnd w:id="93"/>
    </w:p>
    <w:p w14:paraId="69033543" w14:textId="77777777" w:rsidR="000D4A1F" w:rsidRPr="00E67349" w:rsidRDefault="000D4A1F" w:rsidP="000D4A1F">
      <w:pPr>
        <w:rPr>
          <w:b/>
          <w:i/>
          <w:sz w:val="20"/>
          <w:szCs w:val="20"/>
          <w:lang w:val="es-ES" w:eastAsia="en-US"/>
        </w:rPr>
      </w:pPr>
    </w:p>
    <w:p w14:paraId="3B1F4B78" w14:textId="0F26C1E3" w:rsidR="00E67349" w:rsidRPr="00E67349" w:rsidRDefault="00E67349" w:rsidP="000D4A1F">
      <w:pPr>
        <w:numPr>
          <w:ilvl w:val="0"/>
          <w:numId w:val="2"/>
        </w:numPr>
        <w:tabs>
          <w:tab w:val="left" w:pos="567"/>
          <w:tab w:val="num" w:pos="1569"/>
          <w:tab w:val="num" w:pos="12305"/>
        </w:tabs>
        <w:ind w:left="0" w:firstLine="0"/>
        <w:rPr>
          <w:rFonts w:eastAsiaTheme="minorHAnsi" w:cstheme="minorBidi"/>
          <w:b/>
          <w:i/>
          <w:sz w:val="20"/>
          <w:szCs w:val="20"/>
          <w:lang w:val="es-AR" w:eastAsia="en-US"/>
        </w:rPr>
      </w:pPr>
      <w:r w:rsidRPr="00E67349">
        <w:rPr>
          <w:rFonts w:eastAsiaTheme="minorHAnsi" w:cstheme="minorBidi"/>
          <w:sz w:val="20"/>
          <w:szCs w:val="20"/>
          <w:lang w:val="es-AR" w:eastAsia="en-US"/>
        </w:rPr>
        <w:t>La Corte recuerda que en el presente caso se presentó una primera querella criminal en el año 2001, y una segunda querella en el año 2005, por parte de los familiares del señor Poblete Vilches. El 11 de diciembre de 2006 el Juzgado Primero Civil ordenó el sobreseimiento de la causa, no obstante, el 17 de febrero de 2007 desarchivo la causa. Nuevamente, el 30 junio de 2008 dictó el sobreseimiento de la causa y el 5 de agosto de 2008 ordenó su desarchivo. A la fecha, no se han establecido las responsabilidades penales correspondientes por los hechos del presente caso (</w:t>
      </w:r>
      <w:r w:rsidR="00062586" w:rsidRPr="00062586">
        <w:rPr>
          <w:rFonts w:eastAsiaTheme="minorHAnsi" w:cstheme="minorBidi"/>
          <w:i/>
          <w:sz w:val="20"/>
          <w:szCs w:val="20"/>
          <w:lang w:val="es-AR" w:eastAsia="en-US"/>
        </w:rPr>
        <w:t>supra</w:t>
      </w:r>
      <w:r w:rsidRPr="00E67349">
        <w:rPr>
          <w:rFonts w:eastAsiaTheme="minorHAnsi" w:cstheme="minorBidi"/>
          <w:i/>
          <w:sz w:val="20"/>
          <w:szCs w:val="20"/>
          <w:lang w:val="es-AR" w:eastAsia="en-US"/>
        </w:rPr>
        <w:t xml:space="preserve"> </w:t>
      </w:r>
      <w:proofErr w:type="spellStart"/>
      <w:r w:rsidRPr="00E67349">
        <w:rPr>
          <w:rFonts w:eastAsiaTheme="minorHAnsi" w:cstheme="minorBidi"/>
          <w:sz w:val="20"/>
          <w:szCs w:val="20"/>
          <w:lang w:val="es-AR" w:eastAsia="en-US"/>
        </w:rPr>
        <w:t>párrs</w:t>
      </w:r>
      <w:proofErr w:type="spellEnd"/>
      <w:r w:rsidRPr="00E67349">
        <w:rPr>
          <w:rFonts w:eastAsiaTheme="minorHAnsi" w:cstheme="minorBidi"/>
          <w:sz w:val="20"/>
          <w:szCs w:val="20"/>
          <w:lang w:val="es-AR" w:eastAsia="en-US"/>
        </w:rPr>
        <w:t xml:space="preserve">. </w:t>
      </w:r>
      <w:r w:rsidR="00974D1E">
        <w:rPr>
          <w:rFonts w:eastAsiaTheme="minorHAnsi" w:cstheme="minorBidi"/>
          <w:sz w:val="20"/>
          <w:szCs w:val="20"/>
          <w:lang w:val="es-AR" w:eastAsia="en-US"/>
        </w:rPr>
        <w:t>59</w:t>
      </w:r>
      <w:r w:rsidR="00974D1E" w:rsidRPr="00E67349">
        <w:rPr>
          <w:rFonts w:eastAsiaTheme="minorHAnsi" w:cstheme="minorBidi"/>
          <w:sz w:val="20"/>
          <w:szCs w:val="20"/>
          <w:lang w:val="es-AR" w:eastAsia="en-US"/>
        </w:rPr>
        <w:t xml:space="preserve"> </w:t>
      </w:r>
      <w:r w:rsidRPr="00E67349">
        <w:rPr>
          <w:rFonts w:eastAsiaTheme="minorHAnsi" w:cstheme="minorBidi"/>
          <w:sz w:val="20"/>
          <w:szCs w:val="20"/>
          <w:lang w:val="es-AR" w:eastAsia="en-US"/>
        </w:rPr>
        <w:t xml:space="preserve">a </w:t>
      </w:r>
      <w:r w:rsidR="00974D1E">
        <w:rPr>
          <w:rFonts w:eastAsiaTheme="minorHAnsi" w:cstheme="minorBidi"/>
          <w:sz w:val="20"/>
          <w:szCs w:val="20"/>
          <w:lang w:val="es-AR" w:eastAsia="en-US"/>
        </w:rPr>
        <w:t>79</w:t>
      </w:r>
      <w:r w:rsidR="00974D1E" w:rsidRPr="00E67349">
        <w:rPr>
          <w:rFonts w:eastAsiaTheme="minorHAnsi" w:cstheme="minorBidi"/>
          <w:sz w:val="20"/>
          <w:szCs w:val="20"/>
          <w:lang w:val="es-AR" w:eastAsia="en-US"/>
        </w:rPr>
        <w:t>).</w:t>
      </w:r>
    </w:p>
    <w:p w14:paraId="3A9F054C" w14:textId="77777777" w:rsidR="00E67349" w:rsidRPr="00E67349" w:rsidRDefault="00E67349" w:rsidP="000D4A1F">
      <w:pPr>
        <w:tabs>
          <w:tab w:val="left" w:pos="0"/>
        </w:tabs>
        <w:contextualSpacing/>
        <w:rPr>
          <w:rFonts w:eastAsiaTheme="minorHAnsi" w:cstheme="minorBidi"/>
          <w:b/>
          <w:i/>
          <w:sz w:val="20"/>
          <w:szCs w:val="20"/>
          <w:lang w:val="es-AR" w:eastAsia="en-US"/>
        </w:rPr>
      </w:pPr>
    </w:p>
    <w:p w14:paraId="019B1220" w14:textId="3BB77B7C" w:rsidR="00E67349" w:rsidRPr="00152F4C" w:rsidRDefault="00152F4C" w:rsidP="00152F4C">
      <w:pPr>
        <w:numPr>
          <w:ilvl w:val="0"/>
          <w:numId w:val="2"/>
        </w:numPr>
        <w:tabs>
          <w:tab w:val="left" w:pos="567"/>
          <w:tab w:val="num" w:pos="1569"/>
          <w:tab w:val="num" w:pos="12305"/>
        </w:tabs>
        <w:ind w:left="0" w:firstLine="0"/>
        <w:rPr>
          <w:rFonts w:eastAsiaTheme="minorHAnsi" w:cstheme="minorBidi"/>
          <w:b/>
          <w:i/>
          <w:sz w:val="20"/>
          <w:szCs w:val="20"/>
          <w:lang w:val="es-AR" w:eastAsia="en-US"/>
        </w:rPr>
      </w:pPr>
      <w:r>
        <w:rPr>
          <w:rFonts w:eastAsiaTheme="minorHAnsi" w:cstheme="minorBidi"/>
          <w:sz w:val="20"/>
          <w:szCs w:val="20"/>
          <w:lang w:val="es-AR" w:eastAsia="en-US"/>
        </w:rPr>
        <w:t>La Corte recuerda que el Estado ya reconoció su responsabilidad en relación con el incumplimiento del plazo razonable</w:t>
      </w:r>
      <w:r w:rsidRPr="00152F4C">
        <w:rPr>
          <w:rFonts w:eastAsiaTheme="minorHAnsi" w:cstheme="minorBidi"/>
          <w:sz w:val="20"/>
          <w:szCs w:val="20"/>
          <w:lang w:val="es-AR" w:eastAsia="en-US"/>
        </w:rPr>
        <w:t xml:space="preserve">, </w:t>
      </w:r>
      <w:r w:rsidRPr="00C27894">
        <w:rPr>
          <w:rFonts w:eastAsiaTheme="minorHAnsi" w:cstheme="minorBidi"/>
          <w:sz w:val="20"/>
          <w:szCs w:val="20"/>
          <w:lang w:val="es-AR" w:eastAsia="en-US"/>
        </w:rPr>
        <w:t>tomando en cuenta</w:t>
      </w:r>
      <w:r w:rsidR="00BF56F2" w:rsidRPr="00BF56F2">
        <w:rPr>
          <w:rFonts w:eastAsiaTheme="minorHAnsi" w:cstheme="minorBidi"/>
          <w:sz w:val="20"/>
          <w:szCs w:val="20"/>
          <w:lang w:val="es-AR" w:eastAsia="en-US"/>
        </w:rPr>
        <w:t xml:space="preserve"> la demora de aproximadamente 1</w:t>
      </w:r>
      <w:r w:rsidR="00BF56F2">
        <w:rPr>
          <w:rFonts w:eastAsiaTheme="minorHAnsi" w:cstheme="minorBidi"/>
          <w:sz w:val="20"/>
          <w:szCs w:val="20"/>
          <w:lang w:val="es-AR" w:eastAsia="en-US"/>
        </w:rPr>
        <w:t>7</w:t>
      </w:r>
      <w:r w:rsidRPr="00C27894">
        <w:rPr>
          <w:rFonts w:eastAsiaTheme="minorHAnsi" w:cstheme="minorBidi"/>
          <w:sz w:val="20"/>
          <w:szCs w:val="20"/>
          <w:lang w:val="es-AR" w:eastAsia="en-US"/>
        </w:rPr>
        <w:t xml:space="preserve"> años en la investigación del presente caso sin resultados</w:t>
      </w:r>
      <w:r w:rsidRPr="00152F4C">
        <w:rPr>
          <w:rFonts w:eastAsiaTheme="minorHAnsi" w:cstheme="minorBidi"/>
          <w:sz w:val="20"/>
          <w:szCs w:val="20"/>
          <w:lang w:val="es-AR" w:eastAsia="en-US"/>
        </w:rPr>
        <w:t xml:space="preserve"> (</w:t>
      </w:r>
      <w:r w:rsidR="00062586" w:rsidRPr="00062586">
        <w:rPr>
          <w:rFonts w:eastAsiaTheme="minorHAnsi" w:cstheme="minorBidi"/>
          <w:i/>
          <w:sz w:val="20"/>
          <w:szCs w:val="20"/>
          <w:lang w:val="es-AR" w:eastAsia="en-US"/>
        </w:rPr>
        <w:t>supra</w:t>
      </w:r>
      <w:r w:rsidRPr="00152F4C">
        <w:rPr>
          <w:rFonts w:eastAsiaTheme="minorHAnsi" w:cstheme="minorBidi"/>
          <w:sz w:val="20"/>
          <w:szCs w:val="20"/>
          <w:lang w:val="es-AR" w:eastAsia="en-US"/>
        </w:rPr>
        <w:t xml:space="preserve"> párr. </w:t>
      </w:r>
      <w:r w:rsidR="00974D1E">
        <w:rPr>
          <w:rFonts w:eastAsiaTheme="minorHAnsi" w:cstheme="minorBidi"/>
          <w:sz w:val="20"/>
          <w:szCs w:val="20"/>
          <w:lang w:val="es-AR" w:eastAsia="en-US"/>
        </w:rPr>
        <w:t>16</w:t>
      </w:r>
      <w:r w:rsidR="00974D1E" w:rsidRPr="00152F4C">
        <w:rPr>
          <w:rFonts w:eastAsiaTheme="minorHAnsi" w:cstheme="minorBidi"/>
          <w:sz w:val="20"/>
          <w:szCs w:val="20"/>
          <w:lang w:val="es-AR" w:eastAsia="en-US"/>
        </w:rPr>
        <w:t xml:space="preserve">). </w:t>
      </w:r>
      <w:r w:rsidRPr="00152F4C">
        <w:rPr>
          <w:rFonts w:eastAsiaTheme="minorHAnsi" w:cstheme="minorBidi"/>
          <w:sz w:val="20"/>
          <w:szCs w:val="20"/>
          <w:lang w:val="es-AR" w:eastAsia="en-US"/>
        </w:rPr>
        <w:t xml:space="preserve">Al respecto, </w:t>
      </w:r>
      <w:r w:rsidR="00BF56F2">
        <w:rPr>
          <w:rFonts w:eastAsiaTheme="minorHAnsi" w:cstheme="minorBidi"/>
          <w:sz w:val="20"/>
          <w:szCs w:val="20"/>
          <w:lang w:val="es-AR" w:eastAsia="en-US"/>
        </w:rPr>
        <w:t>la C</w:t>
      </w:r>
      <w:r w:rsidRPr="00152F4C">
        <w:rPr>
          <w:rFonts w:eastAsiaTheme="minorHAnsi" w:cstheme="minorBidi"/>
          <w:sz w:val="20"/>
          <w:szCs w:val="20"/>
          <w:lang w:val="es-AR" w:eastAsia="en-US"/>
        </w:rPr>
        <w:t xml:space="preserve">orte </w:t>
      </w:r>
      <w:r w:rsidRPr="00AA7ACB">
        <w:rPr>
          <w:rFonts w:eastAsiaTheme="minorHAnsi" w:cstheme="minorBidi"/>
          <w:sz w:val="20"/>
          <w:szCs w:val="20"/>
          <w:lang w:val="es-AR" w:eastAsia="en-US"/>
        </w:rPr>
        <w:t>nota que</w:t>
      </w:r>
      <w:r w:rsidRPr="001B6272">
        <w:rPr>
          <w:rFonts w:eastAsiaTheme="minorHAnsi"/>
          <w:sz w:val="20"/>
          <w:szCs w:val="20"/>
          <w:lang w:eastAsia="en-US"/>
        </w:rPr>
        <w:t xml:space="preserve"> ha cesado </w:t>
      </w:r>
      <w:r w:rsidRPr="00453423">
        <w:rPr>
          <w:rFonts w:eastAsiaTheme="minorHAnsi"/>
          <w:sz w:val="20"/>
          <w:szCs w:val="20"/>
          <w:lang w:eastAsia="en-US"/>
        </w:rPr>
        <w:t>esta controversia</w:t>
      </w:r>
      <w:r w:rsidRPr="00453423">
        <w:rPr>
          <w:rFonts w:eastAsiaTheme="minorHAnsi" w:cstheme="minorBidi"/>
          <w:sz w:val="20"/>
          <w:szCs w:val="20"/>
          <w:lang w:val="es-AR" w:eastAsia="en-US"/>
        </w:rPr>
        <w:t>.</w:t>
      </w:r>
      <w:r w:rsidRPr="00152F4C">
        <w:rPr>
          <w:rFonts w:eastAsiaTheme="minorHAnsi" w:cstheme="minorBidi"/>
          <w:sz w:val="20"/>
          <w:szCs w:val="20"/>
          <w:lang w:val="es-AR" w:eastAsia="en-US"/>
        </w:rPr>
        <w:t xml:space="preserve"> </w:t>
      </w:r>
      <w:r w:rsidR="00E67349" w:rsidRPr="00152F4C">
        <w:rPr>
          <w:rFonts w:eastAsiaTheme="minorHAnsi" w:cstheme="minorBidi"/>
          <w:sz w:val="20"/>
          <w:szCs w:val="20"/>
          <w:lang w:val="es-AR" w:eastAsia="en-US"/>
        </w:rPr>
        <w:t xml:space="preserve">En virtud de lo anterior, a continuación la Corte se referirá </w:t>
      </w:r>
      <w:r w:rsidRPr="00152F4C">
        <w:rPr>
          <w:rFonts w:eastAsiaTheme="minorHAnsi" w:cstheme="minorBidi"/>
          <w:sz w:val="20"/>
          <w:szCs w:val="20"/>
          <w:lang w:val="es-AR" w:eastAsia="en-US"/>
        </w:rPr>
        <w:t xml:space="preserve">sobre </w:t>
      </w:r>
      <w:r w:rsidR="00E67349" w:rsidRPr="00152F4C">
        <w:rPr>
          <w:rFonts w:eastAsiaTheme="minorHAnsi" w:cstheme="minorBidi"/>
          <w:sz w:val="20"/>
          <w:szCs w:val="20"/>
          <w:lang w:val="es-AR" w:eastAsia="en-US"/>
        </w:rPr>
        <w:t xml:space="preserve">la alegada vulneración de los artículos 8 y 25 de la Convención Americana, por la </w:t>
      </w:r>
      <w:r>
        <w:rPr>
          <w:rFonts w:eastAsiaTheme="minorHAnsi" w:cstheme="minorBidi"/>
          <w:sz w:val="20"/>
          <w:szCs w:val="20"/>
          <w:lang w:val="es-AR" w:eastAsia="en-US"/>
        </w:rPr>
        <w:t>alegada</w:t>
      </w:r>
      <w:r w:rsidRPr="00152F4C">
        <w:rPr>
          <w:rFonts w:eastAsiaTheme="minorHAnsi" w:cstheme="minorBidi"/>
          <w:sz w:val="20"/>
          <w:szCs w:val="20"/>
          <w:lang w:val="es-AR" w:eastAsia="en-US"/>
        </w:rPr>
        <w:t xml:space="preserve"> </w:t>
      </w:r>
      <w:r w:rsidR="00E67349" w:rsidRPr="00152F4C">
        <w:rPr>
          <w:rFonts w:eastAsiaTheme="minorHAnsi" w:cstheme="minorBidi"/>
          <w:sz w:val="20"/>
          <w:szCs w:val="20"/>
          <w:lang w:val="es-AR" w:eastAsia="en-US"/>
        </w:rPr>
        <w:t xml:space="preserve">violación de los derechos a: 1) </w:t>
      </w:r>
      <w:r w:rsidRPr="00152F4C">
        <w:rPr>
          <w:rFonts w:eastAsiaTheme="minorHAnsi" w:cstheme="minorBidi"/>
          <w:sz w:val="20"/>
          <w:szCs w:val="20"/>
          <w:lang w:val="es-AR" w:eastAsia="en-US"/>
        </w:rPr>
        <w:t xml:space="preserve">la </w:t>
      </w:r>
      <w:r w:rsidR="00E67349" w:rsidRPr="00152F4C">
        <w:rPr>
          <w:rFonts w:eastAsiaTheme="minorHAnsi" w:cstheme="minorBidi"/>
          <w:sz w:val="20"/>
          <w:szCs w:val="20"/>
          <w:lang w:val="es-AR" w:eastAsia="en-US"/>
        </w:rPr>
        <w:t xml:space="preserve">debida diligencia y </w:t>
      </w:r>
      <w:r w:rsidRPr="00152F4C">
        <w:rPr>
          <w:rFonts w:eastAsiaTheme="minorHAnsi" w:cstheme="minorBidi"/>
          <w:sz w:val="20"/>
          <w:szCs w:val="20"/>
          <w:lang w:val="es-AR" w:eastAsia="en-US"/>
        </w:rPr>
        <w:t>2</w:t>
      </w:r>
      <w:r w:rsidR="00E67349" w:rsidRPr="00152F4C">
        <w:rPr>
          <w:rFonts w:eastAsiaTheme="minorHAnsi" w:cstheme="minorBidi"/>
          <w:sz w:val="20"/>
          <w:szCs w:val="20"/>
          <w:lang w:val="es-AR" w:eastAsia="en-US"/>
        </w:rPr>
        <w:t xml:space="preserve">) </w:t>
      </w:r>
      <w:r w:rsidRPr="00152F4C">
        <w:rPr>
          <w:rFonts w:eastAsiaTheme="minorHAnsi" w:cstheme="minorBidi"/>
          <w:sz w:val="20"/>
          <w:szCs w:val="20"/>
          <w:lang w:val="es-AR" w:eastAsia="en-US"/>
        </w:rPr>
        <w:t xml:space="preserve">la </w:t>
      </w:r>
      <w:r w:rsidR="00E67349" w:rsidRPr="00152F4C">
        <w:rPr>
          <w:rFonts w:eastAsiaTheme="minorHAnsi" w:cstheme="minorBidi"/>
          <w:sz w:val="20"/>
          <w:szCs w:val="20"/>
          <w:lang w:val="es-AR" w:eastAsia="en-US"/>
        </w:rPr>
        <w:t xml:space="preserve">imparcialidad judicial.  </w:t>
      </w:r>
    </w:p>
    <w:p w14:paraId="3512FD1D" w14:textId="77777777" w:rsidR="00E67349" w:rsidRPr="00E67349" w:rsidRDefault="00E67349" w:rsidP="000D4A1F">
      <w:pPr>
        <w:tabs>
          <w:tab w:val="left" w:pos="567"/>
          <w:tab w:val="num" w:pos="12305"/>
        </w:tabs>
        <w:rPr>
          <w:rFonts w:eastAsiaTheme="minorHAnsi" w:cstheme="minorBidi"/>
          <w:b/>
          <w:i/>
          <w:sz w:val="20"/>
          <w:szCs w:val="20"/>
          <w:lang w:val="es-AR" w:eastAsia="en-US"/>
        </w:rPr>
      </w:pPr>
    </w:p>
    <w:p w14:paraId="348510D0" w14:textId="77777777" w:rsidR="00E67349" w:rsidRPr="00164C05" w:rsidRDefault="00E67349" w:rsidP="00225E59">
      <w:pPr>
        <w:pStyle w:val="Heading3"/>
        <w:rPr>
          <w:b/>
        </w:rPr>
      </w:pPr>
      <w:bookmarkStart w:id="94" w:name="_Toc513644480"/>
      <w:r w:rsidRPr="00164C05">
        <w:rPr>
          <w:b/>
        </w:rPr>
        <w:t>1. Respecto de la debida diligencia</w:t>
      </w:r>
      <w:bookmarkEnd w:id="94"/>
    </w:p>
    <w:p w14:paraId="6FE2C148" w14:textId="77777777" w:rsidR="000D4A1F" w:rsidRPr="00E67349" w:rsidRDefault="000D4A1F" w:rsidP="000D4A1F">
      <w:pPr>
        <w:ind w:firstLine="360"/>
        <w:rPr>
          <w:i/>
          <w:sz w:val="20"/>
          <w:szCs w:val="20"/>
          <w:lang w:val="es-ES" w:eastAsia="en-US"/>
        </w:rPr>
      </w:pPr>
    </w:p>
    <w:p w14:paraId="691DD4D0" w14:textId="64897AD2" w:rsidR="00E67349" w:rsidRPr="00E67349" w:rsidRDefault="00E67349" w:rsidP="000D4A1F">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E67349">
        <w:rPr>
          <w:rFonts w:eastAsiaTheme="minorHAnsi" w:cstheme="minorBidi"/>
          <w:sz w:val="20"/>
          <w:szCs w:val="20"/>
          <w:lang w:val="es-AR" w:eastAsia="en-US"/>
        </w:rPr>
        <w:t>Esta Corte ha sostenido que la protección judicial “constituye uno de los pilares básicos de la Convención Americana y del propio Estado de Derecho en una sociedad democrática</w:t>
      </w:r>
      <w:r w:rsidRPr="00E67349">
        <w:rPr>
          <w:rFonts w:eastAsiaTheme="minorHAnsi" w:cstheme="minorBidi"/>
          <w:sz w:val="20"/>
          <w:szCs w:val="20"/>
          <w:vertAlign w:val="superscript"/>
          <w:lang w:val="es-AR" w:eastAsia="en-US"/>
        </w:rPr>
        <w:footnoteReference w:id="271"/>
      </w:r>
      <w:r w:rsidRPr="00E67349">
        <w:rPr>
          <w:rFonts w:eastAsiaTheme="minorHAnsi" w:cstheme="minorBidi"/>
          <w:sz w:val="20"/>
          <w:szCs w:val="20"/>
          <w:lang w:val="es-AR" w:eastAsia="en-US"/>
        </w:rPr>
        <w:t xml:space="preserve">”. La Corte ha señalado que “los artículos 8 y 25 de la Convención también consagran el derecho al </w:t>
      </w:r>
      <w:r w:rsidRPr="00E67349">
        <w:rPr>
          <w:rFonts w:eastAsiaTheme="minorHAnsi" w:cstheme="minorBidi"/>
          <w:sz w:val="20"/>
          <w:szCs w:val="20"/>
          <w:lang w:val="es-AR" w:eastAsia="en-US"/>
        </w:rPr>
        <w:lastRenderedPageBreak/>
        <w:t>acceso a la justicia, norma imperativa del Derecho Internacional</w:t>
      </w:r>
      <w:r w:rsidRPr="00E67349">
        <w:rPr>
          <w:rFonts w:eastAsiaTheme="minorHAnsi" w:cstheme="minorBidi"/>
          <w:sz w:val="20"/>
          <w:szCs w:val="20"/>
          <w:vertAlign w:val="superscript"/>
          <w:lang w:val="es-AR" w:eastAsia="en-US"/>
        </w:rPr>
        <w:footnoteReference w:id="272"/>
      </w:r>
      <w:r w:rsidRPr="00E67349">
        <w:rPr>
          <w:rFonts w:eastAsiaTheme="minorHAnsi" w:cstheme="minorBidi"/>
          <w:sz w:val="20"/>
          <w:szCs w:val="20"/>
          <w:lang w:val="es-AR" w:eastAsia="en-US"/>
        </w:rPr>
        <w:t>”. Asimismo, el principio de tutela judicial efectiva requiere que los procedimientos judiciales sean accesibles para las partes, sin obstáculos o demoras indebidas, a fin de que alcancen su objetivo de manera rápida, sencilla e integral</w:t>
      </w:r>
      <w:r w:rsidRPr="00E67349">
        <w:rPr>
          <w:rFonts w:eastAsiaTheme="minorHAnsi" w:cstheme="minorBidi"/>
          <w:sz w:val="20"/>
          <w:szCs w:val="20"/>
          <w:vertAlign w:val="superscript"/>
          <w:lang w:val="es-AR" w:eastAsia="en-US"/>
        </w:rPr>
        <w:footnoteReference w:id="273"/>
      </w:r>
      <w:r w:rsidRPr="00E67349">
        <w:rPr>
          <w:rFonts w:eastAsiaTheme="minorHAnsi" w:cstheme="minorBidi"/>
          <w:sz w:val="20"/>
          <w:szCs w:val="20"/>
          <w:lang w:val="es-AR" w:eastAsia="en-US"/>
        </w:rPr>
        <w:t>. Aunado a lo anterior, este Tribunal ha señalado que el artículo 25.1 de la Convención contempla la obligación de los Estados Partes de garantizar, a todas las personas bajo su jurisdicción, un recurso judicial efectivo contra actos violatorios de sus derechos fundamentales</w:t>
      </w:r>
      <w:r w:rsidRPr="00E67349">
        <w:rPr>
          <w:rFonts w:eastAsiaTheme="minorHAnsi" w:cstheme="minorBidi"/>
          <w:sz w:val="20"/>
          <w:szCs w:val="20"/>
          <w:vertAlign w:val="superscript"/>
          <w:lang w:val="es-AR" w:eastAsia="en-US"/>
        </w:rPr>
        <w:footnoteReference w:id="274"/>
      </w:r>
      <w:r w:rsidRPr="00E67349">
        <w:rPr>
          <w:rFonts w:eastAsiaTheme="minorHAnsi" w:cstheme="minorBidi"/>
          <w:sz w:val="20"/>
          <w:szCs w:val="20"/>
          <w:lang w:val="es-AR" w:eastAsia="en-US"/>
        </w:rPr>
        <w:t>, reconocidos ya sea en la Constitución, en las leyes o en la Convención</w:t>
      </w:r>
      <w:r w:rsidRPr="00E67349">
        <w:rPr>
          <w:rFonts w:eastAsiaTheme="minorHAnsi" w:cstheme="minorBidi"/>
          <w:sz w:val="20"/>
          <w:szCs w:val="20"/>
          <w:vertAlign w:val="superscript"/>
          <w:lang w:val="es-AR" w:eastAsia="en-US"/>
        </w:rPr>
        <w:footnoteReference w:id="275"/>
      </w:r>
      <w:r w:rsidRPr="00E67349">
        <w:rPr>
          <w:rFonts w:eastAsiaTheme="minorHAnsi" w:cstheme="minorBidi"/>
          <w:sz w:val="20"/>
          <w:szCs w:val="20"/>
          <w:lang w:val="es-AR" w:eastAsia="en-US"/>
        </w:rPr>
        <w:t xml:space="preserve">. </w:t>
      </w:r>
    </w:p>
    <w:p w14:paraId="387A1624" w14:textId="77777777" w:rsidR="00E67349" w:rsidRPr="00E67349" w:rsidRDefault="00E67349" w:rsidP="000D4A1F">
      <w:pPr>
        <w:tabs>
          <w:tab w:val="left" w:pos="0"/>
        </w:tabs>
        <w:contextualSpacing/>
        <w:rPr>
          <w:rFonts w:eastAsiaTheme="minorHAnsi" w:cs="Times"/>
          <w:sz w:val="20"/>
          <w:szCs w:val="20"/>
          <w:lang w:val="es-AR" w:eastAsia="en-US"/>
        </w:rPr>
      </w:pPr>
    </w:p>
    <w:p w14:paraId="3EB0301B" w14:textId="77777777" w:rsidR="00E67349" w:rsidRPr="00E67349" w:rsidRDefault="00E67349" w:rsidP="000D4A1F">
      <w:pPr>
        <w:numPr>
          <w:ilvl w:val="0"/>
          <w:numId w:val="2"/>
        </w:numPr>
        <w:tabs>
          <w:tab w:val="left" w:pos="567"/>
          <w:tab w:val="num" w:pos="1569"/>
          <w:tab w:val="num" w:pos="12305"/>
        </w:tabs>
        <w:ind w:left="0" w:firstLine="0"/>
        <w:rPr>
          <w:rFonts w:eastAsiaTheme="minorHAnsi" w:cs="Times"/>
          <w:sz w:val="20"/>
          <w:szCs w:val="20"/>
          <w:lang w:val="es-AR" w:eastAsia="en-US"/>
        </w:rPr>
      </w:pPr>
      <w:r w:rsidRPr="00E67349">
        <w:rPr>
          <w:rFonts w:eastAsiaTheme="minorHAnsi" w:cstheme="minorBidi"/>
          <w:sz w:val="20"/>
          <w:szCs w:val="20"/>
          <w:lang w:val="es-AR" w:eastAsia="en-US"/>
        </w:rPr>
        <w:t>Por otra parte, la Corte ha señalado de manera consistente que el deber de investigar es una obligación de medios y no de resultados,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E67349">
        <w:rPr>
          <w:rFonts w:eastAsiaTheme="minorHAnsi" w:cstheme="minorBidi"/>
          <w:sz w:val="20"/>
          <w:szCs w:val="20"/>
          <w:vertAlign w:val="superscript"/>
          <w:lang w:val="es-AR" w:eastAsia="en-US"/>
        </w:rPr>
        <w:footnoteReference w:id="276"/>
      </w:r>
      <w:r w:rsidRPr="00E67349">
        <w:rPr>
          <w:rFonts w:eastAsiaTheme="minorHAnsi" w:cstheme="minorBidi"/>
          <w:sz w:val="20"/>
          <w:szCs w:val="20"/>
          <w:lang w:val="es-AR" w:eastAsia="en-US"/>
        </w:rPr>
        <w:t>. Además, la investigación debe ser seria, objetiva y efectiva, y estar orientada a la determinación de la verdad y a la persecución, captura, y eventual enjuiciamiento y castigo de los autores de los hechos</w:t>
      </w:r>
      <w:r w:rsidRPr="00E67349">
        <w:rPr>
          <w:rFonts w:eastAsiaTheme="minorHAnsi" w:cstheme="minorBidi"/>
          <w:sz w:val="20"/>
          <w:szCs w:val="20"/>
          <w:vertAlign w:val="superscript"/>
          <w:lang w:val="es-AR" w:eastAsia="en-US"/>
        </w:rPr>
        <w:footnoteReference w:id="277"/>
      </w:r>
      <w:r w:rsidRPr="00E67349">
        <w:rPr>
          <w:rFonts w:eastAsiaTheme="minorHAnsi" w:cstheme="minorBidi"/>
          <w:sz w:val="20"/>
          <w:szCs w:val="20"/>
          <w:lang w:val="es-AR" w:eastAsia="en-US"/>
        </w:rPr>
        <w:t>. Asimismo, la debida diligencia exige que el órgano que investiga lleve a cabo todas aquellas actuaciones y averiguaciones necesarias para procurar el resultado que se persigue</w:t>
      </w:r>
      <w:r w:rsidRPr="00E67349">
        <w:rPr>
          <w:rFonts w:eastAsiaTheme="minorHAnsi" w:cstheme="minorBidi"/>
          <w:sz w:val="20"/>
          <w:szCs w:val="20"/>
          <w:vertAlign w:val="superscript"/>
          <w:lang w:val="es-AR" w:eastAsia="en-US"/>
        </w:rPr>
        <w:footnoteReference w:id="278"/>
      </w:r>
      <w:r w:rsidRPr="00E67349">
        <w:rPr>
          <w:rFonts w:eastAsiaTheme="minorHAnsi" w:cstheme="minorBidi"/>
          <w:sz w:val="20"/>
          <w:szCs w:val="20"/>
          <w:lang w:val="es-AR" w:eastAsia="en-US"/>
        </w:rPr>
        <w:t>.</w:t>
      </w:r>
    </w:p>
    <w:p w14:paraId="08324B29" w14:textId="77777777" w:rsidR="00E67349" w:rsidRPr="00E67349" w:rsidRDefault="00E67349" w:rsidP="000D4A1F">
      <w:pPr>
        <w:tabs>
          <w:tab w:val="left" w:pos="0"/>
        </w:tabs>
        <w:contextualSpacing/>
        <w:rPr>
          <w:rFonts w:eastAsiaTheme="minorHAnsi" w:cs="Times"/>
          <w:sz w:val="20"/>
          <w:szCs w:val="20"/>
          <w:lang w:val="es-AR" w:eastAsia="en-US"/>
        </w:rPr>
      </w:pPr>
    </w:p>
    <w:p w14:paraId="0C7A2516" w14:textId="77777777" w:rsidR="00E67349" w:rsidRPr="00E67349" w:rsidRDefault="00E67349" w:rsidP="000D4A1F">
      <w:pPr>
        <w:numPr>
          <w:ilvl w:val="0"/>
          <w:numId w:val="2"/>
        </w:numPr>
        <w:tabs>
          <w:tab w:val="left" w:pos="567"/>
          <w:tab w:val="num" w:pos="1569"/>
          <w:tab w:val="num" w:pos="12305"/>
        </w:tabs>
        <w:ind w:left="0" w:firstLine="0"/>
        <w:rPr>
          <w:rFonts w:eastAsiaTheme="minorHAnsi" w:cs="Times"/>
          <w:sz w:val="20"/>
          <w:szCs w:val="20"/>
          <w:lang w:val="es-AR" w:eastAsia="en-US"/>
        </w:rPr>
      </w:pPr>
      <w:r w:rsidRPr="00E67349">
        <w:rPr>
          <w:rFonts w:eastAsiaTheme="minorHAnsi" w:cstheme="minorBidi"/>
          <w:sz w:val="20"/>
          <w:szCs w:val="20"/>
          <w:lang w:val="es-AR" w:eastAsia="en-US"/>
        </w:rPr>
        <w:t>Ahora bien, la posibilidad de la Corte, en el ámbito de su competencia, coadyuvante y complementaria, de examinar los procedimientos internos de investigación</w:t>
      </w:r>
      <w:r w:rsidRPr="00E67349">
        <w:rPr>
          <w:rFonts w:eastAsiaTheme="minorHAnsi" w:cstheme="minorBidi"/>
          <w:sz w:val="20"/>
          <w:szCs w:val="20"/>
          <w:vertAlign w:val="superscript"/>
          <w:lang w:val="es-AR" w:eastAsia="en-US"/>
        </w:rPr>
        <w:footnoteReference w:id="279"/>
      </w:r>
      <w:r w:rsidRPr="00E67349">
        <w:rPr>
          <w:rFonts w:eastAsiaTheme="minorHAnsi" w:cstheme="minorBidi"/>
          <w:sz w:val="20"/>
          <w:szCs w:val="20"/>
          <w:lang w:val="es-AR" w:eastAsia="en-US"/>
        </w:rPr>
        <w:t>, puede llevar a la determinación de fallas en la debida diligencia en los mismos</w:t>
      </w:r>
      <w:r w:rsidRPr="00E67349">
        <w:rPr>
          <w:rFonts w:eastAsiaTheme="minorHAnsi"/>
          <w:sz w:val="20"/>
          <w:szCs w:val="20"/>
          <w:vertAlign w:val="superscript"/>
          <w:lang w:val="es-AR" w:eastAsia="en-US"/>
        </w:rPr>
        <w:footnoteReference w:id="280"/>
      </w:r>
      <w:r w:rsidRPr="00E67349">
        <w:rPr>
          <w:rFonts w:eastAsiaTheme="minorHAnsi" w:cstheme="minorBidi"/>
          <w:sz w:val="20"/>
          <w:szCs w:val="20"/>
          <w:lang w:val="es-AR" w:eastAsia="en-US"/>
        </w:rPr>
        <w:t>. No obstante, ello será procedente en tanto se evidencie que las falencias que se aduzcan pudieran haber afectado la investigación en su conjunto, de modo “que conforme el tiempo vaya transcurriendo, se afecte indebidamente la posibilidad de obtener y presentar pruebas pertinentes que permitan esclarecer los hechos y determinar las responsabilidades que correspondan”</w:t>
      </w:r>
      <w:r w:rsidRPr="00E67349">
        <w:rPr>
          <w:rFonts w:eastAsiaTheme="minorHAnsi" w:cstheme="minorBidi"/>
          <w:sz w:val="20"/>
          <w:szCs w:val="20"/>
          <w:vertAlign w:val="superscript"/>
          <w:lang w:val="es-AR" w:eastAsia="en-US"/>
        </w:rPr>
        <w:footnoteReference w:id="281"/>
      </w:r>
      <w:r w:rsidRPr="00E67349">
        <w:rPr>
          <w:rFonts w:eastAsiaTheme="minorHAnsi" w:cstheme="minorBidi"/>
          <w:sz w:val="20"/>
          <w:szCs w:val="20"/>
          <w:lang w:val="es-AR" w:eastAsia="en-US"/>
        </w:rPr>
        <w:t>. En ese sentido,</w:t>
      </w:r>
      <w:r w:rsidRPr="00E67349">
        <w:rPr>
          <w:rFonts w:eastAsia="Cambria" w:cstheme="minorBidi"/>
          <w:sz w:val="20"/>
          <w:szCs w:val="20"/>
          <w:lang w:val="es-AR" w:eastAsia="en-US"/>
        </w:rPr>
        <w:t xml:space="preserve"> </w:t>
      </w:r>
      <w:r w:rsidRPr="00E67349">
        <w:rPr>
          <w:rFonts w:eastAsiaTheme="minorHAnsi" w:cstheme="minorBidi"/>
          <w:sz w:val="20"/>
          <w:szCs w:val="20"/>
          <w:lang w:val="es-AR" w:eastAsia="en-US"/>
        </w:rPr>
        <w:t>no debe asumirse que fallas en medidas puntuales de investigación tengan un impacto negativo sobre el conjunto del proceso si, pese a ellas, la investigación tuvo un resultado efectivo en la determinación de los hechos</w:t>
      </w:r>
      <w:r w:rsidRPr="00E67349">
        <w:rPr>
          <w:rFonts w:eastAsiaTheme="minorHAnsi" w:cstheme="minorBidi"/>
          <w:sz w:val="20"/>
          <w:szCs w:val="20"/>
          <w:vertAlign w:val="superscript"/>
          <w:lang w:val="es-AR" w:eastAsia="en-US"/>
        </w:rPr>
        <w:footnoteReference w:id="282"/>
      </w:r>
      <w:r w:rsidRPr="00E67349">
        <w:rPr>
          <w:rFonts w:eastAsiaTheme="minorHAnsi" w:cstheme="minorBidi"/>
          <w:sz w:val="20"/>
          <w:szCs w:val="20"/>
          <w:lang w:val="es-AR" w:eastAsia="en-US"/>
        </w:rPr>
        <w:t xml:space="preserve">. </w:t>
      </w:r>
    </w:p>
    <w:p w14:paraId="44ED7184" w14:textId="77777777" w:rsidR="00E67349" w:rsidRPr="00E67349" w:rsidRDefault="00E67349" w:rsidP="000D4A1F">
      <w:pPr>
        <w:tabs>
          <w:tab w:val="left" w:pos="0"/>
        </w:tabs>
        <w:contextualSpacing/>
        <w:rPr>
          <w:rFonts w:eastAsiaTheme="minorHAnsi" w:cs="Times"/>
          <w:sz w:val="20"/>
          <w:szCs w:val="20"/>
          <w:lang w:val="es-AR" w:eastAsia="en-US"/>
        </w:rPr>
      </w:pPr>
    </w:p>
    <w:p w14:paraId="6428BB74" w14:textId="77777777" w:rsidR="00E67349" w:rsidRPr="00E67349" w:rsidRDefault="00E67349" w:rsidP="000D4A1F">
      <w:pPr>
        <w:numPr>
          <w:ilvl w:val="0"/>
          <w:numId w:val="2"/>
        </w:numPr>
        <w:tabs>
          <w:tab w:val="left" w:pos="567"/>
          <w:tab w:val="num" w:pos="1569"/>
          <w:tab w:val="num" w:pos="12305"/>
        </w:tabs>
        <w:ind w:left="0" w:firstLine="0"/>
        <w:rPr>
          <w:rFonts w:eastAsiaTheme="minorHAnsi" w:cstheme="minorBidi"/>
          <w:sz w:val="16"/>
          <w:szCs w:val="16"/>
          <w:lang w:val="es-AR" w:eastAsia="en-US"/>
        </w:rPr>
      </w:pPr>
      <w:r w:rsidRPr="00E67349">
        <w:rPr>
          <w:rFonts w:eastAsiaTheme="minorHAnsi" w:cstheme="minorBidi"/>
          <w:sz w:val="20"/>
          <w:szCs w:val="16"/>
          <w:lang w:val="es-AR" w:eastAsia="en-US"/>
        </w:rPr>
        <w:t xml:space="preserve">Por otra parte, la Corte recuerda que </w:t>
      </w:r>
      <w:r w:rsidRPr="00E67349">
        <w:rPr>
          <w:rFonts w:eastAsiaTheme="minorHAnsi" w:cstheme="minorBidi"/>
          <w:sz w:val="20"/>
          <w:szCs w:val="20"/>
          <w:lang w:val="es-AR" w:eastAsia="en-US"/>
        </w:rPr>
        <w:t xml:space="preserve">en cuanto al tratamiento del cadáver de la víctima, deben realizarse algunas diligencias mínimas e indispensables para la conservación de los elementos de prueba y evidencias que puedan contribuir al éxito de la investigación, tales como </w:t>
      </w:r>
      <w:r w:rsidRPr="00E67349">
        <w:rPr>
          <w:rFonts w:eastAsiaTheme="minorHAnsi" w:cstheme="minorBidi"/>
          <w:sz w:val="20"/>
          <w:szCs w:val="20"/>
          <w:lang w:val="es-AR" w:eastAsia="en-US"/>
        </w:rPr>
        <w:lastRenderedPageBreak/>
        <w:t>la autopsia</w:t>
      </w:r>
      <w:r w:rsidRPr="00E67349">
        <w:rPr>
          <w:rFonts w:eastAsiaTheme="minorHAnsi"/>
          <w:sz w:val="20"/>
          <w:szCs w:val="20"/>
          <w:vertAlign w:val="superscript"/>
          <w:lang w:val="es-AR" w:eastAsia="en-US"/>
        </w:rPr>
        <w:footnoteReference w:id="283"/>
      </w:r>
      <w:r w:rsidRPr="00E67349">
        <w:rPr>
          <w:rFonts w:eastAsiaTheme="minorHAnsi" w:cstheme="minorBidi"/>
          <w:sz w:val="20"/>
          <w:szCs w:val="20"/>
          <w:lang w:val="es-AR" w:eastAsia="en-US"/>
        </w:rPr>
        <w:t>. En este sentido, la Corte ha establecido que las autopsias y análisis de restos humanos deben realizarse en forma rigurosa, por profesionales competentes y empleando los procedimientos más apropiados</w:t>
      </w:r>
      <w:r w:rsidRPr="00E67349">
        <w:rPr>
          <w:rFonts w:eastAsiaTheme="minorHAnsi"/>
          <w:sz w:val="20"/>
          <w:szCs w:val="20"/>
          <w:vertAlign w:val="superscript"/>
          <w:lang w:val="es-AR" w:eastAsia="en-US"/>
        </w:rPr>
        <w:footnoteReference w:id="284"/>
      </w:r>
      <w:r w:rsidRPr="00E67349">
        <w:rPr>
          <w:rFonts w:eastAsiaTheme="minorHAnsi" w:cstheme="minorBidi"/>
          <w:sz w:val="20"/>
          <w:szCs w:val="20"/>
          <w:lang w:val="es-AR" w:eastAsia="en-US"/>
        </w:rPr>
        <w:t>.</w:t>
      </w:r>
    </w:p>
    <w:p w14:paraId="09AC3D91" w14:textId="77777777" w:rsidR="00E67349" w:rsidRPr="00E67349" w:rsidRDefault="00E67349" w:rsidP="000D4A1F">
      <w:pPr>
        <w:tabs>
          <w:tab w:val="left" w:pos="0"/>
        </w:tabs>
        <w:contextualSpacing/>
        <w:rPr>
          <w:rFonts w:eastAsiaTheme="minorHAnsi" w:cstheme="minorBidi"/>
          <w:sz w:val="16"/>
          <w:szCs w:val="16"/>
          <w:lang w:val="es-AR" w:eastAsia="en-US"/>
        </w:rPr>
      </w:pPr>
    </w:p>
    <w:p w14:paraId="2FC290C9" w14:textId="46D0128D" w:rsidR="00E67349" w:rsidRPr="00E67349" w:rsidRDefault="00E67349" w:rsidP="000D4A1F">
      <w:pPr>
        <w:numPr>
          <w:ilvl w:val="0"/>
          <w:numId w:val="2"/>
        </w:numPr>
        <w:tabs>
          <w:tab w:val="left" w:pos="567"/>
          <w:tab w:val="num" w:pos="1569"/>
          <w:tab w:val="num" w:pos="12305"/>
        </w:tabs>
        <w:ind w:left="0" w:firstLine="0"/>
        <w:rPr>
          <w:rFonts w:eastAsiaTheme="minorHAnsi" w:cstheme="minorBidi"/>
          <w:sz w:val="16"/>
          <w:szCs w:val="16"/>
          <w:lang w:val="es-AR" w:eastAsia="en-US"/>
        </w:rPr>
      </w:pPr>
      <w:r w:rsidRPr="00E67349">
        <w:rPr>
          <w:rFonts w:eastAsiaTheme="minorHAnsi" w:cstheme="minorBidi"/>
          <w:sz w:val="20"/>
          <w:szCs w:val="20"/>
          <w:lang w:val="es-AR" w:eastAsia="en-US"/>
        </w:rPr>
        <w:t xml:space="preserve">En el presente caso, la Corte </w:t>
      </w:r>
      <w:r w:rsidR="00B820DD">
        <w:rPr>
          <w:rFonts w:eastAsiaTheme="minorHAnsi" w:cstheme="minorBidi"/>
          <w:sz w:val="20"/>
          <w:szCs w:val="20"/>
          <w:lang w:val="es-AR" w:eastAsia="en-US"/>
        </w:rPr>
        <w:t>reitera</w:t>
      </w:r>
      <w:r w:rsidRPr="00E67349">
        <w:rPr>
          <w:rFonts w:eastAsiaTheme="minorHAnsi" w:cstheme="minorBidi"/>
          <w:sz w:val="20"/>
          <w:szCs w:val="20"/>
          <w:lang w:val="es-AR" w:eastAsia="en-US"/>
        </w:rPr>
        <w:t xml:space="preserve"> que el Estado </w:t>
      </w:r>
      <w:r w:rsidR="00B820DD">
        <w:rPr>
          <w:rFonts w:eastAsiaTheme="minorHAnsi" w:cstheme="minorBidi"/>
          <w:sz w:val="20"/>
          <w:szCs w:val="20"/>
          <w:lang w:val="es-AR" w:eastAsia="en-US"/>
        </w:rPr>
        <w:t>chileno</w:t>
      </w:r>
      <w:r w:rsidRPr="00E67349">
        <w:rPr>
          <w:rFonts w:eastAsiaTheme="minorHAnsi" w:cstheme="minorBidi"/>
          <w:sz w:val="20"/>
          <w:szCs w:val="20"/>
          <w:lang w:val="es-AR" w:eastAsia="en-US"/>
        </w:rPr>
        <w:t xml:space="preserve"> no reconoció su responsabilidad por la violación relativa a la debida diligencia, en consecuencia subsiste la controversia al respecto (</w:t>
      </w:r>
      <w:r w:rsidR="00062586" w:rsidRPr="00062586">
        <w:rPr>
          <w:rFonts w:eastAsiaTheme="minorHAnsi" w:cstheme="minorBidi"/>
          <w:i/>
          <w:sz w:val="20"/>
          <w:szCs w:val="20"/>
          <w:lang w:val="es-AR" w:eastAsia="en-US"/>
        </w:rPr>
        <w:t>supra</w:t>
      </w:r>
      <w:r w:rsidRPr="00E67349">
        <w:rPr>
          <w:rFonts w:eastAsiaTheme="minorHAnsi" w:cstheme="minorBidi"/>
          <w:sz w:val="20"/>
          <w:szCs w:val="20"/>
          <w:lang w:val="es-AR" w:eastAsia="en-US"/>
        </w:rPr>
        <w:t xml:space="preserve"> </w:t>
      </w:r>
      <w:proofErr w:type="spellStart"/>
      <w:r w:rsidRPr="00E67349">
        <w:rPr>
          <w:rFonts w:eastAsiaTheme="minorHAnsi" w:cstheme="minorBidi"/>
          <w:sz w:val="20"/>
          <w:szCs w:val="20"/>
          <w:lang w:val="es-AR" w:eastAsia="en-US"/>
        </w:rPr>
        <w:t>párr</w:t>
      </w:r>
      <w:r w:rsidR="0096292E">
        <w:rPr>
          <w:rFonts w:eastAsiaTheme="minorHAnsi" w:cstheme="minorBidi"/>
          <w:sz w:val="20"/>
          <w:szCs w:val="20"/>
          <w:lang w:val="es-AR" w:eastAsia="en-US"/>
        </w:rPr>
        <w:t>s</w:t>
      </w:r>
      <w:proofErr w:type="spellEnd"/>
      <w:r w:rsidRPr="00E67349">
        <w:rPr>
          <w:rFonts w:eastAsiaTheme="minorHAnsi" w:cstheme="minorBidi"/>
          <w:sz w:val="20"/>
          <w:szCs w:val="20"/>
          <w:lang w:val="es-AR" w:eastAsia="en-US"/>
        </w:rPr>
        <w:t xml:space="preserve">. </w:t>
      </w:r>
      <w:r w:rsidR="0096292E">
        <w:rPr>
          <w:rFonts w:eastAsiaTheme="minorHAnsi" w:cstheme="minorBidi"/>
          <w:sz w:val="20"/>
          <w:szCs w:val="20"/>
          <w:lang w:val="es-AR" w:eastAsia="en-US"/>
        </w:rPr>
        <w:t xml:space="preserve">30 y </w:t>
      </w:r>
      <w:r w:rsidR="00A42EDD">
        <w:rPr>
          <w:rFonts w:eastAsiaTheme="minorHAnsi" w:cstheme="minorBidi"/>
          <w:sz w:val="20"/>
          <w:szCs w:val="20"/>
          <w:lang w:val="es-AR" w:eastAsia="en-US"/>
        </w:rPr>
        <w:t>181</w:t>
      </w:r>
      <w:r w:rsidR="00A42EDD" w:rsidRPr="00E67349">
        <w:rPr>
          <w:rFonts w:eastAsiaTheme="minorHAnsi" w:cstheme="minorBidi"/>
          <w:sz w:val="20"/>
          <w:szCs w:val="20"/>
          <w:lang w:val="es-AR" w:eastAsia="en-US"/>
        </w:rPr>
        <w:t xml:space="preserve">). </w:t>
      </w:r>
    </w:p>
    <w:p w14:paraId="56392FD5" w14:textId="77777777" w:rsidR="00E67349" w:rsidRPr="00E67349" w:rsidRDefault="00E67349" w:rsidP="000D4A1F">
      <w:pPr>
        <w:tabs>
          <w:tab w:val="left" w:pos="0"/>
        </w:tabs>
        <w:contextualSpacing/>
        <w:rPr>
          <w:rFonts w:eastAsiaTheme="minorHAnsi" w:cstheme="minorBidi"/>
          <w:sz w:val="16"/>
          <w:szCs w:val="16"/>
          <w:lang w:val="es-AR" w:eastAsia="en-US"/>
        </w:rPr>
      </w:pPr>
    </w:p>
    <w:p w14:paraId="6AECDCC9" w14:textId="1139EFB9" w:rsidR="00E67349" w:rsidRPr="00383565" w:rsidRDefault="00E67349" w:rsidP="000D4A1F">
      <w:pPr>
        <w:numPr>
          <w:ilvl w:val="0"/>
          <w:numId w:val="2"/>
        </w:numPr>
        <w:tabs>
          <w:tab w:val="left" w:pos="567"/>
          <w:tab w:val="num" w:pos="1569"/>
          <w:tab w:val="num" w:pos="12305"/>
        </w:tabs>
        <w:ind w:left="0" w:firstLine="0"/>
        <w:rPr>
          <w:rFonts w:eastAsiaTheme="minorHAnsi" w:cstheme="minorBidi"/>
          <w:sz w:val="16"/>
          <w:szCs w:val="16"/>
          <w:lang w:val="es-AR" w:eastAsia="en-US"/>
        </w:rPr>
      </w:pPr>
      <w:r w:rsidRPr="00383565">
        <w:rPr>
          <w:rFonts w:eastAsiaTheme="minorHAnsi" w:cstheme="minorBidi"/>
          <w:sz w:val="20"/>
          <w:szCs w:val="20"/>
          <w:lang w:val="es-AR" w:eastAsia="en-US"/>
        </w:rPr>
        <w:t xml:space="preserve">Este Tribunal advierte que el Estado chileno, </w:t>
      </w:r>
      <w:r w:rsidR="00B820DD">
        <w:rPr>
          <w:rFonts w:eastAsiaTheme="minorHAnsi" w:cstheme="minorBidi"/>
          <w:sz w:val="20"/>
          <w:szCs w:val="20"/>
          <w:lang w:val="es-AR" w:eastAsia="en-US"/>
        </w:rPr>
        <w:t>realizó</w:t>
      </w:r>
      <w:r w:rsidRPr="00383565">
        <w:rPr>
          <w:rFonts w:eastAsiaTheme="minorHAnsi" w:cstheme="minorBidi"/>
          <w:sz w:val="20"/>
          <w:szCs w:val="20"/>
          <w:lang w:val="es-AR" w:eastAsia="en-US"/>
        </w:rPr>
        <w:t xml:space="preserve"> una serie de diligencias probatorias en la investigación de los hechos del presente caso, tales como: a) la solicitud de la ficha clínica del señor Poblete Vilches al Hospital Sotero del Río; b) tomas de declaración de algunos querellados y familiares del señor Poblete</w:t>
      </w:r>
      <w:r w:rsidRPr="00383565">
        <w:rPr>
          <w:rFonts w:eastAsiaTheme="minorHAnsi" w:cs="Times"/>
          <w:sz w:val="20"/>
          <w:szCs w:val="20"/>
          <w:lang w:val="es-AR" w:eastAsia="en-US"/>
        </w:rPr>
        <w:t>; c) p</w:t>
      </w:r>
      <w:r w:rsidRPr="00383565">
        <w:rPr>
          <w:rFonts w:eastAsiaTheme="minorHAnsi" w:cstheme="minorBidi"/>
          <w:sz w:val="20"/>
          <w:szCs w:val="20"/>
          <w:lang w:val="es-AR" w:eastAsia="en-US"/>
        </w:rPr>
        <w:t xml:space="preserve">ericias médico-legales, y d) despachó órdenes de arresto en contra del médico Luis Carvajal Freire. </w:t>
      </w:r>
    </w:p>
    <w:p w14:paraId="1BDF0621" w14:textId="77777777" w:rsidR="00E67349" w:rsidRPr="00E67349" w:rsidRDefault="00E67349" w:rsidP="000D4A1F">
      <w:pPr>
        <w:tabs>
          <w:tab w:val="left" w:pos="0"/>
        </w:tabs>
        <w:contextualSpacing/>
        <w:rPr>
          <w:rFonts w:eastAsiaTheme="minorHAnsi" w:cstheme="minorBidi"/>
          <w:sz w:val="16"/>
          <w:szCs w:val="16"/>
          <w:lang w:val="es-AR" w:eastAsia="en-US"/>
        </w:rPr>
      </w:pPr>
    </w:p>
    <w:p w14:paraId="55FAE43F" w14:textId="78BFC956" w:rsidR="00E67349" w:rsidRPr="00F24D93" w:rsidRDefault="00E67349" w:rsidP="000D4A1F">
      <w:pPr>
        <w:numPr>
          <w:ilvl w:val="0"/>
          <w:numId w:val="2"/>
        </w:numPr>
        <w:tabs>
          <w:tab w:val="left" w:pos="567"/>
          <w:tab w:val="num" w:pos="1569"/>
          <w:tab w:val="num" w:pos="12305"/>
        </w:tabs>
        <w:ind w:left="0" w:firstLine="0"/>
        <w:rPr>
          <w:rFonts w:eastAsiaTheme="minorHAnsi" w:cs="Times"/>
          <w:sz w:val="20"/>
          <w:szCs w:val="20"/>
          <w:lang w:val="es-AR" w:eastAsia="en-US"/>
        </w:rPr>
      </w:pPr>
      <w:r w:rsidRPr="00E67349">
        <w:rPr>
          <w:rFonts w:eastAsiaTheme="minorHAnsi" w:cstheme="minorBidi"/>
          <w:sz w:val="20"/>
          <w:szCs w:val="20"/>
          <w:lang w:val="es-AR" w:eastAsia="en-US"/>
        </w:rPr>
        <w:t>Sin embargo, la Corte constata que nunca fueron realizadas</w:t>
      </w:r>
      <w:r w:rsidR="005A39DD" w:rsidRPr="005A39DD">
        <w:rPr>
          <w:rFonts w:eastAsiaTheme="minorHAnsi" w:cstheme="minorBidi"/>
          <w:sz w:val="20"/>
          <w:szCs w:val="20"/>
          <w:lang w:val="es-AR" w:eastAsia="en-US"/>
        </w:rPr>
        <w:t xml:space="preserve"> </w:t>
      </w:r>
      <w:r w:rsidR="005A39DD" w:rsidRPr="00E67349">
        <w:rPr>
          <w:rFonts w:eastAsiaTheme="minorHAnsi" w:cstheme="minorBidi"/>
          <w:sz w:val="20"/>
          <w:szCs w:val="20"/>
          <w:lang w:val="es-AR" w:eastAsia="en-US"/>
        </w:rPr>
        <w:t>diversas diligencias probatorias</w:t>
      </w:r>
      <w:r w:rsidR="005A39DD">
        <w:rPr>
          <w:rFonts w:eastAsiaTheme="minorHAnsi" w:cstheme="minorBidi"/>
          <w:sz w:val="20"/>
          <w:szCs w:val="20"/>
          <w:lang w:val="es-AR" w:eastAsia="en-US"/>
        </w:rPr>
        <w:t xml:space="preserve"> o actuaciones judiciales</w:t>
      </w:r>
      <w:r w:rsidRPr="00E67349">
        <w:rPr>
          <w:rFonts w:eastAsiaTheme="minorHAnsi" w:cstheme="minorBidi"/>
          <w:sz w:val="20"/>
          <w:szCs w:val="20"/>
          <w:lang w:val="es-AR" w:eastAsia="en-US"/>
        </w:rPr>
        <w:t xml:space="preserve">, a saber: a) la exhumación del cadáver del señor Poblete Vilches, con el fin de realizar una autopsia que determine la causa real de su muerte, solicitada el 12 de noviembre de 2001 y ordenada el 13 de febrero de </w:t>
      </w:r>
      <w:r w:rsidRPr="007E5CD5">
        <w:rPr>
          <w:rFonts w:eastAsiaTheme="minorHAnsi" w:cstheme="minorBidi"/>
          <w:sz w:val="20"/>
          <w:szCs w:val="20"/>
          <w:lang w:val="es-AR" w:eastAsia="en-US"/>
        </w:rPr>
        <w:t>20</w:t>
      </w:r>
      <w:r w:rsidR="008F36CB" w:rsidRPr="007E5CD5">
        <w:rPr>
          <w:rFonts w:eastAsiaTheme="minorHAnsi" w:cstheme="minorBidi"/>
          <w:sz w:val="20"/>
          <w:szCs w:val="20"/>
          <w:lang w:val="es-AR" w:eastAsia="en-US"/>
        </w:rPr>
        <w:t>0</w:t>
      </w:r>
      <w:r w:rsidRPr="007E5CD5">
        <w:rPr>
          <w:rFonts w:eastAsiaTheme="minorHAnsi" w:cstheme="minorBidi"/>
          <w:sz w:val="20"/>
          <w:szCs w:val="20"/>
          <w:lang w:val="es-AR" w:eastAsia="en-US"/>
        </w:rPr>
        <w:t xml:space="preserve">2 </w:t>
      </w:r>
      <w:r w:rsidRPr="00B1523A">
        <w:rPr>
          <w:rFonts w:eastAsiaTheme="minorHAnsi" w:cstheme="minorBidi"/>
          <w:sz w:val="20"/>
          <w:szCs w:val="20"/>
          <w:lang w:val="es-AR" w:eastAsia="en-US"/>
        </w:rPr>
        <w:t>(</w:t>
      </w:r>
      <w:r w:rsidR="008F36CB" w:rsidRPr="00B1523A">
        <w:rPr>
          <w:rFonts w:eastAsiaTheme="minorHAnsi" w:cstheme="minorBidi"/>
          <w:i/>
          <w:sz w:val="20"/>
          <w:szCs w:val="20"/>
          <w:lang w:val="es-AR" w:eastAsia="en-US"/>
        </w:rPr>
        <w:t>supra</w:t>
      </w:r>
      <w:r w:rsidR="008F36CB" w:rsidRPr="00B1523A">
        <w:rPr>
          <w:rFonts w:eastAsiaTheme="minorHAnsi" w:cstheme="minorBidi"/>
          <w:sz w:val="20"/>
          <w:szCs w:val="20"/>
          <w:lang w:val="es-AR" w:eastAsia="en-US"/>
        </w:rPr>
        <w:t xml:space="preserve"> párr. 60)</w:t>
      </w:r>
      <w:r w:rsidRPr="00E67349">
        <w:rPr>
          <w:rFonts w:eastAsiaTheme="minorHAnsi" w:cstheme="minorBidi"/>
          <w:sz w:val="20"/>
          <w:szCs w:val="20"/>
          <w:lang w:val="es-AR" w:eastAsia="en-US"/>
        </w:rPr>
        <w:t>, y solicitada nuevamente el 7 de octubre de 2005 y el 29 de enero de 2007 por los familiares del señor Poblete</w:t>
      </w:r>
      <w:r w:rsidR="00A42EDD">
        <w:rPr>
          <w:rFonts w:eastAsiaTheme="minorHAnsi" w:cstheme="minorBidi"/>
          <w:sz w:val="20"/>
          <w:szCs w:val="20"/>
          <w:lang w:val="es-AR" w:eastAsia="en-US"/>
        </w:rPr>
        <w:t>;</w:t>
      </w:r>
      <w:r w:rsidR="00A42EDD" w:rsidRPr="00E67349">
        <w:rPr>
          <w:rFonts w:eastAsiaTheme="minorHAnsi" w:cstheme="minorBidi"/>
          <w:sz w:val="20"/>
          <w:szCs w:val="20"/>
          <w:lang w:val="es-AR" w:eastAsia="en-US"/>
        </w:rPr>
        <w:t xml:space="preserve"> </w:t>
      </w:r>
      <w:r w:rsidRPr="00E67349">
        <w:rPr>
          <w:rFonts w:eastAsiaTheme="minorHAnsi" w:cstheme="minorBidi"/>
          <w:sz w:val="20"/>
          <w:szCs w:val="20"/>
          <w:lang w:val="es-AR" w:eastAsia="en-US"/>
        </w:rPr>
        <w:t xml:space="preserve">b) </w:t>
      </w:r>
      <w:r w:rsidR="00CD5738" w:rsidRPr="00152F4C">
        <w:rPr>
          <w:rFonts w:eastAsiaTheme="minorHAnsi" w:cstheme="minorBidi"/>
          <w:sz w:val="20"/>
          <w:szCs w:val="20"/>
          <w:lang w:val="es-AR" w:eastAsia="en-US"/>
        </w:rPr>
        <w:t>la causa penal por el fallecimiento del señor Poblete Vilches fue sobreseída en dos ocasiones en un período de aproximadamente 1 año y 6 meses.</w:t>
      </w:r>
      <w:r w:rsidR="00CD5738" w:rsidRPr="00E67349">
        <w:rPr>
          <w:rFonts w:eastAsiaTheme="minorHAnsi" w:cstheme="minorBidi"/>
          <w:sz w:val="20"/>
          <w:szCs w:val="20"/>
          <w:lang w:val="es-AR" w:eastAsia="en-US"/>
        </w:rPr>
        <w:t xml:space="preserve"> Aunado a ello, desde la segunda reapertura de la causa el 4 de agosto de 2008, no se cuenta con evidencia de actuaciones por parte de las autoridades judiciales en el expediente encaminadas a investigaciones los hechos ocurridos en el presente caso, y a juzgar y sancionar a los responsables</w:t>
      </w:r>
      <w:r w:rsidR="00474B8B" w:rsidRPr="00E67349">
        <w:rPr>
          <w:rFonts w:eastAsiaTheme="minorHAnsi"/>
          <w:sz w:val="20"/>
          <w:szCs w:val="20"/>
          <w:vertAlign w:val="superscript"/>
          <w:lang w:val="es-AR" w:eastAsia="en-US"/>
        </w:rPr>
        <w:footnoteReference w:id="285"/>
      </w:r>
      <w:r w:rsidR="00474B8B">
        <w:rPr>
          <w:rFonts w:eastAsiaTheme="minorHAnsi" w:cstheme="minorBidi"/>
          <w:sz w:val="20"/>
          <w:szCs w:val="20"/>
          <w:lang w:val="es-AR" w:eastAsia="en-US"/>
        </w:rPr>
        <w:t>;</w:t>
      </w:r>
      <w:r w:rsidR="00474B8B" w:rsidRPr="00E67349">
        <w:rPr>
          <w:rFonts w:eastAsiaTheme="minorHAnsi" w:cstheme="minorBidi"/>
          <w:sz w:val="20"/>
          <w:szCs w:val="20"/>
          <w:lang w:val="es-AR" w:eastAsia="en-US"/>
        </w:rPr>
        <w:t xml:space="preserve"> </w:t>
      </w:r>
      <w:r w:rsidRPr="00152F4C">
        <w:rPr>
          <w:rFonts w:eastAsiaTheme="minorHAnsi" w:cstheme="minorBidi"/>
          <w:sz w:val="20"/>
          <w:szCs w:val="20"/>
          <w:lang w:val="es-AR" w:eastAsia="en-US"/>
        </w:rPr>
        <w:t xml:space="preserve">c) </w:t>
      </w:r>
      <w:r w:rsidR="00CD5738" w:rsidRPr="00E67349">
        <w:rPr>
          <w:rFonts w:eastAsiaTheme="minorHAnsi" w:cstheme="minorBidi"/>
          <w:sz w:val="20"/>
          <w:szCs w:val="20"/>
          <w:lang w:val="es-AR" w:eastAsia="en-US"/>
        </w:rPr>
        <w:t xml:space="preserve">el careo entre el señor Vinicio Poblete Tapia y la señora </w:t>
      </w:r>
      <w:proofErr w:type="spellStart"/>
      <w:r w:rsidR="00CD5738" w:rsidRPr="00E67349">
        <w:rPr>
          <w:rFonts w:eastAsiaTheme="minorHAnsi" w:cstheme="minorBidi"/>
          <w:sz w:val="20"/>
          <w:szCs w:val="20"/>
          <w:lang w:val="es-AR" w:eastAsia="en-US"/>
        </w:rPr>
        <w:t>Cesia</w:t>
      </w:r>
      <w:proofErr w:type="spellEnd"/>
      <w:r w:rsidR="00CD5738" w:rsidRPr="00E67349">
        <w:rPr>
          <w:rFonts w:eastAsiaTheme="minorHAnsi" w:cstheme="minorBidi"/>
          <w:sz w:val="20"/>
          <w:szCs w:val="20"/>
          <w:lang w:val="es-AR" w:eastAsia="en-US"/>
        </w:rPr>
        <w:t xml:space="preserve"> </w:t>
      </w:r>
      <w:proofErr w:type="spellStart"/>
      <w:r w:rsidR="00CD5738" w:rsidRPr="00E67349">
        <w:rPr>
          <w:rFonts w:eastAsiaTheme="minorHAnsi" w:cstheme="minorBidi"/>
          <w:sz w:val="20"/>
          <w:szCs w:val="20"/>
          <w:lang w:val="es-AR" w:eastAsia="en-US"/>
        </w:rPr>
        <w:t>Leyla</w:t>
      </w:r>
      <w:proofErr w:type="spellEnd"/>
      <w:r w:rsidR="00CD5738" w:rsidRPr="00E67349">
        <w:rPr>
          <w:rFonts w:eastAsiaTheme="minorHAnsi" w:cstheme="minorBidi"/>
          <w:sz w:val="20"/>
          <w:szCs w:val="20"/>
          <w:lang w:val="es-AR" w:eastAsia="en-US"/>
        </w:rPr>
        <w:t xml:space="preserve"> Poblete Tapia, con la doctora María Carolina Chacón Fernández, solicitada por el primero el 21 de marzo de 2006</w:t>
      </w:r>
      <w:r w:rsidRPr="00152F4C">
        <w:rPr>
          <w:rFonts w:eastAsiaTheme="minorHAnsi" w:cstheme="minorBidi"/>
          <w:sz w:val="20"/>
          <w:szCs w:val="20"/>
          <w:lang w:val="es-AR" w:eastAsia="en-US"/>
        </w:rPr>
        <w:t>, y d)</w:t>
      </w:r>
      <w:r w:rsidR="00CD5738" w:rsidRPr="00CD5738">
        <w:rPr>
          <w:rFonts w:eastAsiaTheme="minorHAnsi" w:cstheme="minorBidi"/>
          <w:sz w:val="20"/>
          <w:szCs w:val="20"/>
          <w:lang w:val="es-AR" w:eastAsia="en-US"/>
        </w:rPr>
        <w:t xml:space="preserve"> </w:t>
      </w:r>
      <w:r w:rsidR="00CD5738" w:rsidRPr="00152F4C">
        <w:rPr>
          <w:rFonts w:eastAsiaTheme="minorHAnsi" w:cstheme="minorBidi"/>
          <w:sz w:val="20"/>
          <w:szCs w:val="20"/>
          <w:lang w:val="es-AR" w:eastAsia="en-US"/>
        </w:rPr>
        <w:t xml:space="preserve">no se practicó el arresto del doctor Luis Carvajal Freire. Lo anterior pese a que los días </w:t>
      </w:r>
      <w:r w:rsidR="00474B8B">
        <w:rPr>
          <w:rFonts w:eastAsiaTheme="minorHAnsi" w:cstheme="minorBidi"/>
          <w:sz w:val="20"/>
          <w:szCs w:val="20"/>
          <w:lang w:val="es-AR" w:eastAsia="en-US"/>
        </w:rPr>
        <w:t>2</w:t>
      </w:r>
      <w:r w:rsidR="00CD5738" w:rsidRPr="00152F4C">
        <w:rPr>
          <w:rFonts w:eastAsiaTheme="minorHAnsi" w:cstheme="minorBidi"/>
          <w:sz w:val="20"/>
          <w:szCs w:val="20"/>
          <w:lang w:val="es-AR" w:eastAsia="en-US"/>
        </w:rPr>
        <w:t>8 de febrero de 2004, 20 de diciembre de 2004 y 31 de octubre de 2005 el Primer Juzgado Civil despachó las órdenes de arresto en su contra, el 6 de abril de 2004 el 19</w:t>
      </w:r>
      <w:r w:rsidR="00CD5738" w:rsidRPr="00152F4C">
        <w:rPr>
          <w:rFonts w:eastAsiaTheme="minorHAnsi" w:cstheme="minorBidi"/>
          <w:sz w:val="18"/>
          <w:szCs w:val="20"/>
          <w:lang w:val="es-AR" w:eastAsia="en-US"/>
        </w:rPr>
        <w:t>º</w:t>
      </w:r>
      <w:r w:rsidR="00CD5738" w:rsidRPr="00152F4C">
        <w:rPr>
          <w:rFonts w:eastAsiaTheme="minorHAnsi" w:cstheme="minorBidi"/>
          <w:sz w:val="20"/>
          <w:szCs w:val="20"/>
          <w:lang w:val="es-AR" w:eastAsia="en-US"/>
        </w:rPr>
        <w:t xml:space="preserve"> Juzgado del Crimen ordenó el arresto en su contra por el delito de desobediencia a las órdenes del Primer Juzgado Civil de Puente Alto, el</w:t>
      </w:r>
      <w:r w:rsidR="00CD5738" w:rsidRPr="00152F4C">
        <w:rPr>
          <w:rFonts w:eastAsiaTheme="minorHAnsi" w:cstheme="minorBidi"/>
          <w:sz w:val="16"/>
          <w:szCs w:val="16"/>
          <w:lang w:val="es-AR" w:eastAsia="en-US"/>
        </w:rPr>
        <w:t xml:space="preserve"> </w:t>
      </w:r>
      <w:r w:rsidR="00CD5738" w:rsidRPr="00152F4C">
        <w:rPr>
          <w:rFonts w:eastAsiaTheme="minorHAnsi" w:cstheme="minorBidi"/>
          <w:sz w:val="20"/>
          <w:szCs w:val="20"/>
          <w:lang w:val="es-AR" w:eastAsia="en-US"/>
        </w:rPr>
        <w:t>8 de enero de 2005 el 19</w:t>
      </w:r>
      <w:r w:rsidR="00CD5738" w:rsidRPr="00152F4C">
        <w:rPr>
          <w:rFonts w:eastAsiaTheme="minorHAnsi" w:cstheme="minorBidi"/>
          <w:sz w:val="18"/>
          <w:szCs w:val="20"/>
          <w:lang w:val="es-AR" w:eastAsia="en-US"/>
        </w:rPr>
        <w:t>º</w:t>
      </w:r>
      <w:r w:rsidR="00CD5738" w:rsidRPr="00152F4C">
        <w:rPr>
          <w:rFonts w:eastAsiaTheme="minorHAnsi" w:cstheme="minorBidi"/>
          <w:sz w:val="20"/>
          <w:szCs w:val="20"/>
          <w:lang w:val="es-AR" w:eastAsia="en-US"/>
        </w:rPr>
        <w:t xml:space="preserve"> Juzgado del Crimen ordenó su arresto por el cuasidelito de homicidio, y el 23 de mayo de 2007 el Primer Juzgado Civil comprobó que el doctor Luis Carvajal Freire continuaba trabajando en el Hospital </w:t>
      </w:r>
      <w:proofErr w:type="spellStart"/>
      <w:r w:rsidR="00CD5738" w:rsidRPr="00152F4C">
        <w:rPr>
          <w:rFonts w:eastAsiaTheme="minorHAnsi" w:cstheme="minorBidi"/>
          <w:sz w:val="20"/>
          <w:szCs w:val="20"/>
          <w:lang w:val="es-AR" w:eastAsia="en-US"/>
        </w:rPr>
        <w:t>Sótero</w:t>
      </w:r>
      <w:proofErr w:type="spellEnd"/>
      <w:r w:rsidR="00CD5738" w:rsidRPr="00152F4C">
        <w:rPr>
          <w:rFonts w:eastAsiaTheme="minorHAnsi" w:cstheme="minorBidi"/>
          <w:sz w:val="20"/>
          <w:szCs w:val="20"/>
          <w:lang w:val="es-AR" w:eastAsia="en-US"/>
        </w:rPr>
        <w:t xml:space="preserve"> del Río</w:t>
      </w:r>
      <w:r w:rsidRPr="00E67349">
        <w:rPr>
          <w:rFonts w:eastAsiaTheme="minorHAnsi" w:cstheme="minorBidi"/>
          <w:sz w:val="20"/>
          <w:szCs w:val="20"/>
          <w:lang w:val="es-AR" w:eastAsia="en-US"/>
        </w:rPr>
        <w:t>.</w:t>
      </w:r>
    </w:p>
    <w:p w14:paraId="151330F0" w14:textId="77777777" w:rsidR="005326B4" w:rsidRPr="00F24D93" w:rsidRDefault="005326B4" w:rsidP="0059117C">
      <w:pPr>
        <w:tabs>
          <w:tab w:val="left" w:pos="567"/>
        </w:tabs>
        <w:rPr>
          <w:rFonts w:eastAsiaTheme="minorHAnsi" w:cs="Times"/>
          <w:sz w:val="20"/>
          <w:szCs w:val="20"/>
          <w:lang w:val="es-AR" w:eastAsia="en-US"/>
        </w:rPr>
      </w:pPr>
    </w:p>
    <w:p w14:paraId="1C4917D2" w14:textId="1873590B" w:rsidR="005326B4" w:rsidRDefault="005326B4" w:rsidP="0059117C">
      <w:pPr>
        <w:numPr>
          <w:ilvl w:val="0"/>
          <w:numId w:val="2"/>
        </w:numPr>
        <w:tabs>
          <w:tab w:val="left" w:pos="567"/>
          <w:tab w:val="num" w:pos="12305"/>
        </w:tabs>
        <w:ind w:left="0" w:firstLine="0"/>
        <w:rPr>
          <w:rFonts w:eastAsiaTheme="minorHAnsi" w:cs="Times"/>
          <w:sz w:val="20"/>
          <w:szCs w:val="20"/>
          <w:lang w:val="es-AR" w:eastAsia="en-US"/>
        </w:rPr>
      </w:pPr>
      <w:r>
        <w:rPr>
          <w:rFonts w:eastAsiaTheme="minorHAnsi" w:cs="Times"/>
          <w:sz w:val="20"/>
          <w:szCs w:val="20"/>
          <w:lang w:val="es-AR" w:eastAsia="en-US"/>
        </w:rPr>
        <w:t xml:space="preserve">Respecto a las omisiones descritas en el párrafo anterior, esta Corte enfatiza </w:t>
      </w:r>
      <w:r w:rsidRPr="005326B4">
        <w:rPr>
          <w:rFonts w:eastAsiaTheme="minorHAnsi" w:cs="Times"/>
          <w:sz w:val="20"/>
          <w:szCs w:val="20"/>
          <w:lang w:val="es-AR" w:eastAsia="en-US"/>
        </w:rPr>
        <w:t xml:space="preserve">que </w:t>
      </w:r>
      <w:r>
        <w:rPr>
          <w:rFonts w:eastAsiaTheme="minorHAnsi" w:cs="Times"/>
          <w:sz w:val="20"/>
          <w:szCs w:val="20"/>
          <w:lang w:val="es-AR" w:eastAsia="en-US"/>
        </w:rPr>
        <w:t xml:space="preserve">las mismas </w:t>
      </w:r>
      <w:r w:rsidRPr="005326B4">
        <w:rPr>
          <w:rFonts w:eastAsiaTheme="minorHAnsi" w:cs="Times"/>
          <w:sz w:val="20"/>
          <w:szCs w:val="20"/>
          <w:lang w:val="es-AR" w:eastAsia="en-US"/>
        </w:rPr>
        <w:t>revisten</w:t>
      </w:r>
      <w:r>
        <w:rPr>
          <w:rFonts w:eastAsiaTheme="minorHAnsi" w:cs="Times"/>
          <w:sz w:val="20"/>
          <w:szCs w:val="20"/>
          <w:lang w:val="es-AR" w:eastAsia="en-US"/>
        </w:rPr>
        <w:t xml:space="preserve"> </w:t>
      </w:r>
      <w:r w:rsidRPr="00F24D93">
        <w:rPr>
          <w:rFonts w:eastAsiaTheme="minorHAnsi" w:cs="Times"/>
          <w:sz w:val="20"/>
          <w:szCs w:val="20"/>
          <w:lang w:val="es-AR" w:eastAsia="en-US"/>
        </w:rPr>
        <w:t>tal importancia para la averiguación de la verdad jurídica puesto que normalmente eran idóneas</w:t>
      </w:r>
      <w:r w:rsidR="00940884">
        <w:rPr>
          <w:rFonts w:eastAsiaTheme="minorHAnsi" w:cs="Times"/>
          <w:sz w:val="20"/>
          <w:szCs w:val="20"/>
          <w:lang w:val="es-AR" w:eastAsia="en-US"/>
        </w:rPr>
        <w:t xml:space="preserve"> </w:t>
      </w:r>
      <w:r w:rsidRPr="00F24D93">
        <w:rPr>
          <w:rFonts w:eastAsiaTheme="minorHAnsi" w:cs="Times"/>
          <w:sz w:val="20"/>
          <w:szCs w:val="20"/>
          <w:lang w:val="es-AR" w:eastAsia="en-US"/>
        </w:rPr>
        <w:t xml:space="preserve">para esclarecer </w:t>
      </w:r>
      <w:r>
        <w:rPr>
          <w:rFonts w:eastAsiaTheme="minorHAnsi" w:cs="Times"/>
          <w:sz w:val="20"/>
          <w:szCs w:val="20"/>
          <w:lang w:val="es-AR" w:eastAsia="en-US"/>
        </w:rPr>
        <w:t>los hechos ocurridos en el presente caso e</w:t>
      </w:r>
      <w:r w:rsidR="00B820DD">
        <w:rPr>
          <w:rFonts w:eastAsiaTheme="minorHAnsi" w:cs="Times"/>
          <w:sz w:val="20"/>
          <w:szCs w:val="20"/>
          <w:lang w:val="es-AR" w:eastAsia="en-US"/>
        </w:rPr>
        <w:t xml:space="preserve"> identificar </w:t>
      </w:r>
      <w:r w:rsidR="00B820DD">
        <w:rPr>
          <w:rFonts w:eastAsiaTheme="minorHAnsi" w:cs="Times"/>
          <w:sz w:val="20"/>
          <w:szCs w:val="20"/>
          <w:lang w:val="es-AR" w:eastAsia="en-US"/>
        </w:rPr>
        <w:lastRenderedPageBreak/>
        <w:t>las responsabilidades correspondientes</w:t>
      </w:r>
      <w:r>
        <w:rPr>
          <w:rFonts w:eastAsiaTheme="minorHAnsi" w:cs="Times"/>
          <w:sz w:val="20"/>
          <w:szCs w:val="20"/>
          <w:lang w:val="es-AR" w:eastAsia="en-US"/>
        </w:rPr>
        <w:t>, todo lo cual ha provocado una situación de impunidad</w:t>
      </w:r>
      <w:r>
        <w:rPr>
          <w:rStyle w:val="FootnoteReference"/>
          <w:rFonts w:eastAsiaTheme="minorHAnsi" w:cs="Times"/>
          <w:sz w:val="20"/>
          <w:szCs w:val="20"/>
          <w:lang w:val="es-AR" w:eastAsia="en-US"/>
        </w:rPr>
        <w:footnoteReference w:id="286"/>
      </w:r>
      <w:r>
        <w:rPr>
          <w:rFonts w:eastAsiaTheme="minorHAnsi" w:cs="Times"/>
          <w:sz w:val="20"/>
          <w:szCs w:val="20"/>
          <w:lang w:val="es-AR" w:eastAsia="en-US"/>
        </w:rPr>
        <w:t>.</w:t>
      </w:r>
    </w:p>
    <w:p w14:paraId="3B238258" w14:textId="77777777" w:rsidR="008F1192" w:rsidRDefault="008F1192" w:rsidP="000D4A1F">
      <w:pPr>
        <w:tabs>
          <w:tab w:val="left" w:pos="567"/>
          <w:tab w:val="num" w:pos="12305"/>
        </w:tabs>
        <w:rPr>
          <w:rFonts w:eastAsiaTheme="minorHAnsi" w:cstheme="minorBidi"/>
          <w:sz w:val="20"/>
          <w:szCs w:val="20"/>
          <w:lang w:eastAsia="en-US"/>
        </w:rPr>
      </w:pPr>
    </w:p>
    <w:p w14:paraId="5C4C4681" w14:textId="766EA166" w:rsidR="00A6246E" w:rsidRPr="00A6246E" w:rsidRDefault="00840E52" w:rsidP="0059117C">
      <w:pPr>
        <w:numPr>
          <w:ilvl w:val="0"/>
          <w:numId w:val="2"/>
        </w:numPr>
        <w:tabs>
          <w:tab w:val="left" w:pos="567"/>
          <w:tab w:val="num" w:pos="12305"/>
        </w:tabs>
        <w:ind w:left="0" w:firstLine="0"/>
        <w:rPr>
          <w:rFonts w:eastAsiaTheme="minorHAnsi" w:cs="Verdana"/>
          <w:color w:val="000000"/>
          <w:sz w:val="20"/>
          <w:szCs w:val="20"/>
          <w:lang w:eastAsia="en-US"/>
        </w:rPr>
      </w:pPr>
      <w:r>
        <w:rPr>
          <w:rFonts w:eastAsiaTheme="minorHAnsi" w:cs="Verdana"/>
          <w:color w:val="000000"/>
          <w:sz w:val="20"/>
          <w:szCs w:val="20"/>
          <w:lang w:eastAsia="en-US"/>
        </w:rPr>
        <w:t>En vista de ello,</w:t>
      </w:r>
      <w:r w:rsidR="00A6246E" w:rsidRPr="00A6246E">
        <w:rPr>
          <w:rFonts w:eastAsiaTheme="minorHAnsi" w:cs="Verdana"/>
          <w:color w:val="000000"/>
          <w:sz w:val="20"/>
          <w:szCs w:val="20"/>
          <w:lang w:eastAsia="en-US"/>
        </w:rPr>
        <w:t xml:space="preserve"> la Corte considera que, en el presente caso, las falencias, retrasos y omisiones en la investigación penal demuestran que las autoridades estatales no actuaron con la debida diligencia ni con arreglo a las obligaciones de investigar y de cumplir con una tutela judicial efectiva dentro de un plazo razonabl</w:t>
      </w:r>
      <w:r w:rsidR="00A6246E">
        <w:rPr>
          <w:rFonts w:eastAsiaTheme="minorHAnsi" w:cs="Verdana"/>
          <w:color w:val="000000"/>
          <w:sz w:val="20"/>
          <w:szCs w:val="20"/>
          <w:lang w:eastAsia="en-US"/>
        </w:rPr>
        <w:t>e, en función de garantizar el esclarecimiento de los hechos y determinación de las respectivas responsabilidades</w:t>
      </w:r>
      <w:r>
        <w:rPr>
          <w:rFonts w:eastAsiaTheme="minorHAnsi" w:cs="Verdana"/>
          <w:color w:val="000000"/>
          <w:sz w:val="20"/>
          <w:szCs w:val="20"/>
          <w:lang w:eastAsia="en-US"/>
        </w:rPr>
        <w:t>.</w:t>
      </w:r>
      <w:r w:rsidR="00A6246E">
        <w:rPr>
          <w:rFonts w:eastAsiaTheme="minorHAnsi" w:cs="Verdana"/>
          <w:color w:val="000000"/>
          <w:sz w:val="20"/>
          <w:szCs w:val="20"/>
          <w:lang w:eastAsia="en-US"/>
        </w:rPr>
        <w:t xml:space="preserve"> </w:t>
      </w:r>
      <w:r w:rsidRPr="00E67349">
        <w:rPr>
          <w:rFonts w:eastAsiaTheme="minorHAnsi" w:cstheme="minorBidi"/>
          <w:sz w:val="20"/>
          <w:szCs w:val="20"/>
          <w:lang w:val="es-AR" w:eastAsia="en-US"/>
        </w:rPr>
        <w:t xml:space="preserve">Luego de aproximadamente </w:t>
      </w:r>
      <w:r w:rsidR="00474B8B" w:rsidRPr="00E67349">
        <w:rPr>
          <w:rFonts w:eastAsiaTheme="minorHAnsi" w:cstheme="minorBidi"/>
          <w:sz w:val="20"/>
          <w:szCs w:val="20"/>
          <w:lang w:val="es-AR" w:eastAsia="en-US"/>
        </w:rPr>
        <w:t>1</w:t>
      </w:r>
      <w:r w:rsidR="00474B8B">
        <w:rPr>
          <w:rFonts w:eastAsiaTheme="minorHAnsi" w:cstheme="minorBidi"/>
          <w:sz w:val="20"/>
          <w:szCs w:val="20"/>
          <w:lang w:val="es-AR" w:eastAsia="en-US"/>
        </w:rPr>
        <w:t>7</w:t>
      </w:r>
      <w:r w:rsidR="00474B8B" w:rsidRPr="00E67349">
        <w:rPr>
          <w:rFonts w:eastAsiaTheme="minorHAnsi" w:cstheme="minorBidi"/>
          <w:sz w:val="20"/>
          <w:szCs w:val="20"/>
          <w:lang w:val="es-AR" w:eastAsia="en-US"/>
        </w:rPr>
        <w:t xml:space="preserve"> </w:t>
      </w:r>
      <w:r w:rsidRPr="00E67349">
        <w:rPr>
          <w:rFonts w:eastAsiaTheme="minorHAnsi" w:cstheme="minorBidi"/>
          <w:sz w:val="20"/>
          <w:szCs w:val="20"/>
          <w:lang w:val="es-AR" w:eastAsia="en-US"/>
        </w:rPr>
        <w:t>años, los hechos del presente caso permanecen en la impunidad</w:t>
      </w:r>
      <w:r w:rsidRPr="00E67349">
        <w:rPr>
          <w:rFonts w:eastAsiaTheme="minorHAnsi" w:cs="Arial"/>
          <w:sz w:val="20"/>
          <w:szCs w:val="20"/>
          <w:lang w:eastAsia="en-US"/>
        </w:rPr>
        <w:t>.</w:t>
      </w:r>
      <w:r w:rsidRPr="00E67349">
        <w:rPr>
          <w:rFonts w:eastAsiaTheme="minorHAnsi" w:cstheme="minorBidi"/>
          <w:sz w:val="20"/>
          <w:szCs w:val="20"/>
          <w:lang w:val="es-AR" w:eastAsia="en-US"/>
        </w:rPr>
        <w:t xml:space="preserve"> Por tanto, este Tribunal considera que el Estado no garantizó el acceso a la justicia</w:t>
      </w:r>
      <w:r>
        <w:rPr>
          <w:rFonts w:eastAsiaTheme="minorHAnsi" w:cstheme="minorBidi"/>
          <w:sz w:val="20"/>
          <w:szCs w:val="20"/>
          <w:lang w:val="es-AR" w:eastAsia="en-US"/>
        </w:rPr>
        <w:t>, en</w:t>
      </w:r>
      <w:r w:rsidRPr="00E67349">
        <w:rPr>
          <w:rFonts w:eastAsiaTheme="minorHAnsi" w:cstheme="minorBidi"/>
          <w:sz w:val="20"/>
          <w:szCs w:val="20"/>
          <w:lang w:val="es-AR" w:eastAsia="en-US"/>
        </w:rPr>
        <w:t xml:space="preserve"> </w:t>
      </w:r>
      <w:r>
        <w:rPr>
          <w:rFonts w:eastAsiaTheme="minorHAnsi" w:cstheme="minorBidi"/>
          <w:sz w:val="20"/>
          <w:szCs w:val="20"/>
          <w:lang w:val="es-AR" w:eastAsia="en-US"/>
        </w:rPr>
        <w:t>contravención de</w:t>
      </w:r>
      <w:r w:rsidRPr="00E67349">
        <w:rPr>
          <w:rFonts w:eastAsiaTheme="minorHAnsi" w:cstheme="minorBidi"/>
          <w:sz w:val="20"/>
          <w:szCs w:val="20"/>
          <w:lang w:val="es-AR" w:eastAsia="en-US"/>
        </w:rPr>
        <w:t xml:space="preserve"> los artículos 8.1 y 25.1 de la Convención Americana, en relación con el artículo 1.1 de la misma, en perjuicio de los familiares del señor Poblete Vilches.</w:t>
      </w:r>
    </w:p>
    <w:p w14:paraId="7539A936" w14:textId="77777777" w:rsidR="00A6246E" w:rsidRDefault="00A6246E" w:rsidP="000D4A1F">
      <w:pPr>
        <w:tabs>
          <w:tab w:val="left" w:pos="567"/>
          <w:tab w:val="num" w:pos="12305"/>
        </w:tabs>
        <w:rPr>
          <w:rFonts w:eastAsiaTheme="minorHAnsi" w:cstheme="minorBidi"/>
          <w:sz w:val="20"/>
          <w:szCs w:val="20"/>
          <w:lang w:eastAsia="en-US"/>
        </w:rPr>
      </w:pPr>
    </w:p>
    <w:p w14:paraId="401D8177" w14:textId="65AAF792" w:rsidR="00312262" w:rsidRPr="00F24D93" w:rsidRDefault="00312262" w:rsidP="00312262">
      <w:pPr>
        <w:numPr>
          <w:ilvl w:val="0"/>
          <w:numId w:val="2"/>
        </w:numPr>
        <w:tabs>
          <w:tab w:val="left" w:pos="567"/>
          <w:tab w:val="num" w:pos="12305"/>
        </w:tabs>
        <w:ind w:left="0" w:firstLine="0"/>
        <w:rPr>
          <w:rFonts w:eastAsiaTheme="minorHAnsi" w:cs="Times"/>
          <w:sz w:val="20"/>
          <w:szCs w:val="20"/>
          <w:lang w:val="es-AR" w:eastAsia="en-US"/>
        </w:rPr>
      </w:pPr>
      <w:r>
        <w:rPr>
          <w:rFonts w:eastAsiaTheme="minorHAnsi" w:cs="Times"/>
          <w:sz w:val="20"/>
          <w:szCs w:val="20"/>
          <w:lang w:val="es-AR" w:eastAsia="en-US"/>
        </w:rPr>
        <w:t>Finalmente, la Corte llama la atención sobre la labor que los órganos médicos colegiados de mediación deben, en todo caso</w:t>
      </w:r>
      <w:r w:rsidR="007626CD">
        <w:rPr>
          <w:rFonts w:eastAsiaTheme="minorHAnsi" w:cs="Times"/>
          <w:sz w:val="20"/>
          <w:szCs w:val="20"/>
          <w:lang w:val="es-AR" w:eastAsia="en-US"/>
        </w:rPr>
        <w:t>, cumplir</w:t>
      </w:r>
      <w:r>
        <w:rPr>
          <w:rFonts w:eastAsiaTheme="minorHAnsi" w:cs="Times"/>
          <w:sz w:val="20"/>
          <w:szCs w:val="20"/>
          <w:lang w:val="es-AR" w:eastAsia="en-US"/>
        </w:rPr>
        <w:t xml:space="preserve"> al momento de valorar situaciones de negación de servicio de salud o mala praxis médica. Para </w:t>
      </w:r>
      <w:r w:rsidR="007626CD">
        <w:rPr>
          <w:rFonts w:eastAsiaTheme="minorHAnsi" w:cs="Times"/>
          <w:sz w:val="20"/>
          <w:szCs w:val="20"/>
          <w:lang w:val="es-AR" w:eastAsia="en-US"/>
        </w:rPr>
        <w:t xml:space="preserve">ello, resulta indispensable una </w:t>
      </w:r>
      <w:r>
        <w:rPr>
          <w:rFonts w:eastAsiaTheme="minorHAnsi" w:cs="Times"/>
          <w:sz w:val="20"/>
          <w:szCs w:val="20"/>
          <w:lang w:val="es-AR" w:eastAsia="en-US"/>
        </w:rPr>
        <w:t xml:space="preserve">aproximación integral del derecho a la salud, desde la perspectiva de los derechos humanos, así como de impactos diferenciados, a fin de constituirse como órganos independientes que, a la luz de su experiencia médica, garanticen también los derechos de los pacientes. </w:t>
      </w:r>
    </w:p>
    <w:p w14:paraId="46FC8E04" w14:textId="77777777" w:rsidR="00312262" w:rsidRPr="0059117C" w:rsidRDefault="00312262" w:rsidP="000D4A1F">
      <w:pPr>
        <w:tabs>
          <w:tab w:val="left" w:pos="567"/>
          <w:tab w:val="num" w:pos="12305"/>
        </w:tabs>
        <w:rPr>
          <w:rFonts w:eastAsiaTheme="minorHAnsi" w:cstheme="minorBidi"/>
          <w:sz w:val="20"/>
          <w:szCs w:val="20"/>
          <w:lang w:val="es-AR" w:eastAsia="en-US"/>
        </w:rPr>
      </w:pPr>
    </w:p>
    <w:p w14:paraId="61E11CD9" w14:textId="77777777" w:rsidR="00E67349" w:rsidRPr="00164C05" w:rsidRDefault="00152F4C" w:rsidP="00225E59">
      <w:pPr>
        <w:pStyle w:val="Heading3"/>
        <w:rPr>
          <w:b/>
        </w:rPr>
      </w:pPr>
      <w:bookmarkStart w:id="95" w:name="_Toc513644481"/>
      <w:r>
        <w:rPr>
          <w:b/>
        </w:rPr>
        <w:t>2</w:t>
      </w:r>
      <w:r w:rsidR="00E67349" w:rsidRPr="00164C05">
        <w:rPr>
          <w:b/>
        </w:rPr>
        <w:t>. Respecto de la imparcialidad judicial</w:t>
      </w:r>
      <w:bookmarkEnd w:id="95"/>
    </w:p>
    <w:p w14:paraId="141C922B" w14:textId="77777777" w:rsidR="000D4A1F" w:rsidRPr="00E67349" w:rsidRDefault="000D4A1F" w:rsidP="000D4A1F">
      <w:pPr>
        <w:ind w:firstLine="360"/>
        <w:rPr>
          <w:i/>
          <w:sz w:val="20"/>
          <w:szCs w:val="20"/>
          <w:lang w:val="es-ES" w:eastAsia="en-US"/>
        </w:rPr>
      </w:pPr>
    </w:p>
    <w:p w14:paraId="27202D3A" w14:textId="77777777" w:rsidR="00E67349" w:rsidRPr="00E67349" w:rsidRDefault="00E67349" w:rsidP="000D4A1F">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E67349">
        <w:rPr>
          <w:rFonts w:eastAsiaTheme="minorHAnsi" w:cstheme="minorBidi"/>
          <w:sz w:val="20"/>
          <w:szCs w:val="20"/>
          <w:lang w:val="es-AR" w:eastAsia="en-US"/>
        </w:rPr>
        <w:t>El artículo 8.1 de la Convención garantiza que las decisiones en las cuales se determinen derechos de las personas deben ser adoptadas por las autoridades competentes que la ley interna determine</w:t>
      </w:r>
      <w:r w:rsidRPr="00E67349">
        <w:rPr>
          <w:rFonts w:eastAsiaTheme="minorHAnsi"/>
          <w:sz w:val="20"/>
          <w:szCs w:val="20"/>
          <w:vertAlign w:val="superscript"/>
          <w:lang w:val="es-AR" w:eastAsia="en-US"/>
        </w:rPr>
        <w:footnoteReference w:id="287"/>
      </w:r>
      <w:r w:rsidRPr="00E67349">
        <w:rPr>
          <w:rFonts w:eastAsiaTheme="minorHAnsi" w:cstheme="minorBidi"/>
          <w:sz w:val="20"/>
          <w:szCs w:val="20"/>
          <w:lang w:val="es-AR" w:eastAsia="en-US"/>
        </w:rPr>
        <w:t xml:space="preserve"> y bajo el procedimiento dispuesto para ello</w:t>
      </w:r>
      <w:r w:rsidRPr="00E67349">
        <w:rPr>
          <w:rFonts w:eastAsiaTheme="minorHAnsi"/>
          <w:sz w:val="20"/>
          <w:szCs w:val="20"/>
          <w:vertAlign w:val="superscript"/>
          <w:lang w:val="es-AR" w:eastAsia="en-US"/>
        </w:rPr>
        <w:footnoteReference w:id="288"/>
      </w:r>
      <w:r w:rsidRPr="00E67349">
        <w:rPr>
          <w:rFonts w:eastAsiaTheme="minorHAnsi" w:cstheme="minorBidi"/>
          <w:sz w:val="20"/>
          <w:szCs w:val="20"/>
          <w:lang w:val="es-AR" w:eastAsia="en-US"/>
        </w:rPr>
        <w:t>.</w:t>
      </w:r>
    </w:p>
    <w:p w14:paraId="1873C6FD" w14:textId="77777777" w:rsidR="00E67349" w:rsidRPr="00E67349" w:rsidRDefault="00E67349" w:rsidP="000D4A1F">
      <w:pPr>
        <w:tabs>
          <w:tab w:val="left" w:pos="0"/>
        </w:tabs>
        <w:contextualSpacing/>
        <w:rPr>
          <w:rFonts w:eastAsiaTheme="minorHAnsi" w:cstheme="minorBidi"/>
          <w:sz w:val="20"/>
          <w:szCs w:val="20"/>
          <w:lang w:val="es-AR" w:eastAsia="en-US"/>
        </w:rPr>
      </w:pPr>
    </w:p>
    <w:p w14:paraId="2CA5A53D" w14:textId="77777777" w:rsidR="00E67349" w:rsidRPr="00E67349" w:rsidRDefault="00E67349" w:rsidP="000D4A1F">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E67349">
        <w:rPr>
          <w:rFonts w:eastAsiaTheme="minorHAnsi" w:cstheme="minorBidi"/>
          <w:sz w:val="20"/>
          <w:szCs w:val="20"/>
          <w:lang w:val="es-PA" w:eastAsia="en-US"/>
        </w:rPr>
        <w:t>La</w:t>
      </w:r>
      <w:r w:rsidRPr="00E67349">
        <w:rPr>
          <w:rFonts w:eastAsiaTheme="minorHAnsi" w:cs="Arial"/>
          <w:sz w:val="20"/>
          <w:szCs w:val="20"/>
          <w:lang w:val="es-AR" w:eastAsia="en-US"/>
        </w:rPr>
        <w:t xml:space="preserve"> Corte resalta que el derecho a ser juzgado por un juez o tribunal imparcial es una garantía fundamental del debido proceso, debiéndose garantizar que el juez o tribunal en el ejercicio de su función como juzgador cuente con la mayor objetividad para enfrentar el juicio</w:t>
      </w:r>
      <w:r w:rsidRPr="00E67349">
        <w:rPr>
          <w:rFonts w:eastAsiaTheme="majorEastAsia" w:cs="Arial"/>
          <w:sz w:val="20"/>
          <w:szCs w:val="20"/>
          <w:vertAlign w:val="superscript"/>
          <w:lang w:val="es-AR" w:eastAsia="en-US"/>
        </w:rPr>
        <w:footnoteReference w:id="289"/>
      </w:r>
      <w:r w:rsidRPr="00E67349">
        <w:rPr>
          <w:rFonts w:eastAsiaTheme="minorHAnsi" w:cs="Arial"/>
          <w:sz w:val="20"/>
          <w:szCs w:val="20"/>
          <w:lang w:val="es-AR" w:eastAsia="en-US"/>
        </w:rPr>
        <w:t>. Este Tribunal ha establecido que la </w:t>
      </w:r>
      <w:r w:rsidRPr="00E67349">
        <w:rPr>
          <w:rFonts w:eastAsiaTheme="minorHAnsi" w:cs="Arial"/>
          <w:bCs/>
          <w:iCs/>
          <w:sz w:val="20"/>
          <w:szCs w:val="20"/>
          <w:lang w:val="es-AR" w:eastAsia="en-US"/>
        </w:rPr>
        <w:t>imparcialidad</w:t>
      </w:r>
      <w:r w:rsidRPr="00E67349">
        <w:rPr>
          <w:rFonts w:eastAsiaTheme="minorHAnsi" w:cs="Arial"/>
          <w:sz w:val="20"/>
          <w:szCs w:val="20"/>
          <w:lang w:val="es-AR" w:eastAsia="en-US"/>
        </w:rPr>
        <w:t xml:space="preserve"> exige que el juez que interviene en una contienda particular se aproxime a los hechos de la causa careciendo, de manera subjetiva, de todo prejuicio y, asimismo, ofreciendo garantías suficientes de índole objetiva que </w:t>
      </w:r>
      <w:r w:rsidRPr="00E67349">
        <w:rPr>
          <w:rFonts w:eastAsiaTheme="minorHAnsi" w:cstheme="minorBidi"/>
          <w:sz w:val="20"/>
          <w:szCs w:val="20"/>
          <w:lang w:val="es-AR" w:eastAsia="en-US"/>
        </w:rPr>
        <w:t>inspiren la confianza necesaria a las partes en el caso, así como a los ciudadanos en una sociedad democrática</w:t>
      </w:r>
      <w:r w:rsidRPr="00E67349">
        <w:rPr>
          <w:rFonts w:eastAsiaTheme="majorEastAsia"/>
          <w:sz w:val="20"/>
          <w:szCs w:val="20"/>
          <w:vertAlign w:val="superscript"/>
          <w:lang w:val="es-AR" w:eastAsia="en-US"/>
        </w:rPr>
        <w:footnoteReference w:id="290"/>
      </w:r>
      <w:r w:rsidRPr="00E67349">
        <w:rPr>
          <w:rFonts w:eastAsiaTheme="minorHAnsi" w:cstheme="minorBidi"/>
          <w:sz w:val="20"/>
          <w:szCs w:val="20"/>
          <w:lang w:val="es-AR" w:eastAsia="en-US"/>
        </w:rPr>
        <w:t>.</w:t>
      </w:r>
      <w:r w:rsidRPr="00E67349">
        <w:rPr>
          <w:rFonts w:eastAsiaTheme="minorHAnsi" w:cs="Arial"/>
          <w:sz w:val="20"/>
          <w:szCs w:val="20"/>
          <w:lang w:val="es-AR" w:eastAsia="en-US"/>
        </w:rPr>
        <w:t xml:space="preserve"> La </w:t>
      </w:r>
      <w:r w:rsidRPr="00E67349">
        <w:rPr>
          <w:rFonts w:eastAsiaTheme="minorHAnsi" w:cs="Arial"/>
          <w:bCs/>
          <w:iCs/>
          <w:sz w:val="20"/>
          <w:szCs w:val="20"/>
          <w:lang w:val="es-AR" w:eastAsia="en-US"/>
        </w:rPr>
        <w:t>imparcialidad</w:t>
      </w:r>
      <w:r w:rsidRPr="00E67349">
        <w:rPr>
          <w:rFonts w:eastAsiaTheme="minorHAnsi" w:cs="Arial"/>
          <w:sz w:val="20"/>
          <w:szCs w:val="20"/>
          <w:lang w:val="es-AR" w:eastAsia="en-US"/>
        </w:rPr>
        <w:t> del tribunal implica que sus integrantes no tengan un interés directo, una posición tomada, una preferencia por alguna de las partes y que no se encuentren involucrados en la controversia</w:t>
      </w:r>
      <w:r w:rsidRPr="00E67349">
        <w:rPr>
          <w:rFonts w:eastAsiaTheme="majorEastAsia" w:cs="Arial"/>
          <w:sz w:val="20"/>
          <w:szCs w:val="20"/>
          <w:vertAlign w:val="superscript"/>
          <w:lang w:val="es-AR" w:eastAsia="en-US"/>
        </w:rPr>
        <w:footnoteReference w:id="291"/>
      </w:r>
      <w:r w:rsidRPr="00E67349">
        <w:rPr>
          <w:rFonts w:eastAsiaTheme="minorHAnsi" w:cs="Arial"/>
          <w:sz w:val="20"/>
          <w:szCs w:val="20"/>
          <w:lang w:val="es-AR" w:eastAsia="en-US"/>
        </w:rPr>
        <w:t xml:space="preserve">. </w:t>
      </w:r>
      <w:r w:rsidRPr="00E67349">
        <w:rPr>
          <w:rFonts w:eastAsiaTheme="minorHAnsi" w:cstheme="minorBidi"/>
          <w:sz w:val="20"/>
          <w:szCs w:val="20"/>
          <w:lang w:val="es-AR" w:eastAsia="en-US"/>
        </w:rPr>
        <w:t>Ello puesto que el juez debe aparecer como actuando sin estar sujeto a influencia, aliciente, presión, amenaza o intromisión, directa o indirecta</w:t>
      </w:r>
      <w:r w:rsidRPr="00E67349">
        <w:rPr>
          <w:rFonts w:eastAsiaTheme="minorHAnsi" w:cstheme="minorBidi"/>
          <w:sz w:val="20"/>
          <w:szCs w:val="20"/>
          <w:vertAlign w:val="superscript"/>
          <w:lang w:val="es-AR" w:eastAsia="en-US"/>
        </w:rPr>
        <w:footnoteReference w:id="292"/>
      </w:r>
      <w:r w:rsidRPr="00E67349">
        <w:rPr>
          <w:rFonts w:eastAsiaTheme="minorHAnsi" w:cstheme="minorBidi"/>
          <w:sz w:val="20"/>
          <w:szCs w:val="20"/>
          <w:lang w:val="es-AR" w:eastAsia="en-US"/>
        </w:rPr>
        <w:t>, sino única y exclusivamente conforme a -y movido por- el Derecho</w:t>
      </w:r>
      <w:r w:rsidRPr="00E67349">
        <w:rPr>
          <w:rFonts w:eastAsiaTheme="majorEastAsia"/>
          <w:sz w:val="20"/>
          <w:szCs w:val="20"/>
          <w:vertAlign w:val="superscript"/>
          <w:lang w:val="es-AR" w:eastAsia="en-US"/>
        </w:rPr>
        <w:footnoteReference w:id="293"/>
      </w:r>
      <w:r w:rsidRPr="00E67349">
        <w:rPr>
          <w:rFonts w:eastAsiaTheme="minorHAnsi" w:cstheme="minorBidi"/>
          <w:sz w:val="20"/>
          <w:szCs w:val="20"/>
          <w:lang w:val="es-AR" w:eastAsia="en-US"/>
        </w:rPr>
        <w:t xml:space="preserve">. </w:t>
      </w:r>
    </w:p>
    <w:p w14:paraId="69C0DA04" w14:textId="77777777" w:rsidR="00E67349" w:rsidRPr="00E67349" w:rsidRDefault="00E67349" w:rsidP="000D4A1F">
      <w:pPr>
        <w:tabs>
          <w:tab w:val="left" w:pos="0"/>
        </w:tabs>
        <w:contextualSpacing/>
        <w:rPr>
          <w:rFonts w:eastAsiaTheme="minorHAnsi" w:cstheme="minorBidi"/>
          <w:sz w:val="20"/>
          <w:szCs w:val="20"/>
          <w:lang w:val="es-AR" w:eastAsia="en-US"/>
        </w:rPr>
      </w:pPr>
    </w:p>
    <w:p w14:paraId="2678C8E3" w14:textId="5FB68C61" w:rsidR="00E67349" w:rsidRPr="00E67349" w:rsidRDefault="00E67349" w:rsidP="000D4A1F">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E67349">
        <w:rPr>
          <w:rFonts w:eastAsiaTheme="minorHAnsi" w:cstheme="minorBidi"/>
          <w:sz w:val="20"/>
          <w:szCs w:val="20"/>
          <w:lang w:val="es-CO" w:eastAsia="en-US"/>
        </w:rPr>
        <w:t xml:space="preserve">Asimismo, el Tribunal reitera que la imparcialidad personal de un juez debe ser presumida, salvo prueba en contrario. Para el análisis de la imparcialidad subjetiva, el Tribunal </w:t>
      </w:r>
      <w:r w:rsidRPr="00E67349">
        <w:rPr>
          <w:rFonts w:eastAsiaTheme="minorHAnsi" w:cstheme="minorBidi"/>
          <w:sz w:val="20"/>
          <w:szCs w:val="20"/>
          <w:lang w:val="es-CO" w:eastAsia="en-US"/>
        </w:rPr>
        <w:lastRenderedPageBreak/>
        <w:t>debe intentar averiguar los intereses o motivaciones personales del juez en un determinado caso. En cuanto al tipo de evidencia que se necesita para probar la imparcialidad subjetiva, se debe tratar de determinar si el juez ha manifestado hostilidad o si ha hecho que el caso sea asignado a él por razones personales</w:t>
      </w:r>
      <w:r w:rsidRPr="00E67349">
        <w:rPr>
          <w:rFonts w:eastAsiaTheme="majorEastAsia"/>
          <w:sz w:val="20"/>
          <w:szCs w:val="20"/>
          <w:vertAlign w:val="superscript"/>
          <w:lang w:val="es-CO" w:eastAsia="en-US"/>
        </w:rPr>
        <w:footnoteReference w:id="294"/>
      </w:r>
      <w:r w:rsidRPr="00E67349">
        <w:rPr>
          <w:rFonts w:eastAsiaTheme="minorHAnsi" w:cstheme="minorBidi"/>
          <w:sz w:val="20"/>
          <w:szCs w:val="20"/>
          <w:lang w:val="es-AR" w:eastAsia="en-US"/>
        </w:rPr>
        <w:t>.</w:t>
      </w:r>
    </w:p>
    <w:p w14:paraId="02BF627E" w14:textId="77777777" w:rsidR="00E67349" w:rsidRPr="00E67349" w:rsidRDefault="00E67349" w:rsidP="000D4A1F">
      <w:pPr>
        <w:tabs>
          <w:tab w:val="left" w:pos="0"/>
        </w:tabs>
        <w:contextualSpacing/>
        <w:rPr>
          <w:rFonts w:eastAsiaTheme="minorHAnsi" w:cstheme="minorBidi"/>
          <w:sz w:val="20"/>
          <w:szCs w:val="20"/>
          <w:lang w:val="es-AR" w:eastAsia="en-US"/>
        </w:rPr>
      </w:pPr>
    </w:p>
    <w:p w14:paraId="03322DD4" w14:textId="77777777" w:rsidR="00E67349" w:rsidRPr="00E67349" w:rsidRDefault="00E67349" w:rsidP="000D4A1F">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E67349">
        <w:rPr>
          <w:rFonts w:eastAsiaTheme="minorHAnsi" w:cstheme="minorBidi"/>
          <w:sz w:val="20"/>
          <w:szCs w:val="20"/>
          <w:lang w:val="es-AR" w:eastAsia="en-US"/>
        </w:rPr>
        <w:t>Una violación del artículo 8.1 de la Convención por la presunta falta de imparcialidad judicial de los jueces debe establecerse a partir de elementos probatorios específicos y concretos que indiquen que se está efectivamente ante un caso en el que los jueces claramente se han dejado influenciar por aspectos o criterios ajenos a las normas legales</w:t>
      </w:r>
      <w:r w:rsidRPr="00E67349">
        <w:rPr>
          <w:rFonts w:eastAsiaTheme="minorHAnsi"/>
          <w:sz w:val="20"/>
          <w:szCs w:val="20"/>
          <w:vertAlign w:val="superscript"/>
          <w:lang w:val="es-AR" w:eastAsia="en-US"/>
        </w:rPr>
        <w:footnoteReference w:id="295"/>
      </w:r>
      <w:r w:rsidRPr="00E67349">
        <w:rPr>
          <w:rFonts w:eastAsiaTheme="minorHAnsi" w:cstheme="minorBidi"/>
          <w:sz w:val="20"/>
          <w:szCs w:val="20"/>
          <w:lang w:val="es-AR" w:eastAsia="en-US"/>
        </w:rPr>
        <w:t xml:space="preserve">. En el presente caso, </w:t>
      </w:r>
      <w:r w:rsidR="006D78F3">
        <w:rPr>
          <w:rFonts w:eastAsiaTheme="minorHAnsi" w:cstheme="minorBidi"/>
          <w:sz w:val="20"/>
          <w:szCs w:val="20"/>
          <w:lang w:val="es-AR" w:eastAsia="en-US"/>
        </w:rPr>
        <w:t>las representantes</w:t>
      </w:r>
      <w:r w:rsidR="0059400D">
        <w:rPr>
          <w:rFonts w:eastAsiaTheme="minorHAnsi" w:cstheme="minorBidi"/>
          <w:sz w:val="20"/>
          <w:szCs w:val="20"/>
          <w:lang w:val="es-AR" w:eastAsia="en-US"/>
        </w:rPr>
        <w:t xml:space="preserve"> </w:t>
      </w:r>
      <w:r w:rsidR="006D78F3">
        <w:rPr>
          <w:rFonts w:eastAsiaTheme="minorHAnsi" w:cstheme="minorBidi"/>
          <w:sz w:val="20"/>
          <w:szCs w:val="20"/>
          <w:lang w:val="es-AR" w:eastAsia="en-US"/>
        </w:rPr>
        <w:t xml:space="preserve">no </w:t>
      </w:r>
      <w:r w:rsidR="0059400D">
        <w:rPr>
          <w:rFonts w:eastAsiaTheme="minorHAnsi" w:cstheme="minorBidi"/>
          <w:sz w:val="20"/>
          <w:szCs w:val="20"/>
          <w:lang w:val="es-AR" w:eastAsia="en-US"/>
        </w:rPr>
        <w:t xml:space="preserve">aportaron </w:t>
      </w:r>
      <w:r w:rsidRPr="00E67349">
        <w:rPr>
          <w:rFonts w:eastAsiaTheme="minorHAnsi" w:cstheme="minorBidi"/>
          <w:sz w:val="20"/>
          <w:szCs w:val="20"/>
          <w:lang w:val="es-AR" w:eastAsia="en-US"/>
        </w:rPr>
        <w:t xml:space="preserve">elementos probatorios o indicios que le permitan </w:t>
      </w:r>
      <w:r w:rsidR="0059400D">
        <w:rPr>
          <w:rFonts w:eastAsiaTheme="minorHAnsi" w:cstheme="minorBidi"/>
          <w:sz w:val="20"/>
          <w:szCs w:val="20"/>
          <w:lang w:val="es-AR" w:eastAsia="en-US"/>
        </w:rPr>
        <w:t xml:space="preserve">a esta Corte </w:t>
      </w:r>
      <w:r w:rsidRPr="00E67349">
        <w:rPr>
          <w:rFonts w:eastAsiaTheme="minorHAnsi" w:cstheme="minorBidi"/>
          <w:sz w:val="20"/>
          <w:szCs w:val="20"/>
          <w:lang w:val="es-AR" w:eastAsia="en-US"/>
        </w:rPr>
        <w:t>considerar que las autoridades judiciales actuaron con ausencia de imparcialidad.</w:t>
      </w:r>
    </w:p>
    <w:p w14:paraId="3714DE62" w14:textId="77777777" w:rsidR="00E67349" w:rsidRPr="00E67349" w:rsidRDefault="00E67349" w:rsidP="000D4A1F">
      <w:pPr>
        <w:tabs>
          <w:tab w:val="left" w:pos="0"/>
        </w:tabs>
        <w:contextualSpacing/>
        <w:rPr>
          <w:rFonts w:eastAsiaTheme="minorHAnsi" w:cstheme="minorBidi"/>
          <w:sz w:val="20"/>
          <w:szCs w:val="20"/>
          <w:lang w:val="es-AR" w:eastAsia="en-US"/>
        </w:rPr>
      </w:pPr>
    </w:p>
    <w:p w14:paraId="36A42133" w14:textId="77777777" w:rsidR="00E67349" w:rsidRDefault="00E67349" w:rsidP="000D4A1F">
      <w:pPr>
        <w:numPr>
          <w:ilvl w:val="0"/>
          <w:numId w:val="2"/>
        </w:numPr>
        <w:tabs>
          <w:tab w:val="left" w:pos="567"/>
          <w:tab w:val="num" w:pos="1569"/>
          <w:tab w:val="num" w:pos="12305"/>
        </w:tabs>
        <w:ind w:left="0" w:firstLine="0"/>
        <w:rPr>
          <w:rFonts w:eastAsiaTheme="minorHAnsi" w:cstheme="minorBidi"/>
          <w:sz w:val="20"/>
          <w:szCs w:val="20"/>
          <w:lang w:val="es-AR" w:eastAsia="en-US"/>
        </w:rPr>
      </w:pPr>
      <w:r w:rsidRPr="00E67349">
        <w:rPr>
          <w:rFonts w:eastAsiaTheme="minorHAnsi" w:cstheme="minorBidi"/>
          <w:sz w:val="20"/>
          <w:szCs w:val="20"/>
          <w:lang w:val="es-AR" w:eastAsia="en-US"/>
        </w:rPr>
        <w:t>En consecuencia, la Corte concluye que el Estado no es responsable por la violación de las garantías judiciales establecidas en el artículo 8.1 de la Convención, por la alegada falta de imparcialidad judicial.</w:t>
      </w:r>
    </w:p>
    <w:p w14:paraId="519A7E4A" w14:textId="77777777" w:rsidR="000214BA" w:rsidRDefault="000214BA" w:rsidP="00BE6F31">
      <w:pPr>
        <w:contextualSpacing/>
        <w:rPr>
          <w:rFonts w:eastAsia="Calibri"/>
          <w:sz w:val="20"/>
          <w:szCs w:val="20"/>
          <w:lang w:eastAsia="en-US"/>
        </w:rPr>
      </w:pPr>
    </w:p>
    <w:p w14:paraId="2EEBB1C7" w14:textId="77777777" w:rsidR="003E7F63" w:rsidRPr="006B2A4D" w:rsidRDefault="006A08E5" w:rsidP="006B2A4D">
      <w:pPr>
        <w:pStyle w:val="Title"/>
      </w:pPr>
      <w:bookmarkStart w:id="96" w:name="_Toc504484552"/>
      <w:bookmarkStart w:id="97" w:name="_Toc513644482"/>
      <w:r w:rsidRPr="006B2A4D">
        <w:t>V</w:t>
      </w:r>
      <w:r w:rsidR="00024506">
        <w:t>I</w:t>
      </w:r>
      <w:r w:rsidRPr="006B2A4D">
        <w:t>I-3</w:t>
      </w:r>
      <w:bookmarkEnd w:id="96"/>
      <w:bookmarkEnd w:id="97"/>
    </w:p>
    <w:p w14:paraId="230FF16B" w14:textId="77777777" w:rsidR="00BE6F31" w:rsidRPr="006B2A4D" w:rsidRDefault="00BE6F31" w:rsidP="006B2A4D">
      <w:pPr>
        <w:pStyle w:val="Title"/>
      </w:pPr>
      <w:bookmarkStart w:id="98" w:name="_Toc513644483"/>
      <w:r w:rsidRPr="006B2A4D">
        <w:t>DERECHO A LA INTEGRIDAD PERSONAL</w:t>
      </w:r>
      <w:r w:rsidR="003E7F63" w:rsidRPr="006B2A4D">
        <w:t xml:space="preserve"> DE LOS FAMILIARES</w:t>
      </w:r>
      <w:bookmarkEnd w:id="98"/>
    </w:p>
    <w:p w14:paraId="35AD4C58" w14:textId="77777777" w:rsidR="00BE6F31" w:rsidRPr="006B2A4D" w:rsidRDefault="00BE6F31" w:rsidP="006B2A4D">
      <w:pPr>
        <w:pStyle w:val="Title"/>
      </w:pPr>
      <w:bookmarkStart w:id="99" w:name="_Toc482355929"/>
      <w:bookmarkStart w:id="100" w:name="_Toc494123989"/>
      <w:bookmarkStart w:id="101" w:name="_Toc513644484"/>
      <w:r w:rsidRPr="006B2A4D">
        <w:t>(ARTÍCULO 5.1 DE LA CONVENCIÓN AMERICANA)</w:t>
      </w:r>
      <w:bookmarkEnd w:id="99"/>
      <w:bookmarkEnd w:id="100"/>
      <w:bookmarkEnd w:id="101"/>
    </w:p>
    <w:p w14:paraId="5456A7D4" w14:textId="77777777" w:rsidR="00BE6F31" w:rsidRPr="00F1435E" w:rsidRDefault="00BE6F31" w:rsidP="00BE6F31">
      <w:pPr>
        <w:ind w:left="-90" w:right="-360"/>
        <w:jc w:val="center"/>
        <w:rPr>
          <w:b/>
          <w:sz w:val="20"/>
          <w:szCs w:val="20"/>
          <w:lang w:val="es-ES_tradnl"/>
        </w:rPr>
      </w:pPr>
    </w:p>
    <w:p w14:paraId="1B716462" w14:textId="77777777" w:rsidR="00BE6F31" w:rsidRPr="00BE6F31" w:rsidRDefault="00BE6F31" w:rsidP="002726E0">
      <w:pPr>
        <w:pStyle w:val="Heading2"/>
        <w:numPr>
          <w:ilvl w:val="0"/>
          <w:numId w:val="12"/>
        </w:numPr>
      </w:pPr>
      <w:bookmarkStart w:id="102" w:name="_Toc513644485"/>
      <w:r w:rsidRPr="00BE6F31">
        <w:t>Argumentos de la Comisión y de las partes</w:t>
      </w:r>
      <w:bookmarkEnd w:id="102"/>
    </w:p>
    <w:p w14:paraId="6824BA72" w14:textId="77777777" w:rsidR="00BE6F31" w:rsidRPr="00BE6F31" w:rsidRDefault="00BE6F31" w:rsidP="00BE6F31">
      <w:pPr>
        <w:ind w:left="-90" w:right="-360"/>
        <w:rPr>
          <w:sz w:val="20"/>
          <w:szCs w:val="20"/>
          <w:lang w:val="es-AR"/>
        </w:rPr>
      </w:pPr>
    </w:p>
    <w:p w14:paraId="6411A61E" w14:textId="316FA63E" w:rsidR="00BE6F31" w:rsidRPr="0095252C" w:rsidRDefault="00BE6F31" w:rsidP="00BE6F31">
      <w:pPr>
        <w:numPr>
          <w:ilvl w:val="0"/>
          <w:numId w:val="2"/>
        </w:numPr>
        <w:tabs>
          <w:tab w:val="left" w:pos="567"/>
          <w:tab w:val="num" w:pos="1569"/>
          <w:tab w:val="num" w:pos="12305"/>
        </w:tabs>
        <w:ind w:left="0" w:firstLine="0"/>
        <w:rPr>
          <w:b/>
          <w:sz w:val="20"/>
          <w:szCs w:val="20"/>
          <w:lang w:val="es-AR"/>
        </w:rPr>
      </w:pPr>
      <w:r w:rsidRPr="00F1435E">
        <w:rPr>
          <w:sz w:val="20"/>
          <w:szCs w:val="20"/>
          <w:lang w:val="es-AR"/>
        </w:rPr>
        <w:t xml:space="preserve">La </w:t>
      </w:r>
      <w:r w:rsidRPr="00F1435E">
        <w:rPr>
          <w:b/>
          <w:i/>
          <w:sz w:val="20"/>
          <w:szCs w:val="20"/>
          <w:lang w:val="es-AR"/>
        </w:rPr>
        <w:t>Comisión</w:t>
      </w:r>
      <w:r w:rsidRPr="00F1435E">
        <w:rPr>
          <w:sz w:val="20"/>
          <w:szCs w:val="20"/>
          <w:lang w:val="es-AR"/>
        </w:rPr>
        <w:t xml:space="preserve"> alegó que el Estado violó el artículo 5.1 de la Convención Americana, en relación con el artículo 1.1 del mismo instrumento, respecto del derecho a la integridad psíquica y moral en perjuicio de los familiares del señor Poblete Vilches, con motivo del sufrimiento adicional que estos han padecido como producto de las circunstancias particulares correspondientes a las violaciones perpetradas contra sus seres queridos y a causa de las actuaciones u omisiones de las autoridades estatales frente a los hechos</w:t>
      </w:r>
      <w:r w:rsidR="00586679">
        <w:rPr>
          <w:sz w:val="20"/>
          <w:szCs w:val="20"/>
          <w:lang w:val="es-AR"/>
        </w:rPr>
        <w:t>.</w:t>
      </w:r>
      <w:r w:rsidR="00586679">
        <w:rPr>
          <w:b/>
          <w:sz w:val="20"/>
          <w:szCs w:val="20"/>
          <w:lang w:val="es-AR"/>
        </w:rPr>
        <w:t xml:space="preserve"> </w:t>
      </w:r>
      <w:r w:rsidRPr="00F1435E">
        <w:rPr>
          <w:sz w:val="20"/>
          <w:szCs w:val="20"/>
          <w:lang w:val="es-AR"/>
        </w:rPr>
        <w:t>C</w:t>
      </w:r>
      <w:proofErr w:type="spellStart"/>
      <w:r w:rsidRPr="00F1435E">
        <w:rPr>
          <w:sz w:val="20"/>
          <w:szCs w:val="20"/>
          <w:lang w:val="es-ES"/>
        </w:rPr>
        <w:t>on</w:t>
      </w:r>
      <w:proofErr w:type="spellEnd"/>
      <w:r w:rsidRPr="00F1435E">
        <w:rPr>
          <w:sz w:val="20"/>
          <w:szCs w:val="20"/>
          <w:lang w:val="es-ES"/>
        </w:rPr>
        <w:t xml:space="preserve"> relación a los alegados </w:t>
      </w:r>
      <w:r w:rsidR="00586679" w:rsidRPr="00F1435E">
        <w:rPr>
          <w:sz w:val="20"/>
          <w:szCs w:val="20"/>
          <w:lang w:val="es-ES"/>
        </w:rPr>
        <w:t xml:space="preserve">maltratos </w:t>
      </w:r>
      <w:r w:rsidRPr="00F1435E">
        <w:rPr>
          <w:sz w:val="20"/>
          <w:szCs w:val="20"/>
          <w:lang w:val="es-ES"/>
        </w:rPr>
        <w:t>sufridos por los familiares del señor Poblete Vilches, la Comisión manifestó que no cuenta con elementos probatorios que le permitan realizar un análisis jurídico respecto de los mismos. No obstante lo anterior, resaltó que el Estado tuvo conocimiento de los alegatos de las presuntas víctimas sobre actos incompatibles tanto con su integridad personal como la del señor Poblete Vilches desde la denuncia interpuesta por ellos el 12 de noviembre de 2001</w:t>
      </w:r>
      <w:r w:rsidR="00586679">
        <w:rPr>
          <w:sz w:val="20"/>
          <w:szCs w:val="20"/>
          <w:lang w:val="es-ES"/>
        </w:rPr>
        <w:t>.</w:t>
      </w:r>
    </w:p>
    <w:p w14:paraId="141EACA9" w14:textId="77777777" w:rsidR="00BE6F31" w:rsidRPr="0095252C" w:rsidRDefault="00BE6F31" w:rsidP="00BE6F31">
      <w:pPr>
        <w:pStyle w:val="ListParagraph"/>
        <w:ind w:left="-90" w:right="-360"/>
        <w:rPr>
          <w:b/>
          <w:sz w:val="20"/>
          <w:szCs w:val="20"/>
          <w:lang w:val="es-AR"/>
        </w:rPr>
      </w:pPr>
    </w:p>
    <w:p w14:paraId="77D2881D" w14:textId="229FD8BC" w:rsidR="00BE6F31" w:rsidRPr="0095252C" w:rsidRDefault="00BE6F31" w:rsidP="00BE6F31">
      <w:pPr>
        <w:numPr>
          <w:ilvl w:val="0"/>
          <w:numId w:val="2"/>
        </w:numPr>
        <w:tabs>
          <w:tab w:val="left" w:pos="567"/>
          <w:tab w:val="num" w:pos="1569"/>
          <w:tab w:val="num" w:pos="12305"/>
        </w:tabs>
        <w:ind w:left="0" w:firstLine="0"/>
        <w:rPr>
          <w:rFonts w:cs="Arial"/>
          <w:b/>
          <w:sz w:val="20"/>
          <w:szCs w:val="20"/>
          <w:lang w:val="es-AR"/>
        </w:rPr>
      </w:pPr>
      <w:r w:rsidRPr="0095252C">
        <w:rPr>
          <w:sz w:val="20"/>
          <w:szCs w:val="20"/>
          <w:lang w:val="es-AR"/>
        </w:rPr>
        <w:t>L</w:t>
      </w:r>
      <w:r w:rsidRPr="00417979">
        <w:rPr>
          <w:sz w:val="20"/>
          <w:szCs w:val="20"/>
          <w:lang w:val="es-AR"/>
        </w:rPr>
        <w:t>as</w:t>
      </w:r>
      <w:r w:rsidRPr="00F1435E">
        <w:rPr>
          <w:sz w:val="20"/>
          <w:szCs w:val="20"/>
          <w:lang w:val="es-AR"/>
        </w:rPr>
        <w:t xml:space="preserve"> </w:t>
      </w:r>
      <w:r w:rsidRPr="00F1435E">
        <w:rPr>
          <w:b/>
          <w:i/>
          <w:sz w:val="20"/>
          <w:szCs w:val="20"/>
          <w:lang w:val="es-AR"/>
        </w:rPr>
        <w:t>Representantes</w:t>
      </w:r>
      <w:r w:rsidRPr="00F1435E">
        <w:rPr>
          <w:b/>
          <w:sz w:val="20"/>
          <w:szCs w:val="20"/>
          <w:lang w:val="es-AR"/>
        </w:rPr>
        <w:t xml:space="preserve"> </w:t>
      </w:r>
      <w:r w:rsidRPr="00F1435E">
        <w:rPr>
          <w:sz w:val="20"/>
          <w:szCs w:val="20"/>
          <w:lang w:val="es-AR"/>
        </w:rPr>
        <w:t>alegaron que el Estado violó el derecho a la integridad personal en perjuicio de los familiares directos del señor Poblete Vilches. Señalaron que sus familiares sufrieron una profunda depresión tras la muerte del señor Poblete Vilches que afectó su capacidad para enfrentar sus nuevas condiciones de vida e impactó gravemente sus relaciones sociales, vínculos familiares y proyectos de vida. En sustento a lo anterior, aportaron como anexos los informes que documentan el cuadro depresivo padecido por la se</w:t>
      </w:r>
      <w:r w:rsidRPr="00F1435E">
        <w:rPr>
          <w:rFonts w:cs="Arial"/>
          <w:sz w:val="20"/>
          <w:szCs w:val="20"/>
          <w:lang w:val="es-AR"/>
        </w:rPr>
        <w:t xml:space="preserve">ñora Blanca Margarita Tapia Encina y </w:t>
      </w:r>
      <w:r w:rsidRPr="006B14CE">
        <w:rPr>
          <w:rFonts w:cs="Arial"/>
          <w:sz w:val="20"/>
          <w:szCs w:val="20"/>
          <w:lang w:val="es-AR"/>
        </w:rPr>
        <w:t xml:space="preserve">el intento de suicidio de </w:t>
      </w:r>
      <w:proofErr w:type="spellStart"/>
      <w:r w:rsidRPr="006B14CE">
        <w:rPr>
          <w:rFonts w:cs="Arial"/>
          <w:sz w:val="20"/>
          <w:szCs w:val="20"/>
          <w:lang w:val="es-AR"/>
        </w:rPr>
        <w:t>Cesia</w:t>
      </w:r>
      <w:proofErr w:type="spellEnd"/>
      <w:r w:rsidRPr="006B14CE">
        <w:rPr>
          <w:rFonts w:cs="Arial"/>
          <w:sz w:val="20"/>
          <w:szCs w:val="20"/>
          <w:lang w:val="es-AR"/>
        </w:rPr>
        <w:t xml:space="preserve"> Poblete Tapia tras la muerte del señor Poblete Vilchis</w:t>
      </w:r>
      <w:r w:rsidR="00586679">
        <w:rPr>
          <w:rFonts w:cs="Arial"/>
          <w:sz w:val="20"/>
          <w:szCs w:val="20"/>
          <w:lang w:val="es-AR"/>
        </w:rPr>
        <w:t xml:space="preserve">. </w:t>
      </w:r>
      <w:r w:rsidRPr="0095252C">
        <w:rPr>
          <w:sz w:val="20"/>
          <w:szCs w:val="20"/>
          <w:lang w:val="es-AR"/>
        </w:rPr>
        <w:t xml:space="preserve">En este sentido, señalaron que la Comisión ha identificado violaciones al artículo 5.1 “[…] en que actos imputables a los Estados resultaron en </w:t>
      </w:r>
      <w:r w:rsidRPr="0095252C">
        <w:rPr>
          <w:sz w:val="20"/>
          <w:szCs w:val="20"/>
          <w:lang w:val="es-ES"/>
        </w:rPr>
        <w:t xml:space="preserve">algún ‘trauma emocional’, en ‘traumas y ansiedad’, en impedimentos para ‘llevar adelante la vida como (la víctima) lo hubiera deseado’, en ‘efectos </w:t>
      </w:r>
      <w:r w:rsidR="00586679" w:rsidRPr="0095252C">
        <w:rPr>
          <w:sz w:val="20"/>
          <w:szCs w:val="20"/>
          <w:lang w:val="es-ES"/>
        </w:rPr>
        <w:t>psicólogos</w:t>
      </w:r>
      <w:r w:rsidRPr="0095252C">
        <w:rPr>
          <w:sz w:val="20"/>
          <w:szCs w:val="20"/>
          <w:lang w:val="es-ES"/>
        </w:rPr>
        <w:t xml:space="preserve"> derivados’ o en ‘afectaciones a la autoestima personal’”</w:t>
      </w:r>
      <w:r w:rsidR="00586679">
        <w:rPr>
          <w:sz w:val="20"/>
          <w:szCs w:val="20"/>
          <w:lang w:val="es-ES"/>
        </w:rPr>
        <w:t>.</w:t>
      </w:r>
    </w:p>
    <w:p w14:paraId="62BCADA1" w14:textId="77777777" w:rsidR="00BE6F31" w:rsidRPr="00F1435E" w:rsidRDefault="00BE6F31" w:rsidP="00BE6F31">
      <w:pPr>
        <w:ind w:right="-360"/>
        <w:rPr>
          <w:sz w:val="20"/>
          <w:szCs w:val="20"/>
          <w:lang w:val="es-AR"/>
        </w:rPr>
      </w:pPr>
    </w:p>
    <w:p w14:paraId="7B5DE54F" w14:textId="6064F28F" w:rsidR="00BE6F31" w:rsidRPr="00F1435E" w:rsidRDefault="00BE6F31" w:rsidP="00BE6F31">
      <w:pPr>
        <w:numPr>
          <w:ilvl w:val="0"/>
          <w:numId w:val="2"/>
        </w:numPr>
        <w:tabs>
          <w:tab w:val="left" w:pos="567"/>
          <w:tab w:val="num" w:pos="1569"/>
          <w:tab w:val="num" w:pos="12305"/>
        </w:tabs>
        <w:ind w:left="0" w:firstLine="0"/>
        <w:rPr>
          <w:sz w:val="20"/>
          <w:szCs w:val="20"/>
          <w:lang w:val="es-AR"/>
        </w:rPr>
      </w:pPr>
      <w:r w:rsidRPr="00F1435E">
        <w:rPr>
          <w:sz w:val="20"/>
          <w:szCs w:val="20"/>
          <w:lang w:val="es-AR"/>
        </w:rPr>
        <w:t xml:space="preserve">Las Representantes agregaron que “[…] </w:t>
      </w:r>
      <w:r w:rsidR="00586679">
        <w:rPr>
          <w:sz w:val="20"/>
          <w:szCs w:val="20"/>
          <w:lang w:val="es-AR"/>
        </w:rPr>
        <w:t>[</w:t>
      </w:r>
      <w:r w:rsidRPr="00F1435E">
        <w:rPr>
          <w:sz w:val="20"/>
          <w:szCs w:val="20"/>
          <w:lang w:val="es-AR"/>
        </w:rPr>
        <w:t>s</w:t>
      </w:r>
      <w:r w:rsidR="00586679">
        <w:rPr>
          <w:sz w:val="20"/>
          <w:szCs w:val="20"/>
          <w:lang w:val="es-AR"/>
        </w:rPr>
        <w:t>]</w:t>
      </w:r>
      <w:r w:rsidRPr="00F1435E">
        <w:rPr>
          <w:sz w:val="20"/>
          <w:szCs w:val="20"/>
          <w:lang w:val="es-AR"/>
        </w:rPr>
        <w:t xml:space="preserve">in perjuicio de la afectación a la integridad personal que los familiares del </w:t>
      </w:r>
      <w:r w:rsidR="00586679">
        <w:rPr>
          <w:sz w:val="20"/>
          <w:szCs w:val="20"/>
          <w:lang w:val="es-AR"/>
        </w:rPr>
        <w:t>[señor]</w:t>
      </w:r>
      <w:r w:rsidRPr="00F1435E">
        <w:rPr>
          <w:sz w:val="20"/>
          <w:szCs w:val="20"/>
          <w:lang w:val="es-AR"/>
        </w:rPr>
        <w:t xml:space="preserve"> Poblete Vilches sufrieran como consecuencia de los hechos que desembocaron en su muerte, padecieron además otras afectaciones a la integridad personal durante la internación [del señor Poblete Vilches] por haber sido víctimas directas de </w:t>
      </w:r>
      <w:r w:rsidRPr="00F1435E">
        <w:rPr>
          <w:sz w:val="20"/>
          <w:szCs w:val="20"/>
          <w:lang w:val="es-AR"/>
        </w:rPr>
        <w:lastRenderedPageBreak/>
        <w:t xml:space="preserve">maltrato y humillaciones” por el personal del Hospital </w:t>
      </w:r>
      <w:proofErr w:type="spellStart"/>
      <w:r w:rsidRPr="00F1435E">
        <w:rPr>
          <w:sz w:val="20"/>
          <w:szCs w:val="20"/>
          <w:lang w:val="es-ES"/>
        </w:rPr>
        <w:t>Sótero</w:t>
      </w:r>
      <w:proofErr w:type="spellEnd"/>
      <w:r w:rsidRPr="00F1435E">
        <w:rPr>
          <w:sz w:val="20"/>
          <w:szCs w:val="20"/>
          <w:lang w:val="es-ES"/>
        </w:rPr>
        <w:t xml:space="preserve"> del Río durante los ingresos del señor Poblete Vilches afectando su integridad personal. </w:t>
      </w:r>
      <w:r w:rsidRPr="0095252C">
        <w:rPr>
          <w:sz w:val="20"/>
          <w:szCs w:val="20"/>
          <w:lang w:val="es-ES"/>
        </w:rPr>
        <w:t xml:space="preserve">Como ejemplos del dicho maltrato las representantes alegaron que el personal médico intentó impedirle a la familia ver al señor Poblete Vilches, “cerrándoles la puerta en la cara”, y que el personal negó información </w:t>
      </w:r>
      <w:r w:rsidR="00AA4FE7">
        <w:rPr>
          <w:sz w:val="20"/>
          <w:szCs w:val="20"/>
          <w:lang w:val="es-ES"/>
        </w:rPr>
        <w:t xml:space="preserve">o brindó información inexacta </w:t>
      </w:r>
      <w:r w:rsidRPr="0095252C">
        <w:rPr>
          <w:sz w:val="20"/>
          <w:szCs w:val="20"/>
          <w:lang w:val="es-ES"/>
        </w:rPr>
        <w:t>sobre el estado de salud del señor Poblete Vilches cada vez que los familiares la solicitaron</w:t>
      </w:r>
      <w:r w:rsidRPr="0095252C">
        <w:rPr>
          <w:rStyle w:val="FootnoteReference"/>
          <w:sz w:val="20"/>
          <w:szCs w:val="20"/>
          <w:lang w:val="es-ES"/>
        </w:rPr>
        <w:footnoteReference w:id="296"/>
      </w:r>
      <w:r w:rsidRPr="0095252C">
        <w:rPr>
          <w:sz w:val="20"/>
          <w:szCs w:val="20"/>
          <w:lang w:val="es-ES"/>
        </w:rPr>
        <w:t>.</w:t>
      </w:r>
      <w:r w:rsidRPr="00F1435E">
        <w:rPr>
          <w:sz w:val="20"/>
          <w:szCs w:val="20"/>
          <w:lang w:val="es-ES"/>
        </w:rPr>
        <w:t xml:space="preserve"> En este sentido, agregaron que en su entendimiento existió una violación autónoma del derecho a la integridad personal de la señora Blanca </w:t>
      </w:r>
      <w:r w:rsidR="00AA4FE7">
        <w:rPr>
          <w:sz w:val="20"/>
          <w:szCs w:val="20"/>
          <w:lang w:val="es-ES"/>
        </w:rPr>
        <w:t>Tapia</w:t>
      </w:r>
      <w:r w:rsidR="00AA4FE7" w:rsidRPr="00F1435E">
        <w:rPr>
          <w:sz w:val="20"/>
          <w:szCs w:val="20"/>
          <w:lang w:val="es-ES"/>
        </w:rPr>
        <w:t xml:space="preserve"> </w:t>
      </w:r>
      <w:r w:rsidRPr="00F1435E">
        <w:rPr>
          <w:sz w:val="20"/>
          <w:szCs w:val="20"/>
          <w:lang w:val="es-ES"/>
        </w:rPr>
        <w:t xml:space="preserve">Encina y sus hijos, Vinicio Marco Antonio Poblete Tapia y </w:t>
      </w:r>
      <w:proofErr w:type="spellStart"/>
      <w:r w:rsidRPr="00F1435E">
        <w:rPr>
          <w:sz w:val="20"/>
          <w:szCs w:val="20"/>
          <w:lang w:val="es-ES"/>
        </w:rPr>
        <w:t>Cesia</w:t>
      </w:r>
      <w:proofErr w:type="spellEnd"/>
      <w:r w:rsidRPr="00F1435E">
        <w:rPr>
          <w:sz w:val="20"/>
          <w:szCs w:val="20"/>
          <w:lang w:val="es-ES"/>
        </w:rPr>
        <w:t xml:space="preserve"> Leila Poblete Tapia de modo que se debía declarar la responsabilidad del Estado de Chile por la violación del artículo 5.1 en conexión con el artículo 1.1 de la </w:t>
      </w:r>
      <w:r w:rsidR="00AA4FE7" w:rsidRPr="00F1435E">
        <w:rPr>
          <w:sz w:val="20"/>
          <w:szCs w:val="20"/>
          <w:lang w:val="es-ES"/>
        </w:rPr>
        <w:t>C</w:t>
      </w:r>
      <w:r w:rsidR="00AA4FE7">
        <w:rPr>
          <w:sz w:val="20"/>
          <w:szCs w:val="20"/>
          <w:lang w:val="es-ES"/>
        </w:rPr>
        <w:t>onvención</w:t>
      </w:r>
      <w:r w:rsidR="00AA4FE7" w:rsidRPr="00F1435E">
        <w:rPr>
          <w:sz w:val="20"/>
          <w:szCs w:val="20"/>
          <w:lang w:val="es-ES"/>
        </w:rPr>
        <w:t xml:space="preserve"> </w:t>
      </w:r>
      <w:r w:rsidRPr="00F1435E">
        <w:rPr>
          <w:sz w:val="20"/>
          <w:szCs w:val="20"/>
          <w:lang w:val="es-ES"/>
        </w:rPr>
        <w:t>en perjuicio de los familiares del señor Poblete Vilches</w:t>
      </w:r>
      <w:r w:rsidR="00586679">
        <w:rPr>
          <w:b/>
          <w:sz w:val="20"/>
          <w:szCs w:val="20"/>
          <w:lang w:val="es-AR"/>
        </w:rPr>
        <w:t xml:space="preserve">. </w:t>
      </w:r>
      <w:r w:rsidRPr="00F1435E">
        <w:rPr>
          <w:sz w:val="20"/>
          <w:szCs w:val="20"/>
          <w:lang w:val="es-AR"/>
        </w:rPr>
        <w:t xml:space="preserve">   </w:t>
      </w:r>
    </w:p>
    <w:p w14:paraId="5C32F026" w14:textId="77777777" w:rsidR="00BE6F31" w:rsidRPr="00F1435E" w:rsidRDefault="00BE6F31" w:rsidP="00BE6F31">
      <w:pPr>
        <w:tabs>
          <w:tab w:val="left" w:pos="3195"/>
        </w:tabs>
        <w:ind w:right="-360"/>
        <w:rPr>
          <w:sz w:val="20"/>
          <w:szCs w:val="20"/>
          <w:lang w:val="es-ES"/>
        </w:rPr>
      </w:pPr>
      <w:r w:rsidRPr="00F1435E">
        <w:rPr>
          <w:sz w:val="20"/>
          <w:szCs w:val="20"/>
          <w:lang w:val="es-ES"/>
        </w:rPr>
        <w:tab/>
      </w:r>
    </w:p>
    <w:p w14:paraId="6DA4A524" w14:textId="08C0F975" w:rsidR="00AB34B8" w:rsidRPr="00B1523A" w:rsidRDefault="00BE6F31" w:rsidP="00B1523A">
      <w:pPr>
        <w:numPr>
          <w:ilvl w:val="0"/>
          <w:numId w:val="2"/>
        </w:numPr>
        <w:tabs>
          <w:tab w:val="left" w:pos="567"/>
          <w:tab w:val="num" w:pos="1569"/>
          <w:tab w:val="num" w:pos="12305"/>
        </w:tabs>
        <w:ind w:left="0" w:firstLine="0"/>
        <w:rPr>
          <w:b/>
          <w:sz w:val="20"/>
          <w:szCs w:val="20"/>
          <w:lang w:val="es-AR"/>
        </w:rPr>
      </w:pPr>
      <w:r w:rsidRPr="00AB34B8">
        <w:rPr>
          <w:sz w:val="20"/>
          <w:szCs w:val="20"/>
          <w:lang w:val="es-AR"/>
        </w:rPr>
        <w:t xml:space="preserve">Por su parte, el </w:t>
      </w:r>
      <w:r w:rsidRPr="00AB34B8">
        <w:rPr>
          <w:b/>
          <w:i/>
          <w:sz w:val="20"/>
          <w:szCs w:val="20"/>
          <w:lang w:val="es-AR"/>
        </w:rPr>
        <w:t>Estado</w:t>
      </w:r>
      <w:r w:rsidRPr="00AB34B8">
        <w:rPr>
          <w:sz w:val="20"/>
          <w:szCs w:val="20"/>
          <w:lang w:val="es-AR"/>
        </w:rPr>
        <w:t xml:space="preserve"> no reconoci</w:t>
      </w:r>
      <w:r w:rsidRPr="00AB34B8">
        <w:rPr>
          <w:rFonts w:cs="Arial"/>
          <w:sz w:val="20"/>
          <w:szCs w:val="20"/>
          <w:lang w:val="es-AR"/>
        </w:rPr>
        <w:t>ó haber violado el derecho a la integridad personal en perjuicio de los familiares directos del señor Vinicio Pob</w:t>
      </w:r>
      <w:r w:rsidRPr="00225483">
        <w:rPr>
          <w:rFonts w:cs="Arial"/>
          <w:sz w:val="20"/>
          <w:szCs w:val="20"/>
          <w:lang w:val="es-AR"/>
        </w:rPr>
        <w:t>lete Vilches, argumentando que no logró acreditarse que la muerte de este último haya sido consecuencia de su actuar negligente, por lo que “[…] una supuesta vulneración a la integridad personal de los familiares tendría que ser necesariamente consecuencia</w:t>
      </w:r>
      <w:r w:rsidRPr="005F2639">
        <w:rPr>
          <w:rFonts w:cs="Arial"/>
          <w:sz w:val="20"/>
          <w:szCs w:val="20"/>
          <w:lang w:val="es-AR"/>
        </w:rPr>
        <w:t xml:space="preserve"> directa de una vulneración de parte del Estado respecto de la muerte [del señor] Vinicio Poblete Vilches”, lo cual considera que no sucedió</w:t>
      </w:r>
      <w:r w:rsidRPr="005F2639">
        <w:rPr>
          <w:sz w:val="20"/>
          <w:szCs w:val="20"/>
          <w:lang w:val="es-AR"/>
        </w:rPr>
        <w:t>. En este sentido, el Estado recordó que, respecto de la afectación al derecho a la integridad personal por los alegados maltratos recibidos por el señor Poblete Vilches y sus familiares, la Comisión señaló en su Informe de Fondo que “[…] no cuenta con elementos adicionales que le permitan establecer como probados y, por lo tanto, efectuar un análisis jurídico sobre los alegados maltratos sufridos por el señor Poblete Vilches y su familia”.</w:t>
      </w:r>
      <w:r w:rsidR="006B33AD">
        <w:rPr>
          <w:sz w:val="20"/>
          <w:szCs w:val="20"/>
          <w:lang w:val="es-AR"/>
        </w:rPr>
        <w:t xml:space="preserve"> </w:t>
      </w:r>
      <w:r w:rsidRPr="00B1523A">
        <w:rPr>
          <w:sz w:val="20"/>
          <w:szCs w:val="20"/>
          <w:lang w:val="es-AR"/>
        </w:rPr>
        <w:t xml:space="preserve">Por último, en sus Observaciones Finales, el Estado agregó que, en su entender, no es posible hacer extensible su responsabilidad internacional por la violación autónoma del derecho a la integridad de los familiares en virtud de que no se encuentra acreditado el nexo causal entre el fallecimiento del señor Vinicio Poblete Vilchis y </w:t>
      </w:r>
      <w:r w:rsidR="00AA4FE7" w:rsidRPr="00B1523A">
        <w:rPr>
          <w:sz w:val="20"/>
          <w:szCs w:val="20"/>
          <w:lang w:val="es-AR"/>
        </w:rPr>
        <w:t xml:space="preserve">la </w:t>
      </w:r>
      <w:r w:rsidRPr="00B1523A">
        <w:rPr>
          <w:sz w:val="20"/>
          <w:szCs w:val="20"/>
          <w:lang w:val="es-AR"/>
        </w:rPr>
        <w:t>actuaci</w:t>
      </w:r>
      <w:r w:rsidRPr="00B1523A">
        <w:rPr>
          <w:rFonts w:cs="Arial"/>
          <w:sz w:val="20"/>
          <w:szCs w:val="20"/>
          <w:lang w:val="es-AR"/>
        </w:rPr>
        <w:t xml:space="preserve">ón propia del Estado </w:t>
      </w:r>
      <w:r w:rsidRPr="00B1523A">
        <w:rPr>
          <w:sz w:val="20"/>
          <w:szCs w:val="20"/>
          <w:lang w:val="es-AR"/>
        </w:rPr>
        <w:t>en el caso concreto</w:t>
      </w:r>
      <w:r w:rsidR="00AB34B8">
        <w:rPr>
          <w:sz w:val="20"/>
          <w:szCs w:val="20"/>
          <w:lang w:val="es-AR"/>
        </w:rPr>
        <w:t>.</w:t>
      </w:r>
    </w:p>
    <w:p w14:paraId="41E32CE8" w14:textId="77777777" w:rsidR="00BE6F31" w:rsidRPr="00AB34B8" w:rsidRDefault="00BE6F31" w:rsidP="00B1523A">
      <w:pPr>
        <w:tabs>
          <w:tab w:val="left" w:pos="567"/>
        </w:tabs>
        <w:rPr>
          <w:b/>
          <w:sz w:val="20"/>
          <w:szCs w:val="20"/>
          <w:lang w:val="es-AR"/>
        </w:rPr>
      </w:pPr>
    </w:p>
    <w:p w14:paraId="433E8AD6" w14:textId="77777777" w:rsidR="00BE6F31" w:rsidRDefault="00BE6F31" w:rsidP="002726E0">
      <w:pPr>
        <w:pStyle w:val="Heading2"/>
        <w:numPr>
          <w:ilvl w:val="0"/>
          <w:numId w:val="12"/>
        </w:numPr>
      </w:pPr>
      <w:bookmarkStart w:id="103" w:name="_Toc513644486"/>
      <w:r>
        <w:t>Consideraciones de la Corte</w:t>
      </w:r>
      <w:bookmarkEnd w:id="103"/>
      <w:r>
        <w:t xml:space="preserve"> </w:t>
      </w:r>
    </w:p>
    <w:p w14:paraId="51610351" w14:textId="77777777" w:rsidR="00BE6F31" w:rsidRPr="00BE6F31" w:rsidRDefault="00BE6F31" w:rsidP="00BE6F31"/>
    <w:p w14:paraId="11C91086" w14:textId="77777777" w:rsidR="00BE6F31" w:rsidRDefault="00BE6F31" w:rsidP="00BE6F31">
      <w:pPr>
        <w:numPr>
          <w:ilvl w:val="0"/>
          <w:numId w:val="2"/>
        </w:numPr>
        <w:tabs>
          <w:tab w:val="left" w:pos="567"/>
          <w:tab w:val="num" w:pos="1569"/>
          <w:tab w:val="num" w:pos="12305"/>
        </w:tabs>
        <w:ind w:left="0" w:firstLine="0"/>
        <w:rPr>
          <w:sz w:val="20"/>
          <w:szCs w:val="20"/>
        </w:rPr>
      </w:pPr>
      <w:r w:rsidRPr="006C0D07">
        <w:rPr>
          <w:sz w:val="20"/>
          <w:szCs w:val="20"/>
        </w:rPr>
        <w:t>En el presente caso,</w:t>
      </w:r>
      <w:r w:rsidRPr="006C0D07">
        <w:rPr>
          <w:rFonts w:cs="Arial"/>
          <w:sz w:val="20"/>
          <w:szCs w:val="20"/>
        </w:rPr>
        <w:t xml:space="preserve"> </w:t>
      </w:r>
      <w:r w:rsidRPr="00417979">
        <w:rPr>
          <w:sz w:val="20"/>
          <w:szCs w:val="20"/>
        </w:rPr>
        <w:t xml:space="preserve">subsiste la controversia entre las partes </w:t>
      </w:r>
      <w:r w:rsidRPr="00417979">
        <w:rPr>
          <w:sz w:val="20"/>
          <w:szCs w:val="20"/>
          <w:lang w:val="es-AR"/>
        </w:rPr>
        <w:t>respecto de la violación autónoma del derecho a la integridad en perjuicio de Blanca Tapia Encina, Vinicio Marco Antonio Poblete Vilches</w:t>
      </w:r>
      <w:r w:rsidRPr="0095252C">
        <w:rPr>
          <w:sz w:val="20"/>
          <w:szCs w:val="20"/>
        </w:rPr>
        <w:t xml:space="preserve">, </w:t>
      </w:r>
      <w:proofErr w:type="spellStart"/>
      <w:r w:rsidRPr="0095252C">
        <w:rPr>
          <w:sz w:val="20"/>
          <w:szCs w:val="20"/>
        </w:rPr>
        <w:t>Cesia</w:t>
      </w:r>
      <w:proofErr w:type="spellEnd"/>
      <w:r w:rsidRPr="0095252C">
        <w:rPr>
          <w:sz w:val="20"/>
          <w:szCs w:val="20"/>
        </w:rPr>
        <w:t xml:space="preserve"> Leila Siria Poblete Vilches y Gonzalo Poblete Vilches, derivada de sus padecimientos físicos y psicológicos sufridos por la muerte del señor Vinicio Poblete Vilches y la cual se imputa al Estado, así como derivados de la denegación de justicia y los alegados maltratos recibidos en el Hospital. </w:t>
      </w:r>
    </w:p>
    <w:p w14:paraId="698B8CD7" w14:textId="77777777" w:rsidR="00BE6F31" w:rsidRPr="00BE6F31" w:rsidRDefault="00BE6F31" w:rsidP="00BE6F31">
      <w:pPr>
        <w:tabs>
          <w:tab w:val="left" w:pos="567"/>
          <w:tab w:val="num" w:pos="12305"/>
        </w:tabs>
        <w:rPr>
          <w:sz w:val="20"/>
          <w:szCs w:val="20"/>
        </w:rPr>
      </w:pPr>
    </w:p>
    <w:p w14:paraId="29A6FBBC" w14:textId="77777777" w:rsidR="00BE6F31" w:rsidRDefault="00BE6F31" w:rsidP="00BE6F31">
      <w:pPr>
        <w:numPr>
          <w:ilvl w:val="0"/>
          <w:numId w:val="2"/>
        </w:numPr>
        <w:tabs>
          <w:tab w:val="left" w:pos="567"/>
          <w:tab w:val="num" w:pos="1569"/>
          <w:tab w:val="num" w:pos="12305"/>
        </w:tabs>
        <w:ind w:left="0" w:firstLine="0"/>
        <w:rPr>
          <w:rFonts w:cs="Arial"/>
          <w:sz w:val="20"/>
          <w:szCs w:val="20"/>
        </w:rPr>
      </w:pPr>
      <w:r w:rsidRPr="0095252C">
        <w:rPr>
          <w:sz w:val="20"/>
          <w:szCs w:val="20"/>
        </w:rPr>
        <w:t>El Tribunal ha entendido que en determinados casos de violaciones graves a los derechos humanos es posible presumir el daño de ciertos familiares de las víctimas, tras el sufrimiento y la angustia que los hechos de dichos casos suponen</w:t>
      </w:r>
      <w:r w:rsidRPr="00417979">
        <w:rPr>
          <w:rStyle w:val="FootnoteReference"/>
          <w:sz w:val="20"/>
          <w:szCs w:val="20"/>
        </w:rPr>
        <w:footnoteReference w:id="297"/>
      </w:r>
      <w:r w:rsidRPr="00417979">
        <w:rPr>
          <w:sz w:val="20"/>
          <w:szCs w:val="20"/>
        </w:rPr>
        <w:t xml:space="preserve">. </w:t>
      </w:r>
      <w:r w:rsidRPr="0095252C">
        <w:rPr>
          <w:rFonts w:cs="Arial"/>
          <w:sz w:val="20"/>
          <w:szCs w:val="20"/>
        </w:rPr>
        <w:t xml:space="preserve">Una vez valoradas las circunstancias del presente caso, la Corte ha determinado que, al no tratarse de un caso que se corresponda con una violación grave a los derechos humanos en términos de su jurisprudencia, la violación a la integridad personal de los </w:t>
      </w:r>
      <w:r w:rsidRPr="0095252C">
        <w:rPr>
          <w:sz w:val="20"/>
          <w:szCs w:val="20"/>
        </w:rPr>
        <w:t>familiares del señor Vinicio Poblete Vilches</w:t>
      </w:r>
      <w:r w:rsidRPr="0095252C">
        <w:rPr>
          <w:rFonts w:cs="Arial"/>
          <w:sz w:val="20"/>
          <w:szCs w:val="20"/>
        </w:rPr>
        <w:t xml:space="preserve">, en atención a su sufrimiento, </w:t>
      </w:r>
      <w:r w:rsidRPr="0095252C">
        <w:rPr>
          <w:rFonts w:cs="Arial"/>
          <w:sz w:val="20"/>
          <w:szCs w:val="20"/>
          <w:rtl/>
          <w:lang w:bidi="he-IL"/>
        </w:rPr>
        <w:t xml:space="preserve"> </w:t>
      </w:r>
      <w:r w:rsidRPr="0095252C">
        <w:rPr>
          <w:rFonts w:cs="Arial"/>
          <w:sz w:val="20"/>
          <w:szCs w:val="20"/>
        </w:rPr>
        <w:t>debe ser comprobada</w:t>
      </w:r>
      <w:r w:rsidRPr="00417979">
        <w:rPr>
          <w:rStyle w:val="FootnoteReference"/>
          <w:rFonts w:cs="Arial"/>
          <w:sz w:val="20"/>
          <w:szCs w:val="20"/>
        </w:rPr>
        <w:footnoteReference w:id="298"/>
      </w:r>
      <w:r w:rsidRPr="00417979">
        <w:rPr>
          <w:rFonts w:cs="Arial"/>
          <w:sz w:val="20"/>
          <w:szCs w:val="20"/>
        </w:rPr>
        <w:t>.</w:t>
      </w:r>
    </w:p>
    <w:p w14:paraId="061416CB" w14:textId="77777777" w:rsidR="00BE6F31" w:rsidRPr="00BE6F31" w:rsidRDefault="00BE6F31" w:rsidP="00BE6F31">
      <w:pPr>
        <w:tabs>
          <w:tab w:val="left" w:pos="567"/>
          <w:tab w:val="num" w:pos="12305"/>
        </w:tabs>
        <w:rPr>
          <w:rFonts w:cs="Arial"/>
          <w:sz w:val="20"/>
          <w:szCs w:val="20"/>
        </w:rPr>
      </w:pPr>
    </w:p>
    <w:p w14:paraId="4BBB25C3" w14:textId="418F9264" w:rsidR="00BE6F31" w:rsidRPr="00AB34B8" w:rsidRDefault="00593BF7" w:rsidP="00BE6F31">
      <w:pPr>
        <w:numPr>
          <w:ilvl w:val="0"/>
          <w:numId w:val="2"/>
        </w:numPr>
        <w:tabs>
          <w:tab w:val="left" w:pos="567"/>
          <w:tab w:val="num" w:pos="1569"/>
          <w:tab w:val="num" w:pos="12305"/>
        </w:tabs>
        <w:ind w:left="0" w:firstLine="0"/>
        <w:rPr>
          <w:sz w:val="20"/>
          <w:szCs w:val="20"/>
        </w:rPr>
      </w:pPr>
      <w:r w:rsidRPr="00593BF7">
        <w:rPr>
          <w:sz w:val="20"/>
          <w:szCs w:val="20"/>
        </w:rPr>
        <w:lastRenderedPageBreak/>
        <w:t>Esta Corte</w:t>
      </w:r>
      <w:r>
        <w:rPr>
          <w:sz w:val="20"/>
          <w:szCs w:val="20"/>
        </w:rPr>
        <w:t xml:space="preserve"> </w:t>
      </w:r>
      <w:r w:rsidR="00BE6F31" w:rsidRPr="00AB34B8">
        <w:rPr>
          <w:sz w:val="20"/>
          <w:szCs w:val="20"/>
        </w:rPr>
        <w:t xml:space="preserve">también ha destacado que la contribución de parte del Estado para crear o agravar la situación de vulnerabilidad de una persona </w:t>
      </w:r>
      <w:r w:rsidR="00BE6F31" w:rsidRPr="00225483">
        <w:rPr>
          <w:sz w:val="20"/>
          <w:szCs w:val="20"/>
        </w:rPr>
        <w:t>posee un impacto significativo en la integridad de las personas que le rodean, en particular de los familiares cercanos que se ven obligados a afrontar la incertidumbre e inseguridad generada por la vulneración de su familia nuclear o cercana</w:t>
      </w:r>
      <w:r w:rsidR="00BE6F31" w:rsidRPr="00AB34B8">
        <w:rPr>
          <w:sz w:val="20"/>
          <w:szCs w:val="20"/>
          <w:vertAlign w:val="superscript"/>
        </w:rPr>
        <w:footnoteReference w:id="299"/>
      </w:r>
      <w:r w:rsidR="00BE6F31" w:rsidRPr="00AB34B8">
        <w:rPr>
          <w:sz w:val="20"/>
          <w:szCs w:val="20"/>
        </w:rPr>
        <w:t>.</w:t>
      </w:r>
    </w:p>
    <w:p w14:paraId="65A496A2" w14:textId="77777777" w:rsidR="00BE6F31" w:rsidRPr="00BE6F31" w:rsidRDefault="00BE6F31" w:rsidP="00BE6F31">
      <w:pPr>
        <w:tabs>
          <w:tab w:val="left" w:pos="567"/>
          <w:tab w:val="num" w:pos="12305"/>
        </w:tabs>
        <w:rPr>
          <w:sz w:val="20"/>
          <w:szCs w:val="20"/>
        </w:rPr>
      </w:pPr>
    </w:p>
    <w:p w14:paraId="7633BB29" w14:textId="05D20873" w:rsidR="00BE6F31" w:rsidRPr="00F1435E" w:rsidRDefault="00BE6F31" w:rsidP="00BE6F31">
      <w:pPr>
        <w:numPr>
          <w:ilvl w:val="0"/>
          <w:numId w:val="2"/>
        </w:numPr>
        <w:tabs>
          <w:tab w:val="left" w:pos="567"/>
          <w:tab w:val="num" w:pos="1569"/>
          <w:tab w:val="num" w:pos="12305"/>
        </w:tabs>
        <w:ind w:left="0" w:firstLine="0"/>
        <w:rPr>
          <w:sz w:val="20"/>
          <w:szCs w:val="20"/>
        </w:rPr>
      </w:pPr>
      <w:r w:rsidRPr="0095252C">
        <w:rPr>
          <w:sz w:val="20"/>
          <w:szCs w:val="20"/>
        </w:rPr>
        <w:t>En</w:t>
      </w:r>
      <w:r w:rsidRPr="00F1435E">
        <w:rPr>
          <w:sz w:val="20"/>
          <w:szCs w:val="20"/>
        </w:rPr>
        <w:t xml:space="preserve"> el caso concreto, las afectaciones físicas y psicológicas de los familiares del señor Poblete Vilches consistentes en: i) que la señora Blanca Tapia Encina “cayó en una profunda depresión [que] se [fue] agravando a medida que los intentos de esclarecer la muerte de su esposo y obtener justicia se fueron frustrando uno tras otro. Poco después le diagnosticaron cáncer, enfermedad que de modo fulminante desencadenó su muerte el 13 de enero de 2003, es decir menos de dos años después de la muerte de su esposo. La causa de la muerte se determinó como estado séptico, cáncer vesícula biliar con metástasis múltiple”; ii) el cuadro depresivo padecido por la señora </w:t>
      </w:r>
      <w:proofErr w:type="spellStart"/>
      <w:r w:rsidRPr="00F1435E">
        <w:rPr>
          <w:sz w:val="20"/>
          <w:szCs w:val="20"/>
        </w:rPr>
        <w:t>Cesia</w:t>
      </w:r>
      <w:proofErr w:type="spellEnd"/>
      <w:r w:rsidRPr="00F1435E">
        <w:rPr>
          <w:sz w:val="20"/>
          <w:szCs w:val="20"/>
        </w:rPr>
        <w:t xml:space="preserve"> Leila Poblete Tapia, ocasionado por la muerte del señor Vinicio Poblete Vilches y que le orilló a un intento suicida; iii) el cáncer diagnosticado al señor Vinicio Marco Antonio Poblete Tapia, en el año 2005, la posterior extirpaci</w:t>
      </w:r>
      <w:r w:rsidRPr="00F1435E">
        <w:rPr>
          <w:rFonts w:cs="Arial"/>
          <w:sz w:val="20"/>
          <w:szCs w:val="20"/>
        </w:rPr>
        <w:t>ón de su</w:t>
      </w:r>
      <w:r w:rsidRPr="00F1435E">
        <w:rPr>
          <w:sz w:val="20"/>
          <w:szCs w:val="20"/>
        </w:rPr>
        <w:t xml:space="preserve"> riñón derecho y sus respectivas secuelas, así como la enfermedad pulmonar obstructiva crónica, “producto de un </w:t>
      </w:r>
      <w:proofErr w:type="spellStart"/>
      <w:r w:rsidRPr="00F1435E">
        <w:rPr>
          <w:sz w:val="20"/>
          <w:szCs w:val="20"/>
        </w:rPr>
        <w:t>efisema</w:t>
      </w:r>
      <w:proofErr w:type="spellEnd"/>
      <w:r w:rsidRPr="00F1435E">
        <w:rPr>
          <w:sz w:val="20"/>
          <w:szCs w:val="20"/>
        </w:rPr>
        <w:t xml:space="preserve"> pulmonar previo”, el diagnóstico de diabetes tipo </w:t>
      </w:r>
      <w:r w:rsidR="009050E8" w:rsidRPr="005430FF">
        <w:rPr>
          <w:sz w:val="20"/>
          <w:szCs w:val="20"/>
        </w:rPr>
        <w:t>mellitus</w:t>
      </w:r>
      <w:r w:rsidRPr="00F1435E">
        <w:rPr>
          <w:sz w:val="20"/>
          <w:szCs w:val="20"/>
        </w:rPr>
        <w:t xml:space="preserve"> en el año 2013 y la aparición de nódulos tiroideos; y, por último, iv) la muerte del señor Gonzalo Poblete Tapia como consecuencia de un infarto, quien previamente padecía de una severa apoplejía desde su infancia producto de u</w:t>
      </w:r>
      <w:r>
        <w:rPr>
          <w:sz w:val="20"/>
          <w:szCs w:val="20"/>
        </w:rPr>
        <w:t>na meningitis intrahospitalaria y</w:t>
      </w:r>
      <w:r w:rsidRPr="00F1435E">
        <w:rPr>
          <w:sz w:val="20"/>
          <w:szCs w:val="20"/>
        </w:rPr>
        <w:t xml:space="preserve"> manifestó síntomas de depresión y un deterioro general de su salud</w:t>
      </w:r>
      <w:r>
        <w:rPr>
          <w:sz w:val="20"/>
          <w:szCs w:val="20"/>
        </w:rPr>
        <w:t>.</w:t>
      </w:r>
    </w:p>
    <w:p w14:paraId="39A00CD4" w14:textId="77777777" w:rsidR="00BE6F31" w:rsidRPr="00F1435E" w:rsidRDefault="00BE6F31" w:rsidP="00BE6F31">
      <w:pPr>
        <w:ind w:right="-360"/>
        <w:rPr>
          <w:sz w:val="20"/>
          <w:szCs w:val="20"/>
        </w:rPr>
      </w:pPr>
    </w:p>
    <w:p w14:paraId="4C19014C" w14:textId="2FDAD2D7" w:rsidR="00BE6F31" w:rsidRDefault="00BE6F31" w:rsidP="00BE6F31">
      <w:pPr>
        <w:numPr>
          <w:ilvl w:val="0"/>
          <w:numId w:val="2"/>
        </w:numPr>
        <w:tabs>
          <w:tab w:val="left" w:pos="567"/>
          <w:tab w:val="num" w:pos="1569"/>
          <w:tab w:val="num" w:pos="12305"/>
        </w:tabs>
        <w:ind w:left="0" w:firstLine="0"/>
        <w:rPr>
          <w:sz w:val="20"/>
          <w:szCs w:val="20"/>
        </w:rPr>
      </w:pPr>
      <w:r>
        <w:rPr>
          <w:sz w:val="20"/>
          <w:szCs w:val="20"/>
        </w:rPr>
        <w:t xml:space="preserve">Al respecto, </w:t>
      </w:r>
      <w:r w:rsidRPr="00F1435E">
        <w:rPr>
          <w:sz w:val="20"/>
          <w:szCs w:val="20"/>
        </w:rPr>
        <w:t xml:space="preserve">la </w:t>
      </w:r>
      <w:r>
        <w:rPr>
          <w:sz w:val="20"/>
          <w:szCs w:val="20"/>
        </w:rPr>
        <w:t>Corte no cuenta c</w:t>
      </w:r>
      <w:proofErr w:type="spellStart"/>
      <w:r w:rsidRPr="00BE61A4">
        <w:rPr>
          <w:sz w:val="20"/>
          <w:szCs w:val="20"/>
          <w:lang w:val="es-ES_tradnl"/>
        </w:rPr>
        <w:t>on</w:t>
      </w:r>
      <w:proofErr w:type="spellEnd"/>
      <w:r w:rsidRPr="00BE61A4">
        <w:rPr>
          <w:sz w:val="20"/>
          <w:szCs w:val="20"/>
          <w:lang w:val="es-ES_tradnl"/>
        </w:rPr>
        <w:t xml:space="preserve"> eleme</w:t>
      </w:r>
      <w:r>
        <w:rPr>
          <w:sz w:val="20"/>
          <w:szCs w:val="20"/>
          <w:lang w:val="es-ES_tradnl"/>
        </w:rPr>
        <w:t xml:space="preserve">ntos para determinar </w:t>
      </w:r>
      <w:r w:rsidR="00634EC2">
        <w:rPr>
          <w:sz w:val="20"/>
          <w:szCs w:val="20"/>
          <w:lang w:val="es-ES_tradnl"/>
        </w:rPr>
        <w:t>fehacientemente</w:t>
      </w:r>
      <w:r w:rsidR="00634EC2" w:rsidRPr="00F1435E">
        <w:rPr>
          <w:sz w:val="20"/>
          <w:szCs w:val="20"/>
        </w:rPr>
        <w:t xml:space="preserve"> </w:t>
      </w:r>
      <w:r w:rsidRPr="00F1435E">
        <w:rPr>
          <w:sz w:val="20"/>
          <w:szCs w:val="20"/>
        </w:rPr>
        <w:t xml:space="preserve">que los padecimientos físicos y </w:t>
      </w:r>
      <w:r>
        <w:rPr>
          <w:sz w:val="20"/>
          <w:szCs w:val="20"/>
        </w:rPr>
        <w:t xml:space="preserve">los </w:t>
      </w:r>
      <w:r w:rsidRPr="00F1435E">
        <w:rPr>
          <w:sz w:val="20"/>
          <w:szCs w:val="20"/>
        </w:rPr>
        <w:t xml:space="preserve">desenlaces mortales referidos </w:t>
      </w:r>
      <w:r>
        <w:rPr>
          <w:sz w:val="20"/>
          <w:szCs w:val="20"/>
        </w:rPr>
        <w:t xml:space="preserve">por los familiares </w:t>
      </w:r>
      <w:r w:rsidRPr="00F1435E">
        <w:rPr>
          <w:sz w:val="20"/>
          <w:szCs w:val="20"/>
        </w:rPr>
        <w:t xml:space="preserve">fueran consecuencia necesaria de los hechos </w:t>
      </w:r>
      <w:r>
        <w:rPr>
          <w:sz w:val="20"/>
          <w:szCs w:val="20"/>
        </w:rPr>
        <w:t>analizados en este caso</w:t>
      </w:r>
      <w:r w:rsidR="00AA4FE7">
        <w:rPr>
          <w:sz w:val="20"/>
          <w:szCs w:val="20"/>
        </w:rPr>
        <w:t>. A</w:t>
      </w:r>
      <w:r>
        <w:rPr>
          <w:sz w:val="20"/>
          <w:szCs w:val="20"/>
        </w:rPr>
        <w:t xml:space="preserve">l </w:t>
      </w:r>
      <w:r w:rsidRPr="00F1435E">
        <w:rPr>
          <w:sz w:val="20"/>
          <w:szCs w:val="20"/>
        </w:rPr>
        <w:t xml:space="preserve">no existir prueba </w:t>
      </w:r>
      <w:r w:rsidRPr="00F1435E">
        <w:rPr>
          <w:sz w:val="20"/>
          <w:szCs w:val="20"/>
          <w:lang w:val="es-ES"/>
        </w:rPr>
        <w:t>que acredite el</w:t>
      </w:r>
      <w:r w:rsidRPr="00F1435E">
        <w:rPr>
          <w:sz w:val="20"/>
          <w:szCs w:val="20"/>
        </w:rPr>
        <w:t xml:space="preserve"> nexo causal entre sus afectaciones físicas y la</w:t>
      </w:r>
      <w:r>
        <w:rPr>
          <w:sz w:val="20"/>
          <w:szCs w:val="20"/>
        </w:rPr>
        <w:t xml:space="preserve">s imputaciones realizadas al Estado, </w:t>
      </w:r>
      <w:r w:rsidR="00AA4FE7">
        <w:rPr>
          <w:sz w:val="20"/>
          <w:szCs w:val="20"/>
        </w:rPr>
        <w:t>la Corte concluye que</w:t>
      </w:r>
      <w:r>
        <w:rPr>
          <w:sz w:val="20"/>
          <w:szCs w:val="20"/>
        </w:rPr>
        <w:t xml:space="preserve"> no se acreditó una violación en este aspecto a </w:t>
      </w:r>
      <w:r w:rsidRPr="00F1435E">
        <w:rPr>
          <w:sz w:val="20"/>
          <w:szCs w:val="20"/>
        </w:rPr>
        <w:t xml:space="preserve">la integridad personal </w:t>
      </w:r>
      <w:r>
        <w:rPr>
          <w:sz w:val="20"/>
          <w:szCs w:val="20"/>
        </w:rPr>
        <w:t>en perjuicio de</w:t>
      </w:r>
      <w:r w:rsidRPr="00F1435E">
        <w:rPr>
          <w:sz w:val="20"/>
          <w:szCs w:val="20"/>
        </w:rPr>
        <w:t xml:space="preserve"> </w:t>
      </w:r>
      <w:r w:rsidRPr="00F1435E">
        <w:rPr>
          <w:sz w:val="20"/>
          <w:szCs w:val="20"/>
          <w:lang w:val="es-AR"/>
        </w:rPr>
        <w:t>Blanca Tapia Encina, Vinicio Marco Antonio Poblete Vilches</w:t>
      </w:r>
      <w:r w:rsidRPr="00F1435E">
        <w:rPr>
          <w:sz w:val="20"/>
          <w:szCs w:val="20"/>
        </w:rPr>
        <w:t xml:space="preserve">, </w:t>
      </w:r>
      <w:proofErr w:type="spellStart"/>
      <w:r w:rsidRPr="00F1435E">
        <w:rPr>
          <w:sz w:val="20"/>
          <w:szCs w:val="20"/>
        </w:rPr>
        <w:t>Cesia</w:t>
      </w:r>
      <w:proofErr w:type="spellEnd"/>
      <w:r w:rsidRPr="00F1435E">
        <w:rPr>
          <w:sz w:val="20"/>
          <w:szCs w:val="20"/>
        </w:rPr>
        <w:t xml:space="preserve"> Leila Siria Poblete Vilches y Gonzalo Poblete</w:t>
      </w:r>
      <w:r>
        <w:rPr>
          <w:sz w:val="20"/>
          <w:szCs w:val="20"/>
        </w:rPr>
        <w:t xml:space="preserve"> Vilches.</w:t>
      </w:r>
    </w:p>
    <w:p w14:paraId="7653AA1B" w14:textId="77777777" w:rsidR="00BE6F31" w:rsidRDefault="00BE6F31" w:rsidP="00BE6F31">
      <w:pPr>
        <w:ind w:right="-360"/>
        <w:rPr>
          <w:sz w:val="20"/>
          <w:szCs w:val="20"/>
        </w:rPr>
      </w:pPr>
    </w:p>
    <w:p w14:paraId="02B1C46D" w14:textId="778ACB9F" w:rsidR="008F1192" w:rsidRDefault="00BE6F31" w:rsidP="00C27894">
      <w:pPr>
        <w:numPr>
          <w:ilvl w:val="0"/>
          <w:numId w:val="2"/>
        </w:numPr>
        <w:tabs>
          <w:tab w:val="left" w:pos="567"/>
          <w:tab w:val="num" w:pos="1569"/>
          <w:tab w:val="num" w:pos="12305"/>
        </w:tabs>
        <w:ind w:left="0" w:firstLine="0"/>
        <w:rPr>
          <w:sz w:val="20"/>
          <w:szCs w:val="20"/>
        </w:rPr>
      </w:pPr>
      <w:r w:rsidRPr="008F1192">
        <w:rPr>
          <w:sz w:val="20"/>
          <w:szCs w:val="20"/>
        </w:rPr>
        <w:t xml:space="preserve">No obstante, el Tribunal ha estimado violado </w:t>
      </w:r>
      <w:r w:rsidRPr="008B0574">
        <w:rPr>
          <w:sz w:val="20"/>
          <w:szCs w:val="20"/>
        </w:rPr>
        <w:t>el derecho a la integridad psíquica y moral en perjuicio de determinados familiares con motivo del sufrimiento que estos han padecido a causa de las actuaciones u omisiones de las autoridades estatales</w:t>
      </w:r>
      <w:r w:rsidRPr="00F1435E">
        <w:rPr>
          <w:rStyle w:val="FootnoteReference"/>
          <w:sz w:val="20"/>
          <w:szCs w:val="20"/>
        </w:rPr>
        <w:footnoteReference w:id="300"/>
      </w:r>
      <w:r w:rsidRPr="008F1192">
        <w:rPr>
          <w:sz w:val="20"/>
          <w:szCs w:val="20"/>
        </w:rPr>
        <w:t xml:space="preserve">, considerando, entre otros aspectos, </w:t>
      </w:r>
      <w:r w:rsidRPr="008B0574">
        <w:rPr>
          <w:sz w:val="20"/>
          <w:szCs w:val="20"/>
        </w:rPr>
        <w:t xml:space="preserve">las gestiones llevadas a cabo por </w:t>
      </w:r>
      <w:r w:rsidRPr="008B0574">
        <w:rPr>
          <w:rFonts w:cs="Arial"/>
          <w:sz w:val="20"/>
          <w:szCs w:val="20"/>
        </w:rPr>
        <w:t>éstos</w:t>
      </w:r>
      <w:r w:rsidRPr="008B0574">
        <w:rPr>
          <w:sz w:val="20"/>
          <w:szCs w:val="20"/>
        </w:rPr>
        <w:t xml:space="preserve"> para obtener justicia y la existencia de un estrecho vínculo familiar</w:t>
      </w:r>
      <w:r w:rsidRPr="00F1435E">
        <w:rPr>
          <w:rStyle w:val="FootnoteReference"/>
          <w:sz w:val="20"/>
          <w:szCs w:val="20"/>
        </w:rPr>
        <w:footnoteReference w:id="301"/>
      </w:r>
      <w:r w:rsidRPr="008F1192">
        <w:rPr>
          <w:sz w:val="20"/>
          <w:szCs w:val="20"/>
        </w:rPr>
        <w:t xml:space="preserve">. Del mismo modo, ha sido </w:t>
      </w:r>
      <w:r w:rsidR="002B0772" w:rsidRPr="008F1192">
        <w:rPr>
          <w:sz w:val="20"/>
          <w:szCs w:val="20"/>
        </w:rPr>
        <w:t>determinad</w:t>
      </w:r>
      <w:r w:rsidR="002B0772">
        <w:rPr>
          <w:sz w:val="20"/>
          <w:szCs w:val="20"/>
        </w:rPr>
        <w:t>o</w:t>
      </w:r>
      <w:r w:rsidR="002B0772" w:rsidRPr="008F1192">
        <w:rPr>
          <w:sz w:val="20"/>
          <w:szCs w:val="20"/>
        </w:rPr>
        <w:t xml:space="preserve"> </w:t>
      </w:r>
      <w:r w:rsidRPr="008F1192">
        <w:rPr>
          <w:sz w:val="20"/>
          <w:szCs w:val="20"/>
        </w:rPr>
        <w:t>la violación de este derecho en virtud del sufrimiento ocasionado a partir de los hechos perpetrados en contra de sus seres queridos</w:t>
      </w:r>
      <w:r w:rsidRPr="00F1435E">
        <w:rPr>
          <w:rStyle w:val="FootnoteReference"/>
          <w:sz w:val="20"/>
          <w:szCs w:val="20"/>
        </w:rPr>
        <w:footnoteReference w:id="302"/>
      </w:r>
      <w:r w:rsidRPr="008F1192">
        <w:rPr>
          <w:sz w:val="20"/>
          <w:szCs w:val="20"/>
        </w:rPr>
        <w:t xml:space="preserve">. </w:t>
      </w:r>
    </w:p>
    <w:p w14:paraId="78C92B63" w14:textId="77777777" w:rsidR="001C1F1A" w:rsidRDefault="001C1F1A" w:rsidP="00C27894">
      <w:pPr>
        <w:tabs>
          <w:tab w:val="left" w:pos="567"/>
        </w:tabs>
        <w:rPr>
          <w:strike/>
          <w:sz w:val="20"/>
          <w:szCs w:val="20"/>
        </w:rPr>
      </w:pPr>
    </w:p>
    <w:p w14:paraId="58927219" w14:textId="77777777" w:rsidR="00BE6F31" w:rsidRDefault="001C1F1A" w:rsidP="006B458C">
      <w:pPr>
        <w:numPr>
          <w:ilvl w:val="0"/>
          <w:numId w:val="2"/>
        </w:numPr>
        <w:tabs>
          <w:tab w:val="left" w:pos="567"/>
          <w:tab w:val="num" w:pos="1569"/>
          <w:tab w:val="num" w:pos="12305"/>
        </w:tabs>
        <w:ind w:left="0" w:firstLine="0"/>
        <w:rPr>
          <w:sz w:val="20"/>
          <w:szCs w:val="20"/>
        </w:rPr>
      </w:pPr>
      <w:r w:rsidRPr="00C27894">
        <w:rPr>
          <w:sz w:val="20"/>
          <w:szCs w:val="20"/>
        </w:rPr>
        <w:t xml:space="preserve">Al respecto, </w:t>
      </w:r>
      <w:r>
        <w:rPr>
          <w:sz w:val="20"/>
          <w:szCs w:val="20"/>
        </w:rPr>
        <w:t xml:space="preserve">en audiencia pública Vinicio Marco Poblete declaró ante la Corte que: </w:t>
      </w:r>
    </w:p>
    <w:p w14:paraId="05300087" w14:textId="77777777" w:rsidR="001C1F1A" w:rsidRDefault="001C1F1A" w:rsidP="00C27894">
      <w:pPr>
        <w:tabs>
          <w:tab w:val="left" w:pos="567"/>
        </w:tabs>
        <w:rPr>
          <w:sz w:val="20"/>
          <w:szCs w:val="20"/>
        </w:rPr>
      </w:pPr>
    </w:p>
    <w:p w14:paraId="1D90ED8C" w14:textId="77777777" w:rsidR="001C1F1A" w:rsidRPr="00C27894" w:rsidRDefault="001C1F1A" w:rsidP="00C27894">
      <w:pPr>
        <w:ind w:left="708"/>
        <w:rPr>
          <w:sz w:val="18"/>
        </w:rPr>
      </w:pPr>
      <w:r>
        <w:rPr>
          <w:sz w:val="18"/>
        </w:rPr>
        <w:t xml:space="preserve">“[…] </w:t>
      </w:r>
      <w:r w:rsidRPr="00C27894">
        <w:rPr>
          <w:sz w:val="18"/>
        </w:rPr>
        <w:t>mi familia se destruyó por la injusticia, fuimos discriminados, humillados por ser pobres, por el órgano del Estado de Chile. El Estado durante más de 16 años están en conocimiento de lo que había sucedido con mi padre en el hospital Sotero del Río y el Estado nunca invest</w:t>
      </w:r>
      <w:r w:rsidRPr="001C1F1A">
        <w:rPr>
          <w:sz w:val="18"/>
        </w:rPr>
        <w:t>igó la muerte de mi papá, jamás</w:t>
      </w:r>
      <w:r w:rsidRPr="00C27894">
        <w:rPr>
          <w:sz w:val="18"/>
        </w:rPr>
        <w:t xml:space="preserve"> </w:t>
      </w:r>
      <w:r>
        <w:rPr>
          <w:sz w:val="18"/>
        </w:rPr>
        <w:t>[…].</w:t>
      </w:r>
      <w:r w:rsidRPr="001C1F1A">
        <w:rPr>
          <w:sz w:val="18"/>
        </w:rPr>
        <w:t xml:space="preserve"> </w:t>
      </w:r>
      <w:r>
        <w:rPr>
          <w:sz w:val="18"/>
        </w:rPr>
        <w:t>[P]</w:t>
      </w:r>
      <w:r w:rsidRPr="00C27894">
        <w:rPr>
          <w:sz w:val="18"/>
        </w:rPr>
        <w:t xml:space="preserve">ara ellos solo fue un hombre pobre que mataron en un hospital público. Mi papá fue humillado, maltratado física y psicológicamente por ser una persona mayor en un hospital </w:t>
      </w:r>
      <w:r w:rsidRPr="00C27894">
        <w:rPr>
          <w:sz w:val="18"/>
        </w:rPr>
        <w:lastRenderedPageBreak/>
        <w:t>público. Fue una víctima de la salud pública chilena y todos los sufrimientos destruyeron a mi familia […]</w:t>
      </w:r>
      <w:r>
        <w:rPr>
          <w:sz w:val="18"/>
        </w:rPr>
        <w:t xml:space="preserve"> </w:t>
      </w:r>
      <w:r w:rsidRPr="00C27894">
        <w:rPr>
          <w:sz w:val="18"/>
        </w:rPr>
        <w:t xml:space="preserve">han sido años de sufrimiento y de injusticia </w:t>
      </w:r>
      <w:r>
        <w:rPr>
          <w:sz w:val="18"/>
        </w:rPr>
        <w:t xml:space="preserve">[para] </w:t>
      </w:r>
      <w:r w:rsidRPr="00C27894">
        <w:rPr>
          <w:sz w:val="18"/>
        </w:rPr>
        <w:t>nosotros. Hemos sufrido demasiado, demasiado con mi hermana [...]”</w:t>
      </w:r>
      <w:r>
        <w:rPr>
          <w:sz w:val="18"/>
        </w:rPr>
        <w:t>.</w:t>
      </w:r>
    </w:p>
    <w:p w14:paraId="5BF5D7AB" w14:textId="77777777" w:rsidR="001C1F1A" w:rsidRPr="008F1192" w:rsidRDefault="001C1F1A" w:rsidP="00C27894">
      <w:pPr>
        <w:tabs>
          <w:tab w:val="left" w:pos="567"/>
        </w:tabs>
        <w:rPr>
          <w:sz w:val="20"/>
          <w:szCs w:val="20"/>
        </w:rPr>
      </w:pPr>
    </w:p>
    <w:p w14:paraId="015FA3BA" w14:textId="09090D7B" w:rsidR="00CD3FD7" w:rsidRPr="00AA7ACB" w:rsidRDefault="00BE6F31" w:rsidP="009943EE">
      <w:pPr>
        <w:numPr>
          <w:ilvl w:val="0"/>
          <w:numId w:val="2"/>
        </w:numPr>
        <w:tabs>
          <w:tab w:val="left" w:pos="567"/>
          <w:tab w:val="num" w:pos="1569"/>
          <w:tab w:val="num" w:pos="12305"/>
        </w:tabs>
        <w:ind w:left="0" w:firstLine="0"/>
        <w:rPr>
          <w:sz w:val="20"/>
          <w:szCs w:val="20"/>
        </w:rPr>
      </w:pPr>
      <w:r w:rsidRPr="00AA7ACB">
        <w:rPr>
          <w:sz w:val="20"/>
          <w:szCs w:val="20"/>
        </w:rPr>
        <w:t>En este sentido,</w:t>
      </w:r>
      <w:r w:rsidR="001C1F1A" w:rsidRPr="00C27894">
        <w:rPr>
          <w:sz w:val="20"/>
          <w:szCs w:val="20"/>
        </w:rPr>
        <w:t xml:space="preserve"> </w:t>
      </w:r>
      <w:r w:rsidRPr="00AA7ACB">
        <w:rPr>
          <w:sz w:val="20"/>
          <w:szCs w:val="20"/>
        </w:rPr>
        <w:t xml:space="preserve">el Tribunal estima que para el caso concreto </w:t>
      </w:r>
      <w:r w:rsidR="001C1F1A" w:rsidRPr="00C27894">
        <w:rPr>
          <w:sz w:val="20"/>
          <w:szCs w:val="20"/>
        </w:rPr>
        <w:t xml:space="preserve">se acreditó que, con motivo del </w:t>
      </w:r>
      <w:r w:rsidRPr="00AA7ACB">
        <w:rPr>
          <w:sz w:val="20"/>
          <w:szCs w:val="20"/>
        </w:rPr>
        <w:t>estrecho vínculo familiar</w:t>
      </w:r>
      <w:r w:rsidR="001C1F1A" w:rsidRPr="00C27894">
        <w:rPr>
          <w:sz w:val="20"/>
          <w:szCs w:val="20"/>
        </w:rPr>
        <w:t xml:space="preserve"> que </w:t>
      </w:r>
      <w:r w:rsidRPr="00AA7ACB">
        <w:rPr>
          <w:sz w:val="20"/>
          <w:szCs w:val="20"/>
        </w:rPr>
        <w:t>guardaban con la víctima</w:t>
      </w:r>
      <w:r w:rsidR="00AA7ACB">
        <w:rPr>
          <w:sz w:val="20"/>
          <w:szCs w:val="20"/>
        </w:rPr>
        <w:t xml:space="preserve"> directa</w:t>
      </w:r>
      <w:r w:rsidRPr="00AA7ACB">
        <w:rPr>
          <w:sz w:val="20"/>
          <w:szCs w:val="20"/>
        </w:rPr>
        <w:t>, se desprende</w:t>
      </w:r>
      <w:r w:rsidR="001C1F1A" w:rsidRPr="00C27894">
        <w:rPr>
          <w:sz w:val="20"/>
          <w:szCs w:val="20"/>
        </w:rPr>
        <w:t>n</w:t>
      </w:r>
      <w:r w:rsidRPr="00AA7ACB">
        <w:rPr>
          <w:sz w:val="20"/>
          <w:szCs w:val="20"/>
        </w:rPr>
        <w:t xml:space="preserve"> </w:t>
      </w:r>
      <w:r w:rsidR="001C1F1A" w:rsidRPr="00C27894">
        <w:rPr>
          <w:sz w:val="20"/>
          <w:szCs w:val="20"/>
        </w:rPr>
        <w:t xml:space="preserve">lógicos los </w:t>
      </w:r>
      <w:r w:rsidRPr="00AA7ACB">
        <w:rPr>
          <w:sz w:val="20"/>
          <w:szCs w:val="20"/>
        </w:rPr>
        <w:t>sufrimiento</w:t>
      </w:r>
      <w:r w:rsidR="001C1F1A" w:rsidRPr="00C27894">
        <w:rPr>
          <w:sz w:val="20"/>
          <w:szCs w:val="20"/>
        </w:rPr>
        <w:t>s</w:t>
      </w:r>
      <w:r w:rsidRPr="00AA7ACB">
        <w:rPr>
          <w:sz w:val="20"/>
          <w:szCs w:val="20"/>
        </w:rPr>
        <w:t xml:space="preserve"> ocasionado</w:t>
      </w:r>
      <w:r w:rsidR="0070441D">
        <w:rPr>
          <w:sz w:val="20"/>
          <w:szCs w:val="20"/>
        </w:rPr>
        <w:t>s</w:t>
      </w:r>
      <w:r w:rsidRPr="00AA7ACB">
        <w:rPr>
          <w:sz w:val="20"/>
          <w:szCs w:val="20"/>
        </w:rPr>
        <w:t xml:space="preserve"> </w:t>
      </w:r>
      <w:r w:rsidR="001C1F1A" w:rsidRPr="00C27894">
        <w:rPr>
          <w:sz w:val="20"/>
          <w:szCs w:val="20"/>
        </w:rPr>
        <w:t xml:space="preserve">con motivo del trato recibido </w:t>
      </w:r>
      <w:r w:rsidRPr="00AA7ACB">
        <w:rPr>
          <w:sz w:val="20"/>
          <w:szCs w:val="20"/>
        </w:rPr>
        <w:t xml:space="preserve">en un primer momento en el Hospital </w:t>
      </w:r>
      <w:proofErr w:type="spellStart"/>
      <w:r w:rsidRPr="00AA7ACB">
        <w:rPr>
          <w:sz w:val="20"/>
          <w:szCs w:val="20"/>
        </w:rPr>
        <w:t>Sótero</w:t>
      </w:r>
      <w:proofErr w:type="spellEnd"/>
      <w:r w:rsidRPr="00AA7ACB">
        <w:rPr>
          <w:sz w:val="20"/>
          <w:szCs w:val="20"/>
        </w:rPr>
        <w:t xml:space="preserve"> del Río, tales como </w:t>
      </w:r>
      <w:r w:rsidR="001C1F1A" w:rsidRPr="00C27894">
        <w:rPr>
          <w:sz w:val="20"/>
          <w:szCs w:val="20"/>
        </w:rPr>
        <w:t xml:space="preserve">la imposibilidad de ver a su familiar, la falta de información </w:t>
      </w:r>
      <w:r w:rsidR="00AA7ACB">
        <w:rPr>
          <w:sz w:val="20"/>
          <w:szCs w:val="20"/>
        </w:rPr>
        <w:t>sobre un</w:t>
      </w:r>
      <w:r w:rsidR="001C1F1A" w:rsidRPr="00C27894">
        <w:rPr>
          <w:sz w:val="20"/>
          <w:szCs w:val="20"/>
        </w:rPr>
        <w:t xml:space="preserve"> diagnóstico claro </w:t>
      </w:r>
      <w:r w:rsidR="00AA7ACB">
        <w:rPr>
          <w:sz w:val="20"/>
          <w:szCs w:val="20"/>
        </w:rPr>
        <w:t xml:space="preserve">del paciente </w:t>
      </w:r>
      <w:r w:rsidR="001C1F1A" w:rsidRPr="00C27894">
        <w:rPr>
          <w:sz w:val="20"/>
          <w:szCs w:val="20"/>
        </w:rPr>
        <w:t>y forma de atender</w:t>
      </w:r>
      <w:r w:rsidR="00AA7ACB">
        <w:rPr>
          <w:sz w:val="20"/>
          <w:szCs w:val="20"/>
        </w:rPr>
        <w:t xml:space="preserve">lo </w:t>
      </w:r>
      <w:r w:rsidR="001C1F1A" w:rsidRPr="00C27894">
        <w:rPr>
          <w:sz w:val="20"/>
          <w:szCs w:val="20"/>
        </w:rPr>
        <w:t xml:space="preserve">en su </w:t>
      </w:r>
      <w:r w:rsidR="00AA7ACB" w:rsidRPr="00C27894">
        <w:rPr>
          <w:sz w:val="20"/>
          <w:szCs w:val="20"/>
        </w:rPr>
        <w:t>domicilio</w:t>
      </w:r>
      <w:r w:rsidR="00AA7ACB">
        <w:rPr>
          <w:sz w:val="20"/>
          <w:szCs w:val="20"/>
        </w:rPr>
        <w:t xml:space="preserve"> al ser dado de alta,</w:t>
      </w:r>
      <w:r w:rsidRPr="00AA7ACB">
        <w:rPr>
          <w:sz w:val="20"/>
          <w:szCs w:val="20"/>
        </w:rPr>
        <w:t xml:space="preserve"> </w:t>
      </w:r>
      <w:r w:rsidR="00C850E0" w:rsidRPr="00C27894">
        <w:rPr>
          <w:sz w:val="20"/>
          <w:szCs w:val="20"/>
        </w:rPr>
        <w:t xml:space="preserve">y particularmente la falta de obtención de su consentimiento </w:t>
      </w:r>
      <w:r w:rsidR="00AA7ACB">
        <w:rPr>
          <w:sz w:val="20"/>
          <w:szCs w:val="20"/>
        </w:rPr>
        <w:t xml:space="preserve">respecto de la intervención a su familiar </w:t>
      </w:r>
      <w:r w:rsidRPr="00AA7ACB">
        <w:rPr>
          <w:sz w:val="20"/>
          <w:szCs w:val="20"/>
        </w:rPr>
        <w:t>(</w:t>
      </w:r>
      <w:r w:rsidR="00062586" w:rsidRPr="00062586">
        <w:rPr>
          <w:i/>
          <w:sz w:val="20"/>
          <w:szCs w:val="20"/>
        </w:rPr>
        <w:t>supra</w:t>
      </w:r>
      <w:r w:rsidRPr="00AA7ACB">
        <w:rPr>
          <w:sz w:val="20"/>
          <w:szCs w:val="20"/>
        </w:rPr>
        <w:t xml:space="preserve"> párr</w:t>
      </w:r>
      <w:r w:rsidR="002B0772" w:rsidRPr="00AA7ACB">
        <w:rPr>
          <w:sz w:val="20"/>
          <w:szCs w:val="20"/>
        </w:rPr>
        <w:t>.</w:t>
      </w:r>
      <w:r w:rsidR="002B0772">
        <w:rPr>
          <w:sz w:val="20"/>
          <w:szCs w:val="20"/>
        </w:rPr>
        <w:t xml:space="preserve"> </w:t>
      </w:r>
      <w:r w:rsidR="00AB34B8">
        <w:rPr>
          <w:sz w:val="20"/>
          <w:szCs w:val="20"/>
        </w:rPr>
        <w:t>173</w:t>
      </w:r>
      <w:r w:rsidRPr="00AA7ACB">
        <w:rPr>
          <w:sz w:val="20"/>
          <w:szCs w:val="20"/>
        </w:rPr>
        <w:t xml:space="preserve">). Asimismo, </w:t>
      </w:r>
      <w:r w:rsidR="00AA7ACB" w:rsidRPr="00C27894">
        <w:rPr>
          <w:sz w:val="20"/>
          <w:szCs w:val="20"/>
        </w:rPr>
        <w:t xml:space="preserve">la Corte entiende el sufrimiento de los familiares derivado </w:t>
      </w:r>
      <w:r w:rsidR="00AA7ACB">
        <w:rPr>
          <w:sz w:val="20"/>
          <w:szCs w:val="20"/>
        </w:rPr>
        <w:t>d</w:t>
      </w:r>
      <w:r w:rsidR="00AA7ACB" w:rsidRPr="00C27894">
        <w:rPr>
          <w:sz w:val="20"/>
          <w:szCs w:val="20"/>
        </w:rPr>
        <w:t xml:space="preserve">el </w:t>
      </w:r>
      <w:r w:rsidR="00AA7ACB">
        <w:rPr>
          <w:sz w:val="20"/>
          <w:szCs w:val="20"/>
        </w:rPr>
        <w:t xml:space="preserve">largo </w:t>
      </w:r>
      <w:r w:rsidR="00AA7ACB" w:rsidRPr="00C27894">
        <w:rPr>
          <w:sz w:val="20"/>
          <w:szCs w:val="20"/>
        </w:rPr>
        <w:t>proceso en</w:t>
      </w:r>
      <w:r w:rsidRPr="00AA7ACB">
        <w:rPr>
          <w:sz w:val="20"/>
          <w:szCs w:val="20"/>
        </w:rPr>
        <w:t xml:space="preserve"> la búsqueda </w:t>
      </w:r>
      <w:r w:rsidR="00AA7ACB" w:rsidRPr="00C27894">
        <w:rPr>
          <w:sz w:val="20"/>
          <w:szCs w:val="20"/>
        </w:rPr>
        <w:t xml:space="preserve">de la </w:t>
      </w:r>
      <w:r w:rsidRPr="00AA7ACB">
        <w:rPr>
          <w:sz w:val="20"/>
          <w:szCs w:val="20"/>
        </w:rPr>
        <w:t>justicia</w:t>
      </w:r>
      <w:r w:rsidR="00AA7ACB" w:rsidRPr="00C27894">
        <w:rPr>
          <w:sz w:val="20"/>
          <w:szCs w:val="20"/>
        </w:rPr>
        <w:t>, particularmente</w:t>
      </w:r>
      <w:r w:rsidRPr="00AA7ACB">
        <w:rPr>
          <w:sz w:val="20"/>
          <w:szCs w:val="20"/>
        </w:rPr>
        <w:t xml:space="preserve"> </w:t>
      </w:r>
      <w:r w:rsidR="00AA7ACB">
        <w:rPr>
          <w:sz w:val="20"/>
          <w:szCs w:val="20"/>
        </w:rPr>
        <w:t xml:space="preserve">sobre el </w:t>
      </w:r>
      <w:r w:rsidRPr="00AA7ACB">
        <w:rPr>
          <w:sz w:val="20"/>
          <w:szCs w:val="20"/>
        </w:rPr>
        <w:t>esclarecimiento de los hechos,</w:t>
      </w:r>
      <w:r w:rsidR="00AA7ACB">
        <w:rPr>
          <w:sz w:val="20"/>
          <w:szCs w:val="20"/>
        </w:rPr>
        <w:t xml:space="preserve"> así como de</w:t>
      </w:r>
      <w:r w:rsidRPr="00AA7ACB">
        <w:rPr>
          <w:sz w:val="20"/>
          <w:szCs w:val="20"/>
        </w:rPr>
        <w:t xml:space="preserve"> </w:t>
      </w:r>
      <w:r w:rsidR="00AA7ACB" w:rsidRPr="00C27894">
        <w:rPr>
          <w:sz w:val="20"/>
          <w:szCs w:val="20"/>
        </w:rPr>
        <w:t xml:space="preserve">la incertidumbre </w:t>
      </w:r>
      <w:r w:rsidR="00AA7ACB">
        <w:rPr>
          <w:sz w:val="20"/>
          <w:szCs w:val="20"/>
        </w:rPr>
        <w:t xml:space="preserve">por la indeterminación de la causa de muerte </w:t>
      </w:r>
      <w:r w:rsidR="00AA7ACB" w:rsidRPr="00C27894">
        <w:rPr>
          <w:sz w:val="20"/>
          <w:szCs w:val="20"/>
        </w:rPr>
        <w:t xml:space="preserve">del señor Poblete Vilches, y frente a ello </w:t>
      </w:r>
      <w:r w:rsidRPr="00AA7ACB">
        <w:rPr>
          <w:sz w:val="20"/>
          <w:szCs w:val="20"/>
        </w:rPr>
        <w:t>la respuesta ofrecida por</w:t>
      </w:r>
      <w:r w:rsidR="00AA7ACB" w:rsidRPr="00C27894">
        <w:rPr>
          <w:sz w:val="20"/>
          <w:szCs w:val="20"/>
        </w:rPr>
        <w:t xml:space="preserve"> las autoridades</w:t>
      </w:r>
      <w:r w:rsidR="00AA7ACB">
        <w:rPr>
          <w:sz w:val="20"/>
          <w:szCs w:val="20"/>
        </w:rPr>
        <w:t xml:space="preserve"> en distintas instancias (</w:t>
      </w:r>
      <w:r w:rsidR="00062586" w:rsidRPr="00062586">
        <w:rPr>
          <w:i/>
          <w:sz w:val="20"/>
          <w:szCs w:val="20"/>
        </w:rPr>
        <w:t>supra</w:t>
      </w:r>
      <w:r w:rsidR="00AA7ACB">
        <w:rPr>
          <w:sz w:val="20"/>
          <w:szCs w:val="20"/>
        </w:rPr>
        <w:t xml:space="preserve"> </w:t>
      </w:r>
      <w:proofErr w:type="spellStart"/>
      <w:r w:rsidR="00AA7ACB">
        <w:rPr>
          <w:sz w:val="20"/>
          <w:szCs w:val="20"/>
        </w:rPr>
        <w:t>párr</w:t>
      </w:r>
      <w:r w:rsidR="00AB34B8">
        <w:rPr>
          <w:sz w:val="20"/>
          <w:szCs w:val="20"/>
        </w:rPr>
        <w:t>s</w:t>
      </w:r>
      <w:proofErr w:type="spellEnd"/>
      <w:r w:rsidR="002B0772">
        <w:rPr>
          <w:sz w:val="20"/>
          <w:szCs w:val="20"/>
        </w:rPr>
        <w:t>. 59</w:t>
      </w:r>
      <w:r w:rsidR="00AB34B8">
        <w:rPr>
          <w:sz w:val="20"/>
          <w:szCs w:val="20"/>
        </w:rPr>
        <w:t xml:space="preserve"> y 81</w:t>
      </w:r>
      <w:r w:rsidR="002B0772">
        <w:rPr>
          <w:sz w:val="20"/>
          <w:szCs w:val="20"/>
        </w:rPr>
        <w:t>)</w:t>
      </w:r>
      <w:r w:rsidR="002B0772" w:rsidRPr="00C27894">
        <w:rPr>
          <w:sz w:val="20"/>
          <w:szCs w:val="20"/>
        </w:rPr>
        <w:t xml:space="preserve">. </w:t>
      </w:r>
      <w:r w:rsidR="00AA7ACB" w:rsidRPr="00C27894">
        <w:rPr>
          <w:sz w:val="20"/>
          <w:szCs w:val="20"/>
        </w:rPr>
        <w:t xml:space="preserve">Dichas afectaciones repercutieron en el seno familiar y </w:t>
      </w:r>
      <w:r w:rsidR="00AA7ACB">
        <w:rPr>
          <w:sz w:val="20"/>
          <w:szCs w:val="20"/>
        </w:rPr>
        <w:t xml:space="preserve">en el </w:t>
      </w:r>
      <w:r w:rsidR="00AA7ACB" w:rsidRPr="00C27894">
        <w:rPr>
          <w:sz w:val="20"/>
          <w:szCs w:val="20"/>
        </w:rPr>
        <w:t xml:space="preserve">desarrollo </w:t>
      </w:r>
      <w:r w:rsidR="00AA7ACB">
        <w:rPr>
          <w:sz w:val="20"/>
          <w:szCs w:val="20"/>
        </w:rPr>
        <w:t xml:space="preserve">de </w:t>
      </w:r>
      <w:r w:rsidR="00AA7ACB" w:rsidRPr="00C27894">
        <w:rPr>
          <w:sz w:val="20"/>
          <w:szCs w:val="20"/>
        </w:rPr>
        <w:t xml:space="preserve">sus planes de vida. Por tanto, </w:t>
      </w:r>
      <w:r w:rsidR="001B6272" w:rsidRPr="001B6272">
        <w:rPr>
          <w:sz w:val="20"/>
          <w:szCs w:val="20"/>
        </w:rPr>
        <w:t xml:space="preserve">resulta responsable el Estado </w:t>
      </w:r>
      <w:r w:rsidR="001B6272">
        <w:rPr>
          <w:sz w:val="20"/>
          <w:szCs w:val="20"/>
        </w:rPr>
        <w:t>por</w:t>
      </w:r>
      <w:r w:rsidR="00AA7ACB" w:rsidRPr="00C27894">
        <w:rPr>
          <w:sz w:val="20"/>
          <w:szCs w:val="20"/>
        </w:rPr>
        <w:t xml:space="preserve"> la violación del </w:t>
      </w:r>
      <w:r w:rsidRPr="00AA7ACB">
        <w:rPr>
          <w:sz w:val="20"/>
          <w:szCs w:val="20"/>
        </w:rPr>
        <w:t>artículo 5.1 de la Convención</w:t>
      </w:r>
      <w:r w:rsidR="00AA7ACB" w:rsidRPr="00C27894">
        <w:rPr>
          <w:sz w:val="20"/>
          <w:szCs w:val="20"/>
        </w:rPr>
        <w:t>,</w:t>
      </w:r>
      <w:r w:rsidRPr="00AA7ACB">
        <w:rPr>
          <w:sz w:val="20"/>
          <w:szCs w:val="20"/>
        </w:rPr>
        <w:t xml:space="preserve"> en perjuicio de los familiares del señor Poblete Vilches.</w:t>
      </w:r>
    </w:p>
    <w:p w14:paraId="61E717D0" w14:textId="77777777" w:rsidR="00312262" w:rsidRDefault="00312262" w:rsidP="006B2A4D">
      <w:pPr>
        <w:tabs>
          <w:tab w:val="left" w:pos="567"/>
        </w:tabs>
        <w:rPr>
          <w:sz w:val="20"/>
          <w:szCs w:val="20"/>
        </w:rPr>
      </w:pPr>
    </w:p>
    <w:p w14:paraId="79896D70" w14:textId="77777777" w:rsidR="006B2A4D" w:rsidRPr="006B2A4D" w:rsidRDefault="006B2A4D" w:rsidP="006B2A4D">
      <w:pPr>
        <w:pStyle w:val="Title"/>
      </w:pPr>
      <w:bookmarkStart w:id="104" w:name="_Toc504484557"/>
      <w:bookmarkStart w:id="105" w:name="_Toc513644487"/>
      <w:r w:rsidRPr="006B2A4D">
        <w:t>VI</w:t>
      </w:r>
      <w:r>
        <w:t>I</w:t>
      </w:r>
      <w:r w:rsidR="00024506">
        <w:t>I</w:t>
      </w:r>
      <w:bookmarkEnd w:id="104"/>
      <w:bookmarkEnd w:id="105"/>
    </w:p>
    <w:p w14:paraId="28384A97" w14:textId="77777777" w:rsidR="006B2A4D" w:rsidRPr="006B2A4D" w:rsidRDefault="006B2A4D" w:rsidP="006B2A4D">
      <w:pPr>
        <w:pStyle w:val="Title"/>
      </w:pPr>
      <w:bookmarkStart w:id="106" w:name="_Toc513644488"/>
      <w:r>
        <w:t>REPARACIONES</w:t>
      </w:r>
      <w:bookmarkEnd w:id="106"/>
    </w:p>
    <w:p w14:paraId="129241B9" w14:textId="77777777" w:rsidR="006B2A4D" w:rsidRDefault="006B2A4D" w:rsidP="006B2A4D">
      <w:pPr>
        <w:pStyle w:val="Title"/>
      </w:pPr>
      <w:bookmarkStart w:id="107" w:name="_Toc513644489"/>
      <w:r w:rsidRPr="006B2A4D">
        <w:t>(</w:t>
      </w:r>
      <w:r w:rsidRPr="00641CEB">
        <w:rPr>
          <w:i/>
        </w:rPr>
        <w:t>APLICACIÓN DEL ARTÍCULO 63.1 DE LA CONVENCIÓN AMERICANA</w:t>
      </w:r>
      <w:r w:rsidRPr="006B2A4D">
        <w:t>)</w:t>
      </w:r>
      <w:bookmarkEnd w:id="107"/>
    </w:p>
    <w:p w14:paraId="0FF018E5" w14:textId="77777777" w:rsidR="006B2A4D" w:rsidRPr="006B2A4D" w:rsidRDefault="006B2A4D" w:rsidP="006B2A4D">
      <w:pPr>
        <w:rPr>
          <w:sz w:val="20"/>
          <w:szCs w:val="20"/>
        </w:rPr>
      </w:pPr>
    </w:p>
    <w:p w14:paraId="08F7D5FF" w14:textId="77777777"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Con base en lo dispuesto en el artículo 63.1 de la Convención Americana</w:t>
      </w:r>
      <w:r w:rsidRPr="006B2A4D">
        <w:rPr>
          <w:rFonts w:eastAsia="Calibri"/>
          <w:sz w:val="20"/>
          <w:szCs w:val="20"/>
          <w:vertAlign w:val="superscript"/>
          <w:lang w:val="es-ES" w:eastAsia="es-ES"/>
        </w:rPr>
        <w:footnoteReference w:id="303"/>
      </w:r>
      <w:r w:rsidRPr="006B2A4D">
        <w:rPr>
          <w:rFonts w:eastAsia="Calibri"/>
          <w:sz w:val="20"/>
          <w:szCs w:val="20"/>
          <w:lang w:val="es-ES" w:eastAsia="es-E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6B2A4D">
        <w:rPr>
          <w:rFonts w:eastAsia="Calibri"/>
          <w:sz w:val="20"/>
          <w:szCs w:val="20"/>
          <w:vertAlign w:val="superscript"/>
          <w:lang w:val="es-ES" w:eastAsia="es-ES"/>
        </w:rPr>
        <w:footnoteReference w:id="304"/>
      </w:r>
      <w:r w:rsidRPr="006B2A4D">
        <w:rPr>
          <w:rFonts w:eastAsia="Calibri"/>
          <w:sz w:val="20"/>
          <w:szCs w:val="20"/>
          <w:lang w:val="es-ES" w:eastAsia="es-ES"/>
        </w:rPr>
        <w:t>.</w:t>
      </w:r>
    </w:p>
    <w:p w14:paraId="26D95215" w14:textId="77777777" w:rsidR="006B2A4D" w:rsidRPr="006B2A4D" w:rsidRDefault="006B2A4D" w:rsidP="006B2A4D">
      <w:pPr>
        <w:rPr>
          <w:rFonts w:eastAsia="Calibri"/>
          <w:sz w:val="20"/>
          <w:szCs w:val="20"/>
          <w:lang w:val="es-ES" w:eastAsia="es-ES"/>
        </w:rPr>
      </w:pPr>
    </w:p>
    <w:p w14:paraId="7A2EBD2D" w14:textId="77777777" w:rsidR="006B2A4D" w:rsidRDefault="006B2A4D" w:rsidP="006B2A4D">
      <w:pPr>
        <w:numPr>
          <w:ilvl w:val="0"/>
          <w:numId w:val="2"/>
        </w:numPr>
        <w:tabs>
          <w:tab w:val="left" w:pos="567"/>
          <w:tab w:val="num" w:pos="1569"/>
          <w:tab w:val="num" w:pos="12305"/>
        </w:tabs>
        <w:ind w:left="0" w:firstLine="0"/>
        <w:rPr>
          <w:rFonts w:eastAsia="Calibri"/>
          <w:sz w:val="20"/>
          <w:szCs w:val="20"/>
          <w:lang w:val="es-ES" w:eastAsia="es-ES"/>
        </w:rPr>
      </w:pPr>
      <w:r w:rsidRPr="006B2A4D">
        <w:rPr>
          <w:rFonts w:eastAsia="Calibri"/>
          <w:sz w:val="20"/>
          <w:szCs w:val="20"/>
          <w:lang w:val="es-ES" w:eastAsia="es-ES"/>
        </w:rPr>
        <w:t>La Corte ha establecido que las reparaciones deben tener un nexo causal con los hechos del caso, las violaciones declaradas, los daños acreditados, así como con las medidas solicitadas para reparar los daños respectivos. Por lo tanto, la Corte deberá analizar dicha concurrencia para pronunciarse debidamente y conforme a derecho</w:t>
      </w:r>
      <w:r w:rsidRPr="006B2A4D">
        <w:rPr>
          <w:rFonts w:eastAsia="Calibri"/>
          <w:sz w:val="20"/>
          <w:szCs w:val="20"/>
          <w:vertAlign w:val="superscript"/>
          <w:lang w:val="es-ES" w:eastAsia="es-ES"/>
        </w:rPr>
        <w:footnoteReference w:id="305"/>
      </w:r>
      <w:r w:rsidRPr="006B2A4D">
        <w:rPr>
          <w:rFonts w:eastAsia="Calibri"/>
          <w:sz w:val="20"/>
          <w:szCs w:val="20"/>
          <w:lang w:val="es-ES" w:eastAsia="es-ES"/>
        </w:rPr>
        <w:t>.</w:t>
      </w:r>
    </w:p>
    <w:p w14:paraId="6E1C6779" w14:textId="77777777" w:rsidR="006B2A4D" w:rsidRDefault="006B2A4D" w:rsidP="006B2A4D">
      <w:pPr>
        <w:tabs>
          <w:tab w:val="left" w:pos="567"/>
        </w:tabs>
        <w:rPr>
          <w:rFonts w:eastAsia="Calibri"/>
          <w:sz w:val="20"/>
          <w:szCs w:val="20"/>
          <w:lang w:val="es-ES" w:eastAsia="es-ES"/>
        </w:rPr>
      </w:pPr>
    </w:p>
    <w:p w14:paraId="52BA7E06" w14:textId="77777777" w:rsidR="006B2A4D" w:rsidRDefault="006B2A4D" w:rsidP="006B2A4D">
      <w:pPr>
        <w:numPr>
          <w:ilvl w:val="0"/>
          <w:numId w:val="2"/>
        </w:numPr>
        <w:tabs>
          <w:tab w:val="left" w:pos="567"/>
          <w:tab w:val="num" w:pos="1569"/>
          <w:tab w:val="num" w:pos="12305"/>
        </w:tabs>
        <w:ind w:left="0" w:firstLine="0"/>
        <w:rPr>
          <w:rFonts w:eastAsia="Calibri"/>
          <w:sz w:val="20"/>
          <w:szCs w:val="20"/>
          <w:lang w:val="es-ES" w:eastAsia="es-ES"/>
        </w:rPr>
      </w:pPr>
      <w:r w:rsidRPr="006B2A4D">
        <w:rPr>
          <w:rFonts w:eastAsia="Calibri"/>
          <w:sz w:val="20"/>
          <w:szCs w:val="20"/>
          <w:lang w:val="es-ES" w:eastAsia="es-ES"/>
        </w:rPr>
        <w:t>La reparación del daño ocasionado por la infracción de una obligación internacional requiere, siempre que sea posible, la plena restitución, que consiste en el restablecimiento de la situación anterior. De no ser esto factible, el Tribunal determinará medidas para garantizar los derechos conculcados y reparar las consecuencias que las infracciones produjeron</w:t>
      </w:r>
      <w:r w:rsidRPr="006B2A4D">
        <w:rPr>
          <w:rFonts w:eastAsia="Calibri"/>
          <w:sz w:val="20"/>
          <w:szCs w:val="20"/>
          <w:vertAlign w:val="superscript"/>
          <w:lang w:val="es-ES" w:eastAsia="es-ES"/>
        </w:rPr>
        <w:footnoteReference w:id="306"/>
      </w:r>
      <w:r w:rsidRPr="006B2A4D">
        <w:rPr>
          <w:rFonts w:eastAsia="Calibri"/>
          <w:sz w:val="20"/>
          <w:szCs w:val="20"/>
          <w:lang w:val="es-ES" w:eastAsia="es-ES"/>
        </w:rPr>
        <w:t>.</w:t>
      </w:r>
    </w:p>
    <w:p w14:paraId="578189C4" w14:textId="77777777" w:rsidR="006B2A4D" w:rsidRPr="006B2A4D" w:rsidRDefault="006B2A4D" w:rsidP="006B2A4D">
      <w:pPr>
        <w:widowControl w:val="0"/>
        <w:tabs>
          <w:tab w:val="left" w:pos="567"/>
          <w:tab w:val="num" w:pos="1569"/>
          <w:tab w:val="num" w:pos="12305"/>
        </w:tabs>
        <w:adjustRightInd w:val="0"/>
        <w:textAlignment w:val="baseline"/>
        <w:rPr>
          <w:rFonts w:eastAsia="Calibri"/>
          <w:sz w:val="20"/>
          <w:szCs w:val="20"/>
          <w:lang w:val="es-ES" w:eastAsia="es-ES"/>
        </w:rPr>
      </w:pPr>
    </w:p>
    <w:p w14:paraId="1F8EF906" w14:textId="77777777" w:rsidR="006B2A4D" w:rsidRP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s-ES" w:eastAsia="es-ES"/>
        </w:rPr>
      </w:pPr>
      <w:r w:rsidRPr="006B2A4D">
        <w:rPr>
          <w:rFonts w:eastAsia="Calibri"/>
          <w:sz w:val="20"/>
          <w:szCs w:val="20"/>
          <w:lang w:val="es-ES" w:eastAsia="es-ES"/>
        </w:rPr>
        <w:t>En consideración de las violaciones a la Convención declaradas en los capítulos anteriores, la Corte procede a analizar las pretensiones presentadas por la Comisión y los representantes, así como los argumentos del Estado, a la luz de los criterios fijados en su jurisprudencia en relación con la naturaleza y alcance de la obligación de reparar</w:t>
      </w:r>
      <w:r w:rsidRPr="006B2A4D">
        <w:rPr>
          <w:rFonts w:eastAsia="Calibri"/>
          <w:sz w:val="20"/>
          <w:szCs w:val="20"/>
          <w:vertAlign w:val="superscript"/>
          <w:lang w:val="es-ES" w:eastAsia="es-ES"/>
        </w:rPr>
        <w:footnoteReference w:id="307"/>
      </w:r>
      <w:r w:rsidRPr="006B2A4D">
        <w:rPr>
          <w:rFonts w:eastAsia="Calibri"/>
          <w:sz w:val="20"/>
          <w:szCs w:val="20"/>
          <w:lang w:val="es-ES" w:eastAsia="es-ES"/>
        </w:rPr>
        <w:t xml:space="preserve">, con el objeto de disponer las </w:t>
      </w:r>
      <w:r w:rsidRPr="006B2A4D">
        <w:rPr>
          <w:rFonts w:eastAsia="Calibri"/>
          <w:sz w:val="20"/>
          <w:szCs w:val="20"/>
          <w:lang w:val="es-ES" w:eastAsia="es-ES"/>
        </w:rPr>
        <w:lastRenderedPageBreak/>
        <w:t>medidas dirigidas a reparar los daños ocasionados a la víctima.</w:t>
      </w:r>
    </w:p>
    <w:p w14:paraId="4AF42655" w14:textId="77777777" w:rsidR="006B2A4D" w:rsidRPr="006B2A4D" w:rsidRDefault="006B2A4D" w:rsidP="006B2A4D">
      <w:pPr>
        <w:rPr>
          <w:rFonts w:eastAsia="Calibri"/>
          <w:b/>
          <w:sz w:val="20"/>
          <w:szCs w:val="20"/>
          <w:lang w:val="es-ES" w:eastAsia="es-ES"/>
        </w:rPr>
      </w:pPr>
    </w:p>
    <w:p w14:paraId="136F6BD7" w14:textId="77777777" w:rsidR="006B2A4D" w:rsidRPr="00AD229D" w:rsidRDefault="006B2A4D" w:rsidP="002726E0">
      <w:pPr>
        <w:pStyle w:val="Heading2"/>
        <w:numPr>
          <w:ilvl w:val="0"/>
          <w:numId w:val="13"/>
        </w:numPr>
      </w:pPr>
      <w:bookmarkStart w:id="108" w:name="_Toc457464007"/>
      <w:bookmarkStart w:id="109" w:name="_Toc458175997"/>
      <w:bookmarkStart w:id="110" w:name="_Toc467060528"/>
      <w:bookmarkStart w:id="111" w:name="_Toc467060643"/>
      <w:bookmarkStart w:id="112" w:name="_Toc467060882"/>
      <w:bookmarkStart w:id="113" w:name="_Toc467060923"/>
      <w:bookmarkStart w:id="114" w:name="_Toc457464008"/>
      <w:bookmarkStart w:id="115" w:name="_Toc458175998"/>
      <w:bookmarkStart w:id="116" w:name="_Toc467060529"/>
      <w:bookmarkStart w:id="117" w:name="_Toc467060644"/>
      <w:bookmarkStart w:id="118" w:name="_Toc467060883"/>
      <w:bookmarkStart w:id="119" w:name="_Toc467060924"/>
      <w:bookmarkStart w:id="120" w:name="_Toc494271563"/>
      <w:bookmarkStart w:id="121" w:name="_Toc513644490"/>
      <w:bookmarkEnd w:id="108"/>
      <w:bookmarkEnd w:id="109"/>
      <w:bookmarkEnd w:id="110"/>
      <w:bookmarkEnd w:id="111"/>
      <w:bookmarkEnd w:id="112"/>
      <w:bookmarkEnd w:id="113"/>
      <w:bookmarkEnd w:id="114"/>
      <w:bookmarkEnd w:id="115"/>
      <w:bookmarkEnd w:id="116"/>
      <w:bookmarkEnd w:id="117"/>
      <w:bookmarkEnd w:id="118"/>
      <w:bookmarkEnd w:id="119"/>
      <w:r w:rsidRPr="00AD229D">
        <w:t>Parte lesionada</w:t>
      </w:r>
      <w:bookmarkEnd w:id="120"/>
      <w:bookmarkEnd w:id="121"/>
    </w:p>
    <w:p w14:paraId="3488CC3B" w14:textId="77777777" w:rsidR="006B2A4D" w:rsidRPr="006B2A4D" w:rsidRDefault="006B2A4D" w:rsidP="006B2A4D">
      <w:pPr>
        <w:keepNext/>
        <w:keepLines/>
        <w:outlineLvl w:val="1"/>
        <w:rPr>
          <w:b/>
          <w:bCs/>
          <w:i/>
          <w:sz w:val="20"/>
          <w:szCs w:val="20"/>
          <w:lang w:val="es-ES" w:eastAsia="en-US"/>
        </w:rPr>
      </w:pPr>
    </w:p>
    <w:p w14:paraId="7F0FC4F4" w14:textId="77D8DFE6"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Este Tribunal, en los términos del artículo 63.1 de la Convención,  considera parte lesionada a quienes han sido declaradas víctimas de la violación de algún derecho reconocido en la misma. </w:t>
      </w:r>
      <w:r w:rsidRPr="00BC17B7">
        <w:rPr>
          <w:rFonts w:eastAsia="Calibri"/>
          <w:sz w:val="20"/>
          <w:szCs w:val="20"/>
          <w:lang w:val="es-ES" w:eastAsia="es-ES"/>
        </w:rPr>
        <w:t>Por lo tanto, esta Corte considera como “parte lesionada” al señor Vinicio Antonio Poblete Vilches (fallecido)</w:t>
      </w:r>
      <w:r w:rsidR="00AB34B8">
        <w:rPr>
          <w:rFonts w:eastAsia="Calibri"/>
          <w:sz w:val="20"/>
          <w:szCs w:val="20"/>
          <w:lang w:val="es-ES" w:eastAsia="es-ES"/>
        </w:rPr>
        <w:t>,</w:t>
      </w:r>
      <w:r w:rsidRPr="00BC17B7">
        <w:rPr>
          <w:rFonts w:eastAsia="Calibri"/>
          <w:sz w:val="20"/>
          <w:szCs w:val="20"/>
          <w:lang w:val="es-ES" w:eastAsia="es-ES"/>
        </w:rPr>
        <w:t xml:space="preserve"> </w:t>
      </w:r>
      <w:r w:rsidR="00AB34B8">
        <w:rPr>
          <w:rFonts w:eastAsia="Calibri"/>
          <w:sz w:val="20"/>
          <w:szCs w:val="20"/>
          <w:lang w:val="es-ES" w:eastAsia="es-ES"/>
        </w:rPr>
        <w:t>así como a</w:t>
      </w:r>
      <w:r w:rsidRPr="00BC17B7">
        <w:rPr>
          <w:rFonts w:eastAsia="Calibri"/>
          <w:sz w:val="20"/>
          <w:szCs w:val="20"/>
          <w:lang w:val="es-ES" w:eastAsia="es-ES"/>
        </w:rPr>
        <w:t xml:space="preserve"> sus familiares</w:t>
      </w:r>
      <w:r w:rsidR="00AB34B8">
        <w:rPr>
          <w:rFonts w:eastAsia="Calibri"/>
          <w:sz w:val="20"/>
          <w:szCs w:val="20"/>
          <w:lang w:val="es-ES" w:eastAsia="es-ES"/>
        </w:rPr>
        <w:t>:</w:t>
      </w:r>
      <w:r w:rsidRPr="00BC17B7">
        <w:rPr>
          <w:rFonts w:eastAsia="Calibri"/>
          <w:sz w:val="20"/>
          <w:szCs w:val="20"/>
          <w:lang w:val="es-ES" w:eastAsia="es-ES"/>
        </w:rPr>
        <w:t xml:space="preserve"> Blanca Tapia Encina (fallecida), </w:t>
      </w:r>
      <w:r w:rsidR="00BC17B7" w:rsidRPr="00BC17B7">
        <w:rPr>
          <w:rFonts w:eastAsia="Calibri"/>
          <w:sz w:val="20"/>
          <w:szCs w:val="20"/>
          <w:lang w:eastAsia="en-US"/>
        </w:rPr>
        <w:t>Gonzalo Poblete Tapia</w:t>
      </w:r>
      <w:r w:rsidR="00BC17B7" w:rsidRPr="0059117C">
        <w:rPr>
          <w:rFonts w:eastAsia="Calibri"/>
          <w:sz w:val="20"/>
          <w:szCs w:val="20"/>
          <w:lang w:val="es-ES" w:eastAsia="es-ES"/>
        </w:rPr>
        <w:t xml:space="preserve"> (fallecido),</w:t>
      </w:r>
      <w:r w:rsidRPr="00BC17B7">
        <w:rPr>
          <w:rFonts w:eastAsia="Calibri"/>
          <w:sz w:val="20"/>
          <w:szCs w:val="20"/>
          <w:lang w:val="es-ES" w:eastAsia="es-ES"/>
        </w:rPr>
        <w:t xml:space="preserve"> Vinicio </w:t>
      </w:r>
      <w:r w:rsidR="00BC17B7" w:rsidRPr="0059117C">
        <w:rPr>
          <w:rFonts w:eastAsia="Calibri"/>
          <w:sz w:val="20"/>
          <w:szCs w:val="20"/>
          <w:lang w:val="es-ES" w:eastAsia="es-ES"/>
        </w:rPr>
        <w:t xml:space="preserve">Marco </w:t>
      </w:r>
      <w:r w:rsidRPr="00BC17B7">
        <w:rPr>
          <w:rFonts w:eastAsia="Calibri"/>
          <w:sz w:val="20"/>
          <w:szCs w:val="20"/>
          <w:lang w:val="es-ES" w:eastAsia="es-ES"/>
        </w:rPr>
        <w:t xml:space="preserve">Poblete Tapia y </w:t>
      </w:r>
      <w:proofErr w:type="spellStart"/>
      <w:r w:rsidRPr="00BC17B7">
        <w:rPr>
          <w:rFonts w:eastAsia="Calibri"/>
          <w:sz w:val="20"/>
          <w:szCs w:val="20"/>
          <w:lang w:val="es-ES" w:eastAsia="es-ES"/>
        </w:rPr>
        <w:t>Cesia</w:t>
      </w:r>
      <w:proofErr w:type="spellEnd"/>
      <w:r w:rsidRPr="00BC17B7">
        <w:rPr>
          <w:rFonts w:eastAsia="Calibri"/>
          <w:sz w:val="20"/>
          <w:szCs w:val="20"/>
          <w:lang w:val="es-ES" w:eastAsia="es-ES"/>
        </w:rPr>
        <w:t xml:space="preserve"> Poblete Tapia</w:t>
      </w:r>
      <w:r w:rsidR="00AB34B8">
        <w:rPr>
          <w:rFonts w:eastAsia="Calibri"/>
          <w:sz w:val="20"/>
          <w:szCs w:val="20"/>
          <w:lang w:val="es-ES" w:eastAsia="es-ES"/>
        </w:rPr>
        <w:t xml:space="preserve"> (</w:t>
      </w:r>
      <w:r w:rsidR="00AB34B8" w:rsidRPr="00B1523A">
        <w:rPr>
          <w:rFonts w:eastAsia="Calibri"/>
          <w:i/>
          <w:sz w:val="20"/>
          <w:szCs w:val="20"/>
          <w:lang w:val="es-ES" w:eastAsia="es-ES"/>
        </w:rPr>
        <w:t>supra</w:t>
      </w:r>
      <w:r w:rsidR="00AB34B8">
        <w:rPr>
          <w:rFonts w:eastAsia="Calibri"/>
          <w:sz w:val="20"/>
          <w:szCs w:val="20"/>
          <w:lang w:val="es-ES" w:eastAsia="es-ES"/>
        </w:rPr>
        <w:t xml:space="preserve"> párr. 41)</w:t>
      </w:r>
      <w:r w:rsidRPr="00BC17B7">
        <w:rPr>
          <w:rFonts w:eastAsia="Calibri"/>
          <w:sz w:val="20"/>
          <w:szCs w:val="20"/>
          <w:lang w:val="es-ES" w:eastAsia="es-ES"/>
        </w:rPr>
        <w:t>.</w:t>
      </w:r>
    </w:p>
    <w:p w14:paraId="1B03B676" w14:textId="77777777" w:rsidR="00121AA0" w:rsidRPr="006B2A4D" w:rsidRDefault="00121AA0" w:rsidP="00121AA0">
      <w:pPr>
        <w:widowControl w:val="0"/>
        <w:tabs>
          <w:tab w:val="left" w:pos="567"/>
          <w:tab w:val="num" w:pos="12305"/>
        </w:tabs>
        <w:adjustRightInd w:val="0"/>
        <w:textAlignment w:val="baseline"/>
        <w:rPr>
          <w:rFonts w:eastAsia="Calibri"/>
          <w:b/>
          <w:sz w:val="20"/>
          <w:szCs w:val="20"/>
          <w:lang w:val="es-HN" w:eastAsia="es-ES"/>
        </w:rPr>
      </w:pPr>
    </w:p>
    <w:p w14:paraId="787B7D0B" w14:textId="77777777" w:rsidR="00121AA0" w:rsidRPr="00AD229D" w:rsidRDefault="00121AA0" w:rsidP="002726E0">
      <w:pPr>
        <w:pStyle w:val="Heading2"/>
        <w:numPr>
          <w:ilvl w:val="0"/>
          <w:numId w:val="13"/>
        </w:numPr>
      </w:pPr>
      <w:bookmarkStart w:id="122" w:name="_Toc513644491"/>
      <w:r w:rsidRPr="00AD229D">
        <w:t>Investigación</w:t>
      </w:r>
      <w:bookmarkEnd w:id="122"/>
      <w:r w:rsidRPr="00AD229D">
        <w:t xml:space="preserve"> </w:t>
      </w:r>
    </w:p>
    <w:p w14:paraId="34790755" w14:textId="77777777" w:rsidR="00121AA0" w:rsidRPr="006B2A4D" w:rsidRDefault="00121AA0" w:rsidP="00121AA0">
      <w:pPr>
        <w:keepNext/>
        <w:keepLines/>
        <w:outlineLvl w:val="1"/>
        <w:rPr>
          <w:b/>
          <w:bCs/>
          <w:i/>
          <w:sz w:val="20"/>
          <w:szCs w:val="20"/>
          <w:lang w:val="es-ES" w:eastAsia="en-US"/>
        </w:rPr>
      </w:pPr>
    </w:p>
    <w:p w14:paraId="221B16C8" w14:textId="0BBA3A08" w:rsidR="00121AA0" w:rsidRPr="006B2A4D" w:rsidRDefault="00121AA0" w:rsidP="00121AA0">
      <w:pPr>
        <w:widowControl w:val="0"/>
        <w:numPr>
          <w:ilvl w:val="0"/>
          <w:numId w:val="2"/>
        </w:numPr>
        <w:tabs>
          <w:tab w:val="left" w:pos="567"/>
          <w:tab w:val="num" w:pos="1569"/>
          <w:tab w:val="num" w:pos="12305"/>
        </w:tabs>
        <w:adjustRightInd w:val="0"/>
        <w:ind w:left="0" w:firstLine="0"/>
        <w:textAlignment w:val="baseline"/>
        <w:rPr>
          <w:rFonts w:ascii="Mangal" w:eastAsia="Calibri" w:hAnsi="Mangal" w:cs="Mangal"/>
          <w:sz w:val="20"/>
          <w:szCs w:val="20"/>
          <w:lang w:val="es-ES" w:eastAsia="es-ES"/>
        </w:rPr>
      </w:pPr>
      <w:r w:rsidRPr="006B2A4D">
        <w:rPr>
          <w:rFonts w:eastAsia="Calibri"/>
          <w:sz w:val="20"/>
          <w:szCs w:val="20"/>
          <w:lang w:val="es-ES" w:eastAsia="es-ES"/>
        </w:rPr>
        <w:t xml:space="preserve">La </w:t>
      </w:r>
      <w:r w:rsidRPr="006B2A4D">
        <w:rPr>
          <w:rFonts w:eastAsia="Calibri"/>
          <w:b/>
          <w:i/>
          <w:sz w:val="20"/>
          <w:szCs w:val="20"/>
          <w:lang w:val="es-ES" w:eastAsia="es-ES"/>
        </w:rPr>
        <w:t>Comisión</w:t>
      </w:r>
      <w:r w:rsidRPr="006B2A4D">
        <w:rPr>
          <w:rFonts w:eastAsia="Calibri"/>
          <w:sz w:val="20"/>
          <w:szCs w:val="20"/>
          <w:lang w:val="es-ES" w:eastAsia="es-ES"/>
        </w:rPr>
        <w:t xml:space="preserve"> solicitó que el Estado realice una investigación “completa y efectiva” de modo que se esclarezca lo sucedido y, de resultar necesario, “se impongan la sanciones correspondientes”. En este sentido, la Comisión declaró que el Estado debe continuar la investigación que fue reabierta en el 2008 o iniciar una nueva investigación tal que pueda superar los obstáculos que impidieron “la obtención de justicia” en la primera. La Comisión reiteró la importancia de reparaciones en relación a la necesidad de esclarecimiento efectivo y completo de las acciones u omisiones que causaron responsabilidad internacional al Estado, incluyendo aspectos de carácter estructural en relación a la atención médica recibida por el señor Poblete Vilches</w:t>
      </w:r>
      <w:r w:rsidR="00AB34B8">
        <w:rPr>
          <w:rFonts w:eastAsia="Calibri"/>
          <w:sz w:val="20"/>
          <w:szCs w:val="20"/>
          <w:lang w:val="es-ES" w:eastAsia="es-ES"/>
        </w:rPr>
        <w:t>.</w:t>
      </w:r>
    </w:p>
    <w:p w14:paraId="0445B467" w14:textId="77777777" w:rsidR="00121AA0" w:rsidRPr="006B2A4D" w:rsidRDefault="00121AA0" w:rsidP="00121AA0">
      <w:pPr>
        <w:widowControl w:val="0"/>
        <w:tabs>
          <w:tab w:val="left" w:pos="567"/>
          <w:tab w:val="num" w:pos="12305"/>
        </w:tabs>
        <w:adjustRightInd w:val="0"/>
        <w:textAlignment w:val="baseline"/>
        <w:rPr>
          <w:rFonts w:eastAsia="Calibri" w:cs="Mangal"/>
          <w:sz w:val="20"/>
          <w:szCs w:val="20"/>
          <w:lang w:val="es-ES" w:eastAsia="es-ES"/>
        </w:rPr>
      </w:pPr>
    </w:p>
    <w:p w14:paraId="01267A4F" w14:textId="6543CEC4" w:rsidR="00121AA0" w:rsidRDefault="00121AA0" w:rsidP="00121AA0">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Las </w:t>
      </w:r>
      <w:r w:rsidRPr="006B2A4D">
        <w:rPr>
          <w:rFonts w:eastAsia="Calibri"/>
          <w:b/>
          <w:i/>
          <w:sz w:val="20"/>
          <w:szCs w:val="20"/>
          <w:lang w:val="es-ES" w:eastAsia="es-ES"/>
        </w:rPr>
        <w:t>representantes</w:t>
      </w:r>
      <w:r w:rsidRPr="006B2A4D">
        <w:rPr>
          <w:rFonts w:eastAsia="Calibri"/>
          <w:sz w:val="20"/>
          <w:szCs w:val="20"/>
          <w:lang w:val="es-ES" w:eastAsia="es-ES"/>
        </w:rPr>
        <w:t xml:space="preserve"> también solicitaron que se ordene que el Estado reabra la investigación penal y que dé las instrucciones relevantes administrativas para determinar las causas y responsabilidades en el caso</w:t>
      </w:r>
      <w:r w:rsidR="00AB34B8">
        <w:rPr>
          <w:rFonts w:eastAsia="Calibri"/>
          <w:sz w:val="20"/>
          <w:szCs w:val="20"/>
          <w:lang w:val="es-ES" w:eastAsia="es-ES"/>
        </w:rPr>
        <w:t>.</w:t>
      </w:r>
    </w:p>
    <w:p w14:paraId="3C2EE697" w14:textId="77777777" w:rsidR="00121AA0" w:rsidRPr="006B2A4D" w:rsidRDefault="00121AA0" w:rsidP="00121AA0">
      <w:pPr>
        <w:widowControl w:val="0"/>
        <w:tabs>
          <w:tab w:val="left" w:pos="567"/>
          <w:tab w:val="num" w:pos="12305"/>
        </w:tabs>
        <w:adjustRightInd w:val="0"/>
        <w:textAlignment w:val="baseline"/>
        <w:rPr>
          <w:rFonts w:eastAsia="Calibri"/>
          <w:sz w:val="20"/>
          <w:szCs w:val="20"/>
          <w:lang w:val="es-ES" w:eastAsia="es-ES"/>
        </w:rPr>
      </w:pPr>
    </w:p>
    <w:p w14:paraId="6E510A0B" w14:textId="2795EFC7" w:rsidR="00121AA0" w:rsidRPr="006B2A4D" w:rsidRDefault="00121AA0" w:rsidP="00121AA0">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El </w:t>
      </w:r>
      <w:r w:rsidRPr="006B2A4D">
        <w:rPr>
          <w:rFonts w:eastAsia="Calibri"/>
          <w:b/>
          <w:i/>
          <w:sz w:val="20"/>
          <w:szCs w:val="20"/>
          <w:lang w:val="es-ES" w:eastAsia="es-ES"/>
        </w:rPr>
        <w:t>Estado</w:t>
      </w:r>
      <w:r w:rsidRPr="006B2A4D">
        <w:rPr>
          <w:rFonts w:eastAsia="Calibri"/>
          <w:sz w:val="20"/>
          <w:szCs w:val="20"/>
          <w:lang w:val="es-ES" w:eastAsia="es-ES"/>
        </w:rPr>
        <w:t xml:space="preserve"> hizo referencia a una serie de diligencias solicitadas por los querellantes, las cuales fueron concedidas tanto durante la primera querella, como durante la segunda. En sus alegatos finales, en respuesta a la pregunta realizada por la Corte respecto a la posible prescripción de la acción penal; el Estado se refirió a la legislación interna penal, la cual establece para el instituto de la prescripción diferentes plazos según el tipo de delito, llegando a la conclusión de que el plazo de prescripción de la acción penal, en este caso es de 5 años. Respecto al cómputo del plazo, refirió que el mismo comienza a correr desde el día que se hubiere cometido el delito. Agregó que si bien, se produce la suspensión de la prescripción desde el momento que el procedimiento se dirige en contra del delincuente, en junio de 2008 se paralizó el procedimiento penal y como consecuencia el cómputo de la prescripción opera como si nunca se hubiese suspendido. </w:t>
      </w:r>
    </w:p>
    <w:p w14:paraId="35FB2F79" w14:textId="77777777" w:rsidR="00121AA0" w:rsidRPr="006B2A4D" w:rsidRDefault="00121AA0" w:rsidP="00121AA0">
      <w:pPr>
        <w:widowControl w:val="0"/>
        <w:tabs>
          <w:tab w:val="left" w:pos="567"/>
          <w:tab w:val="num" w:pos="12305"/>
        </w:tabs>
        <w:adjustRightInd w:val="0"/>
        <w:textAlignment w:val="baseline"/>
        <w:rPr>
          <w:rFonts w:eastAsia="Calibri"/>
          <w:sz w:val="20"/>
          <w:szCs w:val="20"/>
          <w:lang w:val="es-ES" w:eastAsia="es-ES"/>
        </w:rPr>
      </w:pPr>
    </w:p>
    <w:p w14:paraId="005908F5" w14:textId="77777777" w:rsidR="00121AA0" w:rsidRDefault="00121AA0" w:rsidP="005430FF">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La Corte</w:t>
      </w:r>
      <w:r w:rsidRPr="006B2A4D">
        <w:rPr>
          <w:rFonts w:eastAsia="Calibri"/>
          <w:b/>
          <w:i/>
          <w:sz w:val="20"/>
          <w:szCs w:val="20"/>
          <w:lang w:val="es-ES" w:eastAsia="es-ES"/>
        </w:rPr>
        <w:t xml:space="preserve"> </w:t>
      </w:r>
      <w:r w:rsidRPr="006B2A4D">
        <w:rPr>
          <w:rFonts w:eastAsia="Calibri"/>
          <w:sz w:val="20"/>
          <w:szCs w:val="20"/>
          <w:lang w:val="es-ES" w:eastAsia="es-ES"/>
        </w:rPr>
        <w:t xml:space="preserve">en su jurisprudencia ha señalado que la prescripción en materia penal determina la extinción de la pretensión punitiva por el transcurso del tiempo y que, generalmente, limita el poder punitivo del Estado para perseguir la conducta ilícita y sancionar a sus autores. En vista de lo anterior, </w:t>
      </w:r>
      <w:r>
        <w:rPr>
          <w:rFonts w:eastAsia="Calibri"/>
          <w:sz w:val="20"/>
          <w:szCs w:val="20"/>
          <w:lang w:val="es-ES" w:eastAsia="es-ES"/>
        </w:rPr>
        <w:t xml:space="preserve">y siendo que los hechos del caso están prescritos de conformidad con la legislación chilena, </w:t>
      </w:r>
      <w:r w:rsidR="00840E52">
        <w:rPr>
          <w:rFonts w:eastAsia="Calibri"/>
          <w:sz w:val="20"/>
          <w:szCs w:val="20"/>
          <w:lang w:val="es-ES" w:eastAsia="es-ES"/>
        </w:rPr>
        <w:t>la Corte estima que,</w:t>
      </w:r>
      <w:r w:rsidRPr="006B2A4D">
        <w:rPr>
          <w:rFonts w:eastAsia="Calibri"/>
          <w:sz w:val="20"/>
          <w:szCs w:val="20"/>
          <w:lang w:val="es-ES" w:eastAsia="es-ES"/>
        </w:rPr>
        <w:t xml:space="preserve"> </w:t>
      </w:r>
      <w:r>
        <w:rPr>
          <w:rFonts w:eastAsia="Calibri"/>
          <w:sz w:val="20"/>
          <w:szCs w:val="20"/>
          <w:lang w:val="es-ES" w:eastAsia="es-ES"/>
        </w:rPr>
        <w:t xml:space="preserve">tomando en cuenta </w:t>
      </w:r>
      <w:r w:rsidRPr="006B2A4D">
        <w:rPr>
          <w:rFonts w:eastAsia="Calibri"/>
          <w:sz w:val="20"/>
          <w:szCs w:val="20"/>
          <w:lang w:val="es-ES" w:eastAsia="es-ES"/>
        </w:rPr>
        <w:t>el tipo de violación acreditada</w:t>
      </w:r>
      <w:r w:rsidRPr="006B2A4D">
        <w:rPr>
          <w:rFonts w:eastAsia="Calibri"/>
          <w:sz w:val="20"/>
          <w:szCs w:val="20"/>
          <w:vertAlign w:val="superscript"/>
          <w:lang w:val="es-ES" w:eastAsia="es-ES"/>
        </w:rPr>
        <w:footnoteReference w:id="308"/>
      </w:r>
      <w:r w:rsidRPr="006B2A4D">
        <w:rPr>
          <w:rFonts w:eastAsia="Calibri"/>
          <w:sz w:val="20"/>
          <w:szCs w:val="20"/>
          <w:lang w:val="es-ES" w:eastAsia="es-ES"/>
        </w:rPr>
        <w:t>, no resulta procedente en el presente caso ordenar al Estado una reapertura de las investigaciones penales sobre hechos relacionados con el fallecimiento del señor Vinicio Antonio Poblete Vilches en febrero del año 2001.</w:t>
      </w:r>
      <w:r>
        <w:rPr>
          <w:rFonts w:eastAsia="Calibri"/>
          <w:sz w:val="20"/>
          <w:szCs w:val="20"/>
          <w:lang w:val="es-ES" w:eastAsia="es-ES"/>
        </w:rPr>
        <w:t xml:space="preserve"> </w:t>
      </w:r>
    </w:p>
    <w:p w14:paraId="72B943DE" w14:textId="77777777" w:rsidR="00121AA0" w:rsidRDefault="00121AA0" w:rsidP="005430FF">
      <w:pPr>
        <w:widowControl w:val="0"/>
        <w:tabs>
          <w:tab w:val="left" w:pos="567"/>
        </w:tabs>
        <w:adjustRightInd w:val="0"/>
        <w:textAlignment w:val="baseline"/>
        <w:rPr>
          <w:rFonts w:eastAsia="Calibri"/>
          <w:sz w:val="20"/>
          <w:szCs w:val="20"/>
          <w:lang w:val="es-ES" w:eastAsia="es-ES"/>
        </w:rPr>
      </w:pPr>
    </w:p>
    <w:p w14:paraId="486D8393" w14:textId="77777777" w:rsidR="00121AA0" w:rsidRPr="00121AA0" w:rsidRDefault="00121AA0" w:rsidP="005430FF">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Pr>
          <w:rFonts w:eastAsia="Calibri"/>
          <w:sz w:val="20"/>
          <w:szCs w:val="20"/>
          <w:lang w:val="es-ES" w:eastAsia="es-ES"/>
        </w:rPr>
        <w:t xml:space="preserve">Sin perjuicio de lo anterior, la Corte dispondrá de otras medidas para satisfacer los derechos vulnerados. </w:t>
      </w:r>
    </w:p>
    <w:p w14:paraId="2C5D8415" w14:textId="77777777" w:rsidR="00121AA0" w:rsidRPr="006B2A4D" w:rsidRDefault="00121AA0" w:rsidP="006B2A4D">
      <w:pPr>
        <w:widowControl w:val="0"/>
        <w:tabs>
          <w:tab w:val="left" w:pos="567"/>
          <w:tab w:val="num" w:pos="12305"/>
        </w:tabs>
        <w:adjustRightInd w:val="0"/>
        <w:textAlignment w:val="baseline"/>
        <w:rPr>
          <w:rFonts w:eastAsia="Calibri"/>
          <w:sz w:val="20"/>
          <w:szCs w:val="20"/>
          <w:lang w:val="es-ES" w:eastAsia="es-ES"/>
        </w:rPr>
      </w:pPr>
    </w:p>
    <w:p w14:paraId="1AA0DFC4" w14:textId="4D8CA070" w:rsidR="006B2A4D" w:rsidRPr="00AD229D" w:rsidRDefault="006B2A4D" w:rsidP="002726E0">
      <w:pPr>
        <w:pStyle w:val="Heading2"/>
        <w:numPr>
          <w:ilvl w:val="0"/>
          <w:numId w:val="13"/>
        </w:numPr>
      </w:pPr>
      <w:bookmarkStart w:id="123" w:name="_Toc494271564"/>
      <w:bookmarkStart w:id="124" w:name="_Toc513644492"/>
      <w:r w:rsidRPr="00AD229D">
        <w:lastRenderedPageBreak/>
        <w:t>Satisfacción</w:t>
      </w:r>
      <w:bookmarkEnd w:id="123"/>
      <w:bookmarkEnd w:id="124"/>
    </w:p>
    <w:p w14:paraId="28B51648" w14:textId="77777777" w:rsidR="006B2A4D" w:rsidRPr="006B2A4D" w:rsidRDefault="006B2A4D" w:rsidP="006B2A4D">
      <w:pPr>
        <w:keepNext/>
        <w:keepLines/>
        <w:tabs>
          <w:tab w:val="left" w:pos="720"/>
        </w:tabs>
        <w:outlineLvl w:val="1"/>
        <w:rPr>
          <w:b/>
          <w:bCs/>
          <w:i/>
          <w:sz w:val="20"/>
          <w:szCs w:val="20"/>
          <w:lang w:val="es-ES" w:eastAsia="en-US"/>
        </w:rPr>
      </w:pPr>
    </w:p>
    <w:p w14:paraId="462484D9" w14:textId="369880C4" w:rsidR="006B2A4D" w:rsidRDefault="006B2A4D" w:rsidP="006B2A4D">
      <w:pPr>
        <w:numPr>
          <w:ilvl w:val="0"/>
          <w:numId w:val="2"/>
        </w:numPr>
        <w:tabs>
          <w:tab w:val="left" w:pos="567"/>
          <w:tab w:val="num" w:pos="1569"/>
          <w:tab w:val="num" w:pos="12305"/>
        </w:tabs>
        <w:ind w:left="0" w:firstLine="0"/>
        <w:rPr>
          <w:rFonts w:eastAsia="Calibri"/>
          <w:sz w:val="20"/>
          <w:szCs w:val="20"/>
          <w:lang w:val="es-ES" w:eastAsia="es-ES"/>
        </w:rPr>
      </w:pPr>
      <w:r w:rsidRPr="006B2A4D">
        <w:rPr>
          <w:rFonts w:eastAsia="Calibri"/>
          <w:sz w:val="20"/>
          <w:szCs w:val="20"/>
          <w:lang w:val="es-ES" w:eastAsia="es-ES"/>
        </w:rPr>
        <w:t xml:space="preserve">La </w:t>
      </w:r>
      <w:r w:rsidRPr="006B2A4D">
        <w:rPr>
          <w:rFonts w:eastAsia="Calibri"/>
          <w:b/>
          <w:i/>
          <w:sz w:val="20"/>
          <w:szCs w:val="20"/>
          <w:lang w:val="es-ES" w:eastAsia="es-ES"/>
        </w:rPr>
        <w:t>Comisión</w:t>
      </w:r>
      <w:r w:rsidRPr="006B2A4D">
        <w:rPr>
          <w:rFonts w:eastAsia="Calibri"/>
          <w:sz w:val="20"/>
          <w:szCs w:val="20"/>
          <w:lang w:val="es-ES" w:eastAsia="es-ES"/>
        </w:rPr>
        <w:t xml:space="preserve"> solicitó que, además de la reparación integral por daños materiales y morales, se incorporen “medidas de satisfacción moral”</w:t>
      </w:r>
      <w:r w:rsidR="00AB34B8">
        <w:rPr>
          <w:rFonts w:eastAsia="Calibri"/>
          <w:sz w:val="20"/>
          <w:szCs w:val="20"/>
          <w:lang w:val="es-ES" w:eastAsia="es-ES"/>
        </w:rPr>
        <w:t>.</w:t>
      </w:r>
    </w:p>
    <w:p w14:paraId="0209579F" w14:textId="77777777" w:rsidR="006B2A4D" w:rsidRPr="006B2A4D" w:rsidRDefault="006B2A4D" w:rsidP="006B2A4D">
      <w:pPr>
        <w:widowControl w:val="0"/>
        <w:tabs>
          <w:tab w:val="left" w:pos="567"/>
          <w:tab w:val="num" w:pos="12305"/>
        </w:tabs>
        <w:adjustRightInd w:val="0"/>
        <w:textAlignment w:val="baseline"/>
        <w:rPr>
          <w:rFonts w:eastAsia="Calibri"/>
          <w:sz w:val="20"/>
          <w:szCs w:val="20"/>
          <w:lang w:val="es-ES" w:eastAsia="es-ES"/>
        </w:rPr>
      </w:pPr>
    </w:p>
    <w:p w14:paraId="3B73199F" w14:textId="6F1CB335"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bookmarkStart w:id="125" w:name="_Toc472528612"/>
      <w:r w:rsidRPr="006B2A4D">
        <w:rPr>
          <w:rFonts w:eastAsia="Calibri"/>
          <w:sz w:val="20"/>
          <w:szCs w:val="20"/>
          <w:lang w:val="es-ES" w:eastAsia="es-ES"/>
        </w:rPr>
        <w:t xml:space="preserve">Las </w:t>
      </w:r>
      <w:r w:rsidRPr="006B2A4D">
        <w:rPr>
          <w:rFonts w:eastAsia="Calibri"/>
          <w:b/>
          <w:i/>
          <w:sz w:val="20"/>
          <w:szCs w:val="20"/>
          <w:lang w:val="es-ES" w:eastAsia="es-ES"/>
        </w:rPr>
        <w:t>representantes</w:t>
      </w:r>
      <w:r w:rsidRPr="006B2A4D">
        <w:rPr>
          <w:rFonts w:eastAsia="Calibri"/>
          <w:sz w:val="20"/>
          <w:szCs w:val="20"/>
          <w:lang w:val="es-ES" w:eastAsia="es-ES"/>
        </w:rPr>
        <w:t xml:space="preserve"> </w:t>
      </w:r>
      <w:bookmarkEnd w:id="125"/>
      <w:r w:rsidRPr="006B2A4D">
        <w:rPr>
          <w:rFonts w:eastAsia="Calibri"/>
          <w:sz w:val="20"/>
          <w:szCs w:val="20"/>
          <w:lang w:val="es-ES" w:eastAsia="es-ES"/>
        </w:rPr>
        <w:t>solicitaron que se publique la sentencia íntegra “en tres diarios de gran circulación del país” y en el Registro Oficial de Chile tal como “la elaboración y publicación de un folleto” que resuma la sentencia</w:t>
      </w:r>
      <w:r w:rsidR="00AB34B8">
        <w:rPr>
          <w:rFonts w:eastAsia="Calibri"/>
          <w:sz w:val="20"/>
          <w:szCs w:val="20"/>
          <w:lang w:val="es-ES" w:eastAsia="es-ES"/>
        </w:rPr>
        <w:t>.</w:t>
      </w:r>
    </w:p>
    <w:p w14:paraId="49AABEB5" w14:textId="77777777" w:rsidR="006B2A4D" w:rsidRPr="006B2A4D" w:rsidRDefault="006B2A4D" w:rsidP="006B2A4D">
      <w:pPr>
        <w:rPr>
          <w:rFonts w:eastAsia="Calibri"/>
          <w:sz w:val="20"/>
          <w:szCs w:val="20"/>
          <w:lang w:val="es-ES" w:eastAsia="es-ES"/>
        </w:rPr>
      </w:pPr>
    </w:p>
    <w:p w14:paraId="3662FD59" w14:textId="603253A3"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Las representantes además solicitaron que la Corte ordene al Estado que realice una ceremonia pública “de desagravio con reconocimiento de responsabilidad internacional y disculpas públicas” a través del Ministerio de Justicia chileno y el Ministerio de la Salud. Respecto a dicha ceremonia, las representantes indicaron que autoridades locales y el director del Hospital </w:t>
      </w:r>
      <w:proofErr w:type="spellStart"/>
      <w:r w:rsidRPr="006B2A4D">
        <w:rPr>
          <w:rFonts w:eastAsia="Calibri"/>
          <w:sz w:val="20"/>
          <w:szCs w:val="20"/>
          <w:lang w:val="es-ES" w:eastAsia="es-ES"/>
        </w:rPr>
        <w:t>Sótero</w:t>
      </w:r>
      <w:proofErr w:type="spellEnd"/>
      <w:r w:rsidRPr="006B2A4D">
        <w:rPr>
          <w:rFonts w:eastAsia="Calibri"/>
          <w:sz w:val="20"/>
          <w:szCs w:val="20"/>
          <w:lang w:val="es-ES" w:eastAsia="es-ES"/>
        </w:rPr>
        <w:t xml:space="preserve"> del Río deben participar y que se deben convocar </w:t>
      </w:r>
      <w:r w:rsidR="009E543A" w:rsidRPr="00B1523A">
        <w:rPr>
          <w:rFonts w:eastAsia="Calibri"/>
          <w:sz w:val="20"/>
          <w:szCs w:val="20"/>
          <w:lang w:val="es-ES" w:eastAsia="es-ES"/>
        </w:rPr>
        <w:t>a</w:t>
      </w:r>
      <w:r w:rsidR="009E543A">
        <w:rPr>
          <w:rFonts w:eastAsia="Calibri"/>
          <w:sz w:val="20"/>
          <w:szCs w:val="20"/>
          <w:lang w:val="es-ES" w:eastAsia="es-ES"/>
        </w:rPr>
        <w:t xml:space="preserve"> </w:t>
      </w:r>
      <w:r w:rsidRPr="006B2A4D">
        <w:rPr>
          <w:rFonts w:eastAsia="Calibri"/>
          <w:sz w:val="20"/>
          <w:szCs w:val="20"/>
          <w:lang w:val="es-ES" w:eastAsia="es-ES"/>
        </w:rPr>
        <w:t xml:space="preserve">los medios de comunicación “a nivel nacional para su difusión”. Por otra parte, solicitaron que el Estado envíe una carta oficial al señor Vinicio Poblete Tapia y la señora </w:t>
      </w:r>
      <w:proofErr w:type="spellStart"/>
      <w:r w:rsidRPr="006B2A4D">
        <w:rPr>
          <w:rFonts w:eastAsia="Calibri"/>
          <w:sz w:val="20"/>
          <w:szCs w:val="20"/>
          <w:lang w:val="es-ES" w:eastAsia="es-ES"/>
        </w:rPr>
        <w:t>Cesia</w:t>
      </w:r>
      <w:proofErr w:type="spellEnd"/>
      <w:r w:rsidRPr="006B2A4D">
        <w:rPr>
          <w:rFonts w:eastAsia="Calibri"/>
          <w:sz w:val="20"/>
          <w:szCs w:val="20"/>
          <w:lang w:val="es-ES" w:eastAsia="es-ES"/>
        </w:rPr>
        <w:t xml:space="preserve"> Poblete Tapia donde reconozca las violaciones a sus derechos y pida disculpas por las mismas</w:t>
      </w:r>
      <w:r w:rsidR="00AB34B8">
        <w:rPr>
          <w:rFonts w:eastAsia="Calibri"/>
          <w:sz w:val="20"/>
          <w:szCs w:val="20"/>
          <w:lang w:val="es-ES" w:eastAsia="es-ES"/>
        </w:rPr>
        <w:t>.</w:t>
      </w:r>
    </w:p>
    <w:p w14:paraId="0E9DFFC6" w14:textId="77777777" w:rsidR="006B2A4D" w:rsidRPr="006B2A4D" w:rsidRDefault="006B2A4D" w:rsidP="006B2A4D">
      <w:pPr>
        <w:rPr>
          <w:rFonts w:eastAsia="Calibri"/>
          <w:sz w:val="20"/>
          <w:szCs w:val="20"/>
          <w:lang w:val="es-ES" w:eastAsia="es-ES"/>
        </w:rPr>
      </w:pPr>
    </w:p>
    <w:p w14:paraId="5E6A0A7F" w14:textId="2054AE10"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Por último, las representantes solicitaron que el Estado, tal como la Corte lo ordenó en el </w:t>
      </w:r>
      <w:r w:rsidRPr="006B2A4D">
        <w:rPr>
          <w:rFonts w:eastAsia="Calibri"/>
          <w:i/>
          <w:sz w:val="20"/>
          <w:szCs w:val="20"/>
          <w:lang w:val="es-ES" w:eastAsia="es-ES"/>
        </w:rPr>
        <w:t>Caso Ruano Torres y otros Vs. El Salvador</w:t>
      </w:r>
      <w:r w:rsidRPr="006B2A4D">
        <w:rPr>
          <w:rFonts w:eastAsia="Calibri"/>
          <w:sz w:val="20"/>
          <w:szCs w:val="20"/>
          <w:lang w:val="es-ES" w:eastAsia="es-ES"/>
        </w:rPr>
        <w:t>, “coloque una placa en un lugar visible de la sede de la Unidad de Defensoría Pública […] dentro del año siguiente a la notificación de la […] Sentencia”</w:t>
      </w:r>
      <w:r w:rsidRPr="006B2A4D">
        <w:rPr>
          <w:rFonts w:eastAsia="Calibri"/>
          <w:sz w:val="20"/>
          <w:szCs w:val="20"/>
          <w:vertAlign w:val="superscript"/>
          <w:lang w:val="es-ES" w:eastAsia="es-ES"/>
        </w:rPr>
        <w:footnoteReference w:id="309"/>
      </w:r>
      <w:r w:rsidRPr="006B2A4D">
        <w:rPr>
          <w:rFonts w:eastAsia="Calibri"/>
          <w:sz w:val="20"/>
          <w:szCs w:val="20"/>
          <w:lang w:val="es-ES" w:eastAsia="es-ES"/>
        </w:rPr>
        <w:t xml:space="preserve"> y una placa conmemorativa por el señor Poblete Vilches en un lugar a definir, “preferentemente próximo al Hospital”, cuyo contenido debe ser acordado con las presuntas víctimas y el Estado. </w:t>
      </w:r>
    </w:p>
    <w:p w14:paraId="2521937D" w14:textId="77777777" w:rsidR="006B2A4D" w:rsidRPr="006B2A4D" w:rsidRDefault="006B2A4D" w:rsidP="006B2A4D">
      <w:pPr>
        <w:rPr>
          <w:rFonts w:eastAsia="Calibri"/>
          <w:sz w:val="20"/>
          <w:szCs w:val="20"/>
          <w:lang w:val="es-ES" w:eastAsia="es-ES"/>
        </w:rPr>
      </w:pPr>
    </w:p>
    <w:p w14:paraId="1423E4BA" w14:textId="77777777"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El </w:t>
      </w:r>
      <w:r w:rsidRPr="006B2A4D">
        <w:rPr>
          <w:rFonts w:eastAsia="Calibri"/>
          <w:b/>
          <w:i/>
          <w:sz w:val="20"/>
          <w:szCs w:val="20"/>
          <w:lang w:val="es-ES" w:eastAsia="es-ES"/>
        </w:rPr>
        <w:t>Estado</w:t>
      </w:r>
      <w:r w:rsidRPr="006B2A4D">
        <w:rPr>
          <w:rFonts w:eastAsia="Calibri"/>
          <w:sz w:val="20"/>
          <w:szCs w:val="20"/>
          <w:lang w:val="es-ES" w:eastAsia="es-ES"/>
        </w:rPr>
        <w:t xml:space="preserve"> no se pronunció al respecto. </w:t>
      </w:r>
    </w:p>
    <w:p w14:paraId="492C6A76" w14:textId="77777777" w:rsidR="004A0BDC" w:rsidRDefault="004A0BDC" w:rsidP="00531D45">
      <w:pPr>
        <w:ind w:left="1416"/>
        <w:rPr>
          <w:rFonts w:eastAsia="Calibri"/>
          <w:sz w:val="20"/>
          <w:szCs w:val="20"/>
          <w:lang w:val="es-ES" w:eastAsia="es-ES"/>
        </w:rPr>
      </w:pPr>
    </w:p>
    <w:p w14:paraId="400A5D88" w14:textId="6848BAA0" w:rsidR="006B2A4D" w:rsidRPr="00531D45" w:rsidRDefault="004A0BDC" w:rsidP="00531D45">
      <w:pPr>
        <w:ind w:left="1416"/>
        <w:rPr>
          <w:rFonts w:eastAsia="Calibri"/>
          <w:i/>
          <w:sz w:val="20"/>
          <w:szCs w:val="20"/>
          <w:lang w:val="es-ES" w:eastAsia="es-ES"/>
        </w:rPr>
      </w:pPr>
      <w:r w:rsidRPr="00531D45">
        <w:rPr>
          <w:rFonts w:eastAsia="Calibri"/>
          <w:i/>
          <w:sz w:val="20"/>
          <w:szCs w:val="20"/>
          <w:lang w:val="es-ES" w:eastAsia="es-ES"/>
        </w:rPr>
        <w:t>i) Publicación de la Sentencia</w:t>
      </w:r>
    </w:p>
    <w:p w14:paraId="3C80653D" w14:textId="77777777" w:rsidR="004A0BDC" w:rsidRPr="006B2A4D" w:rsidRDefault="004A0BDC" w:rsidP="00531D45">
      <w:pPr>
        <w:ind w:left="1416"/>
        <w:rPr>
          <w:rFonts w:eastAsia="Calibri"/>
          <w:sz w:val="20"/>
          <w:szCs w:val="20"/>
          <w:lang w:val="es-ES" w:eastAsia="es-ES"/>
        </w:rPr>
      </w:pPr>
    </w:p>
    <w:p w14:paraId="164F5522" w14:textId="26848A20" w:rsidR="005F2639" w:rsidRPr="00803896" w:rsidRDefault="006B2A4D" w:rsidP="00B1523A">
      <w:pPr>
        <w:widowControl w:val="0"/>
        <w:numPr>
          <w:ilvl w:val="0"/>
          <w:numId w:val="2"/>
        </w:numPr>
        <w:tabs>
          <w:tab w:val="left" w:pos="567"/>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val="es-ES" w:eastAsia="es-ES"/>
        </w:rPr>
        <w:t>La Corte estima, como lo ha dispuesto en otros casos</w:t>
      </w:r>
      <w:r w:rsidRPr="006B2A4D">
        <w:rPr>
          <w:rFonts w:eastAsia="Calibri"/>
          <w:sz w:val="20"/>
          <w:szCs w:val="20"/>
          <w:vertAlign w:val="superscript"/>
          <w:lang w:val="es-ES" w:eastAsia="es-ES"/>
        </w:rPr>
        <w:footnoteReference w:id="310"/>
      </w:r>
      <w:r w:rsidRPr="006B2A4D">
        <w:rPr>
          <w:rFonts w:eastAsia="Calibri"/>
          <w:sz w:val="20"/>
          <w:szCs w:val="20"/>
          <w:lang w:val="es-ES" w:eastAsia="es-ES"/>
        </w:rPr>
        <w:t xml:space="preserve">, que el Estado deberá publicar, en el plazo de seis meses, contado a partir de la notificación de la presente Sentencia: a) el resumen oficial de esta Sentencia elaborado por la Corte, por una sola vez, en el Diario Oficial en un tamaño de letra legible y adecuado; b) el resumen oficial de la Sentencia elaborado por la Corte, por una sola vez, en un diario de amplia circulación nacional en un tamaño de letra legible y adecuado, y c) la presente Sentencia en su integridad, disponible por un período de un año, en un sitio web oficial, de manera accesible al público y desde la página de inicio del sitio web. </w:t>
      </w:r>
      <w:r w:rsidR="005F2639" w:rsidRPr="005F2639">
        <w:rPr>
          <w:rFonts w:eastAsia="Calibri"/>
          <w:sz w:val="20"/>
          <w:szCs w:val="20"/>
          <w:lang w:eastAsia="es-ES"/>
        </w:rPr>
        <w:t>El Estado deberá informar de forma inmediata a esta Corte una vez que proceda a realizar cada una de las publicaciones dispuestas, independientemente del plazo de un año para presentar su primer informe dis</w:t>
      </w:r>
      <w:r w:rsidR="005F2639">
        <w:rPr>
          <w:rFonts w:eastAsia="Calibri"/>
          <w:sz w:val="20"/>
          <w:szCs w:val="20"/>
          <w:lang w:eastAsia="es-ES"/>
        </w:rPr>
        <w:t>puesto en el Punto Resolutivo 19</w:t>
      </w:r>
      <w:r w:rsidR="005F2639" w:rsidRPr="005F2639">
        <w:rPr>
          <w:rFonts w:eastAsia="Calibri"/>
          <w:sz w:val="20"/>
          <w:szCs w:val="20"/>
          <w:lang w:eastAsia="es-ES"/>
        </w:rPr>
        <w:t xml:space="preserve"> de la Sentencia.</w:t>
      </w:r>
    </w:p>
    <w:p w14:paraId="3518C92F" w14:textId="77777777" w:rsidR="006B2A4D" w:rsidRDefault="006B2A4D" w:rsidP="006B2A4D">
      <w:pPr>
        <w:rPr>
          <w:rFonts w:eastAsia="Calibri"/>
          <w:sz w:val="20"/>
          <w:szCs w:val="20"/>
          <w:lang w:val="es-ES" w:eastAsia="es-ES"/>
        </w:rPr>
      </w:pPr>
    </w:p>
    <w:p w14:paraId="1DD6B3E4" w14:textId="6B7EA0D8" w:rsidR="004A0BDC" w:rsidRPr="00AB34B8" w:rsidRDefault="004A0BDC" w:rsidP="00531D45">
      <w:pPr>
        <w:ind w:left="708" w:firstLine="708"/>
        <w:rPr>
          <w:rFonts w:eastAsia="Calibri"/>
          <w:i/>
          <w:sz w:val="20"/>
          <w:szCs w:val="20"/>
          <w:lang w:val="es-ES" w:eastAsia="es-ES"/>
        </w:rPr>
      </w:pPr>
      <w:r w:rsidRPr="00AB34B8">
        <w:rPr>
          <w:rFonts w:eastAsia="Calibri"/>
          <w:i/>
          <w:sz w:val="20"/>
          <w:szCs w:val="20"/>
          <w:lang w:val="es-ES" w:eastAsia="es-ES"/>
        </w:rPr>
        <w:t xml:space="preserve">ii) </w:t>
      </w:r>
      <w:r w:rsidR="00EC161E" w:rsidRPr="00B1523A">
        <w:rPr>
          <w:rFonts w:eastAsia="Calibri"/>
          <w:i/>
          <w:sz w:val="20"/>
          <w:szCs w:val="20"/>
          <w:lang w:val="es-ES" w:eastAsia="es-ES"/>
        </w:rPr>
        <w:t>Acto público de reconocimiento de responsabilidad</w:t>
      </w:r>
    </w:p>
    <w:p w14:paraId="25DC5995" w14:textId="77777777" w:rsidR="004A0BDC" w:rsidRPr="00225483" w:rsidRDefault="004A0BDC" w:rsidP="00531D45">
      <w:pPr>
        <w:ind w:left="708" w:firstLine="708"/>
        <w:rPr>
          <w:rFonts w:eastAsia="Calibri"/>
          <w:i/>
          <w:sz w:val="20"/>
          <w:szCs w:val="20"/>
          <w:lang w:val="es-ES" w:eastAsia="es-ES"/>
        </w:rPr>
      </w:pPr>
    </w:p>
    <w:p w14:paraId="12EAD516" w14:textId="359A4294" w:rsidR="006B2A4D" w:rsidRPr="00AB34B8" w:rsidRDefault="00EC161E" w:rsidP="006C0F76">
      <w:pPr>
        <w:widowControl w:val="0"/>
        <w:numPr>
          <w:ilvl w:val="0"/>
          <w:numId w:val="2"/>
        </w:numPr>
        <w:tabs>
          <w:tab w:val="left" w:pos="567"/>
          <w:tab w:val="num" w:pos="1569"/>
          <w:tab w:val="num" w:pos="12305"/>
        </w:tabs>
        <w:adjustRightInd w:val="0"/>
        <w:ind w:left="0" w:firstLine="0"/>
        <w:textAlignment w:val="baseline"/>
        <w:rPr>
          <w:rFonts w:eastAsia="Calibri"/>
          <w:sz w:val="20"/>
          <w:szCs w:val="20"/>
          <w:lang w:eastAsia="es-ES"/>
        </w:rPr>
      </w:pPr>
      <w:r w:rsidRPr="005F2639">
        <w:rPr>
          <w:rFonts w:eastAsia="Calibri"/>
          <w:sz w:val="20"/>
          <w:szCs w:val="20"/>
          <w:lang w:val="es-ES" w:eastAsia="es-ES"/>
        </w:rPr>
        <w:t>L</w:t>
      </w:r>
      <w:r w:rsidR="00512FDD" w:rsidRPr="005F2639">
        <w:rPr>
          <w:rFonts w:eastAsia="Calibri"/>
          <w:sz w:val="20"/>
          <w:szCs w:val="20"/>
          <w:lang w:val="es-ES" w:eastAsia="es-ES"/>
        </w:rPr>
        <w:t>a</w:t>
      </w:r>
      <w:r w:rsidR="00512FDD" w:rsidRPr="005F2639">
        <w:rPr>
          <w:rFonts w:eastAsia="Calibri"/>
          <w:sz w:val="20"/>
          <w:lang w:val="es-ES" w:eastAsia="es-ES"/>
        </w:rPr>
        <w:t xml:space="preserve"> Corte </w:t>
      </w:r>
      <w:r w:rsidR="006B2A4D" w:rsidRPr="005F2639">
        <w:rPr>
          <w:rFonts w:eastAsia="Calibri"/>
          <w:sz w:val="20"/>
          <w:lang w:val="es-ES" w:eastAsia="es-ES"/>
        </w:rPr>
        <w:t>dispone</w:t>
      </w:r>
      <w:r w:rsidR="00512FDD" w:rsidRPr="005F2639">
        <w:rPr>
          <w:rFonts w:eastAsia="Calibri"/>
          <w:sz w:val="20"/>
          <w:lang w:val="es-ES" w:eastAsia="es-ES"/>
        </w:rPr>
        <w:t>,</w:t>
      </w:r>
      <w:r w:rsidR="006B2A4D" w:rsidRPr="005F2639">
        <w:rPr>
          <w:rFonts w:eastAsia="Calibri"/>
          <w:sz w:val="20"/>
          <w:lang w:val="es-ES" w:eastAsia="es-ES"/>
        </w:rPr>
        <w:t xml:space="preserve"> </w:t>
      </w:r>
      <w:r w:rsidR="00512FDD" w:rsidRPr="005F2639">
        <w:rPr>
          <w:rFonts w:eastAsia="Calibri"/>
          <w:sz w:val="20"/>
          <w:lang w:val="es-ES" w:eastAsia="es-ES"/>
        </w:rPr>
        <w:t xml:space="preserve">como </w:t>
      </w:r>
      <w:r w:rsidR="006C0F76" w:rsidRPr="005F2639">
        <w:rPr>
          <w:rFonts w:eastAsia="Calibri"/>
          <w:sz w:val="20"/>
          <w:szCs w:val="20"/>
          <w:lang w:val="es-ES" w:eastAsia="es-ES"/>
        </w:rPr>
        <w:t xml:space="preserve">lo ha hecho </w:t>
      </w:r>
      <w:r w:rsidR="00512FDD" w:rsidRPr="005F2639">
        <w:rPr>
          <w:rFonts w:eastAsia="Calibri"/>
          <w:sz w:val="20"/>
          <w:lang w:val="es-ES" w:eastAsia="es-ES"/>
        </w:rPr>
        <w:t>en otros casos</w:t>
      </w:r>
      <w:r w:rsidR="00512FDD" w:rsidRPr="00AB34B8">
        <w:rPr>
          <w:rFonts w:eastAsia="Calibri"/>
          <w:sz w:val="20"/>
          <w:vertAlign w:val="superscript"/>
          <w:lang w:val="es-ES" w:eastAsia="es-ES"/>
        </w:rPr>
        <w:footnoteReference w:id="311"/>
      </w:r>
      <w:r w:rsidR="00512FDD" w:rsidRPr="00AB34B8">
        <w:rPr>
          <w:rFonts w:eastAsia="Calibri"/>
          <w:sz w:val="20"/>
          <w:lang w:val="es-ES" w:eastAsia="es-ES"/>
        </w:rPr>
        <w:t xml:space="preserve">, </w:t>
      </w:r>
      <w:r w:rsidR="006B2A4D" w:rsidRPr="00AB34B8">
        <w:rPr>
          <w:rFonts w:eastAsia="Calibri"/>
          <w:sz w:val="20"/>
          <w:lang w:val="es-ES" w:eastAsia="es-ES"/>
        </w:rPr>
        <w:t xml:space="preserve">que </w:t>
      </w:r>
      <w:r w:rsidR="006C0F76" w:rsidRPr="00B1523A">
        <w:rPr>
          <w:rFonts w:eastAsia="Calibri"/>
          <w:sz w:val="20"/>
          <w:szCs w:val="20"/>
          <w:lang w:eastAsia="es-ES"/>
        </w:rPr>
        <w:t xml:space="preserve">el Estado debe realizar un acto público de reconocimiento de responsabilidad internacional en Chile, en el cual deberá hacer referencia a las violaciones de derechos humanos declaradas en la presente Sentencia. Este acto deberá llevarse a cabo mediante una ceremonia pública en presencia de altos funcionarios del Estado, así como con la participación de las víctimas de este caso. El Estado deberá acordar </w:t>
      </w:r>
      <w:r w:rsidR="006C0F76" w:rsidRPr="00B1523A">
        <w:rPr>
          <w:rFonts w:eastAsia="Calibri"/>
          <w:sz w:val="20"/>
          <w:szCs w:val="20"/>
          <w:lang w:eastAsia="es-ES"/>
        </w:rPr>
        <w:lastRenderedPageBreak/>
        <w:t>con las víctimas o sus representantes la modalidad de cumplimiento del acto público de reconocimiento, así como las particularidades que se requieran, tales como el lugar y la fecha para su realización. Para ello, el Estado cuenta con el plazo de un año, contado a partir de la notificación de la presente Sentencia.</w:t>
      </w:r>
    </w:p>
    <w:p w14:paraId="6A8184CD" w14:textId="7160A6DE" w:rsidR="006B2A4D" w:rsidRPr="006B2A4D" w:rsidRDefault="006B2A4D" w:rsidP="006B2A4D">
      <w:pPr>
        <w:widowControl w:val="0"/>
        <w:tabs>
          <w:tab w:val="left" w:pos="567"/>
          <w:tab w:val="num" w:pos="12305"/>
        </w:tabs>
        <w:adjustRightInd w:val="0"/>
        <w:textAlignment w:val="baseline"/>
        <w:rPr>
          <w:rFonts w:eastAsia="Calibri"/>
          <w:b/>
          <w:sz w:val="20"/>
          <w:szCs w:val="20"/>
          <w:lang w:val="es-ES" w:eastAsia="es-ES"/>
        </w:rPr>
      </w:pPr>
    </w:p>
    <w:p w14:paraId="05D08C29" w14:textId="77777777" w:rsidR="006B2A4D" w:rsidRPr="00AD229D" w:rsidRDefault="006B2A4D" w:rsidP="002726E0">
      <w:pPr>
        <w:pStyle w:val="Heading2"/>
        <w:numPr>
          <w:ilvl w:val="0"/>
          <w:numId w:val="13"/>
        </w:numPr>
      </w:pPr>
      <w:bookmarkStart w:id="126" w:name="_Toc513644493"/>
      <w:r w:rsidRPr="00AD229D">
        <w:t>Rehabilitación</w:t>
      </w:r>
      <w:bookmarkEnd w:id="126"/>
    </w:p>
    <w:p w14:paraId="2C9DB2A6" w14:textId="77777777" w:rsidR="006B2A4D" w:rsidRPr="006B2A4D" w:rsidRDefault="006B2A4D" w:rsidP="006B2A4D">
      <w:pPr>
        <w:rPr>
          <w:rFonts w:eastAsia="Calibri"/>
          <w:b/>
          <w:i/>
          <w:sz w:val="20"/>
          <w:szCs w:val="20"/>
          <w:lang w:val="es-ES" w:eastAsia="es-ES"/>
        </w:rPr>
      </w:pPr>
    </w:p>
    <w:p w14:paraId="38DB5529" w14:textId="77777777" w:rsidR="006B2A4D" w:rsidRP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s-ES" w:eastAsia="es-ES"/>
        </w:rPr>
      </w:pPr>
      <w:r w:rsidRPr="006B2A4D">
        <w:rPr>
          <w:rFonts w:eastAsia="Calibri"/>
          <w:sz w:val="20"/>
          <w:szCs w:val="20"/>
          <w:lang w:val="es-ES" w:eastAsia="es-ES"/>
        </w:rPr>
        <w:t>La</w:t>
      </w:r>
      <w:r w:rsidRPr="006B2A4D">
        <w:rPr>
          <w:rFonts w:eastAsia="Calibri"/>
          <w:b/>
          <w:sz w:val="20"/>
          <w:szCs w:val="20"/>
          <w:lang w:val="es-ES" w:eastAsia="es-ES"/>
        </w:rPr>
        <w:t xml:space="preserve"> </w:t>
      </w:r>
      <w:r w:rsidRPr="006B2A4D">
        <w:rPr>
          <w:rFonts w:eastAsia="Calibri"/>
          <w:b/>
          <w:i/>
          <w:sz w:val="20"/>
          <w:szCs w:val="20"/>
          <w:lang w:val="es-ES" w:eastAsia="es-ES"/>
        </w:rPr>
        <w:t>Comisión</w:t>
      </w:r>
      <w:r w:rsidRPr="006B2A4D">
        <w:rPr>
          <w:rFonts w:eastAsia="Calibri"/>
          <w:b/>
          <w:sz w:val="20"/>
          <w:szCs w:val="20"/>
          <w:lang w:val="es-ES" w:eastAsia="es-ES"/>
        </w:rPr>
        <w:t xml:space="preserve"> </w:t>
      </w:r>
      <w:r w:rsidRPr="006B2A4D">
        <w:rPr>
          <w:rFonts w:eastAsia="Calibri"/>
          <w:sz w:val="20"/>
          <w:szCs w:val="20"/>
          <w:lang w:val="es-ES" w:eastAsia="es-ES"/>
        </w:rPr>
        <w:t>no se pronunció al respecto.</w:t>
      </w:r>
    </w:p>
    <w:p w14:paraId="515ECAFA" w14:textId="77777777" w:rsidR="006B2A4D" w:rsidRPr="006B2A4D" w:rsidRDefault="006B2A4D" w:rsidP="006B2A4D">
      <w:pPr>
        <w:widowControl w:val="0"/>
        <w:tabs>
          <w:tab w:val="left" w:pos="567"/>
          <w:tab w:val="num" w:pos="12305"/>
        </w:tabs>
        <w:adjustRightInd w:val="0"/>
        <w:textAlignment w:val="baseline"/>
        <w:rPr>
          <w:rFonts w:eastAsia="Calibri"/>
          <w:b/>
          <w:sz w:val="20"/>
          <w:szCs w:val="20"/>
          <w:lang w:val="es-ES" w:eastAsia="es-ES"/>
        </w:rPr>
      </w:pPr>
    </w:p>
    <w:p w14:paraId="3C9DC4CB" w14:textId="783B533D"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Las</w:t>
      </w:r>
      <w:r w:rsidRPr="006B2A4D">
        <w:rPr>
          <w:rFonts w:eastAsia="Calibri"/>
          <w:b/>
          <w:sz w:val="20"/>
          <w:szCs w:val="20"/>
          <w:lang w:val="es-ES" w:eastAsia="es-ES"/>
        </w:rPr>
        <w:t xml:space="preserve"> </w:t>
      </w:r>
      <w:r w:rsidRPr="006B2A4D">
        <w:rPr>
          <w:rFonts w:eastAsia="Calibri"/>
          <w:b/>
          <w:i/>
          <w:sz w:val="20"/>
          <w:szCs w:val="20"/>
          <w:lang w:val="es-ES" w:eastAsia="es-ES"/>
        </w:rPr>
        <w:t>representantes</w:t>
      </w:r>
      <w:r w:rsidRPr="006B2A4D">
        <w:rPr>
          <w:rFonts w:eastAsia="Calibri"/>
          <w:sz w:val="20"/>
          <w:szCs w:val="20"/>
          <w:lang w:val="es-ES" w:eastAsia="es-ES"/>
        </w:rPr>
        <w:t xml:space="preserve"> solicitaron que las presuntas víctimas en el presente caso reciban atención médica y psicológica. En este sentido, solicitaron que el Estado le proporcione a</w:t>
      </w:r>
      <w:r w:rsidR="00D72D2D">
        <w:rPr>
          <w:rFonts w:eastAsia="Calibri"/>
          <w:sz w:val="20"/>
          <w:szCs w:val="20"/>
          <w:lang w:val="es-ES" w:eastAsia="es-ES"/>
        </w:rPr>
        <w:t xml:space="preserve"> cada víctima un monto </w:t>
      </w:r>
      <w:r w:rsidR="00D72D2D" w:rsidRPr="005F2639">
        <w:rPr>
          <w:rFonts w:eastAsia="Calibri"/>
          <w:sz w:val="20"/>
          <w:szCs w:val="20"/>
          <w:lang w:val="es-ES" w:eastAsia="es-ES"/>
        </w:rPr>
        <w:t xml:space="preserve">de </w:t>
      </w:r>
      <w:r w:rsidR="00D72D2D" w:rsidRPr="00B1523A">
        <w:rPr>
          <w:rFonts w:eastAsia="Calibri"/>
          <w:sz w:val="20"/>
          <w:szCs w:val="20"/>
          <w:lang w:val="es-ES" w:eastAsia="es-ES"/>
        </w:rPr>
        <w:t>US$10,</w:t>
      </w:r>
      <w:r w:rsidRPr="00B1523A">
        <w:rPr>
          <w:rFonts w:eastAsia="Calibri"/>
          <w:sz w:val="20"/>
          <w:szCs w:val="20"/>
          <w:lang w:val="es-ES" w:eastAsia="es-ES"/>
        </w:rPr>
        <w:t>000</w:t>
      </w:r>
      <w:r w:rsidRPr="005F2639">
        <w:rPr>
          <w:rFonts w:eastAsia="Calibri"/>
          <w:sz w:val="20"/>
          <w:szCs w:val="20"/>
          <w:lang w:val="es-ES" w:eastAsia="es-ES"/>
        </w:rPr>
        <w:t xml:space="preserve"> por</w:t>
      </w:r>
      <w:r w:rsidRPr="006B2A4D">
        <w:rPr>
          <w:rFonts w:eastAsia="Calibri"/>
          <w:sz w:val="20"/>
          <w:szCs w:val="20"/>
          <w:lang w:val="es-ES" w:eastAsia="es-ES"/>
        </w:rPr>
        <w:t xml:space="preserve"> los gastos relacionados a dichos tratamientos médicos y psicológicos. </w:t>
      </w:r>
      <w:r w:rsidR="006656A6" w:rsidRPr="002A64C9">
        <w:rPr>
          <w:rFonts w:eastAsia="Calibri"/>
          <w:sz w:val="20"/>
          <w:szCs w:val="20"/>
          <w:lang w:val="es-ES" w:eastAsia="es-ES"/>
        </w:rPr>
        <w:t xml:space="preserve">Asimismo, solicitaron se garantice una atención de salud de calidad para </w:t>
      </w:r>
      <w:r w:rsidR="006656A6" w:rsidRPr="006656A6">
        <w:rPr>
          <w:rFonts w:eastAsia="Calibri"/>
          <w:sz w:val="20"/>
          <w:szCs w:val="20"/>
          <w:lang w:val="es-ES" w:eastAsia="es-ES"/>
        </w:rPr>
        <w:t>los múltiples padecimientos físicos</w:t>
      </w:r>
      <w:r w:rsidR="006656A6" w:rsidRPr="002A64C9">
        <w:rPr>
          <w:rFonts w:eastAsia="Calibri"/>
          <w:sz w:val="20"/>
          <w:szCs w:val="20"/>
          <w:lang w:val="es-ES" w:eastAsia="es-ES"/>
        </w:rPr>
        <w:t xml:space="preserve"> que sufren en la actualidad</w:t>
      </w:r>
      <w:r w:rsidR="005F2639">
        <w:rPr>
          <w:rFonts w:eastAsia="Calibri"/>
          <w:sz w:val="20"/>
          <w:szCs w:val="20"/>
          <w:lang w:val="es-ES" w:eastAsia="es-ES"/>
        </w:rPr>
        <w:t>.</w:t>
      </w:r>
    </w:p>
    <w:p w14:paraId="0B936FC6" w14:textId="77777777" w:rsidR="006B2A4D" w:rsidRPr="006B2A4D" w:rsidRDefault="006B2A4D" w:rsidP="006B2A4D">
      <w:pPr>
        <w:rPr>
          <w:rFonts w:eastAsia="Calibri"/>
          <w:sz w:val="20"/>
          <w:szCs w:val="20"/>
          <w:lang w:val="es-ES" w:eastAsia="es-ES"/>
        </w:rPr>
      </w:pPr>
    </w:p>
    <w:p w14:paraId="3233B21B" w14:textId="77777777"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El </w:t>
      </w:r>
      <w:r w:rsidRPr="006B2A4D">
        <w:rPr>
          <w:rFonts w:eastAsia="Calibri"/>
          <w:b/>
          <w:i/>
          <w:sz w:val="20"/>
          <w:szCs w:val="20"/>
          <w:lang w:val="es-ES" w:eastAsia="es-ES"/>
        </w:rPr>
        <w:t>Estado</w:t>
      </w:r>
      <w:r w:rsidRPr="006B2A4D">
        <w:rPr>
          <w:rFonts w:eastAsia="Calibri"/>
          <w:sz w:val="20"/>
          <w:szCs w:val="20"/>
          <w:lang w:val="es-ES" w:eastAsia="es-ES"/>
        </w:rPr>
        <w:t xml:space="preserve"> no se pronunció al respecto.</w:t>
      </w:r>
    </w:p>
    <w:p w14:paraId="044491F9" w14:textId="77777777" w:rsidR="006B2A4D" w:rsidRPr="006B2A4D" w:rsidRDefault="006B2A4D" w:rsidP="006B2A4D">
      <w:pPr>
        <w:rPr>
          <w:rFonts w:eastAsia="Calibri"/>
          <w:sz w:val="20"/>
          <w:szCs w:val="20"/>
          <w:lang w:val="es-ES" w:eastAsia="es-ES"/>
        </w:rPr>
      </w:pPr>
    </w:p>
    <w:p w14:paraId="55A0C0F7" w14:textId="0FD3D7DC"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La </w:t>
      </w:r>
      <w:r w:rsidRPr="00541592">
        <w:rPr>
          <w:rFonts w:eastAsia="Calibri"/>
          <w:i/>
          <w:sz w:val="20"/>
          <w:szCs w:val="20"/>
          <w:lang w:val="es-ES" w:eastAsia="es-ES"/>
        </w:rPr>
        <w:t xml:space="preserve">Corte </w:t>
      </w:r>
      <w:r w:rsidRPr="006B2A4D">
        <w:rPr>
          <w:rFonts w:eastAsia="Calibri"/>
          <w:sz w:val="20"/>
          <w:szCs w:val="20"/>
          <w:lang w:val="es-ES" w:eastAsia="es-ES"/>
        </w:rPr>
        <w:t>constata que existe un nexo causal entre los hechos del caso y las afectaciones psicológicas y emocionales sufridas por las víctimas, las cuales fueron a</w:t>
      </w:r>
      <w:r w:rsidR="004034AA">
        <w:rPr>
          <w:rFonts w:eastAsia="Calibri"/>
          <w:sz w:val="20"/>
          <w:szCs w:val="20"/>
          <w:lang w:val="es-ES" w:eastAsia="es-ES"/>
        </w:rPr>
        <w:t xml:space="preserve">creditadas en el Capítulo </w:t>
      </w:r>
      <w:r w:rsidR="004034AA" w:rsidRPr="004450BE">
        <w:rPr>
          <w:rFonts w:eastAsia="Calibri"/>
          <w:sz w:val="20"/>
          <w:szCs w:val="20"/>
          <w:lang w:val="es-ES" w:eastAsia="es-ES"/>
        </w:rPr>
        <w:t>VI</w:t>
      </w:r>
      <w:r w:rsidR="004450BE">
        <w:rPr>
          <w:rFonts w:eastAsia="Calibri"/>
          <w:sz w:val="20"/>
          <w:szCs w:val="20"/>
          <w:lang w:val="es-ES" w:eastAsia="es-ES"/>
        </w:rPr>
        <w:t>i</w:t>
      </w:r>
      <w:r w:rsidR="004034AA" w:rsidRPr="004450BE">
        <w:rPr>
          <w:rFonts w:eastAsia="Calibri"/>
          <w:sz w:val="20"/>
          <w:szCs w:val="20"/>
          <w:lang w:val="es-ES" w:eastAsia="es-ES"/>
        </w:rPr>
        <w:t>-3</w:t>
      </w:r>
      <w:r w:rsidRPr="004450BE">
        <w:rPr>
          <w:rFonts w:eastAsia="Calibri"/>
          <w:sz w:val="20"/>
          <w:szCs w:val="20"/>
          <w:lang w:val="es-ES" w:eastAsia="es-ES"/>
        </w:rPr>
        <w:t>.</w:t>
      </w:r>
      <w:r w:rsidRPr="006B2A4D">
        <w:rPr>
          <w:rFonts w:eastAsia="Calibri"/>
          <w:sz w:val="20"/>
          <w:szCs w:val="20"/>
          <w:lang w:val="es-ES" w:eastAsia="es-ES"/>
        </w:rPr>
        <w:t xml:space="preserve"> En consecuencia, este Tribunal estima pertinente que, de ser solicitado por las víctimas, se les brinde atención psicológica profesional como medida de rehabilitación de las afectaciones psicológicas y emocionales que sufrieron como consecuencia de los hechos del presente caso. Por lo tanto, la Corte dispone la obligación a cargo del Estado de brindar, a través de sus instituciones de salud, la atención médica psicológica de manera gratuita e inmediata a las víctimas, atendiendo a sus necesidades específicas. Al momento de proveer el tratamiento es esencial atender a las circunstancias y necesidades de cada víctima con el fin de obtener un tratamiento personalizado y eficaz. Asimismo, los tratamientos deberán incluir la provisión de medicamentos y, en su caso, transporte y otros gastos directamente relacionados y estrictamente necesarios. Particularmente, dicho tratamiento se deberá brindar, en la medida de las posibilidades, en los centros más cercanos a su lugar de residencia. Las víctimas que soliciten esta medida de reparación, o sus representantes legales, disponen de un plazo de seis meses, contados a partir de la notificación de la presente Sentencia, para dar a conocer al Estado su intención de recibir atención psicológica o psiquiátrica.</w:t>
      </w:r>
    </w:p>
    <w:p w14:paraId="1317B6D3" w14:textId="77777777" w:rsidR="006B2A4D" w:rsidRPr="006B2A4D" w:rsidRDefault="006B2A4D" w:rsidP="006B2A4D">
      <w:pPr>
        <w:rPr>
          <w:rFonts w:eastAsia="Calibri"/>
          <w:sz w:val="20"/>
          <w:szCs w:val="20"/>
          <w:lang w:val="es-ES" w:eastAsia="es-ES"/>
        </w:rPr>
      </w:pPr>
    </w:p>
    <w:p w14:paraId="0FCD7022" w14:textId="77777777" w:rsidR="006B2A4D" w:rsidRPr="00AD229D" w:rsidRDefault="006B2A4D" w:rsidP="002726E0">
      <w:pPr>
        <w:pStyle w:val="Heading2"/>
        <w:numPr>
          <w:ilvl w:val="0"/>
          <w:numId w:val="13"/>
        </w:numPr>
      </w:pPr>
      <w:bookmarkStart w:id="127" w:name="_Toc494271566"/>
      <w:bookmarkStart w:id="128" w:name="_Toc513644494"/>
      <w:r w:rsidRPr="00AD229D">
        <w:t>Garantías de no repetición</w:t>
      </w:r>
      <w:bookmarkEnd w:id="127"/>
      <w:bookmarkEnd w:id="128"/>
    </w:p>
    <w:p w14:paraId="575373A9" w14:textId="77777777" w:rsidR="006B2A4D" w:rsidRPr="006B2A4D" w:rsidRDefault="006B2A4D" w:rsidP="006B2A4D">
      <w:pPr>
        <w:rPr>
          <w:rFonts w:eastAsia="Calibri"/>
          <w:b/>
          <w:i/>
          <w:sz w:val="20"/>
          <w:szCs w:val="20"/>
          <w:lang w:val="es-ES" w:eastAsia="es-ES"/>
        </w:rPr>
      </w:pPr>
    </w:p>
    <w:p w14:paraId="3788F3C9" w14:textId="0E5F2FE1"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La </w:t>
      </w:r>
      <w:r w:rsidRPr="006B2A4D">
        <w:rPr>
          <w:rFonts w:eastAsia="Calibri"/>
          <w:b/>
          <w:i/>
          <w:sz w:val="20"/>
          <w:szCs w:val="20"/>
          <w:lang w:val="es-ES" w:eastAsia="es-ES"/>
        </w:rPr>
        <w:t>Comisión</w:t>
      </w:r>
      <w:r w:rsidRPr="006B2A4D">
        <w:rPr>
          <w:rFonts w:eastAsia="Calibri"/>
          <w:sz w:val="20"/>
          <w:szCs w:val="20"/>
          <w:lang w:val="es-ES" w:eastAsia="es-ES"/>
        </w:rPr>
        <w:t xml:space="preserve"> solicitó adoptar mecanismos de no repetición, incluyendo: “i) las medidas legislativas, administrativas y de otra índole que se requieran para la implementación del consentimiento informado en materia de salud de conformidad con los estándares establecidos en el presente informe; ii) las medidas necesarias, incluyendo medidas presupuestarias, para asegurar que el Hospital </w:t>
      </w:r>
      <w:proofErr w:type="spellStart"/>
      <w:r w:rsidRPr="006B2A4D">
        <w:rPr>
          <w:rFonts w:eastAsia="Calibri"/>
          <w:sz w:val="20"/>
          <w:szCs w:val="20"/>
          <w:lang w:val="es-ES" w:eastAsia="es-ES"/>
        </w:rPr>
        <w:t>Sótero</w:t>
      </w:r>
      <w:proofErr w:type="spellEnd"/>
      <w:r w:rsidRPr="006B2A4D">
        <w:rPr>
          <w:rFonts w:eastAsia="Calibri"/>
          <w:sz w:val="20"/>
          <w:szCs w:val="20"/>
          <w:lang w:val="es-ES" w:eastAsia="es-ES"/>
        </w:rPr>
        <w:t xml:space="preserve"> del Río cuente con los medios e infraestructura necesarios para brindar una atención adecuada, particularmente cuando se requiera terapia intensiva; y iii) las medidas de capacitación y entrenamiento a los operadores judiciales en cuanto al deber de investigar posibles responsabilidades derivadas de la muerte de una persona como consecuencia de una atención inadecuada en salud”</w:t>
      </w:r>
      <w:r w:rsidR="00A303F0">
        <w:rPr>
          <w:rFonts w:eastAsia="Calibri"/>
          <w:sz w:val="20"/>
          <w:szCs w:val="20"/>
          <w:lang w:val="es-ES" w:eastAsia="es-ES"/>
        </w:rPr>
        <w:t>.</w:t>
      </w:r>
    </w:p>
    <w:p w14:paraId="1BFD343F" w14:textId="77777777" w:rsidR="006B2A4D" w:rsidRPr="006B2A4D" w:rsidRDefault="006B2A4D" w:rsidP="006B2A4D">
      <w:pPr>
        <w:widowControl w:val="0"/>
        <w:tabs>
          <w:tab w:val="left" w:pos="567"/>
          <w:tab w:val="num" w:pos="12305"/>
        </w:tabs>
        <w:adjustRightInd w:val="0"/>
        <w:textAlignment w:val="baseline"/>
        <w:rPr>
          <w:rFonts w:eastAsia="Calibri"/>
          <w:sz w:val="20"/>
          <w:szCs w:val="20"/>
          <w:lang w:val="es-ES" w:eastAsia="es-ES"/>
        </w:rPr>
      </w:pPr>
    </w:p>
    <w:p w14:paraId="5BCA20A3" w14:textId="3283D6D9" w:rsidR="006B2A4D" w:rsidRP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Las </w:t>
      </w:r>
      <w:r w:rsidRPr="006B2A4D">
        <w:rPr>
          <w:rFonts w:eastAsia="Calibri"/>
          <w:b/>
          <w:i/>
          <w:sz w:val="20"/>
          <w:szCs w:val="20"/>
          <w:lang w:val="es-ES" w:eastAsia="es-ES"/>
        </w:rPr>
        <w:t>representantes</w:t>
      </w:r>
      <w:r w:rsidRPr="006B2A4D">
        <w:rPr>
          <w:rFonts w:eastAsia="Calibri"/>
          <w:sz w:val="20"/>
          <w:szCs w:val="20"/>
          <w:lang w:val="es-ES" w:eastAsia="es-ES"/>
        </w:rPr>
        <w:t xml:space="preserve"> solicitaron la adopción de medidas en derecho interno relativas a la regulación de la conducta de los profesionales de la salud, conforme a los estándares relevantes naciones e internacionales en la materia, así como medidas legislativas y de cualquier otra índole “destinadas a robustecer la responsabilidad civil y penal de los médicos y servidores de la salud”</w:t>
      </w:r>
      <w:r w:rsidR="005F2639">
        <w:rPr>
          <w:rFonts w:eastAsia="Calibri"/>
          <w:sz w:val="20"/>
          <w:szCs w:val="20"/>
          <w:lang w:val="es-ES" w:eastAsia="es-ES"/>
        </w:rPr>
        <w:t>.</w:t>
      </w:r>
      <w:r w:rsidRPr="006B2A4D">
        <w:rPr>
          <w:rFonts w:eastAsia="Calibri"/>
          <w:sz w:val="20"/>
          <w:szCs w:val="20"/>
          <w:lang w:val="es-ES" w:eastAsia="es-ES"/>
        </w:rPr>
        <w:t xml:space="preserve"> También requirieron que se implemente debidamente la obligación de transparencia activa respecto a las prestaciones en salud con la finalidad de asegurar el derecho a brindar libre consentimiento informado a todos los pacientes sometidos a tratamiento médico en el sistema de salud pública y privada chileno. Asimismo, solicitaron la capacitación de los </w:t>
      </w:r>
      <w:r w:rsidRPr="006B2A4D">
        <w:rPr>
          <w:rFonts w:eastAsia="Calibri"/>
          <w:sz w:val="20"/>
          <w:szCs w:val="20"/>
          <w:lang w:val="es-ES" w:eastAsia="es-ES"/>
        </w:rPr>
        <w:lastRenderedPageBreak/>
        <w:t>profesionales de la salud de hospitales y clínicas públicas y privadas respecto a “derechos humanos, derecho penal, derechos de los pacientes y la jurisprudencia de la Corte Interamericana”</w:t>
      </w:r>
      <w:r w:rsidR="00A303F0">
        <w:rPr>
          <w:rFonts w:eastAsia="Calibri"/>
          <w:sz w:val="20"/>
          <w:szCs w:val="20"/>
          <w:lang w:val="es-ES" w:eastAsia="es-ES"/>
        </w:rPr>
        <w:t xml:space="preserve">. </w:t>
      </w:r>
      <w:r w:rsidRPr="006B2A4D">
        <w:rPr>
          <w:rFonts w:eastAsia="Calibri"/>
          <w:sz w:val="20"/>
          <w:szCs w:val="20"/>
          <w:lang w:val="es-ES" w:eastAsia="es-ES"/>
        </w:rPr>
        <w:t>Finalmente, requirieron la construcción de un hospital para personas adultas mayores o la remodelación de hospitales existentes con fin de contar con un ala de atención para los adultos mayores específicamente y consecuentemente el aumento de camas disponibles para este grupo particular</w:t>
      </w:r>
      <w:r w:rsidR="005F2639">
        <w:rPr>
          <w:rFonts w:eastAsia="Calibri"/>
          <w:sz w:val="20"/>
          <w:szCs w:val="20"/>
          <w:lang w:val="es-ES" w:eastAsia="es-ES"/>
        </w:rPr>
        <w:t>.</w:t>
      </w:r>
    </w:p>
    <w:p w14:paraId="7452FF8D" w14:textId="77777777" w:rsidR="006B2A4D" w:rsidRPr="006B2A4D" w:rsidRDefault="006B2A4D" w:rsidP="006B2A4D">
      <w:pPr>
        <w:widowControl w:val="0"/>
        <w:tabs>
          <w:tab w:val="left" w:pos="567"/>
          <w:tab w:val="num" w:pos="12305"/>
        </w:tabs>
        <w:adjustRightInd w:val="0"/>
        <w:textAlignment w:val="baseline"/>
        <w:rPr>
          <w:rFonts w:eastAsia="Calibri"/>
          <w:sz w:val="20"/>
          <w:szCs w:val="20"/>
          <w:lang w:val="es-ES" w:eastAsia="es-ES"/>
        </w:rPr>
      </w:pPr>
    </w:p>
    <w:p w14:paraId="2F22CB78" w14:textId="165749C8" w:rsidR="006B2A4D" w:rsidRP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val="es-ES" w:eastAsia="es-ES"/>
        </w:rPr>
        <w:t xml:space="preserve">El </w:t>
      </w:r>
      <w:r w:rsidRPr="006B2A4D">
        <w:rPr>
          <w:rFonts w:eastAsia="Calibri"/>
          <w:b/>
          <w:i/>
          <w:sz w:val="20"/>
          <w:szCs w:val="20"/>
          <w:lang w:val="es-ES" w:eastAsia="es-ES"/>
        </w:rPr>
        <w:t>Estado</w:t>
      </w:r>
      <w:r w:rsidRPr="006B2A4D">
        <w:rPr>
          <w:rFonts w:eastAsia="Calibri"/>
          <w:sz w:val="20"/>
          <w:szCs w:val="20"/>
          <w:lang w:val="es-ES" w:eastAsia="es-ES"/>
        </w:rPr>
        <w:t xml:space="preserve"> hizo referencia a diversas medidas que ha implementado durante los años en materia de consentimiento informado en el ámbito de la salud, para ajustarse a los estándares internacionales en la materia</w:t>
      </w:r>
      <w:r w:rsidR="00A303F0">
        <w:rPr>
          <w:rFonts w:eastAsia="Calibri"/>
          <w:sz w:val="20"/>
          <w:szCs w:val="20"/>
          <w:lang w:val="es-ES" w:eastAsia="es-ES"/>
        </w:rPr>
        <w:t xml:space="preserve">. </w:t>
      </w:r>
      <w:r w:rsidRPr="006B2A4D">
        <w:rPr>
          <w:rFonts w:eastAsia="Calibri"/>
          <w:sz w:val="20"/>
          <w:szCs w:val="20"/>
          <w:lang w:val="es-ES" w:eastAsia="es-ES"/>
        </w:rPr>
        <w:t>En este sentido, mencionó que el documento “Normas y Documentos de Ética Médica” realizado en 1986 por el Colegio Médico de Chile fue actualizado en el 2013 y ahora incluye el consentimiento informado</w:t>
      </w:r>
      <w:r w:rsidR="00A303F0">
        <w:rPr>
          <w:rFonts w:eastAsia="Calibri"/>
          <w:sz w:val="20"/>
          <w:szCs w:val="20"/>
          <w:lang w:val="es-ES" w:eastAsia="es-ES"/>
        </w:rPr>
        <w:t xml:space="preserve">. </w:t>
      </w:r>
      <w:r w:rsidRPr="006B2A4D">
        <w:rPr>
          <w:rFonts w:eastAsia="Calibri"/>
          <w:sz w:val="20"/>
          <w:szCs w:val="20"/>
          <w:lang w:val="es-ES" w:eastAsia="es-ES"/>
        </w:rPr>
        <w:t>Asimismo, señaló que el 1</w:t>
      </w:r>
      <w:r w:rsidR="005F2639">
        <w:rPr>
          <w:rFonts w:eastAsia="Calibri"/>
          <w:sz w:val="20"/>
          <w:szCs w:val="20"/>
          <w:lang w:val="es-ES" w:eastAsia="es-ES"/>
        </w:rPr>
        <w:t xml:space="preserve">º </w:t>
      </w:r>
      <w:r w:rsidRPr="006B2A4D">
        <w:rPr>
          <w:rFonts w:eastAsia="Calibri"/>
          <w:sz w:val="20"/>
          <w:szCs w:val="20"/>
          <w:lang w:val="es-ES" w:eastAsia="es-ES"/>
        </w:rPr>
        <w:t>de octubre de 2012 entro en vigor</w:t>
      </w:r>
      <w:r w:rsidRPr="006B2A4D">
        <w:rPr>
          <w:rFonts w:eastAsia="Calibri"/>
          <w:b/>
          <w:sz w:val="20"/>
          <w:szCs w:val="20"/>
          <w:lang w:val="es-ES" w:eastAsia="es-ES"/>
        </w:rPr>
        <w:t xml:space="preserve"> </w:t>
      </w:r>
      <w:r w:rsidRPr="006B2A4D">
        <w:rPr>
          <w:rFonts w:eastAsia="Calibri"/>
          <w:sz w:val="20"/>
          <w:szCs w:val="20"/>
          <w:lang w:val="es-ES" w:eastAsia="es-ES"/>
        </w:rPr>
        <w:t>la Ley No. 20.584, la cual “regula el consentimiento informado del paciente proporcionándole autonomía para decidir a qué procedimientos médicos someterse” y “el derecho a obtener información necesaria para prestar el consentimiento”. En este sentido, la Ley anterior aplica para cualquier tipo de prestador de servicios de la salud, sea del sector privado o público, y regula la manera de entregar la información al paciente, la cual, debe ser suficiente, oportuna, veraz y comprensible para éste o su representante legal o persona bajo cuyo cuidado se encuentre, en caso de que éste no pueda recibirla. También, la Ley incluye la creación de comités de ética asistencial y comités de evaluación ético científica</w:t>
      </w:r>
      <w:r w:rsidR="00A303F0">
        <w:rPr>
          <w:rFonts w:eastAsia="Calibri"/>
          <w:sz w:val="20"/>
          <w:szCs w:val="20"/>
          <w:lang w:val="es-ES" w:eastAsia="es-ES"/>
        </w:rPr>
        <w:t xml:space="preserve">. </w:t>
      </w:r>
      <w:r w:rsidRPr="006B2A4D">
        <w:rPr>
          <w:rFonts w:eastAsia="Calibri"/>
          <w:sz w:val="20"/>
          <w:szCs w:val="20"/>
          <w:lang w:val="es-ES" w:eastAsia="es-ES"/>
        </w:rPr>
        <w:t>El</w:t>
      </w:r>
      <w:r w:rsidRPr="00920D09">
        <w:rPr>
          <w:rFonts w:eastAsia="Calibri"/>
          <w:sz w:val="20"/>
          <w:szCs w:val="20"/>
          <w:lang w:val="es-ES" w:eastAsia="es-ES"/>
        </w:rPr>
        <w:t xml:space="preserve"> </w:t>
      </w:r>
      <w:r w:rsidRPr="002A64C9">
        <w:rPr>
          <w:rFonts w:eastAsia="Calibri"/>
          <w:i/>
          <w:sz w:val="20"/>
          <w:szCs w:val="20"/>
          <w:lang w:val="es-ES" w:eastAsia="es-ES"/>
        </w:rPr>
        <w:t>Estado</w:t>
      </w:r>
      <w:r w:rsidRPr="006B2A4D">
        <w:rPr>
          <w:rFonts w:eastAsia="Calibri"/>
          <w:sz w:val="20"/>
          <w:szCs w:val="20"/>
          <w:lang w:val="es-ES" w:eastAsia="es-ES"/>
        </w:rPr>
        <w:t xml:space="preserve"> también indicó que el 26 de noviembre de 2012 entró en vigor el “Reglamento sobre entrega de información y expresión de consentimiento informado en las atenciones de salud”, el cual desarrolla la normativa anterior y regula la entrega de información para llevar a cabo cualquier actuación en salud y la manera de obtener el consentimiento informado del paciente.</w:t>
      </w:r>
      <w:r w:rsidRPr="006B2A4D">
        <w:rPr>
          <w:rFonts w:eastAsia="Calibri"/>
          <w:b/>
          <w:sz w:val="20"/>
          <w:szCs w:val="20"/>
          <w:lang w:val="es-ES" w:eastAsia="es-ES"/>
        </w:rPr>
        <w:t xml:space="preserve"> </w:t>
      </w:r>
    </w:p>
    <w:p w14:paraId="64E48F30" w14:textId="77777777" w:rsidR="006B2A4D" w:rsidRPr="006B2A4D" w:rsidRDefault="006B2A4D" w:rsidP="006B2A4D">
      <w:pPr>
        <w:widowControl w:val="0"/>
        <w:tabs>
          <w:tab w:val="left" w:pos="567"/>
          <w:tab w:val="num" w:pos="12305"/>
        </w:tabs>
        <w:adjustRightInd w:val="0"/>
        <w:textAlignment w:val="baseline"/>
        <w:rPr>
          <w:rFonts w:eastAsia="Calibri"/>
          <w:sz w:val="20"/>
          <w:szCs w:val="20"/>
          <w:lang w:eastAsia="es-ES"/>
        </w:rPr>
      </w:pPr>
    </w:p>
    <w:p w14:paraId="2F56010D" w14:textId="4C6A5820" w:rsidR="006B2A4D" w:rsidRPr="002A64C9"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val="es-ES" w:eastAsia="es-ES"/>
        </w:rPr>
        <w:t xml:space="preserve">En relación a la petición de las representantes de construir un hospital para adultos mayores o establecer pabellones específicos para estos, el </w:t>
      </w:r>
      <w:r w:rsidRPr="002A64C9">
        <w:rPr>
          <w:rFonts w:eastAsia="Calibri"/>
          <w:i/>
          <w:sz w:val="20"/>
          <w:szCs w:val="20"/>
          <w:lang w:val="es-ES" w:eastAsia="es-ES"/>
        </w:rPr>
        <w:t>Estado</w:t>
      </w:r>
      <w:r w:rsidRPr="006B2A4D">
        <w:rPr>
          <w:rFonts w:eastAsia="Calibri"/>
          <w:sz w:val="20"/>
          <w:szCs w:val="20"/>
          <w:lang w:val="es-ES" w:eastAsia="es-ES"/>
        </w:rPr>
        <w:t xml:space="preserve"> la calificó de desproporcionada e innecesaria, ya que destacó que cuenta con el Instituto Nacional de </w:t>
      </w:r>
      <w:proofErr w:type="spellStart"/>
      <w:r w:rsidRPr="006B2A4D">
        <w:rPr>
          <w:rFonts w:eastAsia="Calibri"/>
          <w:sz w:val="20"/>
          <w:szCs w:val="20"/>
          <w:lang w:val="es-ES" w:eastAsia="es-ES"/>
        </w:rPr>
        <w:t>Geriatr</w:t>
      </w:r>
      <w:r w:rsidRPr="006B2A4D">
        <w:rPr>
          <w:rFonts w:eastAsia="Calibri"/>
          <w:sz w:val="20"/>
          <w:szCs w:val="20"/>
          <w:lang w:val="es-HN" w:eastAsia="es-ES"/>
        </w:rPr>
        <w:t>ía</w:t>
      </w:r>
      <w:proofErr w:type="spellEnd"/>
      <w:r w:rsidRPr="006B2A4D">
        <w:rPr>
          <w:rFonts w:eastAsia="Calibri"/>
          <w:sz w:val="20"/>
          <w:szCs w:val="20"/>
          <w:lang w:val="es-HN" w:eastAsia="es-ES"/>
        </w:rPr>
        <w:t xml:space="preserve"> (INGER). Además, señaló que ha llevado a cabo una profunda política pública en materia de accesibilidad </w:t>
      </w:r>
      <w:r w:rsidR="005F2639">
        <w:rPr>
          <w:rFonts w:eastAsia="Calibri"/>
          <w:sz w:val="20"/>
          <w:szCs w:val="20"/>
          <w:lang w:val="es-HN" w:eastAsia="es-ES"/>
        </w:rPr>
        <w:t>de</w:t>
      </w:r>
      <w:r w:rsidRPr="006B2A4D">
        <w:rPr>
          <w:rFonts w:eastAsia="Calibri"/>
          <w:sz w:val="20"/>
          <w:szCs w:val="20"/>
          <w:lang w:val="es-HN" w:eastAsia="es-ES"/>
        </w:rPr>
        <w:t xml:space="preserve"> camas, lo cual considera que constituye una clara garantía de no repetición en el presente caso. En este sentido, resaltó que </w:t>
      </w:r>
      <w:r w:rsidRPr="006B2A4D">
        <w:rPr>
          <w:rFonts w:eastAsia="Calibri"/>
          <w:sz w:val="20"/>
          <w:szCs w:val="20"/>
          <w:lang w:eastAsia="es-ES"/>
        </w:rPr>
        <w:t>existe un aumento de camas críticas, de 1</w:t>
      </w:r>
      <w:r w:rsidR="005F2639">
        <w:rPr>
          <w:rFonts w:eastAsia="Calibri"/>
          <w:sz w:val="20"/>
          <w:szCs w:val="20"/>
          <w:lang w:eastAsia="es-ES"/>
        </w:rPr>
        <w:t>,</w:t>
      </w:r>
      <w:r w:rsidRPr="006B2A4D">
        <w:rPr>
          <w:rFonts w:eastAsia="Calibri"/>
          <w:sz w:val="20"/>
          <w:szCs w:val="20"/>
          <w:lang w:eastAsia="es-ES"/>
        </w:rPr>
        <w:t>234 en el 2006 a 2</w:t>
      </w:r>
      <w:r w:rsidR="005F2639">
        <w:rPr>
          <w:rFonts w:eastAsia="Calibri"/>
          <w:sz w:val="20"/>
          <w:szCs w:val="20"/>
          <w:lang w:eastAsia="es-ES"/>
        </w:rPr>
        <w:t>,</w:t>
      </w:r>
      <w:r w:rsidRPr="006B2A4D">
        <w:rPr>
          <w:rFonts w:eastAsia="Calibri"/>
          <w:sz w:val="20"/>
          <w:szCs w:val="20"/>
          <w:lang w:eastAsia="es-ES"/>
        </w:rPr>
        <w:t>839 en el 2016, y manifestó que el éxito de esta política se explica por la creación de la Unidad de Gestión centralizada de camas en el Ministerio de Salud que opera las 24 horas del día, 7 días a la semana</w:t>
      </w:r>
      <w:r w:rsidR="00A303F0">
        <w:rPr>
          <w:rFonts w:eastAsia="Calibri"/>
          <w:sz w:val="20"/>
          <w:szCs w:val="20"/>
          <w:lang w:val="es-HN" w:eastAsia="es-ES"/>
        </w:rPr>
        <w:t xml:space="preserve">. </w:t>
      </w:r>
      <w:r w:rsidRPr="006B2A4D">
        <w:rPr>
          <w:rFonts w:eastAsia="Calibri"/>
          <w:sz w:val="20"/>
          <w:szCs w:val="20"/>
          <w:lang w:val="es-ES" w:eastAsia="es-ES"/>
        </w:rPr>
        <w:t xml:space="preserve">Finalmente, señaló que otro fundamento para rechazar la medida es la reflexión acerca de la pertinencia de que por vías judiciales se establezcan políticas públicas de ese nivel de detalle y compromiso para el gasto público, </w:t>
      </w:r>
      <w:r w:rsidRPr="002A64C9">
        <w:rPr>
          <w:rFonts w:eastAsia="Calibri"/>
          <w:sz w:val="20"/>
          <w:szCs w:val="20"/>
          <w:lang w:val="es-ES" w:eastAsia="es-ES"/>
        </w:rPr>
        <w:t>ya que considera que</w:t>
      </w:r>
      <w:r w:rsidRPr="002A64C9">
        <w:rPr>
          <w:rFonts w:eastAsia="Calibri"/>
          <w:sz w:val="20"/>
          <w:szCs w:val="20"/>
          <w:lang w:eastAsia="es-ES"/>
        </w:rPr>
        <w:t xml:space="preserve"> “una decisión de estas características es de aquellas donde se le da al Estado un margen de apreciación para su ejecución”</w:t>
      </w:r>
      <w:r w:rsidRPr="00A303F0">
        <w:rPr>
          <w:rFonts w:eastAsia="Calibri"/>
          <w:sz w:val="20"/>
          <w:szCs w:val="20"/>
          <w:lang w:val="es-ES" w:eastAsia="es-ES"/>
        </w:rPr>
        <w:t>.</w:t>
      </w:r>
    </w:p>
    <w:p w14:paraId="117316AF" w14:textId="77777777" w:rsidR="006B2A4D" w:rsidRPr="002A64C9" w:rsidRDefault="006B2A4D" w:rsidP="006B2A4D">
      <w:pPr>
        <w:widowControl w:val="0"/>
        <w:tabs>
          <w:tab w:val="left" w:pos="567"/>
          <w:tab w:val="num" w:pos="12305"/>
        </w:tabs>
        <w:adjustRightInd w:val="0"/>
        <w:textAlignment w:val="baseline"/>
        <w:rPr>
          <w:rFonts w:eastAsia="Calibri"/>
          <w:sz w:val="20"/>
          <w:szCs w:val="20"/>
          <w:lang w:eastAsia="es-ES"/>
        </w:rPr>
      </w:pPr>
    </w:p>
    <w:p w14:paraId="0739EB94" w14:textId="4D182AC9" w:rsidR="006B2A4D" w:rsidRPr="002A64C9"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s-HN" w:eastAsia="es-ES"/>
        </w:rPr>
      </w:pPr>
      <w:r w:rsidRPr="002A64C9">
        <w:rPr>
          <w:rFonts w:eastAsia="Calibri"/>
          <w:sz w:val="20"/>
          <w:szCs w:val="20"/>
          <w:lang w:val="es-ES" w:eastAsia="es-ES"/>
        </w:rPr>
        <w:t xml:space="preserve">La </w:t>
      </w:r>
      <w:r w:rsidRPr="00541592">
        <w:rPr>
          <w:rFonts w:eastAsia="Calibri"/>
          <w:i/>
          <w:sz w:val="20"/>
          <w:szCs w:val="20"/>
          <w:lang w:val="es-ES" w:eastAsia="es-ES"/>
        </w:rPr>
        <w:t>Corte</w:t>
      </w:r>
      <w:r w:rsidRPr="00541592">
        <w:rPr>
          <w:rFonts w:eastAsia="Calibri"/>
          <w:sz w:val="20"/>
          <w:szCs w:val="20"/>
          <w:lang w:val="es-ES" w:eastAsia="es-ES"/>
        </w:rPr>
        <w:t xml:space="preserve"> </w:t>
      </w:r>
      <w:r w:rsidR="00920D09" w:rsidRPr="00B1523A">
        <w:rPr>
          <w:rFonts w:eastAsia="Calibri"/>
          <w:sz w:val="20"/>
          <w:szCs w:val="20"/>
          <w:lang w:val="es-ES" w:eastAsia="es-ES"/>
        </w:rPr>
        <w:t>toma nota y</w:t>
      </w:r>
      <w:r w:rsidR="00920D09" w:rsidRPr="002A64C9">
        <w:rPr>
          <w:rFonts w:eastAsia="Calibri"/>
          <w:b/>
          <w:sz w:val="20"/>
          <w:szCs w:val="20"/>
          <w:lang w:val="es-ES" w:eastAsia="es-ES"/>
        </w:rPr>
        <w:t xml:space="preserve"> </w:t>
      </w:r>
      <w:r w:rsidRPr="002A64C9">
        <w:rPr>
          <w:rFonts w:eastAsia="Calibri"/>
          <w:sz w:val="20"/>
          <w:szCs w:val="20"/>
          <w:lang w:val="es-ES" w:eastAsia="es-ES"/>
        </w:rPr>
        <w:t xml:space="preserve">valora todas las acciones y los avances implementados por el Estado con el fin de dar cumplimiento a sus obligaciones en relación a la implementación del consentimiento informado, de conformidad con los estándares internacionales en la materia. En este sentido, reconoce los esfuerzos del Estado chileno en la promulgación de la Ley No. 20.584 y su respectivo Reglamento, que regulan la manera en que debe ser obtenido el consentimiento informado, y las obligaciones de los prestadores de los servicios de salud sobre la información que deben brindad a los paciente. Adicionalmente, la Corte valora positivamente el incremento en el número de camas </w:t>
      </w:r>
      <w:r w:rsidR="00A7540B" w:rsidRPr="002A64C9">
        <w:rPr>
          <w:rFonts w:eastAsia="Calibri"/>
          <w:sz w:val="20"/>
          <w:szCs w:val="20"/>
          <w:lang w:val="es-ES" w:eastAsia="es-ES"/>
        </w:rPr>
        <w:t xml:space="preserve">de cuidados </w:t>
      </w:r>
      <w:r w:rsidR="00927C16" w:rsidRPr="002A64C9">
        <w:rPr>
          <w:rFonts w:eastAsia="Calibri"/>
          <w:sz w:val="20"/>
          <w:szCs w:val="20"/>
          <w:lang w:val="es-ES" w:eastAsia="es-ES"/>
        </w:rPr>
        <w:t>y la Unidad de Gestión Centralizada de camas</w:t>
      </w:r>
      <w:r w:rsidR="00A7540B" w:rsidRPr="002A64C9">
        <w:rPr>
          <w:rStyle w:val="FootnoteReference"/>
          <w:rFonts w:eastAsia="Calibri"/>
          <w:sz w:val="20"/>
          <w:szCs w:val="20"/>
          <w:lang w:val="es-ES" w:eastAsia="es-ES"/>
        </w:rPr>
        <w:footnoteReference w:id="312"/>
      </w:r>
      <w:r w:rsidR="00A303F0">
        <w:rPr>
          <w:rFonts w:eastAsia="Calibri"/>
          <w:sz w:val="20"/>
          <w:szCs w:val="20"/>
          <w:lang w:val="es-ES" w:eastAsia="es-ES"/>
        </w:rPr>
        <w:t xml:space="preserve">. </w:t>
      </w:r>
      <w:r w:rsidR="00927C16" w:rsidRPr="002A64C9">
        <w:rPr>
          <w:rFonts w:eastAsia="Calibri"/>
          <w:sz w:val="20"/>
          <w:szCs w:val="20"/>
          <w:lang w:val="es-ES" w:eastAsia="es-ES"/>
        </w:rPr>
        <w:t xml:space="preserve">No obstante, la Corte observa que en cuanto a la disponibilidad de camas en UCI, no se </w:t>
      </w:r>
      <w:r w:rsidR="00A7540B" w:rsidRPr="002A64C9">
        <w:rPr>
          <w:rFonts w:eastAsia="Calibri"/>
          <w:sz w:val="20"/>
          <w:szCs w:val="20"/>
          <w:lang w:val="es-ES" w:eastAsia="es-ES"/>
        </w:rPr>
        <w:t>desprende</w:t>
      </w:r>
      <w:r w:rsidR="00927C16" w:rsidRPr="002A64C9">
        <w:rPr>
          <w:rFonts w:eastAsia="Calibri"/>
          <w:sz w:val="20"/>
          <w:szCs w:val="20"/>
          <w:lang w:val="es-ES" w:eastAsia="es-ES"/>
        </w:rPr>
        <w:t xml:space="preserve"> </w:t>
      </w:r>
      <w:r w:rsidR="00927C16" w:rsidRPr="002A64C9">
        <w:rPr>
          <w:rFonts w:eastAsia="Calibri"/>
          <w:sz w:val="20"/>
          <w:szCs w:val="20"/>
          <w:lang w:val="es-ES" w:eastAsia="es-ES"/>
        </w:rPr>
        <w:lastRenderedPageBreak/>
        <w:t>un incremento significativo</w:t>
      </w:r>
      <w:r w:rsidR="00A7540B" w:rsidRPr="002A64C9">
        <w:rPr>
          <w:rFonts w:eastAsia="Calibri"/>
          <w:sz w:val="20"/>
          <w:szCs w:val="20"/>
          <w:lang w:val="es-ES" w:eastAsia="es-ES"/>
        </w:rPr>
        <w:t xml:space="preserve"> en su </w:t>
      </w:r>
      <w:r w:rsidR="00C426E9" w:rsidRPr="002A64C9">
        <w:rPr>
          <w:rFonts w:eastAsia="Calibri"/>
          <w:sz w:val="20"/>
          <w:szCs w:val="20"/>
          <w:lang w:val="es-ES" w:eastAsia="es-ES"/>
        </w:rPr>
        <w:t>infraestructura</w:t>
      </w:r>
      <w:r w:rsidR="00927C16" w:rsidRPr="002A64C9">
        <w:rPr>
          <w:rStyle w:val="FootnoteReference"/>
          <w:rFonts w:eastAsia="Calibri"/>
          <w:sz w:val="20"/>
          <w:szCs w:val="20"/>
          <w:lang w:val="es-ES" w:eastAsia="es-ES"/>
        </w:rPr>
        <w:footnoteReference w:id="313"/>
      </w:r>
      <w:r w:rsidR="00927C16" w:rsidRPr="002A64C9">
        <w:rPr>
          <w:rFonts w:eastAsia="Calibri"/>
          <w:sz w:val="20"/>
          <w:szCs w:val="20"/>
          <w:lang w:val="es-ES" w:eastAsia="es-ES"/>
        </w:rPr>
        <w:t>.</w:t>
      </w:r>
      <w:r w:rsidR="00927C16" w:rsidRPr="00A303F0">
        <w:rPr>
          <w:rFonts w:eastAsia="Calibri"/>
          <w:sz w:val="20"/>
          <w:szCs w:val="20"/>
          <w:lang w:val="es-ES" w:eastAsia="es-ES"/>
        </w:rPr>
        <w:t xml:space="preserve"> </w:t>
      </w:r>
      <w:r w:rsidR="005F2639">
        <w:rPr>
          <w:rFonts w:eastAsia="Calibri"/>
          <w:sz w:val="20"/>
          <w:szCs w:val="20"/>
          <w:lang w:val="es-ES" w:eastAsia="es-ES"/>
        </w:rPr>
        <w:t>En vista de los hechos y violaciones acreditadas; a</w:t>
      </w:r>
      <w:r w:rsidR="00497952" w:rsidRPr="00B1523A">
        <w:rPr>
          <w:rFonts w:eastAsia="Calibri"/>
          <w:sz w:val="20"/>
          <w:szCs w:val="20"/>
          <w:lang w:val="es-ES" w:eastAsia="es-ES"/>
        </w:rPr>
        <w:t xml:space="preserve"> la luz de la información remitida</w:t>
      </w:r>
      <w:r w:rsidR="005F2639">
        <w:rPr>
          <w:rFonts w:eastAsia="Calibri"/>
          <w:sz w:val="20"/>
          <w:szCs w:val="20"/>
          <w:lang w:val="es-ES" w:eastAsia="es-ES"/>
        </w:rPr>
        <w:t>,</w:t>
      </w:r>
      <w:r w:rsidR="00497952" w:rsidRPr="00B1523A">
        <w:rPr>
          <w:rFonts w:eastAsia="Calibri"/>
          <w:sz w:val="20"/>
          <w:szCs w:val="20"/>
          <w:lang w:val="es-ES" w:eastAsia="es-ES"/>
        </w:rPr>
        <w:t xml:space="preserve"> la Corte estima pertinente dictar las siguientes medidas como garantías de no repetición</w:t>
      </w:r>
      <w:r w:rsidR="00C426E9" w:rsidRPr="00B1523A">
        <w:rPr>
          <w:rStyle w:val="FootnoteReference"/>
          <w:rFonts w:eastAsia="Calibri"/>
          <w:sz w:val="20"/>
          <w:szCs w:val="20"/>
          <w:lang w:val="es-ES" w:eastAsia="es-ES"/>
        </w:rPr>
        <w:footnoteReference w:id="314"/>
      </w:r>
      <w:r w:rsidR="00497952" w:rsidRPr="00B1523A">
        <w:rPr>
          <w:rFonts w:eastAsia="Calibri"/>
          <w:sz w:val="20"/>
          <w:szCs w:val="20"/>
          <w:lang w:val="es-ES" w:eastAsia="es-ES"/>
        </w:rPr>
        <w:t>:</w:t>
      </w:r>
    </w:p>
    <w:p w14:paraId="540F427D" w14:textId="77777777" w:rsidR="006B2A4D" w:rsidRPr="002A64C9" w:rsidRDefault="006B2A4D" w:rsidP="006B2A4D">
      <w:pPr>
        <w:widowControl w:val="0"/>
        <w:tabs>
          <w:tab w:val="left" w:pos="567"/>
          <w:tab w:val="num" w:pos="12305"/>
        </w:tabs>
        <w:adjustRightInd w:val="0"/>
        <w:textAlignment w:val="baseline"/>
        <w:rPr>
          <w:rFonts w:eastAsia="Calibri"/>
          <w:b/>
          <w:sz w:val="20"/>
          <w:szCs w:val="20"/>
          <w:lang w:val="es-HN" w:eastAsia="es-ES"/>
        </w:rPr>
      </w:pPr>
    </w:p>
    <w:p w14:paraId="68769850" w14:textId="77777777" w:rsidR="00121AA0" w:rsidRPr="002A64C9" w:rsidRDefault="00121AA0" w:rsidP="005430FF">
      <w:pPr>
        <w:widowControl w:val="0"/>
        <w:tabs>
          <w:tab w:val="left" w:pos="567"/>
          <w:tab w:val="num" w:pos="12305"/>
        </w:tabs>
        <w:adjustRightInd w:val="0"/>
        <w:ind w:left="708"/>
        <w:textAlignment w:val="baseline"/>
        <w:rPr>
          <w:rFonts w:eastAsia="Calibri"/>
          <w:i/>
          <w:sz w:val="20"/>
          <w:szCs w:val="20"/>
          <w:lang w:val="es-HN" w:eastAsia="es-ES"/>
        </w:rPr>
      </w:pPr>
      <w:r w:rsidRPr="002A64C9">
        <w:rPr>
          <w:rFonts w:eastAsia="Calibri"/>
          <w:i/>
          <w:sz w:val="20"/>
          <w:szCs w:val="20"/>
          <w:lang w:val="es-HN" w:eastAsia="es-ES"/>
        </w:rPr>
        <w:t xml:space="preserve">1. Capacitaciones </w:t>
      </w:r>
    </w:p>
    <w:p w14:paraId="28BE2C46" w14:textId="77777777" w:rsidR="00121AA0" w:rsidRPr="002A64C9" w:rsidRDefault="00121AA0" w:rsidP="006B2A4D">
      <w:pPr>
        <w:widowControl w:val="0"/>
        <w:tabs>
          <w:tab w:val="left" w:pos="567"/>
          <w:tab w:val="num" w:pos="12305"/>
        </w:tabs>
        <w:adjustRightInd w:val="0"/>
        <w:textAlignment w:val="baseline"/>
        <w:rPr>
          <w:rFonts w:eastAsia="Calibri"/>
          <w:b/>
          <w:sz w:val="20"/>
          <w:szCs w:val="20"/>
          <w:lang w:val="es-HN" w:eastAsia="es-ES"/>
        </w:rPr>
      </w:pPr>
    </w:p>
    <w:p w14:paraId="22B552E5" w14:textId="1903DA60" w:rsidR="00121AA0" w:rsidRPr="002A64C9" w:rsidRDefault="005F2639" w:rsidP="00F43DFC">
      <w:pPr>
        <w:widowControl w:val="0"/>
        <w:numPr>
          <w:ilvl w:val="0"/>
          <w:numId w:val="2"/>
        </w:numPr>
        <w:tabs>
          <w:tab w:val="left" w:pos="567"/>
          <w:tab w:val="num" w:pos="1569"/>
          <w:tab w:val="num" w:pos="12305"/>
        </w:tabs>
        <w:adjustRightInd w:val="0"/>
        <w:ind w:left="0" w:firstLine="0"/>
        <w:textAlignment w:val="baseline"/>
        <w:rPr>
          <w:sz w:val="20"/>
          <w:szCs w:val="20"/>
        </w:rPr>
      </w:pPr>
      <w:r>
        <w:rPr>
          <w:rFonts w:eastAsia="Calibri"/>
          <w:sz w:val="20"/>
          <w:szCs w:val="20"/>
          <w:lang w:val="es-ES" w:eastAsia="es-ES"/>
        </w:rPr>
        <w:t>C</w:t>
      </w:r>
      <w:r w:rsidR="006B2A4D" w:rsidRPr="002A64C9">
        <w:rPr>
          <w:rFonts w:eastAsia="Calibri"/>
          <w:sz w:val="20"/>
          <w:szCs w:val="20"/>
          <w:lang w:val="es-ES" w:eastAsia="es-ES"/>
        </w:rPr>
        <w:t xml:space="preserve">on el propósito de reparar el daño </w:t>
      </w:r>
      <w:r w:rsidR="00920D09" w:rsidRPr="002A64C9">
        <w:rPr>
          <w:rFonts w:eastAsia="Calibri"/>
          <w:sz w:val="20"/>
          <w:szCs w:val="20"/>
          <w:lang w:val="es-ES" w:eastAsia="es-ES"/>
        </w:rPr>
        <w:t>de manera integral</w:t>
      </w:r>
      <w:r w:rsidR="006B2A4D" w:rsidRPr="002A64C9">
        <w:rPr>
          <w:rFonts w:eastAsia="Calibri"/>
          <w:sz w:val="20"/>
          <w:szCs w:val="20"/>
          <w:lang w:val="es-ES" w:eastAsia="es-ES"/>
        </w:rPr>
        <w:t xml:space="preserve"> y de evitar que hechos similares a los del presente caso se repitan, la Corte estima necesario </w:t>
      </w:r>
      <w:r w:rsidR="00F43DFC" w:rsidRPr="002A64C9">
        <w:rPr>
          <w:rFonts w:eastAsia="Calibri"/>
          <w:sz w:val="20"/>
          <w:szCs w:val="20"/>
          <w:lang w:val="es-ES" w:eastAsia="es-ES"/>
        </w:rPr>
        <w:t xml:space="preserve">ordenar al </w:t>
      </w:r>
      <w:r w:rsidR="006B2A4D" w:rsidRPr="002A64C9">
        <w:rPr>
          <w:rFonts w:eastAsia="Calibri"/>
          <w:sz w:val="20"/>
          <w:szCs w:val="20"/>
          <w:lang w:val="es-ES" w:eastAsia="es-ES"/>
        </w:rPr>
        <w:t>Estado</w:t>
      </w:r>
      <w:r w:rsidR="0026263B">
        <w:rPr>
          <w:rFonts w:eastAsiaTheme="minorHAnsi" w:cs="Verdana"/>
          <w:color w:val="000000"/>
          <w:sz w:val="20"/>
          <w:szCs w:val="20"/>
          <w:lang w:eastAsia="en-US"/>
        </w:rPr>
        <w:t xml:space="preserve"> que</w:t>
      </w:r>
      <w:r w:rsidR="00BF689D" w:rsidRPr="002A64C9">
        <w:rPr>
          <w:rStyle w:val="FootnoteReference"/>
          <w:rFonts w:eastAsia="Calibri"/>
          <w:sz w:val="20"/>
          <w:szCs w:val="20"/>
          <w:lang w:val="es-ES" w:eastAsia="es-ES"/>
        </w:rPr>
        <w:footnoteReference w:id="315"/>
      </w:r>
      <w:r w:rsidR="0026263B" w:rsidRPr="00B1523A">
        <w:rPr>
          <w:rFonts w:eastAsiaTheme="minorHAnsi" w:cs="Verdana"/>
          <w:color w:val="000000"/>
          <w:sz w:val="20"/>
          <w:szCs w:val="20"/>
          <w:lang w:eastAsia="en-US"/>
        </w:rPr>
        <w:t>,</w:t>
      </w:r>
      <w:r w:rsidR="00A303F0">
        <w:rPr>
          <w:rFonts w:eastAsiaTheme="minorHAnsi" w:cs="Verdana"/>
          <w:color w:val="000000"/>
          <w:sz w:val="20"/>
          <w:szCs w:val="20"/>
          <w:lang w:eastAsia="en-US"/>
        </w:rPr>
        <w:t xml:space="preserve"> </w:t>
      </w:r>
      <w:r w:rsidR="00F43DFC" w:rsidRPr="002A64C9">
        <w:rPr>
          <w:rFonts w:eastAsiaTheme="minorHAnsi" w:cs="Verdana"/>
          <w:color w:val="000000"/>
          <w:sz w:val="20"/>
          <w:szCs w:val="20"/>
          <w:lang w:eastAsia="en-US"/>
        </w:rPr>
        <w:t xml:space="preserve">dentro de un plazo de un año, adopte programas de educación y formación permanentes dirigidos a los estudiantes de medicina y profesionales médicos, así como a todo el personal que conforma el sistema de salud y seguridad social, </w:t>
      </w:r>
      <w:r w:rsidR="00312262" w:rsidRPr="002A64C9">
        <w:rPr>
          <w:sz w:val="20"/>
          <w:szCs w:val="20"/>
        </w:rPr>
        <w:t xml:space="preserve">incluyendo órganos de mediación, </w:t>
      </w:r>
      <w:r w:rsidR="006B2A4D" w:rsidRPr="002A64C9">
        <w:rPr>
          <w:rFonts w:eastAsia="Calibri"/>
          <w:sz w:val="20"/>
          <w:szCs w:val="20"/>
          <w:lang w:val="es-ES" w:eastAsia="es-ES"/>
        </w:rPr>
        <w:t xml:space="preserve">sobre el adecuado trato a </w:t>
      </w:r>
      <w:r w:rsidR="0001661C">
        <w:rPr>
          <w:rFonts w:eastAsia="Calibri"/>
          <w:sz w:val="20"/>
          <w:szCs w:val="20"/>
          <w:lang w:val="es-ES" w:eastAsia="es-ES"/>
        </w:rPr>
        <w:t>las personas mayores</w:t>
      </w:r>
      <w:r w:rsidR="006B2A4D" w:rsidRPr="002A64C9">
        <w:rPr>
          <w:rFonts w:eastAsia="Calibri"/>
          <w:sz w:val="20"/>
          <w:szCs w:val="20"/>
          <w:lang w:val="es-ES" w:eastAsia="es-ES"/>
        </w:rPr>
        <w:t xml:space="preserve"> en materia de salud </w:t>
      </w:r>
      <w:r w:rsidR="00312262" w:rsidRPr="002A64C9">
        <w:rPr>
          <w:rFonts w:eastAsia="Calibri"/>
          <w:sz w:val="20"/>
          <w:szCs w:val="20"/>
          <w:lang w:val="es-ES" w:eastAsia="es-ES"/>
        </w:rPr>
        <w:t>desde la perspectiva de los</w:t>
      </w:r>
      <w:r w:rsidR="006B2A4D" w:rsidRPr="002A64C9">
        <w:rPr>
          <w:rFonts w:eastAsia="Calibri"/>
          <w:sz w:val="20"/>
          <w:szCs w:val="20"/>
          <w:lang w:val="es-ES" w:eastAsia="es-ES"/>
        </w:rPr>
        <w:t xml:space="preserve"> derechos humanos</w:t>
      </w:r>
      <w:r w:rsidR="00BF689D" w:rsidRPr="002A64C9">
        <w:rPr>
          <w:rFonts w:eastAsia="Calibri"/>
          <w:sz w:val="20"/>
          <w:szCs w:val="20"/>
          <w:lang w:val="es-ES" w:eastAsia="es-ES"/>
        </w:rPr>
        <w:t xml:space="preserve"> </w:t>
      </w:r>
      <w:r w:rsidR="00312262" w:rsidRPr="002A64C9">
        <w:rPr>
          <w:rFonts w:eastAsia="Calibri"/>
          <w:sz w:val="20"/>
          <w:szCs w:val="20"/>
          <w:lang w:val="es-ES" w:eastAsia="es-ES"/>
        </w:rPr>
        <w:t>e impactos diferenciados</w:t>
      </w:r>
      <w:r w:rsidR="00F43DFC" w:rsidRPr="002A64C9">
        <w:rPr>
          <w:rFonts w:eastAsia="Calibri"/>
          <w:sz w:val="20"/>
          <w:szCs w:val="20"/>
          <w:lang w:val="es-ES" w:eastAsia="es-ES"/>
        </w:rPr>
        <w:t>.</w:t>
      </w:r>
      <w:r w:rsidR="00DB4A77" w:rsidRPr="002A64C9">
        <w:rPr>
          <w:sz w:val="20"/>
          <w:szCs w:val="20"/>
        </w:rPr>
        <w:t xml:space="preserve"> </w:t>
      </w:r>
      <w:r w:rsidR="00121AA0" w:rsidRPr="002A64C9">
        <w:rPr>
          <w:sz w:val="20"/>
          <w:szCs w:val="20"/>
        </w:rPr>
        <w:t>Dentro de dichos programas se deberá hacer especial mención a la presente Sentencia y a los instrumentos internacionales de derechos humanos, específicamente a los relativos al derecho a la salud</w:t>
      </w:r>
      <w:r w:rsidR="00F43DFC" w:rsidRPr="002A64C9">
        <w:rPr>
          <w:sz w:val="20"/>
          <w:szCs w:val="20"/>
        </w:rPr>
        <w:t xml:space="preserve"> </w:t>
      </w:r>
      <w:r>
        <w:rPr>
          <w:sz w:val="20"/>
          <w:szCs w:val="20"/>
        </w:rPr>
        <w:t>(</w:t>
      </w:r>
      <w:r w:rsidRPr="00B1523A">
        <w:rPr>
          <w:i/>
          <w:sz w:val="20"/>
          <w:szCs w:val="20"/>
        </w:rPr>
        <w:t>supra</w:t>
      </w:r>
      <w:r>
        <w:rPr>
          <w:sz w:val="20"/>
          <w:szCs w:val="20"/>
        </w:rPr>
        <w:t xml:space="preserve"> </w:t>
      </w:r>
      <w:proofErr w:type="spellStart"/>
      <w:r>
        <w:rPr>
          <w:sz w:val="20"/>
          <w:szCs w:val="20"/>
        </w:rPr>
        <w:t>párrs</w:t>
      </w:r>
      <w:proofErr w:type="spellEnd"/>
      <w:r>
        <w:rPr>
          <w:sz w:val="20"/>
          <w:szCs w:val="20"/>
        </w:rPr>
        <w:t xml:space="preserve">. 118 a 132) </w:t>
      </w:r>
      <w:r w:rsidR="00F43DFC" w:rsidRPr="002A64C9">
        <w:rPr>
          <w:sz w:val="20"/>
          <w:szCs w:val="20"/>
        </w:rPr>
        <w:t>y acceso a la información</w:t>
      </w:r>
      <w:r>
        <w:rPr>
          <w:sz w:val="20"/>
          <w:szCs w:val="20"/>
        </w:rPr>
        <w:t xml:space="preserve"> (</w:t>
      </w:r>
      <w:r w:rsidRPr="00F13E3B">
        <w:rPr>
          <w:i/>
          <w:sz w:val="20"/>
          <w:szCs w:val="20"/>
        </w:rPr>
        <w:t>supra</w:t>
      </w:r>
      <w:r>
        <w:rPr>
          <w:sz w:val="20"/>
          <w:szCs w:val="20"/>
        </w:rPr>
        <w:t xml:space="preserve"> </w:t>
      </w:r>
      <w:proofErr w:type="spellStart"/>
      <w:r>
        <w:rPr>
          <w:sz w:val="20"/>
          <w:szCs w:val="20"/>
        </w:rPr>
        <w:t>párrs</w:t>
      </w:r>
      <w:proofErr w:type="spellEnd"/>
      <w:r>
        <w:rPr>
          <w:sz w:val="20"/>
          <w:szCs w:val="20"/>
        </w:rPr>
        <w:t>. 160 a 171)</w:t>
      </w:r>
      <w:r w:rsidR="00121AA0" w:rsidRPr="002A64C9">
        <w:rPr>
          <w:rStyle w:val="FootnoteReference"/>
          <w:sz w:val="20"/>
          <w:szCs w:val="20"/>
        </w:rPr>
        <w:footnoteReference w:id="316"/>
      </w:r>
      <w:r w:rsidR="00121AA0" w:rsidRPr="002A64C9">
        <w:rPr>
          <w:sz w:val="20"/>
          <w:szCs w:val="20"/>
        </w:rPr>
        <w:t xml:space="preserve">. </w:t>
      </w:r>
      <w:r w:rsidR="00A7540B" w:rsidRPr="002A64C9">
        <w:rPr>
          <w:rFonts w:eastAsiaTheme="minorHAnsi" w:cs="Verdana"/>
          <w:color w:val="000000"/>
          <w:sz w:val="20"/>
          <w:szCs w:val="20"/>
          <w:lang w:eastAsia="en-US"/>
        </w:rPr>
        <w:t>El Estado deberá informar anualmente sobre su implementación.</w:t>
      </w:r>
    </w:p>
    <w:p w14:paraId="2139F063" w14:textId="77777777" w:rsidR="00121AA0" w:rsidRPr="002A64C9" w:rsidRDefault="00121AA0" w:rsidP="006B2A4D">
      <w:pPr>
        <w:widowControl w:val="0"/>
        <w:tabs>
          <w:tab w:val="left" w:pos="567"/>
          <w:tab w:val="num" w:pos="12305"/>
        </w:tabs>
        <w:adjustRightInd w:val="0"/>
        <w:textAlignment w:val="baseline"/>
        <w:rPr>
          <w:rFonts w:eastAsia="Calibri"/>
          <w:b/>
          <w:sz w:val="20"/>
          <w:szCs w:val="20"/>
          <w:lang w:eastAsia="es-ES"/>
        </w:rPr>
      </w:pPr>
    </w:p>
    <w:p w14:paraId="46C7CD99" w14:textId="43DD4401" w:rsidR="00121AA0" w:rsidRPr="002A64C9" w:rsidRDefault="00121AA0" w:rsidP="00121AA0">
      <w:pPr>
        <w:widowControl w:val="0"/>
        <w:tabs>
          <w:tab w:val="left" w:pos="567"/>
          <w:tab w:val="num" w:pos="12305"/>
        </w:tabs>
        <w:adjustRightInd w:val="0"/>
        <w:ind w:left="708"/>
        <w:textAlignment w:val="baseline"/>
        <w:rPr>
          <w:rFonts w:eastAsia="Calibri"/>
          <w:i/>
          <w:sz w:val="20"/>
          <w:szCs w:val="20"/>
          <w:lang w:val="es-HN" w:eastAsia="es-ES"/>
        </w:rPr>
      </w:pPr>
      <w:r w:rsidRPr="002A64C9">
        <w:rPr>
          <w:rFonts w:eastAsia="Calibri"/>
          <w:i/>
          <w:sz w:val="20"/>
          <w:szCs w:val="20"/>
          <w:lang w:val="es-HN" w:eastAsia="es-ES"/>
        </w:rPr>
        <w:t xml:space="preserve">2. </w:t>
      </w:r>
      <w:r w:rsidR="005F2639">
        <w:rPr>
          <w:rFonts w:eastAsia="Calibri"/>
          <w:i/>
          <w:sz w:val="20"/>
          <w:szCs w:val="20"/>
          <w:lang w:val="es-HN" w:eastAsia="es-ES"/>
        </w:rPr>
        <w:t>I</w:t>
      </w:r>
      <w:r w:rsidR="00497952">
        <w:rPr>
          <w:rFonts w:eastAsia="Calibri"/>
          <w:i/>
          <w:sz w:val="20"/>
          <w:szCs w:val="20"/>
          <w:lang w:val="es-HN" w:eastAsia="es-ES"/>
        </w:rPr>
        <w:t>nforme sobre implementación de avances en el H</w:t>
      </w:r>
      <w:r w:rsidR="004A0BDC">
        <w:rPr>
          <w:rFonts w:eastAsia="Calibri"/>
          <w:i/>
          <w:sz w:val="20"/>
          <w:szCs w:val="20"/>
          <w:lang w:val="es-HN" w:eastAsia="es-ES"/>
        </w:rPr>
        <w:t>ospital</w:t>
      </w:r>
      <w:r w:rsidR="00497952">
        <w:rPr>
          <w:rFonts w:eastAsia="Calibri"/>
          <w:i/>
          <w:sz w:val="20"/>
          <w:szCs w:val="20"/>
          <w:lang w:val="es-HN" w:eastAsia="es-ES"/>
        </w:rPr>
        <w:t xml:space="preserve"> Sotero del Río</w:t>
      </w:r>
    </w:p>
    <w:p w14:paraId="7A2732EE" w14:textId="77777777" w:rsidR="00121AA0" w:rsidRPr="002A64C9" w:rsidRDefault="00121AA0" w:rsidP="006B2A4D">
      <w:pPr>
        <w:widowControl w:val="0"/>
        <w:tabs>
          <w:tab w:val="left" w:pos="567"/>
          <w:tab w:val="num" w:pos="12305"/>
        </w:tabs>
        <w:adjustRightInd w:val="0"/>
        <w:textAlignment w:val="baseline"/>
        <w:rPr>
          <w:rFonts w:eastAsia="Calibri"/>
          <w:b/>
          <w:sz w:val="20"/>
          <w:szCs w:val="20"/>
          <w:lang w:eastAsia="es-ES"/>
        </w:rPr>
      </w:pPr>
    </w:p>
    <w:p w14:paraId="4CD9D82F" w14:textId="24E9C999" w:rsidR="006B2A4D" w:rsidRPr="002A64C9"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s-HN" w:eastAsia="es-ES"/>
        </w:rPr>
      </w:pPr>
      <w:r w:rsidRPr="002A64C9">
        <w:rPr>
          <w:rFonts w:eastAsia="Calibri"/>
          <w:sz w:val="20"/>
          <w:szCs w:val="20"/>
          <w:lang w:val="es-HN" w:eastAsia="es-ES"/>
        </w:rPr>
        <w:t xml:space="preserve">Asimismo, la Corte considera necesario que el Estado chileno asegure, a través de las medidas </w:t>
      </w:r>
      <w:r w:rsidR="00EB29D7" w:rsidRPr="002A64C9">
        <w:rPr>
          <w:rFonts w:eastAsia="Calibri"/>
          <w:sz w:val="20"/>
          <w:szCs w:val="20"/>
          <w:lang w:val="es-HN" w:eastAsia="es-ES"/>
        </w:rPr>
        <w:t>suficientes y necesarias</w:t>
      </w:r>
      <w:r w:rsidRPr="002A64C9">
        <w:rPr>
          <w:rFonts w:eastAsia="Calibri"/>
          <w:sz w:val="20"/>
          <w:szCs w:val="20"/>
          <w:lang w:val="es-HN" w:eastAsia="es-ES"/>
        </w:rPr>
        <w:t xml:space="preserve">, </w:t>
      </w:r>
      <w:r w:rsidRPr="002A64C9">
        <w:rPr>
          <w:rFonts w:eastAsia="Calibri"/>
          <w:sz w:val="20"/>
          <w:szCs w:val="20"/>
          <w:lang w:val="es-ES" w:eastAsia="es-ES"/>
        </w:rPr>
        <w:t xml:space="preserve">que el Hospital </w:t>
      </w:r>
      <w:proofErr w:type="spellStart"/>
      <w:r w:rsidRPr="002A64C9">
        <w:rPr>
          <w:rFonts w:eastAsia="Calibri"/>
          <w:sz w:val="20"/>
          <w:szCs w:val="20"/>
          <w:lang w:val="es-ES" w:eastAsia="es-ES"/>
        </w:rPr>
        <w:t>Sótero</w:t>
      </w:r>
      <w:proofErr w:type="spellEnd"/>
      <w:r w:rsidRPr="002A64C9">
        <w:rPr>
          <w:rFonts w:eastAsia="Calibri"/>
          <w:sz w:val="20"/>
          <w:szCs w:val="20"/>
          <w:lang w:val="es-ES" w:eastAsia="es-ES"/>
        </w:rPr>
        <w:t xml:space="preserve"> del Río cuente con los medios </w:t>
      </w:r>
      <w:r w:rsidR="00A303F0">
        <w:rPr>
          <w:rFonts w:eastAsia="Calibri"/>
          <w:sz w:val="20"/>
          <w:szCs w:val="20"/>
          <w:lang w:val="es-ES" w:eastAsia="es-ES"/>
        </w:rPr>
        <w:t>d</w:t>
      </w:r>
      <w:r w:rsidRPr="002A64C9">
        <w:rPr>
          <w:rFonts w:eastAsia="Calibri"/>
          <w:sz w:val="20"/>
          <w:szCs w:val="20"/>
          <w:lang w:val="es-ES" w:eastAsia="es-ES"/>
        </w:rPr>
        <w:t xml:space="preserve">e infraestructura </w:t>
      </w:r>
      <w:r w:rsidR="00EB29D7" w:rsidRPr="002A64C9">
        <w:rPr>
          <w:rFonts w:eastAsia="Calibri"/>
          <w:sz w:val="20"/>
          <w:szCs w:val="20"/>
          <w:lang w:val="es-ES" w:eastAsia="es-ES"/>
        </w:rPr>
        <w:t xml:space="preserve">indispensables </w:t>
      </w:r>
      <w:r w:rsidRPr="002A64C9">
        <w:rPr>
          <w:rFonts w:eastAsia="Calibri"/>
          <w:sz w:val="20"/>
          <w:szCs w:val="20"/>
          <w:lang w:val="es-ES" w:eastAsia="es-ES"/>
        </w:rPr>
        <w:t>para brindar una atención adecuada</w:t>
      </w:r>
      <w:r w:rsidR="00EB29D7" w:rsidRPr="002A64C9">
        <w:rPr>
          <w:rFonts w:eastAsia="Calibri"/>
          <w:sz w:val="20"/>
          <w:szCs w:val="20"/>
          <w:lang w:val="es-ES" w:eastAsia="es-ES"/>
        </w:rPr>
        <w:t>,</w:t>
      </w:r>
      <w:r w:rsidRPr="002A64C9">
        <w:rPr>
          <w:rFonts w:eastAsia="Calibri"/>
          <w:sz w:val="20"/>
          <w:szCs w:val="20"/>
          <w:lang w:val="es-ES" w:eastAsia="es-ES"/>
        </w:rPr>
        <w:t xml:space="preserve"> oportuna </w:t>
      </w:r>
      <w:r w:rsidR="00EB29D7" w:rsidRPr="002A64C9">
        <w:rPr>
          <w:rFonts w:eastAsia="Calibri"/>
          <w:sz w:val="20"/>
          <w:szCs w:val="20"/>
          <w:lang w:val="es-ES" w:eastAsia="es-ES"/>
        </w:rPr>
        <w:t xml:space="preserve">y de calidad </w:t>
      </w:r>
      <w:r w:rsidRPr="002A64C9">
        <w:rPr>
          <w:rFonts w:eastAsia="Calibri"/>
          <w:sz w:val="20"/>
          <w:szCs w:val="20"/>
          <w:lang w:val="es-ES" w:eastAsia="es-ES"/>
        </w:rPr>
        <w:t xml:space="preserve">a sus pacientes, </w:t>
      </w:r>
      <w:r w:rsidR="00121AA0" w:rsidRPr="002A64C9">
        <w:rPr>
          <w:rFonts w:eastAsia="Calibri"/>
          <w:sz w:val="20"/>
          <w:szCs w:val="20"/>
          <w:lang w:val="es-ES" w:eastAsia="es-ES"/>
        </w:rPr>
        <w:t xml:space="preserve">particularmente </w:t>
      </w:r>
      <w:r w:rsidR="005F2639">
        <w:rPr>
          <w:rFonts w:eastAsia="Calibri"/>
          <w:sz w:val="20"/>
          <w:szCs w:val="20"/>
          <w:lang w:val="es-ES" w:eastAsia="es-ES"/>
        </w:rPr>
        <w:t>relacionados con</w:t>
      </w:r>
      <w:r w:rsidR="00121AA0" w:rsidRPr="002A64C9">
        <w:rPr>
          <w:rFonts w:eastAsia="Calibri"/>
          <w:sz w:val="20"/>
          <w:szCs w:val="20"/>
          <w:lang w:val="es-ES" w:eastAsia="es-ES"/>
        </w:rPr>
        <w:t xml:space="preserve"> situaciones de </w:t>
      </w:r>
      <w:r w:rsidR="002A64C9" w:rsidRPr="002A64C9">
        <w:rPr>
          <w:rFonts w:eastAsia="Calibri"/>
          <w:sz w:val="20"/>
          <w:szCs w:val="20"/>
          <w:lang w:val="es-ES" w:eastAsia="es-ES"/>
        </w:rPr>
        <w:t xml:space="preserve">urgencia </w:t>
      </w:r>
      <w:r w:rsidR="00EB29D7" w:rsidRPr="002A64C9">
        <w:rPr>
          <w:rFonts w:eastAsia="Calibri"/>
          <w:sz w:val="20"/>
          <w:szCs w:val="20"/>
          <w:lang w:val="es-ES" w:eastAsia="es-ES"/>
        </w:rPr>
        <w:t>en</w:t>
      </w:r>
      <w:r w:rsidRPr="002A64C9">
        <w:rPr>
          <w:rFonts w:eastAsia="Calibri"/>
          <w:sz w:val="20"/>
          <w:szCs w:val="20"/>
          <w:lang w:val="es-ES" w:eastAsia="es-ES"/>
        </w:rPr>
        <w:t xml:space="preserve"> atención de la salud</w:t>
      </w:r>
      <w:r w:rsidR="00920D09" w:rsidRPr="002A64C9">
        <w:rPr>
          <w:rFonts w:eastAsia="Calibri"/>
          <w:sz w:val="20"/>
          <w:szCs w:val="20"/>
          <w:lang w:val="es-ES" w:eastAsia="es-ES"/>
        </w:rPr>
        <w:t xml:space="preserve">, brindando una protección reforzada a </w:t>
      </w:r>
      <w:r w:rsidR="0001661C" w:rsidRPr="00B1523A">
        <w:rPr>
          <w:rFonts w:eastAsia="Calibri"/>
          <w:sz w:val="20"/>
          <w:lang w:val="es-ES" w:eastAsia="es-ES"/>
        </w:rPr>
        <w:t>las personas mayores</w:t>
      </w:r>
      <w:r w:rsidRPr="00A303F0">
        <w:rPr>
          <w:rFonts w:eastAsia="Calibri"/>
          <w:sz w:val="20"/>
          <w:szCs w:val="20"/>
          <w:lang w:val="es-ES" w:eastAsia="es-ES"/>
        </w:rPr>
        <w:t>.</w:t>
      </w:r>
      <w:r w:rsidRPr="002A64C9">
        <w:rPr>
          <w:rFonts w:eastAsia="Calibri"/>
          <w:sz w:val="20"/>
          <w:szCs w:val="20"/>
          <w:lang w:val="es-ES" w:eastAsia="es-ES"/>
        </w:rPr>
        <w:t xml:space="preserve"> Para ello, la Corte solicita al Estado que informe, en el plazo de una año</w:t>
      </w:r>
      <w:r w:rsidR="00DB4A77" w:rsidRPr="002A64C9">
        <w:rPr>
          <w:rFonts w:eastAsia="Calibri"/>
          <w:sz w:val="20"/>
          <w:szCs w:val="20"/>
          <w:lang w:val="es-ES" w:eastAsia="es-ES"/>
        </w:rPr>
        <w:t xml:space="preserve">, </w:t>
      </w:r>
      <w:r w:rsidRPr="002A64C9">
        <w:rPr>
          <w:rFonts w:eastAsia="Calibri"/>
          <w:sz w:val="20"/>
          <w:szCs w:val="20"/>
          <w:lang w:val="es-ES" w:eastAsia="es-ES"/>
        </w:rPr>
        <w:t>sobre</w:t>
      </w:r>
      <w:r w:rsidR="002B3EE6" w:rsidRPr="002A64C9">
        <w:rPr>
          <w:rFonts w:eastAsia="Calibri"/>
          <w:sz w:val="20"/>
          <w:szCs w:val="20"/>
          <w:lang w:val="es-ES" w:eastAsia="es-ES"/>
        </w:rPr>
        <w:t>:</w:t>
      </w:r>
      <w:r w:rsidRPr="002A64C9">
        <w:rPr>
          <w:rFonts w:eastAsia="Calibri"/>
          <w:sz w:val="20"/>
          <w:szCs w:val="20"/>
          <w:lang w:val="es-ES" w:eastAsia="es-ES"/>
        </w:rPr>
        <w:t xml:space="preserve"> </w:t>
      </w:r>
      <w:r w:rsidR="002B3EE6" w:rsidRPr="002A64C9">
        <w:rPr>
          <w:rFonts w:eastAsia="Calibri"/>
          <w:sz w:val="20"/>
          <w:szCs w:val="20"/>
          <w:lang w:val="es-ES" w:eastAsia="es-ES"/>
        </w:rPr>
        <w:t xml:space="preserve">a) </w:t>
      </w:r>
      <w:r w:rsidRPr="002A64C9">
        <w:rPr>
          <w:rFonts w:eastAsia="Calibri"/>
          <w:sz w:val="20"/>
          <w:szCs w:val="20"/>
          <w:lang w:val="es-ES" w:eastAsia="es-ES"/>
        </w:rPr>
        <w:t>los avances que ha implementado</w:t>
      </w:r>
      <w:r w:rsidR="00294152">
        <w:rPr>
          <w:rFonts w:eastAsia="Calibri"/>
          <w:sz w:val="20"/>
          <w:szCs w:val="20"/>
          <w:lang w:val="es-ES" w:eastAsia="es-ES"/>
        </w:rPr>
        <w:t>,</w:t>
      </w:r>
      <w:r w:rsidRPr="002A64C9">
        <w:rPr>
          <w:rFonts w:eastAsia="Calibri"/>
          <w:sz w:val="20"/>
          <w:szCs w:val="20"/>
          <w:lang w:val="es-ES" w:eastAsia="es-ES"/>
        </w:rPr>
        <w:t xml:space="preserve"> </w:t>
      </w:r>
      <w:r w:rsidR="002B3EE6" w:rsidRPr="002A64C9">
        <w:rPr>
          <w:rFonts w:eastAsia="Calibri"/>
          <w:sz w:val="20"/>
          <w:szCs w:val="20"/>
          <w:lang w:val="es-ES" w:eastAsia="es-ES"/>
        </w:rPr>
        <w:t xml:space="preserve">a la actualidad </w:t>
      </w:r>
      <w:r w:rsidR="00294152">
        <w:rPr>
          <w:rFonts w:eastAsia="Calibri"/>
          <w:sz w:val="20"/>
          <w:szCs w:val="20"/>
          <w:lang w:val="es-ES" w:eastAsia="es-ES"/>
        </w:rPr>
        <w:t xml:space="preserve">del informe, </w:t>
      </w:r>
      <w:r w:rsidRPr="002A64C9">
        <w:rPr>
          <w:rFonts w:eastAsia="Calibri"/>
          <w:sz w:val="20"/>
          <w:szCs w:val="20"/>
          <w:lang w:val="es-ES" w:eastAsia="es-ES"/>
        </w:rPr>
        <w:t xml:space="preserve">en infraestructura </w:t>
      </w:r>
      <w:r w:rsidR="00294152">
        <w:rPr>
          <w:rFonts w:eastAsia="Calibri"/>
          <w:sz w:val="20"/>
          <w:szCs w:val="20"/>
          <w:lang w:val="es-ES" w:eastAsia="es-ES"/>
        </w:rPr>
        <w:t>de</w:t>
      </w:r>
      <w:r w:rsidRPr="002A64C9">
        <w:rPr>
          <w:rFonts w:eastAsia="Calibri"/>
          <w:sz w:val="20"/>
          <w:szCs w:val="20"/>
          <w:lang w:val="es-ES" w:eastAsia="es-ES"/>
        </w:rPr>
        <w:t xml:space="preserve"> la U</w:t>
      </w:r>
      <w:r w:rsidR="002B3EE6" w:rsidRPr="002A64C9">
        <w:rPr>
          <w:rFonts w:eastAsia="Calibri"/>
          <w:sz w:val="20"/>
          <w:szCs w:val="20"/>
          <w:lang w:val="es-ES" w:eastAsia="es-ES"/>
        </w:rPr>
        <w:t>nidad de C</w:t>
      </w:r>
      <w:r w:rsidR="00EB29D7" w:rsidRPr="002A64C9">
        <w:rPr>
          <w:rFonts w:eastAsia="Calibri"/>
          <w:sz w:val="20"/>
          <w:szCs w:val="20"/>
          <w:lang w:val="es-ES" w:eastAsia="es-ES"/>
        </w:rPr>
        <w:t xml:space="preserve">uidados </w:t>
      </w:r>
      <w:r w:rsidR="002B3EE6" w:rsidRPr="002A64C9">
        <w:rPr>
          <w:rFonts w:eastAsia="Calibri"/>
          <w:sz w:val="20"/>
          <w:szCs w:val="20"/>
          <w:lang w:val="es-ES" w:eastAsia="es-ES"/>
        </w:rPr>
        <w:t>I</w:t>
      </w:r>
      <w:r w:rsidR="00EB29D7" w:rsidRPr="002A64C9">
        <w:rPr>
          <w:rFonts w:eastAsia="Calibri"/>
          <w:sz w:val="20"/>
          <w:szCs w:val="20"/>
          <w:lang w:val="es-ES" w:eastAsia="es-ES"/>
        </w:rPr>
        <w:t xml:space="preserve">ntensivos </w:t>
      </w:r>
      <w:r w:rsidRPr="002A64C9">
        <w:rPr>
          <w:rFonts w:eastAsia="Calibri"/>
          <w:sz w:val="20"/>
          <w:szCs w:val="20"/>
          <w:lang w:val="es-ES" w:eastAsia="es-ES"/>
        </w:rPr>
        <w:t>de dicho Hospita</w:t>
      </w:r>
      <w:r w:rsidR="00657861" w:rsidRPr="002A64C9">
        <w:rPr>
          <w:rFonts w:eastAsia="Calibri"/>
          <w:sz w:val="20"/>
          <w:szCs w:val="20"/>
          <w:lang w:val="es-ES" w:eastAsia="es-ES"/>
        </w:rPr>
        <w:t>l</w:t>
      </w:r>
      <w:r w:rsidR="002B3EE6" w:rsidRPr="002A64C9">
        <w:rPr>
          <w:rFonts w:eastAsia="Calibri"/>
          <w:sz w:val="20"/>
          <w:szCs w:val="20"/>
          <w:lang w:val="es-ES" w:eastAsia="es-ES"/>
        </w:rPr>
        <w:t>; b)</w:t>
      </w:r>
      <w:r w:rsidRPr="002A64C9">
        <w:rPr>
          <w:rFonts w:eastAsia="Calibri"/>
          <w:sz w:val="20"/>
          <w:szCs w:val="20"/>
          <w:lang w:val="es-ES" w:eastAsia="es-ES"/>
        </w:rPr>
        <w:t xml:space="preserve"> </w:t>
      </w:r>
      <w:r w:rsidR="00EB29D7" w:rsidRPr="002A64C9">
        <w:rPr>
          <w:rFonts w:eastAsia="Calibri"/>
          <w:sz w:val="20"/>
          <w:szCs w:val="20"/>
          <w:lang w:val="es-ES" w:eastAsia="es-ES"/>
        </w:rPr>
        <w:t xml:space="preserve">los protocolos </w:t>
      </w:r>
      <w:r w:rsidR="002B3EE6" w:rsidRPr="002A64C9">
        <w:rPr>
          <w:rFonts w:eastAsia="Calibri"/>
          <w:sz w:val="20"/>
          <w:szCs w:val="20"/>
          <w:lang w:val="es-ES" w:eastAsia="es-ES"/>
        </w:rPr>
        <w:t xml:space="preserve">vigentes </w:t>
      </w:r>
      <w:r w:rsidR="00EB29D7" w:rsidRPr="002A64C9">
        <w:rPr>
          <w:rFonts w:eastAsia="Calibri"/>
          <w:sz w:val="20"/>
          <w:szCs w:val="20"/>
          <w:lang w:val="es-ES" w:eastAsia="es-ES"/>
        </w:rPr>
        <w:t xml:space="preserve">de atención frente a </w:t>
      </w:r>
      <w:r w:rsidR="002A64C9" w:rsidRPr="002A64C9">
        <w:rPr>
          <w:rFonts w:eastAsia="Calibri"/>
          <w:sz w:val="20"/>
          <w:szCs w:val="20"/>
          <w:lang w:val="es-ES" w:eastAsia="es-ES"/>
        </w:rPr>
        <w:t xml:space="preserve">urgencias </w:t>
      </w:r>
      <w:r w:rsidR="00EB29D7" w:rsidRPr="002A64C9">
        <w:rPr>
          <w:rFonts w:eastAsia="Calibri"/>
          <w:sz w:val="20"/>
          <w:szCs w:val="20"/>
          <w:lang w:val="es-ES" w:eastAsia="es-ES"/>
        </w:rPr>
        <w:t>médicas,</w:t>
      </w:r>
      <w:r w:rsidR="002B3EE6" w:rsidRPr="002A64C9">
        <w:rPr>
          <w:rFonts w:eastAsia="Calibri"/>
          <w:sz w:val="20"/>
          <w:szCs w:val="20"/>
          <w:lang w:val="es-ES" w:eastAsia="es-ES"/>
        </w:rPr>
        <w:t xml:space="preserve"> y c)</w:t>
      </w:r>
      <w:r w:rsidR="00EB29D7" w:rsidRPr="002A64C9">
        <w:rPr>
          <w:rFonts w:eastAsia="Calibri"/>
          <w:sz w:val="20"/>
          <w:szCs w:val="20"/>
          <w:lang w:val="es-ES" w:eastAsia="es-ES"/>
        </w:rPr>
        <w:t xml:space="preserve"> </w:t>
      </w:r>
      <w:r w:rsidRPr="002A64C9">
        <w:rPr>
          <w:rFonts w:eastAsia="Calibri"/>
          <w:sz w:val="20"/>
          <w:szCs w:val="20"/>
          <w:lang w:val="es-ES" w:eastAsia="es-ES"/>
        </w:rPr>
        <w:t>las acciones implementadas para la mejora en la atención médica de los pacientes en</w:t>
      </w:r>
      <w:r w:rsidR="002B3EE6" w:rsidRPr="002A64C9">
        <w:rPr>
          <w:rFonts w:eastAsia="Calibri"/>
          <w:sz w:val="20"/>
          <w:szCs w:val="20"/>
          <w:lang w:val="es-ES" w:eastAsia="es-ES"/>
        </w:rPr>
        <w:t xml:space="preserve"> la UCI</w:t>
      </w:r>
      <w:r w:rsidRPr="002A64C9">
        <w:rPr>
          <w:rFonts w:eastAsia="Calibri"/>
          <w:sz w:val="20"/>
          <w:szCs w:val="20"/>
          <w:lang w:val="es-ES" w:eastAsia="es-ES"/>
        </w:rPr>
        <w:t xml:space="preserve">, particularmente de </w:t>
      </w:r>
      <w:r w:rsidR="0001661C" w:rsidRPr="00B1523A">
        <w:rPr>
          <w:rFonts w:eastAsia="Calibri"/>
          <w:sz w:val="20"/>
          <w:lang w:val="es-ES" w:eastAsia="es-ES"/>
        </w:rPr>
        <w:t>las personas mayores</w:t>
      </w:r>
      <w:r w:rsidR="00EB29D7" w:rsidRPr="002A64C9">
        <w:rPr>
          <w:rFonts w:eastAsia="Calibri"/>
          <w:sz w:val="20"/>
          <w:szCs w:val="20"/>
          <w:lang w:val="es-ES" w:eastAsia="es-ES"/>
        </w:rPr>
        <w:t xml:space="preserve"> </w:t>
      </w:r>
      <w:r w:rsidR="002B3EE6" w:rsidRPr="002A64C9">
        <w:rPr>
          <w:rFonts w:eastAsia="Calibri"/>
          <w:sz w:val="20"/>
          <w:szCs w:val="20"/>
          <w:lang w:val="es-ES" w:eastAsia="es-ES"/>
        </w:rPr>
        <w:t>–desde la perspectiva geriátric</w:t>
      </w:r>
      <w:r w:rsidR="002B3EE6" w:rsidRPr="00A303F0">
        <w:rPr>
          <w:rFonts w:eastAsia="Calibri"/>
          <w:sz w:val="20"/>
          <w:szCs w:val="20"/>
          <w:lang w:val="es-ES" w:eastAsia="es-ES"/>
        </w:rPr>
        <w:t>a</w:t>
      </w:r>
      <w:r w:rsidR="00A431D7" w:rsidRPr="00B1523A">
        <w:rPr>
          <w:rFonts w:eastAsia="Calibri"/>
          <w:sz w:val="20"/>
          <w:szCs w:val="20"/>
          <w:lang w:val="es-ES" w:eastAsia="es-ES"/>
        </w:rPr>
        <w:t>–</w:t>
      </w:r>
      <w:r w:rsidR="00EB29D7" w:rsidRPr="00A303F0">
        <w:rPr>
          <w:rFonts w:eastAsia="Calibri"/>
          <w:sz w:val="20"/>
          <w:szCs w:val="20"/>
          <w:lang w:val="es-ES" w:eastAsia="es-ES"/>
        </w:rPr>
        <w:t>,</w:t>
      </w:r>
      <w:r w:rsidRPr="002A64C9">
        <w:rPr>
          <w:rFonts w:eastAsia="Calibri"/>
          <w:sz w:val="20"/>
          <w:szCs w:val="20"/>
          <w:lang w:val="es-ES" w:eastAsia="es-ES"/>
        </w:rPr>
        <w:t xml:space="preserve"> </w:t>
      </w:r>
      <w:r w:rsidR="002B3EE6" w:rsidRPr="002A64C9">
        <w:rPr>
          <w:rFonts w:eastAsia="Calibri"/>
          <w:sz w:val="20"/>
          <w:szCs w:val="20"/>
          <w:lang w:val="es-ES" w:eastAsia="es-ES"/>
        </w:rPr>
        <w:t xml:space="preserve">y </w:t>
      </w:r>
      <w:r w:rsidRPr="002A64C9">
        <w:rPr>
          <w:rFonts w:eastAsia="Calibri"/>
          <w:sz w:val="20"/>
          <w:szCs w:val="20"/>
          <w:lang w:val="es-ES" w:eastAsia="es-ES"/>
        </w:rPr>
        <w:t xml:space="preserve">a la luz de los estándares de esta Sentencia. </w:t>
      </w:r>
      <w:r w:rsidR="00DB4A77" w:rsidRPr="002A64C9">
        <w:rPr>
          <w:rFonts w:eastAsiaTheme="minorHAnsi" w:cs="Verdana"/>
          <w:color w:val="000000"/>
          <w:sz w:val="20"/>
          <w:szCs w:val="20"/>
          <w:lang w:eastAsia="en-US"/>
        </w:rPr>
        <w:t xml:space="preserve">El Estado deberá informar anualmente sobre </w:t>
      </w:r>
      <w:r w:rsidR="00A60A35" w:rsidRPr="002A64C9">
        <w:rPr>
          <w:rFonts w:eastAsiaTheme="minorHAnsi" w:cs="Verdana"/>
          <w:color w:val="000000"/>
          <w:sz w:val="20"/>
          <w:szCs w:val="20"/>
          <w:lang w:eastAsia="en-US"/>
        </w:rPr>
        <w:t xml:space="preserve">estos avances </w:t>
      </w:r>
      <w:r w:rsidR="00DB4A77" w:rsidRPr="002A64C9">
        <w:rPr>
          <w:rFonts w:eastAsiaTheme="minorHAnsi" w:cs="Verdana"/>
          <w:color w:val="000000"/>
          <w:sz w:val="20"/>
          <w:szCs w:val="20"/>
          <w:lang w:eastAsia="en-US"/>
        </w:rPr>
        <w:t xml:space="preserve">por un período de </w:t>
      </w:r>
      <w:r w:rsidR="00A60A35" w:rsidRPr="002A64C9">
        <w:rPr>
          <w:rFonts w:eastAsiaTheme="minorHAnsi" w:cs="Verdana"/>
          <w:color w:val="000000"/>
          <w:sz w:val="20"/>
          <w:szCs w:val="20"/>
          <w:lang w:eastAsia="en-US"/>
        </w:rPr>
        <w:t>tres</w:t>
      </w:r>
      <w:r w:rsidR="00DB4A77" w:rsidRPr="002A64C9">
        <w:rPr>
          <w:rFonts w:eastAsiaTheme="minorHAnsi" w:cs="Verdana"/>
          <w:color w:val="000000"/>
          <w:sz w:val="20"/>
          <w:szCs w:val="20"/>
          <w:lang w:eastAsia="en-US"/>
        </w:rPr>
        <w:t xml:space="preserve"> años. </w:t>
      </w:r>
      <w:r w:rsidR="00EB29D7" w:rsidRPr="002A64C9">
        <w:rPr>
          <w:rFonts w:eastAsia="Calibri"/>
          <w:sz w:val="20"/>
          <w:szCs w:val="20"/>
          <w:lang w:val="es-ES" w:eastAsia="es-ES"/>
        </w:rPr>
        <w:t xml:space="preserve">La Corte valorará esta información en su supervisión y se pronunciará al respecto. </w:t>
      </w:r>
    </w:p>
    <w:p w14:paraId="5C47695A" w14:textId="77777777" w:rsidR="00121AA0" w:rsidRPr="002A64C9" w:rsidRDefault="00121AA0" w:rsidP="006B2A4D">
      <w:pPr>
        <w:widowControl w:val="0"/>
        <w:tabs>
          <w:tab w:val="left" w:pos="567"/>
          <w:tab w:val="num" w:pos="12305"/>
        </w:tabs>
        <w:adjustRightInd w:val="0"/>
        <w:textAlignment w:val="baseline"/>
        <w:rPr>
          <w:rFonts w:eastAsia="Calibri"/>
          <w:b/>
          <w:sz w:val="20"/>
          <w:szCs w:val="20"/>
          <w:lang w:val="es-HN" w:eastAsia="es-ES"/>
        </w:rPr>
      </w:pPr>
    </w:p>
    <w:p w14:paraId="3AA17936" w14:textId="181A7682" w:rsidR="00EB29D7" w:rsidRPr="002A64C9" w:rsidRDefault="00EB29D7" w:rsidP="005430FF">
      <w:pPr>
        <w:widowControl w:val="0"/>
        <w:tabs>
          <w:tab w:val="left" w:pos="567"/>
          <w:tab w:val="num" w:pos="12305"/>
        </w:tabs>
        <w:adjustRightInd w:val="0"/>
        <w:ind w:left="708"/>
        <w:textAlignment w:val="baseline"/>
        <w:rPr>
          <w:rFonts w:eastAsia="Calibri"/>
          <w:i/>
          <w:sz w:val="20"/>
          <w:szCs w:val="20"/>
          <w:lang w:val="es-HN" w:eastAsia="es-ES"/>
        </w:rPr>
      </w:pPr>
      <w:r w:rsidRPr="002A64C9">
        <w:rPr>
          <w:rFonts w:eastAsia="Calibri"/>
          <w:i/>
          <w:sz w:val="20"/>
          <w:szCs w:val="20"/>
          <w:lang w:val="es-HN" w:eastAsia="es-ES"/>
        </w:rPr>
        <w:t xml:space="preserve">3. </w:t>
      </w:r>
      <w:r w:rsidR="00272E30" w:rsidRPr="002A64C9">
        <w:rPr>
          <w:rFonts w:eastAsia="Calibri"/>
          <w:i/>
          <w:sz w:val="20"/>
          <w:szCs w:val="20"/>
          <w:lang w:val="es-HN" w:eastAsia="es-ES"/>
        </w:rPr>
        <w:t>I</w:t>
      </w:r>
      <w:r w:rsidRPr="002A64C9">
        <w:rPr>
          <w:rFonts w:eastAsia="Calibri"/>
          <w:i/>
          <w:sz w:val="20"/>
          <w:szCs w:val="20"/>
          <w:lang w:val="es-HN" w:eastAsia="es-ES"/>
        </w:rPr>
        <w:t xml:space="preserve">ncidencia </w:t>
      </w:r>
      <w:r w:rsidR="00A60A35" w:rsidRPr="002A64C9">
        <w:rPr>
          <w:rFonts w:eastAsia="Calibri"/>
          <w:i/>
          <w:sz w:val="20"/>
          <w:szCs w:val="20"/>
          <w:lang w:val="es-HN" w:eastAsia="es-ES"/>
        </w:rPr>
        <w:t>geriátrica</w:t>
      </w:r>
      <w:r w:rsidR="00A17AB4" w:rsidRPr="002A64C9">
        <w:rPr>
          <w:rFonts w:eastAsia="Calibri"/>
          <w:i/>
          <w:sz w:val="20"/>
          <w:szCs w:val="20"/>
          <w:lang w:val="es-HN" w:eastAsia="es-ES"/>
        </w:rPr>
        <w:t xml:space="preserve"> en la salud</w:t>
      </w:r>
      <w:r w:rsidR="00272E30" w:rsidRPr="002A64C9">
        <w:rPr>
          <w:rFonts w:eastAsia="Calibri"/>
          <w:i/>
          <w:sz w:val="20"/>
          <w:szCs w:val="20"/>
          <w:lang w:val="es-HN" w:eastAsia="es-ES"/>
        </w:rPr>
        <w:t xml:space="preserve"> y medidas a favor de las personas adultas mayores</w:t>
      </w:r>
    </w:p>
    <w:p w14:paraId="5FB3EC73" w14:textId="755CCDD3" w:rsidR="00EB29D7" w:rsidRDefault="004A0BDC" w:rsidP="006B2A4D">
      <w:pPr>
        <w:widowControl w:val="0"/>
        <w:tabs>
          <w:tab w:val="left" w:pos="567"/>
          <w:tab w:val="num" w:pos="12305"/>
        </w:tabs>
        <w:adjustRightInd w:val="0"/>
        <w:textAlignment w:val="baseline"/>
        <w:rPr>
          <w:rFonts w:eastAsia="Calibri"/>
          <w:sz w:val="20"/>
          <w:szCs w:val="20"/>
          <w:lang w:val="es-HN" w:eastAsia="es-ES"/>
        </w:rPr>
      </w:pPr>
      <w:r>
        <w:rPr>
          <w:rFonts w:eastAsia="Calibri"/>
          <w:sz w:val="20"/>
          <w:szCs w:val="20"/>
          <w:lang w:val="es-HN" w:eastAsia="es-ES"/>
        </w:rPr>
        <w:tab/>
        <w:t xml:space="preserve"> </w:t>
      </w:r>
    </w:p>
    <w:p w14:paraId="437D6FFB" w14:textId="37E7CAC6" w:rsidR="004A0BDC" w:rsidRDefault="004A0BDC" w:rsidP="006B2A4D">
      <w:pPr>
        <w:widowControl w:val="0"/>
        <w:tabs>
          <w:tab w:val="left" w:pos="567"/>
          <w:tab w:val="num" w:pos="12305"/>
        </w:tabs>
        <w:adjustRightInd w:val="0"/>
        <w:textAlignment w:val="baseline"/>
        <w:rPr>
          <w:rFonts w:eastAsia="Calibri"/>
          <w:i/>
          <w:sz w:val="20"/>
          <w:szCs w:val="20"/>
          <w:lang w:val="es-HN" w:eastAsia="es-ES"/>
        </w:rPr>
      </w:pPr>
      <w:r>
        <w:rPr>
          <w:rFonts w:eastAsia="Calibri"/>
          <w:i/>
          <w:sz w:val="20"/>
          <w:szCs w:val="20"/>
          <w:lang w:val="es-HN" w:eastAsia="es-ES"/>
        </w:rPr>
        <w:tab/>
        <w:t xml:space="preserve">            </w:t>
      </w:r>
      <w:r w:rsidRPr="00DB0B4E">
        <w:rPr>
          <w:rFonts w:eastAsia="Calibri"/>
          <w:i/>
          <w:sz w:val="20"/>
          <w:szCs w:val="20"/>
          <w:lang w:val="es-HN" w:eastAsia="es-ES"/>
        </w:rPr>
        <w:t xml:space="preserve">i) </w:t>
      </w:r>
      <w:r w:rsidR="005F2639">
        <w:rPr>
          <w:rFonts w:eastAsia="Calibri"/>
          <w:i/>
          <w:sz w:val="20"/>
          <w:szCs w:val="20"/>
          <w:lang w:val="es-HN" w:eastAsia="es-ES"/>
        </w:rPr>
        <w:t>F</w:t>
      </w:r>
      <w:r w:rsidRPr="00DB0B4E">
        <w:rPr>
          <w:rFonts w:eastAsia="Calibri"/>
          <w:i/>
          <w:sz w:val="20"/>
          <w:szCs w:val="20"/>
          <w:lang w:val="es-HN" w:eastAsia="es-ES"/>
        </w:rPr>
        <w:t>ortalecimiento institucional</w:t>
      </w:r>
    </w:p>
    <w:p w14:paraId="78D15E9B" w14:textId="77777777" w:rsidR="004A0BDC" w:rsidRPr="00531D45" w:rsidRDefault="004A0BDC" w:rsidP="006B2A4D">
      <w:pPr>
        <w:widowControl w:val="0"/>
        <w:tabs>
          <w:tab w:val="left" w:pos="567"/>
          <w:tab w:val="num" w:pos="12305"/>
        </w:tabs>
        <w:adjustRightInd w:val="0"/>
        <w:textAlignment w:val="baseline"/>
        <w:rPr>
          <w:rFonts w:eastAsia="Calibri"/>
          <w:sz w:val="20"/>
          <w:szCs w:val="20"/>
          <w:lang w:val="es-HN" w:eastAsia="es-ES"/>
        </w:rPr>
      </w:pPr>
    </w:p>
    <w:p w14:paraId="1482DDD5" w14:textId="525ADFC0" w:rsidR="00EB29D7" w:rsidRPr="002A64C9"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s-HN" w:eastAsia="es-ES"/>
        </w:rPr>
      </w:pPr>
      <w:r w:rsidRPr="002A64C9">
        <w:rPr>
          <w:rFonts w:eastAsia="Calibri"/>
          <w:sz w:val="20"/>
          <w:szCs w:val="20"/>
          <w:lang w:val="es-ES" w:eastAsia="es-ES"/>
        </w:rPr>
        <w:t xml:space="preserve">Respecto de la solicitud de las representantes de crear un hospital especializado en el trato médico de adultos mayores, o en su defecto la habilitación </w:t>
      </w:r>
      <w:r w:rsidRPr="00A303F0">
        <w:rPr>
          <w:rFonts w:eastAsia="Calibri"/>
          <w:sz w:val="20"/>
          <w:szCs w:val="20"/>
          <w:lang w:val="es-ES" w:eastAsia="es-ES"/>
        </w:rPr>
        <w:t>de un</w:t>
      </w:r>
      <w:r w:rsidR="002D3464" w:rsidRPr="00B1523A">
        <w:rPr>
          <w:rFonts w:eastAsia="Calibri"/>
          <w:sz w:val="20"/>
          <w:szCs w:val="20"/>
          <w:lang w:val="es-ES" w:eastAsia="es-ES"/>
        </w:rPr>
        <w:t>a</w:t>
      </w:r>
      <w:r w:rsidRPr="002A64C9">
        <w:rPr>
          <w:rFonts w:eastAsia="Calibri"/>
          <w:sz w:val="20"/>
          <w:szCs w:val="20"/>
          <w:lang w:val="es-ES" w:eastAsia="es-ES"/>
        </w:rPr>
        <w:t xml:space="preserve"> ala especializada para el adulto mayor dentro de los hospitales ya existentes y de robustecer la responsabilidad civil y penal de los servidores de salud en estos casos, el Tribunal </w:t>
      </w:r>
      <w:r w:rsidR="00DB4A77" w:rsidRPr="002A64C9">
        <w:rPr>
          <w:rFonts w:eastAsia="Calibri"/>
          <w:sz w:val="20"/>
          <w:szCs w:val="20"/>
          <w:lang w:val="es-ES" w:eastAsia="es-ES"/>
        </w:rPr>
        <w:t xml:space="preserve">toma nota de </w:t>
      </w:r>
      <w:r w:rsidRPr="002A64C9">
        <w:rPr>
          <w:rFonts w:eastAsia="Calibri"/>
          <w:sz w:val="20"/>
          <w:szCs w:val="20"/>
          <w:lang w:val="es-ES" w:eastAsia="es-ES"/>
        </w:rPr>
        <w:t xml:space="preserve">la existencia del </w:t>
      </w:r>
      <w:r w:rsidR="00A7540B" w:rsidRPr="002A64C9">
        <w:rPr>
          <w:rFonts w:eastAsia="Calibri"/>
          <w:sz w:val="20"/>
          <w:szCs w:val="20"/>
          <w:lang w:val="es-ES" w:eastAsia="es-ES"/>
        </w:rPr>
        <w:lastRenderedPageBreak/>
        <w:t>“</w:t>
      </w:r>
      <w:r w:rsidRPr="002A64C9">
        <w:rPr>
          <w:rFonts w:eastAsia="Calibri"/>
          <w:sz w:val="20"/>
          <w:szCs w:val="20"/>
          <w:lang w:val="es-ES" w:eastAsia="es-ES"/>
        </w:rPr>
        <w:t>Instituto Nacional de Geriatría</w:t>
      </w:r>
      <w:r w:rsidR="00A7540B" w:rsidRPr="002A64C9">
        <w:rPr>
          <w:rFonts w:eastAsia="Calibri"/>
          <w:sz w:val="20"/>
          <w:szCs w:val="20"/>
          <w:lang w:val="es-ES" w:eastAsia="es-ES"/>
        </w:rPr>
        <w:t>”</w:t>
      </w:r>
      <w:r w:rsidRPr="002A64C9">
        <w:rPr>
          <w:rFonts w:eastAsia="Calibri"/>
          <w:sz w:val="20"/>
          <w:szCs w:val="20"/>
          <w:lang w:val="es-ES" w:eastAsia="es-ES"/>
        </w:rPr>
        <w:t xml:space="preserve"> en el mejoramiento de la atención médica a las personas adultas mayores en Chile, por lo que insta al Estado </w:t>
      </w:r>
      <w:r w:rsidR="00444715" w:rsidRPr="002A64C9">
        <w:rPr>
          <w:rFonts w:eastAsia="Calibri"/>
          <w:sz w:val="20"/>
          <w:szCs w:val="20"/>
          <w:lang w:val="es-ES" w:eastAsia="es-ES"/>
        </w:rPr>
        <w:t>fortalecer</w:t>
      </w:r>
      <w:r w:rsidRPr="002A64C9">
        <w:rPr>
          <w:rFonts w:eastAsia="Calibri"/>
          <w:sz w:val="20"/>
          <w:szCs w:val="20"/>
          <w:lang w:val="es-ES" w:eastAsia="es-ES"/>
        </w:rPr>
        <w:t xml:space="preserve"> esta institución y su incidencia en la red </w:t>
      </w:r>
      <w:r w:rsidR="00937D84" w:rsidRPr="002A64C9">
        <w:rPr>
          <w:rFonts w:eastAsia="Calibri"/>
          <w:sz w:val="20"/>
          <w:szCs w:val="20"/>
          <w:lang w:val="es-ES" w:eastAsia="es-ES"/>
        </w:rPr>
        <w:t>hospitalaria</w:t>
      </w:r>
      <w:r w:rsidR="00DB4A77" w:rsidRPr="002A64C9">
        <w:rPr>
          <w:rFonts w:eastAsia="Calibri"/>
          <w:sz w:val="20"/>
          <w:szCs w:val="20"/>
          <w:lang w:val="es-ES" w:eastAsia="es-ES"/>
        </w:rPr>
        <w:t xml:space="preserve"> tanto pública como privada</w:t>
      </w:r>
      <w:r w:rsidR="00EB29D7" w:rsidRPr="002A64C9">
        <w:rPr>
          <w:rFonts w:eastAsia="Calibri"/>
          <w:sz w:val="20"/>
          <w:szCs w:val="20"/>
          <w:lang w:val="es-ES" w:eastAsia="es-ES"/>
        </w:rPr>
        <w:t>, vinculándose también en la capacitaci</w:t>
      </w:r>
      <w:r w:rsidR="008E7915" w:rsidRPr="002A64C9">
        <w:rPr>
          <w:rFonts w:eastAsia="Calibri"/>
          <w:sz w:val="20"/>
          <w:szCs w:val="20"/>
          <w:lang w:val="es-ES" w:eastAsia="es-ES"/>
        </w:rPr>
        <w:t>ó</w:t>
      </w:r>
      <w:r w:rsidR="00EB29D7" w:rsidRPr="002A64C9">
        <w:rPr>
          <w:rFonts w:eastAsia="Calibri"/>
          <w:sz w:val="20"/>
          <w:szCs w:val="20"/>
          <w:lang w:val="es-ES" w:eastAsia="es-ES"/>
        </w:rPr>
        <w:t xml:space="preserve">n dispuesta en el párrafo </w:t>
      </w:r>
      <w:r w:rsidR="00657861" w:rsidRPr="002A64C9">
        <w:rPr>
          <w:rFonts w:eastAsia="Calibri"/>
          <w:sz w:val="20"/>
          <w:szCs w:val="20"/>
          <w:lang w:val="es-ES" w:eastAsia="es-ES"/>
        </w:rPr>
        <w:t>23</w:t>
      </w:r>
      <w:r w:rsidR="00294152">
        <w:rPr>
          <w:rFonts w:eastAsia="Calibri"/>
          <w:sz w:val="20"/>
          <w:szCs w:val="20"/>
          <w:lang w:val="es-ES" w:eastAsia="es-ES"/>
        </w:rPr>
        <w:t>7</w:t>
      </w:r>
      <w:r w:rsidR="00EB29D7" w:rsidRPr="002A64C9">
        <w:rPr>
          <w:rFonts w:eastAsia="Calibri"/>
          <w:sz w:val="20"/>
          <w:szCs w:val="20"/>
          <w:lang w:val="es-ES" w:eastAsia="es-ES"/>
        </w:rPr>
        <w:t>.</w:t>
      </w:r>
      <w:r w:rsidR="008E7915" w:rsidRPr="002A64C9">
        <w:rPr>
          <w:rFonts w:eastAsia="Calibri"/>
          <w:sz w:val="20"/>
          <w:szCs w:val="20"/>
          <w:lang w:val="es-ES" w:eastAsia="es-ES"/>
        </w:rPr>
        <w:t xml:space="preserve"> </w:t>
      </w:r>
      <w:r w:rsidR="008E7915" w:rsidRPr="002A64C9">
        <w:rPr>
          <w:sz w:val="20"/>
          <w:szCs w:val="20"/>
        </w:rPr>
        <w:t>En razón de las particularidades de esta medida, la Corte no supervisará el cumplimiento de este punto.</w:t>
      </w:r>
    </w:p>
    <w:p w14:paraId="40AAF66D" w14:textId="30CCF58F" w:rsidR="008704CD" w:rsidRDefault="008704CD" w:rsidP="002A64C9">
      <w:pPr>
        <w:widowControl w:val="0"/>
        <w:tabs>
          <w:tab w:val="left" w:pos="567"/>
        </w:tabs>
        <w:adjustRightInd w:val="0"/>
        <w:textAlignment w:val="baseline"/>
        <w:rPr>
          <w:rFonts w:eastAsiaTheme="minorHAnsi" w:cs="Verdana"/>
          <w:color w:val="000000"/>
          <w:sz w:val="20"/>
          <w:szCs w:val="20"/>
          <w:lang w:eastAsia="en-US"/>
        </w:rPr>
      </w:pPr>
    </w:p>
    <w:p w14:paraId="3ACB133C" w14:textId="0346B015" w:rsidR="004A0BDC" w:rsidRDefault="004A0BDC" w:rsidP="002A64C9">
      <w:pPr>
        <w:widowControl w:val="0"/>
        <w:tabs>
          <w:tab w:val="left" w:pos="567"/>
        </w:tabs>
        <w:adjustRightInd w:val="0"/>
        <w:textAlignment w:val="baseline"/>
        <w:rPr>
          <w:rFonts w:eastAsiaTheme="minorHAnsi" w:cs="Verdana"/>
          <w:i/>
          <w:color w:val="000000"/>
          <w:sz w:val="20"/>
          <w:szCs w:val="20"/>
          <w:lang w:eastAsia="en-US"/>
        </w:rPr>
      </w:pPr>
      <w:r>
        <w:rPr>
          <w:rFonts w:eastAsiaTheme="minorHAnsi" w:cs="Verdana"/>
          <w:i/>
          <w:color w:val="000000"/>
          <w:sz w:val="20"/>
          <w:szCs w:val="20"/>
          <w:lang w:eastAsia="en-US"/>
        </w:rPr>
        <w:tab/>
      </w:r>
      <w:r>
        <w:rPr>
          <w:rFonts w:eastAsiaTheme="minorHAnsi" w:cs="Verdana"/>
          <w:i/>
          <w:color w:val="000000"/>
          <w:sz w:val="20"/>
          <w:szCs w:val="20"/>
          <w:lang w:eastAsia="en-US"/>
        </w:rPr>
        <w:tab/>
      </w:r>
      <w:r>
        <w:rPr>
          <w:rFonts w:eastAsiaTheme="minorHAnsi" w:cs="Verdana"/>
          <w:i/>
          <w:color w:val="000000"/>
          <w:sz w:val="20"/>
          <w:szCs w:val="20"/>
          <w:lang w:eastAsia="en-US"/>
        </w:rPr>
        <w:tab/>
      </w:r>
      <w:r w:rsidRPr="00531D45">
        <w:rPr>
          <w:rFonts w:eastAsiaTheme="minorHAnsi" w:cs="Verdana"/>
          <w:i/>
          <w:color w:val="000000"/>
          <w:sz w:val="20"/>
          <w:szCs w:val="20"/>
          <w:lang w:eastAsia="en-US"/>
        </w:rPr>
        <w:t xml:space="preserve">ii) </w:t>
      </w:r>
      <w:r w:rsidR="005F2639">
        <w:rPr>
          <w:rFonts w:eastAsiaTheme="minorHAnsi" w:cs="Verdana"/>
          <w:i/>
          <w:color w:val="000000"/>
          <w:sz w:val="20"/>
          <w:szCs w:val="20"/>
          <w:lang w:eastAsia="en-US"/>
        </w:rPr>
        <w:t>C</w:t>
      </w:r>
      <w:r w:rsidRPr="00531D45">
        <w:rPr>
          <w:rFonts w:eastAsiaTheme="minorHAnsi" w:cs="Verdana"/>
          <w:i/>
          <w:color w:val="000000"/>
          <w:sz w:val="20"/>
          <w:szCs w:val="20"/>
          <w:lang w:eastAsia="en-US"/>
        </w:rPr>
        <w:t xml:space="preserve">artilla sobre </w:t>
      </w:r>
      <w:r>
        <w:rPr>
          <w:rFonts w:eastAsiaTheme="minorHAnsi" w:cs="Verdana"/>
          <w:i/>
          <w:color w:val="000000"/>
          <w:sz w:val="20"/>
          <w:szCs w:val="20"/>
          <w:lang w:eastAsia="en-US"/>
        </w:rPr>
        <w:t xml:space="preserve">personas </w:t>
      </w:r>
      <w:r w:rsidRPr="00531D45">
        <w:rPr>
          <w:rFonts w:eastAsiaTheme="minorHAnsi" w:cs="Verdana"/>
          <w:i/>
          <w:color w:val="000000"/>
          <w:sz w:val="20"/>
          <w:szCs w:val="20"/>
          <w:lang w:eastAsia="en-US"/>
        </w:rPr>
        <w:t>mayores</w:t>
      </w:r>
    </w:p>
    <w:p w14:paraId="0DC20CEA" w14:textId="77777777" w:rsidR="004A0BDC" w:rsidRPr="00531D45" w:rsidRDefault="004A0BDC" w:rsidP="002A64C9">
      <w:pPr>
        <w:widowControl w:val="0"/>
        <w:tabs>
          <w:tab w:val="left" w:pos="567"/>
        </w:tabs>
        <w:adjustRightInd w:val="0"/>
        <w:textAlignment w:val="baseline"/>
        <w:rPr>
          <w:rFonts w:eastAsiaTheme="minorHAnsi" w:cs="Verdana"/>
          <w:i/>
          <w:color w:val="000000"/>
          <w:sz w:val="20"/>
          <w:szCs w:val="20"/>
          <w:lang w:eastAsia="en-US"/>
        </w:rPr>
      </w:pPr>
    </w:p>
    <w:p w14:paraId="0E4DB7DE" w14:textId="7DB1DC0C" w:rsidR="00DB4A77" w:rsidRPr="00DB4A77" w:rsidRDefault="00294152" w:rsidP="00016220">
      <w:pPr>
        <w:widowControl w:val="0"/>
        <w:numPr>
          <w:ilvl w:val="0"/>
          <w:numId w:val="2"/>
        </w:numPr>
        <w:tabs>
          <w:tab w:val="left" w:pos="567"/>
          <w:tab w:val="num" w:pos="1569"/>
          <w:tab w:val="num" w:pos="12305"/>
        </w:tabs>
        <w:adjustRightInd w:val="0"/>
        <w:ind w:left="0" w:firstLine="0"/>
        <w:textAlignment w:val="baseline"/>
        <w:rPr>
          <w:rFonts w:eastAsiaTheme="minorHAnsi" w:cs="Verdana"/>
          <w:color w:val="000000"/>
          <w:sz w:val="20"/>
          <w:szCs w:val="20"/>
          <w:lang w:eastAsia="en-US"/>
        </w:rPr>
      </w:pPr>
      <w:r>
        <w:rPr>
          <w:rFonts w:eastAsiaTheme="minorHAnsi" w:cs="Verdana"/>
          <w:color w:val="000000"/>
          <w:sz w:val="20"/>
          <w:szCs w:val="20"/>
          <w:lang w:eastAsia="en-US"/>
        </w:rPr>
        <w:t>C</w:t>
      </w:r>
      <w:r w:rsidR="008704CD" w:rsidRPr="00DB4A77">
        <w:rPr>
          <w:rFonts w:eastAsiaTheme="minorHAnsi" w:cs="Verdana"/>
          <w:color w:val="000000"/>
          <w:sz w:val="20"/>
          <w:szCs w:val="20"/>
          <w:lang w:eastAsia="en-US"/>
        </w:rPr>
        <w:t>omo lo ha hecho en otro caso</w:t>
      </w:r>
      <w:r w:rsidR="008704CD">
        <w:rPr>
          <w:rStyle w:val="FootnoteReference"/>
          <w:rFonts w:eastAsiaTheme="minorHAnsi" w:cs="Verdana"/>
          <w:color w:val="000000"/>
          <w:sz w:val="20"/>
          <w:szCs w:val="20"/>
          <w:lang w:eastAsia="en-US"/>
        </w:rPr>
        <w:footnoteReference w:id="317"/>
      </w:r>
      <w:r w:rsidR="008704CD" w:rsidRPr="00DB4A77">
        <w:rPr>
          <w:rFonts w:eastAsiaTheme="minorHAnsi" w:cs="Verdana"/>
          <w:color w:val="000000"/>
          <w:sz w:val="20"/>
          <w:szCs w:val="20"/>
          <w:lang w:eastAsia="en-US"/>
        </w:rPr>
        <w:t xml:space="preserve">, </w:t>
      </w:r>
      <w:r w:rsidR="00272E30">
        <w:rPr>
          <w:rFonts w:eastAsiaTheme="minorHAnsi" w:cs="Verdana"/>
          <w:color w:val="000000"/>
          <w:sz w:val="20"/>
          <w:szCs w:val="20"/>
          <w:lang w:eastAsia="en-US"/>
        </w:rPr>
        <w:t xml:space="preserve">estima </w:t>
      </w:r>
      <w:r w:rsidR="00DB4A77" w:rsidRPr="00DB4A77">
        <w:rPr>
          <w:rFonts w:eastAsiaTheme="minorHAnsi" w:cs="Verdana"/>
          <w:color w:val="000000"/>
          <w:sz w:val="20"/>
          <w:szCs w:val="20"/>
          <w:lang w:eastAsia="en-US"/>
        </w:rPr>
        <w:t xml:space="preserve">pertinente ordenar al Estado que diseñe una publicación o cartilla que desarrolle en forma sintética, clara y accesible los derechos de </w:t>
      </w:r>
      <w:r w:rsidR="0001661C">
        <w:rPr>
          <w:rFonts w:eastAsiaTheme="minorHAnsi" w:cs="Verdana"/>
          <w:color w:val="000000"/>
          <w:sz w:val="20"/>
          <w:szCs w:val="20"/>
          <w:lang w:eastAsia="en-US"/>
        </w:rPr>
        <w:t>las personas mayores</w:t>
      </w:r>
      <w:r w:rsidR="00DB4A77" w:rsidRPr="00DB4A77">
        <w:rPr>
          <w:rFonts w:eastAsiaTheme="minorHAnsi" w:cs="Verdana"/>
          <w:color w:val="000000"/>
          <w:sz w:val="20"/>
          <w:szCs w:val="20"/>
          <w:lang w:eastAsia="en-US"/>
        </w:rPr>
        <w:t xml:space="preserve"> en </w:t>
      </w:r>
      <w:r w:rsidR="00DB4A77">
        <w:rPr>
          <w:rFonts w:eastAsiaTheme="minorHAnsi" w:cs="Verdana"/>
          <w:color w:val="000000"/>
          <w:sz w:val="20"/>
          <w:szCs w:val="20"/>
          <w:lang w:eastAsia="en-US"/>
        </w:rPr>
        <w:t>relación con la salud</w:t>
      </w:r>
      <w:r w:rsidR="00DB4A77" w:rsidRPr="00DB4A77">
        <w:rPr>
          <w:rFonts w:eastAsiaTheme="minorHAnsi" w:cs="Verdana"/>
          <w:color w:val="000000"/>
          <w:sz w:val="20"/>
          <w:szCs w:val="20"/>
          <w:lang w:eastAsia="en-US"/>
        </w:rPr>
        <w:t xml:space="preserve">, contemplados en los estándares  establecidos en esta Sentencia, así como las obligaciones del personal médico al proveer la atención </w:t>
      </w:r>
      <w:r w:rsidR="00DB4A77">
        <w:rPr>
          <w:rFonts w:eastAsiaTheme="minorHAnsi" w:cs="Verdana"/>
          <w:color w:val="000000"/>
          <w:sz w:val="20"/>
          <w:szCs w:val="20"/>
          <w:lang w:eastAsia="en-US"/>
        </w:rPr>
        <w:t>médica</w:t>
      </w:r>
      <w:r w:rsidR="00DB4A77" w:rsidRPr="00DB4A77">
        <w:rPr>
          <w:rFonts w:eastAsiaTheme="minorHAnsi" w:cs="Verdana"/>
          <w:color w:val="000000"/>
          <w:sz w:val="20"/>
          <w:szCs w:val="20"/>
          <w:lang w:eastAsia="en-US"/>
        </w:rPr>
        <w:t xml:space="preserve">. Dicha publicación </w:t>
      </w:r>
      <w:r w:rsidR="00C35975">
        <w:rPr>
          <w:rFonts w:eastAsiaTheme="minorHAnsi" w:cs="Verdana"/>
          <w:color w:val="000000"/>
          <w:sz w:val="20"/>
          <w:szCs w:val="20"/>
          <w:lang w:eastAsia="en-US"/>
        </w:rPr>
        <w:t xml:space="preserve">(impresa </w:t>
      </w:r>
      <w:r w:rsidR="00272E30">
        <w:rPr>
          <w:rFonts w:eastAsiaTheme="minorHAnsi" w:cs="Verdana"/>
          <w:color w:val="000000"/>
          <w:sz w:val="20"/>
          <w:szCs w:val="20"/>
          <w:lang w:eastAsia="en-US"/>
        </w:rPr>
        <w:t>y/</w:t>
      </w:r>
      <w:r w:rsidR="00C35975">
        <w:rPr>
          <w:rFonts w:eastAsiaTheme="minorHAnsi" w:cs="Verdana"/>
          <w:color w:val="000000"/>
          <w:sz w:val="20"/>
          <w:szCs w:val="20"/>
          <w:lang w:eastAsia="en-US"/>
        </w:rPr>
        <w:t xml:space="preserve">o digital) </w:t>
      </w:r>
      <w:r w:rsidR="00DB4A77" w:rsidRPr="00DB4A77">
        <w:rPr>
          <w:rFonts w:eastAsiaTheme="minorHAnsi" w:cs="Verdana"/>
          <w:color w:val="000000"/>
          <w:sz w:val="20"/>
          <w:szCs w:val="20"/>
          <w:lang w:eastAsia="en-US"/>
        </w:rPr>
        <w:t xml:space="preserve">deberá estar disponible en todos los hospitales públicos y privados de </w:t>
      </w:r>
      <w:r w:rsidR="00DB4A77">
        <w:rPr>
          <w:rFonts w:eastAsiaTheme="minorHAnsi" w:cs="Verdana"/>
          <w:color w:val="000000"/>
          <w:sz w:val="20"/>
          <w:szCs w:val="20"/>
          <w:lang w:eastAsia="en-US"/>
        </w:rPr>
        <w:t>Chile</w:t>
      </w:r>
      <w:r w:rsidR="00C35975">
        <w:rPr>
          <w:rFonts w:eastAsiaTheme="minorHAnsi" w:cs="Verdana"/>
          <w:color w:val="000000"/>
          <w:sz w:val="20"/>
          <w:szCs w:val="20"/>
          <w:lang w:eastAsia="en-US"/>
        </w:rPr>
        <w:t>, tanto para lo</w:t>
      </w:r>
      <w:r w:rsidR="00DB4A77" w:rsidRPr="00DB4A77">
        <w:rPr>
          <w:rFonts w:eastAsiaTheme="minorHAnsi" w:cs="Verdana"/>
          <w:color w:val="000000"/>
          <w:sz w:val="20"/>
          <w:szCs w:val="20"/>
          <w:lang w:eastAsia="en-US"/>
        </w:rPr>
        <w:t>s</w:t>
      </w:r>
      <w:r w:rsidR="00C35975">
        <w:rPr>
          <w:rFonts w:eastAsiaTheme="minorHAnsi" w:cs="Verdana"/>
          <w:color w:val="000000"/>
          <w:sz w:val="20"/>
          <w:szCs w:val="20"/>
          <w:lang w:eastAsia="en-US"/>
        </w:rPr>
        <w:t xml:space="preserve"> y las</w:t>
      </w:r>
      <w:r w:rsidR="00DB4A77" w:rsidRPr="00DB4A77">
        <w:rPr>
          <w:rFonts w:eastAsiaTheme="minorHAnsi" w:cs="Verdana"/>
          <w:color w:val="000000"/>
          <w:sz w:val="20"/>
          <w:szCs w:val="20"/>
          <w:lang w:eastAsia="en-US"/>
        </w:rPr>
        <w:t xml:space="preserve"> pacientes como para el personal médico, así como en el sitio web del Ministerio de Salud. El Estado deberá informar anualmente sobre la implementación de esta medida por un período de tres años</w:t>
      </w:r>
      <w:r>
        <w:rPr>
          <w:rFonts w:eastAsiaTheme="minorHAnsi" w:cs="Verdana"/>
          <w:color w:val="000000"/>
          <w:sz w:val="20"/>
          <w:szCs w:val="20"/>
          <w:lang w:eastAsia="en-US"/>
        </w:rPr>
        <w:t>,</w:t>
      </w:r>
      <w:r w:rsidR="00DB4A77" w:rsidRPr="00DB4A77">
        <w:rPr>
          <w:rFonts w:eastAsiaTheme="minorHAnsi" w:cs="Verdana"/>
          <w:color w:val="000000"/>
          <w:sz w:val="20"/>
          <w:szCs w:val="20"/>
          <w:lang w:eastAsia="en-US"/>
        </w:rPr>
        <w:t xml:space="preserve"> una vez se inicie la implementación de dicho mecanismo. </w:t>
      </w:r>
    </w:p>
    <w:p w14:paraId="385F0179" w14:textId="77777777" w:rsidR="00DB4A77" w:rsidRDefault="00DB4A77" w:rsidP="005430FF">
      <w:pPr>
        <w:widowControl w:val="0"/>
        <w:tabs>
          <w:tab w:val="left" w:pos="567"/>
        </w:tabs>
        <w:adjustRightInd w:val="0"/>
        <w:textAlignment w:val="baseline"/>
        <w:rPr>
          <w:rFonts w:eastAsia="Calibri"/>
          <w:b/>
          <w:sz w:val="20"/>
          <w:szCs w:val="20"/>
          <w:lang w:eastAsia="es-ES"/>
        </w:rPr>
      </w:pPr>
    </w:p>
    <w:p w14:paraId="67F5856A" w14:textId="2B53B3B1" w:rsidR="004A0BDC" w:rsidRDefault="004A0BDC" w:rsidP="005430FF">
      <w:pPr>
        <w:widowControl w:val="0"/>
        <w:tabs>
          <w:tab w:val="left" w:pos="567"/>
        </w:tabs>
        <w:adjustRightInd w:val="0"/>
        <w:textAlignment w:val="baseline"/>
        <w:rPr>
          <w:rFonts w:eastAsia="Calibri"/>
          <w:i/>
          <w:sz w:val="20"/>
          <w:szCs w:val="20"/>
          <w:lang w:eastAsia="es-ES"/>
        </w:rPr>
      </w:pPr>
      <w:r>
        <w:rPr>
          <w:rFonts w:eastAsia="Calibri"/>
          <w:i/>
          <w:sz w:val="20"/>
          <w:szCs w:val="20"/>
          <w:lang w:eastAsia="es-ES"/>
        </w:rPr>
        <w:tab/>
      </w:r>
      <w:r>
        <w:rPr>
          <w:rFonts w:eastAsia="Calibri"/>
          <w:i/>
          <w:sz w:val="20"/>
          <w:szCs w:val="20"/>
          <w:lang w:eastAsia="es-ES"/>
        </w:rPr>
        <w:tab/>
      </w:r>
      <w:r>
        <w:rPr>
          <w:rFonts w:eastAsia="Calibri"/>
          <w:i/>
          <w:sz w:val="20"/>
          <w:szCs w:val="20"/>
          <w:lang w:eastAsia="es-ES"/>
        </w:rPr>
        <w:tab/>
      </w:r>
      <w:r w:rsidRPr="00531D45">
        <w:rPr>
          <w:rFonts w:eastAsia="Calibri"/>
          <w:i/>
          <w:sz w:val="20"/>
          <w:szCs w:val="20"/>
          <w:lang w:eastAsia="es-ES"/>
        </w:rPr>
        <w:t xml:space="preserve">iii) </w:t>
      </w:r>
      <w:r w:rsidR="00294152">
        <w:rPr>
          <w:rFonts w:eastAsia="Calibri"/>
          <w:i/>
          <w:sz w:val="20"/>
          <w:szCs w:val="20"/>
          <w:lang w:eastAsia="es-ES"/>
        </w:rPr>
        <w:t>P</w:t>
      </w:r>
      <w:r w:rsidRPr="00531D45">
        <w:rPr>
          <w:rFonts w:eastAsia="Calibri"/>
          <w:i/>
          <w:sz w:val="20"/>
          <w:szCs w:val="20"/>
          <w:lang w:eastAsia="es-ES"/>
        </w:rPr>
        <w:t xml:space="preserve">rotección integral </w:t>
      </w:r>
      <w:r>
        <w:rPr>
          <w:rFonts w:eastAsia="Calibri"/>
          <w:i/>
          <w:sz w:val="20"/>
          <w:szCs w:val="20"/>
          <w:lang w:eastAsia="es-ES"/>
        </w:rPr>
        <w:t xml:space="preserve">a </w:t>
      </w:r>
      <w:r>
        <w:rPr>
          <w:rFonts w:eastAsiaTheme="minorHAnsi" w:cs="Verdana"/>
          <w:i/>
          <w:color w:val="000000"/>
          <w:sz w:val="20"/>
          <w:szCs w:val="20"/>
          <w:lang w:eastAsia="en-US"/>
        </w:rPr>
        <w:t xml:space="preserve">personas </w:t>
      </w:r>
      <w:r w:rsidRPr="00DB0B4E">
        <w:rPr>
          <w:rFonts w:eastAsiaTheme="minorHAnsi" w:cs="Verdana"/>
          <w:i/>
          <w:color w:val="000000"/>
          <w:sz w:val="20"/>
          <w:szCs w:val="20"/>
          <w:lang w:eastAsia="en-US"/>
        </w:rPr>
        <w:t>mayores</w:t>
      </w:r>
    </w:p>
    <w:p w14:paraId="1467FB9E" w14:textId="77777777" w:rsidR="004A0BDC" w:rsidRPr="00531D45" w:rsidRDefault="004A0BDC" w:rsidP="005430FF">
      <w:pPr>
        <w:widowControl w:val="0"/>
        <w:tabs>
          <w:tab w:val="left" w:pos="567"/>
        </w:tabs>
        <w:adjustRightInd w:val="0"/>
        <w:textAlignment w:val="baseline"/>
        <w:rPr>
          <w:rFonts w:eastAsia="Calibri"/>
          <w:i/>
          <w:sz w:val="20"/>
          <w:szCs w:val="20"/>
          <w:lang w:eastAsia="es-ES"/>
        </w:rPr>
      </w:pPr>
    </w:p>
    <w:p w14:paraId="7823ADD3" w14:textId="45216664" w:rsidR="00272E30" w:rsidRDefault="00272E30" w:rsidP="00272E30">
      <w:pPr>
        <w:widowControl w:val="0"/>
        <w:numPr>
          <w:ilvl w:val="0"/>
          <w:numId w:val="2"/>
        </w:numPr>
        <w:tabs>
          <w:tab w:val="left" w:pos="567"/>
          <w:tab w:val="num" w:pos="1569"/>
          <w:tab w:val="num" w:pos="12305"/>
        </w:tabs>
        <w:adjustRightInd w:val="0"/>
        <w:ind w:left="0" w:firstLine="0"/>
        <w:textAlignment w:val="baseline"/>
        <w:rPr>
          <w:rFonts w:eastAsiaTheme="minorHAnsi" w:cs="Verdana"/>
          <w:color w:val="000000"/>
          <w:sz w:val="20"/>
          <w:szCs w:val="20"/>
          <w:lang w:eastAsia="en-US"/>
        </w:rPr>
      </w:pPr>
      <w:r>
        <w:rPr>
          <w:rFonts w:eastAsiaTheme="minorHAnsi" w:cs="Verdana"/>
          <w:color w:val="000000"/>
          <w:sz w:val="20"/>
          <w:szCs w:val="20"/>
          <w:lang w:eastAsia="en-US"/>
        </w:rPr>
        <w:t>Finalmente, l</w:t>
      </w:r>
      <w:r w:rsidRPr="00DB4A77">
        <w:rPr>
          <w:rFonts w:eastAsiaTheme="minorHAnsi" w:cs="Verdana"/>
          <w:color w:val="000000"/>
          <w:sz w:val="20"/>
          <w:szCs w:val="20"/>
          <w:lang w:eastAsia="en-US"/>
        </w:rPr>
        <w:t xml:space="preserve">a Corte </w:t>
      </w:r>
      <w:r>
        <w:rPr>
          <w:rFonts w:eastAsiaTheme="minorHAnsi" w:cs="Verdana"/>
          <w:color w:val="000000"/>
          <w:sz w:val="20"/>
          <w:szCs w:val="20"/>
          <w:lang w:eastAsia="en-US"/>
        </w:rPr>
        <w:t>dispone</w:t>
      </w:r>
      <w:r w:rsidR="002E1F02">
        <w:rPr>
          <w:rFonts w:eastAsiaTheme="minorHAnsi" w:cs="Verdana"/>
          <w:color w:val="000000"/>
          <w:sz w:val="20"/>
          <w:szCs w:val="20"/>
          <w:lang w:eastAsia="en-US"/>
        </w:rPr>
        <w:t xml:space="preserve"> que el Estado adopte</w:t>
      </w:r>
      <w:r>
        <w:rPr>
          <w:rFonts w:eastAsiaTheme="minorHAnsi" w:cs="Verdana"/>
          <w:color w:val="000000"/>
          <w:sz w:val="20"/>
          <w:szCs w:val="20"/>
          <w:lang w:eastAsia="en-US"/>
        </w:rPr>
        <w:t xml:space="preserve"> las medidas nece</w:t>
      </w:r>
      <w:r w:rsidR="00C47603">
        <w:rPr>
          <w:rFonts w:eastAsiaTheme="minorHAnsi" w:cs="Verdana"/>
          <w:color w:val="000000"/>
          <w:sz w:val="20"/>
          <w:szCs w:val="20"/>
          <w:lang w:eastAsia="en-US"/>
        </w:rPr>
        <w:t>s</w:t>
      </w:r>
      <w:r>
        <w:rPr>
          <w:rFonts w:eastAsiaTheme="minorHAnsi" w:cs="Verdana"/>
          <w:color w:val="000000"/>
          <w:sz w:val="20"/>
          <w:szCs w:val="20"/>
          <w:lang w:eastAsia="en-US"/>
        </w:rPr>
        <w:t>ar</w:t>
      </w:r>
      <w:r w:rsidR="00C47603">
        <w:rPr>
          <w:rFonts w:eastAsiaTheme="minorHAnsi" w:cs="Verdana"/>
          <w:color w:val="000000"/>
          <w:sz w:val="20"/>
          <w:szCs w:val="20"/>
          <w:lang w:eastAsia="en-US"/>
        </w:rPr>
        <w:t>i</w:t>
      </w:r>
      <w:r>
        <w:rPr>
          <w:rFonts w:eastAsiaTheme="minorHAnsi" w:cs="Verdana"/>
          <w:color w:val="000000"/>
          <w:sz w:val="20"/>
          <w:szCs w:val="20"/>
          <w:lang w:eastAsia="en-US"/>
        </w:rPr>
        <w:t xml:space="preserve">as, a fin de </w:t>
      </w:r>
      <w:r w:rsidR="002E1F02">
        <w:rPr>
          <w:rFonts w:eastAsiaTheme="minorHAnsi" w:cs="Verdana"/>
          <w:color w:val="000000"/>
          <w:sz w:val="20"/>
          <w:szCs w:val="20"/>
          <w:lang w:eastAsia="en-US"/>
        </w:rPr>
        <w:t>diseñar</w:t>
      </w:r>
      <w:r>
        <w:rPr>
          <w:rFonts w:eastAsiaTheme="minorHAnsi" w:cs="Verdana"/>
          <w:color w:val="000000"/>
          <w:sz w:val="20"/>
          <w:szCs w:val="20"/>
          <w:lang w:eastAsia="en-US"/>
        </w:rPr>
        <w:t xml:space="preserve"> una política general de protección integral a las personas mayores, de conformidad con los estándares en la materia. Para ello, el Estado deberá implementar la misma durante el plazo de tres años, a partir de la notificación de la Sentencia.  </w:t>
      </w:r>
    </w:p>
    <w:p w14:paraId="374FD4BD" w14:textId="77777777" w:rsidR="006B2A4D" w:rsidRPr="006B2A4D" w:rsidRDefault="006B2A4D" w:rsidP="006B2A4D">
      <w:pPr>
        <w:widowControl w:val="0"/>
        <w:tabs>
          <w:tab w:val="left" w:pos="567"/>
          <w:tab w:val="num" w:pos="12305"/>
        </w:tabs>
        <w:adjustRightInd w:val="0"/>
        <w:textAlignment w:val="baseline"/>
        <w:rPr>
          <w:rFonts w:eastAsia="Calibri"/>
          <w:sz w:val="20"/>
          <w:szCs w:val="20"/>
          <w:lang w:val="es-ES" w:eastAsia="es-ES"/>
        </w:rPr>
      </w:pPr>
    </w:p>
    <w:p w14:paraId="0CA123D7" w14:textId="77777777" w:rsidR="006B2A4D" w:rsidRPr="00AD229D" w:rsidRDefault="006B2A4D" w:rsidP="002726E0">
      <w:pPr>
        <w:pStyle w:val="Heading2"/>
        <w:numPr>
          <w:ilvl w:val="0"/>
          <w:numId w:val="13"/>
        </w:numPr>
      </w:pPr>
      <w:bookmarkStart w:id="129" w:name="_Toc494271567"/>
      <w:bookmarkStart w:id="130" w:name="_Toc513644495"/>
      <w:r w:rsidRPr="00AD229D">
        <w:t>Indemnización compensatoria</w:t>
      </w:r>
      <w:bookmarkEnd w:id="129"/>
      <w:bookmarkEnd w:id="130"/>
    </w:p>
    <w:p w14:paraId="1CE8A608" w14:textId="77777777" w:rsidR="006B2A4D" w:rsidRPr="006B2A4D" w:rsidRDefault="006B2A4D" w:rsidP="006B2A4D">
      <w:pPr>
        <w:keepNext/>
        <w:keepLines/>
        <w:outlineLvl w:val="1"/>
        <w:rPr>
          <w:b/>
          <w:bCs/>
          <w:i/>
          <w:sz w:val="20"/>
          <w:szCs w:val="20"/>
          <w:lang w:val="es-ES" w:eastAsia="en-US"/>
        </w:rPr>
      </w:pPr>
    </w:p>
    <w:p w14:paraId="243639DB" w14:textId="5A193D46"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La </w:t>
      </w:r>
      <w:r w:rsidRPr="006B2A4D">
        <w:rPr>
          <w:rFonts w:eastAsia="Calibri"/>
          <w:b/>
          <w:i/>
          <w:sz w:val="20"/>
          <w:szCs w:val="20"/>
          <w:lang w:val="es-ES" w:eastAsia="es-ES"/>
        </w:rPr>
        <w:t>Comisión</w:t>
      </w:r>
      <w:r w:rsidRPr="006B2A4D">
        <w:rPr>
          <w:rFonts w:eastAsia="Calibri"/>
          <w:sz w:val="20"/>
          <w:szCs w:val="20"/>
          <w:lang w:val="es-ES" w:eastAsia="es-ES"/>
        </w:rPr>
        <w:t xml:space="preserve"> solicitó incorporar en la reparación integral a los familiares del señor Poblete Vilches tanto el daño material como moral</w:t>
      </w:r>
      <w:r w:rsidR="00E21370">
        <w:rPr>
          <w:rFonts w:eastAsia="Calibri"/>
          <w:sz w:val="20"/>
          <w:szCs w:val="20"/>
          <w:lang w:val="es-ES" w:eastAsia="es-ES"/>
        </w:rPr>
        <w:t>.</w:t>
      </w:r>
    </w:p>
    <w:p w14:paraId="4F563BD5" w14:textId="77777777" w:rsidR="006B2A4D" w:rsidRPr="006B2A4D" w:rsidRDefault="006B2A4D" w:rsidP="006B2A4D">
      <w:pPr>
        <w:widowControl w:val="0"/>
        <w:tabs>
          <w:tab w:val="left" w:pos="567"/>
          <w:tab w:val="num" w:pos="12305"/>
        </w:tabs>
        <w:adjustRightInd w:val="0"/>
        <w:textAlignment w:val="baseline"/>
        <w:rPr>
          <w:rFonts w:eastAsia="Calibri"/>
          <w:sz w:val="20"/>
          <w:szCs w:val="20"/>
          <w:lang w:val="es-ES" w:eastAsia="es-ES"/>
        </w:rPr>
      </w:pPr>
    </w:p>
    <w:p w14:paraId="3A4239D7" w14:textId="31BCAE1F" w:rsidR="006B2A4D" w:rsidRDefault="006B2A4D" w:rsidP="00B658A3">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B658A3">
        <w:rPr>
          <w:rFonts w:eastAsia="Calibri"/>
          <w:sz w:val="20"/>
          <w:szCs w:val="20"/>
          <w:lang w:val="es-ES" w:eastAsia="es-ES"/>
        </w:rPr>
        <w:t xml:space="preserve">Las </w:t>
      </w:r>
      <w:r w:rsidRPr="00B658A3">
        <w:rPr>
          <w:rFonts w:eastAsia="Calibri"/>
          <w:b/>
          <w:i/>
          <w:sz w:val="20"/>
          <w:szCs w:val="20"/>
          <w:lang w:val="es-ES" w:eastAsia="es-ES"/>
        </w:rPr>
        <w:t>representantes</w:t>
      </w:r>
      <w:r w:rsidRPr="00B658A3">
        <w:rPr>
          <w:rFonts w:eastAsia="Calibri"/>
          <w:i/>
          <w:sz w:val="20"/>
          <w:szCs w:val="20"/>
          <w:lang w:val="es-ES" w:eastAsia="es-ES"/>
        </w:rPr>
        <w:t xml:space="preserve"> </w:t>
      </w:r>
      <w:r w:rsidRPr="00C27894">
        <w:rPr>
          <w:rFonts w:eastAsia="Calibri"/>
          <w:sz w:val="20"/>
          <w:szCs w:val="20"/>
          <w:lang w:val="es-ES" w:eastAsia="es-ES"/>
        </w:rPr>
        <w:t>solicitaron una indemnización compensatoria por los daños materiales e inmateriales</w:t>
      </w:r>
      <w:r w:rsidR="00E21370">
        <w:rPr>
          <w:rFonts w:eastAsia="Calibri"/>
          <w:sz w:val="20"/>
          <w:szCs w:val="20"/>
          <w:lang w:val="es-ES" w:eastAsia="es-ES"/>
        </w:rPr>
        <w:t xml:space="preserve">. </w:t>
      </w:r>
      <w:r w:rsidRPr="00B658A3">
        <w:rPr>
          <w:rFonts w:eastAsia="Calibri"/>
          <w:sz w:val="20"/>
          <w:szCs w:val="20"/>
          <w:lang w:val="es-ES" w:eastAsia="es-ES"/>
        </w:rPr>
        <w:t>En cuanto a los daños materiales, las representantes indicaron que no fue posible obtener pruebas del salario del señor Poblete Vilches dado</w:t>
      </w:r>
      <w:r w:rsidR="00826773">
        <w:rPr>
          <w:rFonts w:eastAsia="Calibri"/>
          <w:sz w:val="20"/>
          <w:szCs w:val="20"/>
          <w:lang w:val="es-ES" w:eastAsia="es-ES"/>
        </w:rPr>
        <w:t xml:space="preserve"> que el trabajo que desarrollaba era completamente informal</w:t>
      </w:r>
      <w:r w:rsidR="00787014" w:rsidRPr="00B1523A">
        <w:rPr>
          <w:rFonts w:eastAsia="Calibri"/>
          <w:sz w:val="20"/>
          <w:szCs w:val="20"/>
          <w:lang w:val="es-CL" w:eastAsia="es-ES"/>
        </w:rPr>
        <w:t>,</w:t>
      </w:r>
      <w:r w:rsidR="00787014">
        <w:rPr>
          <w:rFonts w:eastAsia="Calibri"/>
          <w:sz w:val="20"/>
          <w:szCs w:val="20"/>
          <w:lang w:val="es-CL" w:eastAsia="es-ES"/>
        </w:rPr>
        <w:t xml:space="preserve"> </w:t>
      </w:r>
      <w:r w:rsidRPr="00C27894">
        <w:rPr>
          <w:rFonts w:eastAsia="Calibri"/>
          <w:sz w:val="20"/>
          <w:szCs w:val="20"/>
          <w:lang w:val="es-CL" w:eastAsia="es-ES"/>
        </w:rPr>
        <w:t xml:space="preserve">sin embargo, sus hijos declararon que ganaba aproximadamente </w:t>
      </w:r>
      <w:r w:rsidR="00826773">
        <w:rPr>
          <w:rFonts w:eastAsia="Calibri"/>
          <w:sz w:val="20"/>
          <w:szCs w:val="20"/>
          <w:lang w:val="es-CL" w:eastAsia="es-ES"/>
        </w:rPr>
        <w:t>quinientos mil pesos chilenos (</w:t>
      </w:r>
      <w:r w:rsidRPr="00C27894">
        <w:rPr>
          <w:rFonts w:eastAsia="Calibri"/>
          <w:sz w:val="20"/>
          <w:szCs w:val="20"/>
          <w:lang w:val="es-CL" w:eastAsia="es-ES"/>
        </w:rPr>
        <w:t>50</w:t>
      </w:r>
      <w:r w:rsidR="00E21370">
        <w:rPr>
          <w:rFonts w:eastAsia="Calibri"/>
          <w:sz w:val="20"/>
          <w:szCs w:val="20"/>
          <w:lang w:val="es-CL" w:eastAsia="es-ES"/>
        </w:rPr>
        <w:t>0,000</w:t>
      </w:r>
      <w:r w:rsidR="00826773">
        <w:rPr>
          <w:rFonts w:eastAsia="Calibri"/>
          <w:sz w:val="20"/>
          <w:szCs w:val="20"/>
          <w:lang w:val="es-CL" w:eastAsia="es-ES"/>
        </w:rPr>
        <w:t>)</w:t>
      </w:r>
      <w:r w:rsidRPr="00C27894">
        <w:rPr>
          <w:rFonts w:eastAsia="Calibri"/>
          <w:sz w:val="20"/>
          <w:szCs w:val="20"/>
          <w:lang w:val="es-CL" w:eastAsia="es-ES"/>
        </w:rPr>
        <w:t xml:space="preserve"> al mes” (US$: </w:t>
      </w:r>
      <w:r w:rsidR="007D1C3E" w:rsidRPr="00C27894">
        <w:rPr>
          <w:rFonts w:eastAsia="Calibri"/>
          <w:sz w:val="20"/>
          <w:szCs w:val="20"/>
          <w:lang w:val="es-CL" w:eastAsia="es-ES"/>
        </w:rPr>
        <w:t>8</w:t>
      </w:r>
      <w:r w:rsidR="007D1C3E">
        <w:rPr>
          <w:rFonts w:eastAsia="Calibri"/>
          <w:sz w:val="20"/>
          <w:szCs w:val="20"/>
          <w:lang w:val="es-CL" w:eastAsia="es-ES"/>
        </w:rPr>
        <w:t>88</w:t>
      </w:r>
      <w:r w:rsidR="007D1C3E" w:rsidRPr="00C27894">
        <w:rPr>
          <w:rFonts w:eastAsia="Calibri"/>
          <w:sz w:val="20"/>
          <w:szCs w:val="20"/>
          <w:lang w:val="es-CL" w:eastAsia="es-ES"/>
        </w:rPr>
        <w:t xml:space="preserve"> </w:t>
      </w:r>
      <w:r w:rsidRPr="00C27894">
        <w:rPr>
          <w:rFonts w:eastAsia="Calibri"/>
          <w:sz w:val="20"/>
          <w:szCs w:val="20"/>
          <w:lang w:val="es-CL" w:eastAsia="es-ES"/>
        </w:rPr>
        <w:t>aproximadamente en febrero del año 2001)</w:t>
      </w:r>
      <w:r w:rsidRPr="006B2A4D">
        <w:rPr>
          <w:rFonts w:eastAsia="Calibri"/>
          <w:sz w:val="20"/>
          <w:szCs w:val="20"/>
          <w:vertAlign w:val="superscript"/>
          <w:lang w:val="es-CL" w:eastAsia="es-ES"/>
        </w:rPr>
        <w:footnoteReference w:id="318"/>
      </w:r>
      <w:r w:rsidR="002C672D">
        <w:rPr>
          <w:rFonts w:eastAsia="Calibri"/>
          <w:sz w:val="20"/>
          <w:szCs w:val="20"/>
          <w:lang w:val="es-CL" w:eastAsia="es-ES"/>
        </w:rPr>
        <w:t>.</w:t>
      </w:r>
      <w:r w:rsidRPr="00B658A3">
        <w:rPr>
          <w:rFonts w:eastAsia="Calibri"/>
          <w:sz w:val="20"/>
          <w:szCs w:val="20"/>
          <w:lang w:val="es-CL" w:eastAsia="es-ES"/>
        </w:rPr>
        <w:t xml:space="preserve"> </w:t>
      </w:r>
      <w:r w:rsidRPr="00C27894">
        <w:rPr>
          <w:rFonts w:eastAsia="Calibri"/>
          <w:sz w:val="20"/>
          <w:szCs w:val="20"/>
          <w:lang w:val="es-ES" w:eastAsia="es-ES"/>
        </w:rPr>
        <w:t xml:space="preserve">Respecto a la señora </w:t>
      </w:r>
      <w:proofErr w:type="spellStart"/>
      <w:r w:rsidRPr="00C27894">
        <w:rPr>
          <w:rFonts w:eastAsia="Calibri"/>
          <w:sz w:val="20"/>
          <w:szCs w:val="20"/>
          <w:lang w:val="es-ES" w:eastAsia="es-ES"/>
        </w:rPr>
        <w:t>Cesia</w:t>
      </w:r>
      <w:proofErr w:type="spellEnd"/>
      <w:r w:rsidRPr="00C27894">
        <w:rPr>
          <w:rFonts w:eastAsia="Calibri"/>
          <w:sz w:val="20"/>
          <w:szCs w:val="20"/>
          <w:lang w:val="es-ES" w:eastAsia="es-ES"/>
        </w:rPr>
        <w:t xml:space="preserve"> Poblete Tapia, ella ganaba aproximadamente </w:t>
      </w:r>
      <w:r w:rsidR="00126389">
        <w:rPr>
          <w:rFonts w:eastAsia="Calibri"/>
          <w:sz w:val="20"/>
          <w:szCs w:val="20"/>
          <w:lang w:val="es-ES" w:eastAsia="es-ES"/>
        </w:rPr>
        <w:t>trescientos mil pesos chilenos (</w:t>
      </w:r>
      <w:r w:rsidRPr="00C27894">
        <w:rPr>
          <w:rFonts w:eastAsia="Calibri"/>
          <w:sz w:val="20"/>
          <w:szCs w:val="20"/>
          <w:lang w:val="es-ES" w:eastAsia="es-ES"/>
        </w:rPr>
        <w:t>300</w:t>
      </w:r>
      <w:r w:rsidR="00E21370">
        <w:rPr>
          <w:rFonts w:eastAsia="Calibri"/>
          <w:sz w:val="20"/>
          <w:szCs w:val="20"/>
          <w:lang w:val="es-ES" w:eastAsia="es-ES"/>
        </w:rPr>
        <w:t>,000</w:t>
      </w:r>
      <w:r w:rsidR="00126389">
        <w:rPr>
          <w:rFonts w:eastAsia="Calibri"/>
          <w:sz w:val="20"/>
          <w:szCs w:val="20"/>
          <w:lang w:val="es-ES" w:eastAsia="es-ES"/>
        </w:rPr>
        <w:t>)</w:t>
      </w:r>
      <w:r w:rsidRPr="00C27894">
        <w:rPr>
          <w:rFonts w:eastAsia="Calibri"/>
          <w:sz w:val="20"/>
          <w:szCs w:val="20"/>
          <w:lang w:val="es-ES" w:eastAsia="es-ES"/>
        </w:rPr>
        <w:t xml:space="preserve"> chilenos </w:t>
      </w:r>
      <w:r w:rsidRPr="00C27894">
        <w:rPr>
          <w:rFonts w:eastAsia="Calibri"/>
          <w:sz w:val="20"/>
          <w:szCs w:val="20"/>
          <w:lang w:val="es-CL" w:eastAsia="es-ES"/>
        </w:rPr>
        <w:t xml:space="preserve">(US$ </w:t>
      </w:r>
      <w:r w:rsidR="007D1C3E" w:rsidRPr="00C27894">
        <w:rPr>
          <w:rFonts w:eastAsia="Calibri"/>
          <w:sz w:val="20"/>
          <w:szCs w:val="20"/>
          <w:lang w:val="es-CL" w:eastAsia="es-ES"/>
        </w:rPr>
        <w:t>5</w:t>
      </w:r>
      <w:r w:rsidR="007D1C3E">
        <w:rPr>
          <w:rFonts w:eastAsia="Calibri"/>
          <w:sz w:val="20"/>
          <w:szCs w:val="20"/>
          <w:lang w:val="es-CL" w:eastAsia="es-ES"/>
        </w:rPr>
        <w:t>32</w:t>
      </w:r>
      <w:r w:rsidR="007D1C3E" w:rsidRPr="00C27894">
        <w:rPr>
          <w:rFonts w:eastAsia="Calibri"/>
          <w:sz w:val="20"/>
          <w:szCs w:val="20"/>
          <w:lang w:val="es-CL" w:eastAsia="es-ES"/>
        </w:rPr>
        <w:t xml:space="preserve"> </w:t>
      </w:r>
      <w:r w:rsidRPr="00C27894">
        <w:rPr>
          <w:rFonts w:eastAsia="Calibri"/>
          <w:sz w:val="20"/>
          <w:szCs w:val="20"/>
          <w:lang w:val="es-CL" w:eastAsia="es-ES"/>
        </w:rPr>
        <w:t>aproximadamente en febrero del año 2001)</w:t>
      </w:r>
      <w:r w:rsidRPr="006B2A4D">
        <w:rPr>
          <w:rFonts w:eastAsia="Calibri"/>
          <w:sz w:val="20"/>
          <w:szCs w:val="20"/>
          <w:vertAlign w:val="superscript"/>
          <w:lang w:val="es-CL" w:eastAsia="es-ES"/>
        </w:rPr>
        <w:footnoteReference w:id="319"/>
      </w:r>
      <w:r w:rsidRPr="00B658A3">
        <w:rPr>
          <w:rFonts w:eastAsia="Calibri"/>
          <w:sz w:val="20"/>
          <w:szCs w:val="20"/>
          <w:lang w:val="es-ES" w:eastAsia="es-ES"/>
        </w:rPr>
        <w:t xml:space="preserve"> al mes al tiempo de la muerte de su padre, pero consecuentemente tuvo que dejar de trabajar para cuidar a su madre y hermano menor inválido</w:t>
      </w:r>
      <w:r w:rsidR="00E21370">
        <w:rPr>
          <w:rFonts w:eastAsia="Calibri"/>
          <w:sz w:val="20"/>
          <w:szCs w:val="20"/>
          <w:lang w:val="es-ES" w:eastAsia="es-ES"/>
        </w:rPr>
        <w:t xml:space="preserve">. </w:t>
      </w:r>
      <w:r w:rsidRPr="00C27894">
        <w:rPr>
          <w:rFonts w:eastAsia="Calibri"/>
          <w:sz w:val="20"/>
          <w:szCs w:val="20"/>
          <w:lang w:val="es-ES" w:eastAsia="es-ES"/>
        </w:rPr>
        <w:t>Por otra parte, las representantes agregaron que las presuntas víctimas gastaron alrededor de</w:t>
      </w:r>
      <w:r w:rsidR="00E21370">
        <w:rPr>
          <w:rFonts w:eastAsia="Calibri"/>
          <w:sz w:val="20"/>
          <w:szCs w:val="20"/>
          <w:lang w:val="es-ES" w:eastAsia="es-ES"/>
        </w:rPr>
        <w:t xml:space="preserve"> siete </w:t>
      </w:r>
      <w:r w:rsidRPr="00C27894">
        <w:rPr>
          <w:rFonts w:eastAsia="Calibri"/>
          <w:sz w:val="20"/>
          <w:szCs w:val="20"/>
          <w:lang w:val="es-ES" w:eastAsia="es-ES"/>
        </w:rPr>
        <w:t>millones de pesos chilenos</w:t>
      </w:r>
      <w:r w:rsidR="00E21370">
        <w:rPr>
          <w:rFonts w:eastAsia="Calibri"/>
          <w:sz w:val="20"/>
          <w:szCs w:val="20"/>
          <w:lang w:val="es-ES" w:eastAsia="es-ES"/>
        </w:rPr>
        <w:t xml:space="preserve"> (7, 000,000)</w:t>
      </w:r>
      <w:r w:rsidRPr="00C27894">
        <w:rPr>
          <w:rFonts w:eastAsia="Calibri"/>
          <w:sz w:val="20"/>
          <w:szCs w:val="20"/>
          <w:lang w:val="es-ES" w:eastAsia="es-ES"/>
        </w:rPr>
        <w:t xml:space="preserve"> </w:t>
      </w:r>
      <w:r w:rsidRPr="00531D45">
        <w:rPr>
          <w:rFonts w:eastAsia="Calibri"/>
          <w:sz w:val="20"/>
          <w:szCs w:val="20"/>
          <w:lang w:val="es-ES" w:eastAsia="es-ES"/>
        </w:rPr>
        <w:t>(</w:t>
      </w:r>
      <w:r w:rsidR="007D1C3E" w:rsidRPr="004A0BDC">
        <w:rPr>
          <w:rFonts w:eastAsia="Calibri"/>
          <w:sz w:val="20"/>
          <w:szCs w:val="20"/>
          <w:lang w:val="es-CL" w:eastAsia="es-ES"/>
        </w:rPr>
        <w:t>US</w:t>
      </w:r>
      <w:r w:rsidR="007D1C3E" w:rsidRPr="00C27894">
        <w:rPr>
          <w:rFonts w:eastAsia="Calibri"/>
          <w:sz w:val="20"/>
          <w:szCs w:val="20"/>
          <w:lang w:val="es-CL" w:eastAsia="es-ES"/>
        </w:rPr>
        <w:t xml:space="preserve">$ </w:t>
      </w:r>
      <w:r w:rsidR="007D1C3E" w:rsidRPr="00B1523A">
        <w:rPr>
          <w:rFonts w:eastAsia="Calibri"/>
          <w:sz w:val="20"/>
          <w:szCs w:val="20"/>
          <w:lang w:val="es-CL" w:eastAsia="es-ES"/>
        </w:rPr>
        <w:t>12</w:t>
      </w:r>
      <w:r w:rsidR="009C51B9" w:rsidRPr="00B1523A">
        <w:rPr>
          <w:rFonts w:eastAsia="Calibri"/>
          <w:sz w:val="20"/>
          <w:szCs w:val="20"/>
          <w:lang w:val="es-CL" w:eastAsia="es-ES"/>
        </w:rPr>
        <w:t>,</w:t>
      </w:r>
      <w:r w:rsidR="007D1C3E" w:rsidRPr="00B1523A">
        <w:rPr>
          <w:rFonts w:eastAsia="Calibri"/>
          <w:sz w:val="20"/>
          <w:szCs w:val="20"/>
          <w:lang w:val="es-CL" w:eastAsia="es-ES"/>
        </w:rPr>
        <w:t>43</w:t>
      </w:r>
      <w:r w:rsidR="00E21370" w:rsidRPr="00B1523A">
        <w:rPr>
          <w:rFonts w:eastAsia="Calibri"/>
          <w:sz w:val="20"/>
          <w:szCs w:val="20"/>
          <w:lang w:val="es-CL" w:eastAsia="es-ES"/>
        </w:rPr>
        <w:t>0</w:t>
      </w:r>
      <w:r w:rsidR="007D1C3E" w:rsidRPr="00C27894">
        <w:rPr>
          <w:rFonts w:eastAsia="Calibri"/>
          <w:sz w:val="20"/>
          <w:szCs w:val="20"/>
          <w:lang w:val="es-CL" w:eastAsia="es-ES"/>
        </w:rPr>
        <w:t xml:space="preserve"> aproximadamente en febrero del año 2001</w:t>
      </w:r>
      <w:r w:rsidR="007D1C3E">
        <w:rPr>
          <w:rFonts w:eastAsia="Calibri"/>
          <w:sz w:val="20"/>
          <w:szCs w:val="20"/>
          <w:lang w:val="es-CL" w:eastAsia="es-ES"/>
        </w:rPr>
        <w:t xml:space="preserve">) </w:t>
      </w:r>
      <w:r w:rsidRPr="00C27894">
        <w:rPr>
          <w:rFonts w:eastAsia="Calibri"/>
          <w:sz w:val="20"/>
          <w:szCs w:val="20"/>
          <w:lang w:val="es-ES" w:eastAsia="es-ES"/>
        </w:rPr>
        <w:t xml:space="preserve">durante más de 14 años en remitir documentos por correos a la Comisión Interamericana y realizar llamadas telefónicas relacionadas con el caso. </w:t>
      </w:r>
      <w:r w:rsidR="00E21370">
        <w:rPr>
          <w:rFonts w:eastAsia="Calibri"/>
          <w:sz w:val="20"/>
          <w:szCs w:val="20"/>
          <w:lang w:val="es-ES" w:eastAsia="es-ES"/>
        </w:rPr>
        <w:t>Asimismo n</w:t>
      </w:r>
      <w:r w:rsidRPr="00C27894">
        <w:rPr>
          <w:rFonts w:eastAsia="Calibri"/>
          <w:sz w:val="20"/>
          <w:szCs w:val="20"/>
          <w:lang w:val="es-ES" w:eastAsia="es-ES"/>
        </w:rPr>
        <w:t>otaron que toda la documentación al respecto, que las presuntas víctimas habían archivado, se quemó en el incendio de su hogar. Solicitaron también que se consideren todos los gastos relacionados con la muerte del señor Poblete Vilches, la señora Blanca Tapia Encina y del señor Gonzalo Poblete</w:t>
      </w:r>
      <w:r w:rsidR="00B658A3">
        <w:rPr>
          <w:rStyle w:val="FootnoteReference"/>
          <w:rFonts w:eastAsia="Calibri"/>
          <w:sz w:val="20"/>
          <w:szCs w:val="20"/>
          <w:lang w:val="es-ES" w:eastAsia="es-ES"/>
        </w:rPr>
        <w:footnoteReference w:id="320"/>
      </w:r>
      <w:r w:rsidRPr="00B658A3">
        <w:rPr>
          <w:rFonts w:eastAsia="Calibri"/>
          <w:sz w:val="20"/>
          <w:szCs w:val="20"/>
          <w:lang w:val="es-ES" w:eastAsia="es-ES"/>
        </w:rPr>
        <w:t>, como por ejemplo, los que incurrieron en relación al funeral, entierro y servicios religiosos</w:t>
      </w:r>
      <w:r w:rsidR="00E21370">
        <w:rPr>
          <w:rFonts w:eastAsia="Calibri"/>
          <w:sz w:val="20"/>
          <w:szCs w:val="20"/>
          <w:lang w:val="es-ES" w:eastAsia="es-ES"/>
        </w:rPr>
        <w:t xml:space="preserve">. </w:t>
      </w:r>
      <w:r w:rsidRPr="00C27894">
        <w:rPr>
          <w:rFonts w:eastAsia="Calibri"/>
          <w:sz w:val="20"/>
          <w:szCs w:val="20"/>
          <w:lang w:val="es-ES" w:eastAsia="es-ES"/>
        </w:rPr>
        <w:t xml:space="preserve">Tomando las referidas consideraciones en cuenta, las representantes solicitaron que </w:t>
      </w:r>
      <w:r w:rsidRPr="00C27894">
        <w:rPr>
          <w:rFonts w:eastAsia="Calibri"/>
          <w:sz w:val="20"/>
          <w:szCs w:val="20"/>
          <w:lang w:val="es-ES" w:eastAsia="es-ES"/>
        </w:rPr>
        <w:lastRenderedPageBreak/>
        <w:t>la Corte otorgue un pago indemnizatorio de</w:t>
      </w:r>
      <w:r w:rsidR="00E21370">
        <w:rPr>
          <w:rFonts w:eastAsia="Calibri"/>
          <w:sz w:val="20"/>
          <w:szCs w:val="20"/>
          <w:lang w:val="es-ES" w:eastAsia="es-ES"/>
        </w:rPr>
        <w:t xml:space="preserve"> veinte mil dólares de los Estados Unidos de Norte América</w:t>
      </w:r>
      <w:r w:rsidRPr="00C27894">
        <w:rPr>
          <w:rFonts w:eastAsia="Calibri"/>
          <w:sz w:val="20"/>
          <w:szCs w:val="20"/>
          <w:lang w:val="es-ES" w:eastAsia="es-ES"/>
        </w:rPr>
        <w:t xml:space="preserve"> </w:t>
      </w:r>
      <w:r w:rsidR="00E21370">
        <w:rPr>
          <w:rFonts w:eastAsia="Calibri"/>
          <w:sz w:val="20"/>
          <w:szCs w:val="20"/>
          <w:lang w:val="es-ES" w:eastAsia="es-ES"/>
        </w:rPr>
        <w:t>(</w:t>
      </w:r>
      <w:r w:rsidRPr="00B1523A">
        <w:rPr>
          <w:rFonts w:eastAsia="Calibri"/>
          <w:sz w:val="20"/>
          <w:szCs w:val="20"/>
          <w:lang w:val="es-ES" w:eastAsia="es-ES"/>
        </w:rPr>
        <w:t>US$20,000</w:t>
      </w:r>
      <w:r w:rsidR="00E21370">
        <w:rPr>
          <w:rFonts w:eastAsia="Calibri"/>
          <w:sz w:val="20"/>
          <w:szCs w:val="20"/>
          <w:lang w:val="es-ES" w:eastAsia="es-ES"/>
        </w:rPr>
        <w:t>) o la cifra que la Honorable Corte estime en equidad</w:t>
      </w:r>
      <w:r w:rsidRPr="006B2A4D">
        <w:rPr>
          <w:rFonts w:eastAsia="Calibri"/>
          <w:sz w:val="20"/>
          <w:szCs w:val="20"/>
          <w:vertAlign w:val="superscript"/>
          <w:lang w:val="es-ES" w:eastAsia="es-ES"/>
        </w:rPr>
        <w:footnoteReference w:id="321"/>
      </w:r>
      <w:r w:rsidR="00B658A3">
        <w:rPr>
          <w:rFonts w:eastAsia="Calibri"/>
          <w:sz w:val="20"/>
          <w:szCs w:val="20"/>
          <w:lang w:val="es-ES" w:eastAsia="es-ES"/>
        </w:rPr>
        <w:t xml:space="preserve">. </w:t>
      </w:r>
    </w:p>
    <w:p w14:paraId="19B1B052" w14:textId="77777777" w:rsidR="00B658A3" w:rsidRDefault="00B658A3" w:rsidP="00C27894">
      <w:pPr>
        <w:widowControl w:val="0"/>
        <w:tabs>
          <w:tab w:val="left" w:pos="567"/>
        </w:tabs>
        <w:adjustRightInd w:val="0"/>
        <w:textAlignment w:val="baseline"/>
        <w:rPr>
          <w:rFonts w:eastAsia="Calibri"/>
          <w:sz w:val="20"/>
          <w:szCs w:val="20"/>
          <w:lang w:val="es-ES" w:eastAsia="es-ES"/>
        </w:rPr>
      </w:pPr>
    </w:p>
    <w:p w14:paraId="50C5EAA4" w14:textId="6026A06E" w:rsidR="00B658A3" w:rsidRPr="00B658A3" w:rsidRDefault="00B658A3" w:rsidP="00C27894">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Respecto de los daños inmateriales, las representantes señalaron que producto de los hechos del presente caso: i) la señora Blanca Tapia Encina sufrió de una profunda depresión, seguida de cáncer, enfermedad de la cual falleció; ii) la señora </w:t>
      </w:r>
      <w:proofErr w:type="spellStart"/>
      <w:r w:rsidRPr="006B2A4D">
        <w:rPr>
          <w:rFonts w:eastAsia="Calibri"/>
          <w:sz w:val="20"/>
          <w:szCs w:val="20"/>
          <w:lang w:val="es-ES" w:eastAsia="es-ES"/>
        </w:rPr>
        <w:t>Cesia</w:t>
      </w:r>
      <w:proofErr w:type="spellEnd"/>
      <w:r w:rsidRPr="006B2A4D">
        <w:rPr>
          <w:rFonts w:eastAsia="Calibri"/>
          <w:sz w:val="20"/>
          <w:szCs w:val="20"/>
          <w:lang w:val="es-ES" w:eastAsia="es-ES"/>
        </w:rPr>
        <w:t xml:space="preserve"> Poblete Tapia también sufrió de una grave depresión e intentó suicidarse tras la muerte de su padre; iii) el señor Vinicio Marco Poblete Tapia tuvo que asumir el cuidado de su familia, dedicó su tiempo libre a los procesos judiciales y terapias psicológicas lo que provocó que no pudiera obtener un trabajo estable y además, empezó a sufrir problemas graves de salud ya que fue diagnosticado con cáncer y perdió su riñón derecho, y iv) por último, el señor Gonzalo Poblete Tapia, quien padecía de una severa apoplejía desde la infancia, “comenzó a manifestar también síntomas compatibles con un cuadro depresivo como consecuencia del cual se produjo un deterioro general de su estado de salud” y falleció de un infarto en el año 2011. En este sentido, las representantes solicitaron qu</w:t>
      </w:r>
      <w:r w:rsidR="00724CA8">
        <w:rPr>
          <w:rFonts w:eastAsia="Calibri"/>
          <w:sz w:val="20"/>
          <w:szCs w:val="20"/>
          <w:lang w:val="es-ES" w:eastAsia="es-ES"/>
        </w:rPr>
        <w:t>e se otorgue un monto de</w:t>
      </w:r>
      <w:r w:rsidR="0011447C" w:rsidRPr="0011447C">
        <w:rPr>
          <w:rFonts w:eastAsia="Calibri"/>
          <w:sz w:val="20"/>
          <w:szCs w:val="20"/>
          <w:lang w:val="es-ES" w:eastAsia="es-ES"/>
        </w:rPr>
        <w:t xml:space="preserve"> </w:t>
      </w:r>
      <w:r w:rsidR="0011447C" w:rsidRPr="00E17C4C">
        <w:rPr>
          <w:rFonts w:eastAsia="Calibri"/>
          <w:sz w:val="20"/>
          <w:szCs w:val="20"/>
          <w:lang w:val="es-ES" w:eastAsia="es-ES"/>
        </w:rPr>
        <w:t>US$600,000</w:t>
      </w:r>
      <w:r w:rsidR="00724CA8">
        <w:rPr>
          <w:rFonts w:eastAsia="Calibri"/>
          <w:sz w:val="20"/>
          <w:szCs w:val="20"/>
          <w:lang w:val="es-ES" w:eastAsia="es-ES"/>
        </w:rPr>
        <w:t xml:space="preserve"> </w:t>
      </w:r>
      <w:r w:rsidR="00071FF3">
        <w:rPr>
          <w:rFonts w:eastAsia="Calibri"/>
          <w:sz w:val="20"/>
          <w:szCs w:val="20"/>
          <w:lang w:val="es-ES" w:eastAsia="es-ES"/>
        </w:rPr>
        <w:t>(</w:t>
      </w:r>
      <w:r w:rsidR="0011447C">
        <w:rPr>
          <w:rFonts w:eastAsia="Calibri"/>
          <w:sz w:val="20"/>
          <w:szCs w:val="20"/>
          <w:lang w:val="es-ES" w:eastAsia="es-ES"/>
        </w:rPr>
        <w:t>seiscientos mil dólares de los Estados Unidos de Norte América</w:t>
      </w:r>
      <w:r w:rsidR="00071FF3">
        <w:rPr>
          <w:rFonts w:eastAsia="Calibri"/>
          <w:sz w:val="20"/>
          <w:szCs w:val="20"/>
          <w:lang w:val="es-ES" w:eastAsia="es-ES"/>
        </w:rPr>
        <w:t>)</w:t>
      </w:r>
      <w:r w:rsidRPr="006B2A4D">
        <w:rPr>
          <w:rFonts w:eastAsia="Calibri"/>
          <w:sz w:val="20"/>
          <w:szCs w:val="20"/>
          <w:lang w:val="es-ES" w:eastAsia="es-ES"/>
        </w:rPr>
        <w:t xml:space="preserve"> por concepto de daño inmaterial, o, en caso que la Corte no esté de acuerdo con el monto solicitado, que ésta lo determine conforme al principio de equidad.</w:t>
      </w:r>
      <w:r w:rsidR="00071FF3">
        <w:rPr>
          <w:rFonts w:eastAsia="Calibri"/>
          <w:b/>
          <w:sz w:val="20"/>
          <w:szCs w:val="20"/>
          <w:lang w:val="es-ES" w:eastAsia="es-ES"/>
        </w:rPr>
        <w:t xml:space="preserve"> </w:t>
      </w:r>
      <w:r w:rsidRPr="006B2A4D">
        <w:rPr>
          <w:rFonts w:eastAsia="Calibri"/>
          <w:sz w:val="20"/>
          <w:szCs w:val="20"/>
          <w:lang w:val="es-ES" w:eastAsia="es-ES"/>
        </w:rPr>
        <w:t>Del monto solicitado, las representantes solici</w:t>
      </w:r>
      <w:r w:rsidR="00724CA8">
        <w:rPr>
          <w:rFonts w:eastAsia="Calibri"/>
          <w:sz w:val="20"/>
          <w:szCs w:val="20"/>
          <w:lang w:val="es-ES" w:eastAsia="es-ES"/>
        </w:rPr>
        <w:t>taron que se le entregue</w:t>
      </w:r>
      <w:r w:rsidR="0011447C" w:rsidRPr="0011447C">
        <w:rPr>
          <w:rFonts w:eastAsia="Calibri"/>
          <w:sz w:val="20"/>
          <w:szCs w:val="20"/>
          <w:lang w:val="es-ES" w:eastAsia="es-ES"/>
        </w:rPr>
        <w:t xml:space="preserve"> </w:t>
      </w:r>
      <w:r w:rsidR="0011447C" w:rsidRPr="00E17C4C">
        <w:rPr>
          <w:rFonts w:eastAsia="Calibri"/>
          <w:sz w:val="20"/>
          <w:szCs w:val="20"/>
          <w:lang w:val="es-ES" w:eastAsia="es-ES"/>
        </w:rPr>
        <w:t>US$200,000</w:t>
      </w:r>
      <w:r w:rsidR="00724CA8">
        <w:rPr>
          <w:rFonts w:eastAsia="Calibri"/>
          <w:sz w:val="20"/>
          <w:szCs w:val="20"/>
          <w:lang w:val="es-ES" w:eastAsia="es-ES"/>
        </w:rPr>
        <w:t xml:space="preserve"> </w:t>
      </w:r>
      <w:r w:rsidR="00071FF3">
        <w:rPr>
          <w:rFonts w:eastAsia="Calibri"/>
          <w:sz w:val="20"/>
          <w:szCs w:val="20"/>
          <w:lang w:val="es-ES" w:eastAsia="es-ES"/>
        </w:rPr>
        <w:t>(</w:t>
      </w:r>
      <w:r w:rsidR="0011447C">
        <w:rPr>
          <w:rFonts w:eastAsia="Calibri"/>
          <w:sz w:val="20"/>
          <w:szCs w:val="20"/>
          <w:lang w:val="es-ES" w:eastAsia="es-ES"/>
        </w:rPr>
        <w:t xml:space="preserve">doscientos mil dólares de los Estados Unidos de Norte América </w:t>
      </w:r>
      <w:r w:rsidR="00071FF3">
        <w:rPr>
          <w:rFonts w:eastAsia="Calibri"/>
          <w:sz w:val="20"/>
          <w:szCs w:val="20"/>
          <w:lang w:val="es-ES" w:eastAsia="es-ES"/>
        </w:rPr>
        <w:t>)</w:t>
      </w:r>
      <w:r w:rsidRPr="00071FF3">
        <w:rPr>
          <w:rFonts w:eastAsia="Calibri"/>
          <w:sz w:val="20"/>
          <w:lang w:val="es-ES" w:eastAsia="es-ES"/>
        </w:rPr>
        <w:t xml:space="preserve"> al señor Poblete Vilches y que este monto le sea en</w:t>
      </w:r>
      <w:r w:rsidR="00724CA8" w:rsidRPr="00071FF3">
        <w:rPr>
          <w:rFonts w:eastAsia="Calibri"/>
          <w:sz w:val="20"/>
          <w:lang w:val="es-ES" w:eastAsia="es-ES"/>
        </w:rPr>
        <w:t xml:space="preserve">tregado a sus herederos, </w:t>
      </w:r>
      <w:r w:rsidR="0011447C" w:rsidRPr="00E17C4C">
        <w:rPr>
          <w:rFonts w:eastAsia="Calibri"/>
          <w:sz w:val="20"/>
          <w:szCs w:val="20"/>
          <w:lang w:val="es-ES" w:eastAsia="es-ES"/>
        </w:rPr>
        <w:t>US$150,000</w:t>
      </w:r>
      <w:r w:rsidR="0011447C">
        <w:rPr>
          <w:rFonts w:eastAsia="Calibri"/>
          <w:sz w:val="20"/>
          <w:szCs w:val="20"/>
          <w:lang w:val="es-ES" w:eastAsia="es-ES"/>
        </w:rPr>
        <w:t xml:space="preserve"> </w:t>
      </w:r>
      <w:r w:rsidR="00071FF3">
        <w:rPr>
          <w:rFonts w:eastAsia="Calibri"/>
          <w:sz w:val="20"/>
          <w:szCs w:val="20"/>
          <w:lang w:val="es-ES" w:eastAsia="es-ES"/>
        </w:rPr>
        <w:t>(</w:t>
      </w:r>
      <w:r w:rsidR="0011447C">
        <w:rPr>
          <w:rFonts w:eastAsia="Calibri"/>
          <w:sz w:val="20"/>
          <w:szCs w:val="20"/>
          <w:lang w:val="es-ES" w:eastAsia="es-ES"/>
        </w:rPr>
        <w:t>ciento cincuenta mil dólares de los Estados Unidos de Norte América</w:t>
      </w:r>
      <w:r w:rsidR="0011447C" w:rsidDel="0011447C">
        <w:rPr>
          <w:rFonts w:eastAsia="Calibri"/>
          <w:sz w:val="20"/>
          <w:lang w:val="es-ES" w:eastAsia="es-ES"/>
        </w:rPr>
        <w:t xml:space="preserve"> </w:t>
      </w:r>
      <w:r w:rsidR="00071FF3">
        <w:rPr>
          <w:rFonts w:eastAsia="Calibri"/>
          <w:sz w:val="20"/>
          <w:szCs w:val="20"/>
          <w:lang w:val="es-ES" w:eastAsia="es-ES"/>
        </w:rPr>
        <w:t>)</w:t>
      </w:r>
      <w:r w:rsidRPr="00071FF3">
        <w:rPr>
          <w:rFonts w:eastAsia="Calibri"/>
          <w:sz w:val="20"/>
          <w:lang w:val="es-ES" w:eastAsia="es-ES"/>
        </w:rPr>
        <w:t xml:space="preserve"> a la señora Blanca Tapia Encina</w:t>
      </w:r>
      <w:r w:rsidRPr="00071FF3" w:rsidDel="00772CF9">
        <w:rPr>
          <w:rFonts w:eastAsia="Calibri"/>
          <w:sz w:val="20"/>
          <w:lang w:val="es-ES" w:eastAsia="es-ES"/>
        </w:rPr>
        <w:t xml:space="preserve"> </w:t>
      </w:r>
      <w:r w:rsidRPr="00071FF3">
        <w:rPr>
          <w:rFonts w:eastAsia="Calibri"/>
          <w:sz w:val="20"/>
          <w:lang w:val="es-ES" w:eastAsia="es-ES"/>
        </w:rPr>
        <w:t>y que este monto le sea e</w:t>
      </w:r>
      <w:r w:rsidR="00724CA8" w:rsidRPr="00071FF3">
        <w:rPr>
          <w:rFonts w:eastAsia="Calibri"/>
          <w:sz w:val="20"/>
          <w:lang w:val="es-ES" w:eastAsia="es-ES"/>
        </w:rPr>
        <w:t xml:space="preserve">ntregad a sus herederos, </w:t>
      </w:r>
      <w:r w:rsidR="0011447C" w:rsidRPr="00E17C4C">
        <w:rPr>
          <w:rFonts w:eastAsia="Calibri"/>
          <w:sz w:val="20"/>
          <w:szCs w:val="20"/>
          <w:lang w:val="es-ES" w:eastAsia="es-ES"/>
        </w:rPr>
        <w:t>US$125,000</w:t>
      </w:r>
      <w:r w:rsidR="0011447C">
        <w:rPr>
          <w:rFonts w:eastAsia="Calibri"/>
          <w:sz w:val="20"/>
          <w:szCs w:val="20"/>
          <w:lang w:val="es-ES" w:eastAsia="es-ES"/>
        </w:rPr>
        <w:t xml:space="preserve"> </w:t>
      </w:r>
      <w:r w:rsidR="00071FF3">
        <w:rPr>
          <w:rFonts w:eastAsia="Calibri"/>
          <w:sz w:val="20"/>
          <w:szCs w:val="20"/>
          <w:lang w:val="es-ES" w:eastAsia="es-ES"/>
        </w:rPr>
        <w:t>(</w:t>
      </w:r>
      <w:r w:rsidR="0011447C">
        <w:rPr>
          <w:rFonts w:eastAsia="Calibri"/>
          <w:sz w:val="20"/>
          <w:szCs w:val="20"/>
          <w:lang w:val="es-ES" w:eastAsia="es-ES"/>
        </w:rPr>
        <w:t>ciento veinte cinco mil dólares de los Estados Unidos de Norte América</w:t>
      </w:r>
      <w:r w:rsidR="00071FF3">
        <w:rPr>
          <w:rFonts w:eastAsia="Calibri"/>
          <w:sz w:val="20"/>
          <w:szCs w:val="20"/>
          <w:lang w:val="es-ES" w:eastAsia="es-ES"/>
        </w:rPr>
        <w:t>)</w:t>
      </w:r>
      <w:r w:rsidRPr="006B2A4D">
        <w:rPr>
          <w:rFonts w:eastAsia="Calibri"/>
          <w:sz w:val="20"/>
          <w:szCs w:val="20"/>
          <w:lang w:val="es-ES" w:eastAsia="es-ES"/>
        </w:rPr>
        <w:t xml:space="preserve"> a la señora </w:t>
      </w:r>
      <w:proofErr w:type="spellStart"/>
      <w:r w:rsidRPr="006B2A4D">
        <w:rPr>
          <w:rFonts w:eastAsia="Calibri"/>
          <w:sz w:val="20"/>
          <w:szCs w:val="20"/>
          <w:lang w:val="es-ES" w:eastAsia="es-ES"/>
        </w:rPr>
        <w:t>Cesia</w:t>
      </w:r>
      <w:proofErr w:type="spellEnd"/>
      <w:r w:rsidRPr="006B2A4D">
        <w:rPr>
          <w:rFonts w:eastAsia="Calibri"/>
          <w:sz w:val="20"/>
          <w:szCs w:val="20"/>
          <w:lang w:val="es-ES" w:eastAsia="es-ES"/>
        </w:rPr>
        <w:t xml:space="preserve"> Poblete Tapia y</w:t>
      </w:r>
      <w:r w:rsidR="00071FF3">
        <w:rPr>
          <w:rFonts w:eastAsia="Calibri"/>
          <w:sz w:val="20"/>
          <w:szCs w:val="20"/>
          <w:lang w:val="es-ES" w:eastAsia="es-ES"/>
        </w:rPr>
        <w:t xml:space="preserve"> </w:t>
      </w:r>
      <w:r w:rsidR="0011447C" w:rsidRPr="00E17C4C">
        <w:rPr>
          <w:rFonts w:eastAsia="Calibri"/>
          <w:sz w:val="20"/>
          <w:szCs w:val="20"/>
          <w:lang w:val="es-ES" w:eastAsia="es-ES"/>
        </w:rPr>
        <w:t>US$125,000</w:t>
      </w:r>
      <w:r w:rsidRPr="006B2A4D" w:rsidDel="00772CF9">
        <w:rPr>
          <w:rFonts w:eastAsia="Calibri"/>
          <w:sz w:val="20"/>
          <w:szCs w:val="20"/>
          <w:lang w:val="es-ES" w:eastAsia="es-ES"/>
        </w:rPr>
        <w:t xml:space="preserve"> </w:t>
      </w:r>
      <w:r w:rsidR="00071FF3">
        <w:rPr>
          <w:rFonts w:eastAsia="Calibri"/>
          <w:sz w:val="20"/>
          <w:szCs w:val="20"/>
          <w:lang w:val="es-ES" w:eastAsia="es-ES"/>
        </w:rPr>
        <w:t>(</w:t>
      </w:r>
      <w:r w:rsidR="0011447C">
        <w:rPr>
          <w:rFonts w:eastAsia="Calibri"/>
          <w:sz w:val="20"/>
          <w:szCs w:val="20"/>
          <w:lang w:val="es-ES" w:eastAsia="es-ES"/>
        </w:rPr>
        <w:t>ciento veinte cinco mil dólares de los Estados Unidos de Norte América</w:t>
      </w:r>
      <w:r w:rsidR="00071FF3">
        <w:rPr>
          <w:rFonts w:eastAsia="Calibri"/>
          <w:sz w:val="20"/>
          <w:szCs w:val="20"/>
          <w:lang w:val="es-ES" w:eastAsia="es-ES"/>
        </w:rPr>
        <w:t>)</w:t>
      </w:r>
      <w:r w:rsidRPr="006B2A4D">
        <w:rPr>
          <w:rFonts w:eastAsia="Calibri"/>
          <w:sz w:val="20"/>
          <w:szCs w:val="20"/>
          <w:lang w:val="es-ES" w:eastAsia="es-ES"/>
        </w:rPr>
        <w:t xml:space="preserve"> al señor Vinicio Poblete Tapia.</w:t>
      </w:r>
      <w:r w:rsidRPr="006B2A4D" w:rsidDel="00772CF9">
        <w:rPr>
          <w:rFonts w:eastAsia="Calibri"/>
          <w:sz w:val="20"/>
          <w:szCs w:val="20"/>
          <w:lang w:val="es-ES" w:eastAsia="es-ES"/>
        </w:rPr>
        <w:t xml:space="preserve"> </w:t>
      </w:r>
      <w:r w:rsidRPr="006B2A4D">
        <w:rPr>
          <w:rFonts w:eastAsia="Calibri"/>
          <w:sz w:val="20"/>
          <w:szCs w:val="20"/>
          <w:lang w:val="es-ES" w:eastAsia="es-ES"/>
        </w:rPr>
        <w:t xml:space="preserve"> </w:t>
      </w:r>
    </w:p>
    <w:p w14:paraId="53C77FE7" w14:textId="77777777" w:rsidR="006B2A4D" w:rsidRPr="006B2A4D" w:rsidRDefault="006B2A4D" w:rsidP="006B2A4D">
      <w:pPr>
        <w:widowControl w:val="0"/>
        <w:tabs>
          <w:tab w:val="left" w:pos="567"/>
          <w:tab w:val="num" w:pos="12305"/>
        </w:tabs>
        <w:adjustRightInd w:val="0"/>
        <w:textAlignment w:val="baseline"/>
        <w:rPr>
          <w:rFonts w:eastAsia="Calibri"/>
          <w:sz w:val="20"/>
          <w:szCs w:val="20"/>
          <w:lang w:val="es-ES" w:eastAsia="es-ES"/>
        </w:rPr>
      </w:pPr>
    </w:p>
    <w:p w14:paraId="27829118" w14:textId="4DEE0232"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El </w:t>
      </w:r>
      <w:r w:rsidRPr="006B2A4D">
        <w:rPr>
          <w:rFonts w:eastAsia="Calibri"/>
          <w:b/>
          <w:i/>
          <w:sz w:val="20"/>
          <w:szCs w:val="20"/>
          <w:lang w:val="es-ES" w:eastAsia="es-ES"/>
        </w:rPr>
        <w:t>Estado</w:t>
      </w:r>
      <w:r w:rsidRPr="006B2A4D">
        <w:rPr>
          <w:rFonts w:eastAsia="Calibri"/>
          <w:sz w:val="20"/>
          <w:szCs w:val="20"/>
          <w:lang w:val="es-ES" w:eastAsia="es-ES"/>
        </w:rPr>
        <w:t xml:space="preserve"> señaló que, respecto al daño moral, el dolor y sufrimiento indicado por las representantes tendrían que ser consecuencia de un ilícito internacional. En cuanto a la muerte del señor Poblete Vilches, el Estado señaló que no se pudo comprobar que su muerte fuese resultado de conducta negligente imputable al Estado. En este sentido, el Estado sostuvo que debido a la falta de un nexo causal la Corte no podría considerar la muerte del señor Poblete Vilches como un hecho del cual podría surgir la obligación para el Estado de reparar. Agregó que la Corte tampoco podría considerar la muerte de la señora Blanca Tapia Encina o del señor Gonzalo Poblete Tapia, así como los problemas de salud de los que padecieron </w:t>
      </w:r>
      <w:proofErr w:type="spellStart"/>
      <w:r w:rsidRPr="006B2A4D">
        <w:rPr>
          <w:rFonts w:eastAsia="Calibri"/>
          <w:sz w:val="20"/>
          <w:szCs w:val="20"/>
          <w:lang w:val="es-ES" w:eastAsia="es-ES"/>
        </w:rPr>
        <w:t>Cesia</w:t>
      </w:r>
      <w:proofErr w:type="spellEnd"/>
      <w:r w:rsidRPr="006B2A4D">
        <w:rPr>
          <w:rFonts w:eastAsia="Calibri"/>
          <w:sz w:val="20"/>
          <w:szCs w:val="20"/>
          <w:lang w:val="es-ES" w:eastAsia="es-ES"/>
        </w:rPr>
        <w:t xml:space="preserve"> Poblete Tapia y Vinicio Poblete Tapia posteriormente a la muerte de su padre dado que éstos tuvieron causas naturales, es decir, que no resultaron de hechos imputables al Estado. Respecto al daño material, el Estado señaló que en relación con los salarios dejados de percibir por el señor Poblete Vilches, las representantes no demostraron la existencia de un nexo causal y que su muerte fuese consecuencia directa de la conducta negligente por parte del Estado.</w:t>
      </w:r>
      <w:r w:rsidR="00705A0B">
        <w:rPr>
          <w:rFonts w:eastAsia="Calibri"/>
          <w:sz w:val="20"/>
          <w:szCs w:val="20"/>
          <w:lang w:val="es-ES" w:eastAsia="es-ES"/>
        </w:rPr>
        <w:t xml:space="preserve"> </w:t>
      </w:r>
      <w:r w:rsidRPr="006B2A4D">
        <w:rPr>
          <w:rFonts w:eastAsia="Calibri"/>
          <w:sz w:val="20"/>
          <w:szCs w:val="20"/>
          <w:lang w:val="es-ES" w:eastAsia="es-ES"/>
        </w:rPr>
        <w:t xml:space="preserve">El Estado añadió que por las mismas razones anteriormente señaladas, tampoco existe un nexo causal entre los daños reclamados por gastos relativos a los servicios de funeral, entierros y servicios religiosos incurridos tras las muertes del señor Poblete Vilches, de la señora Blanca Tapia Encina y del señor Gonzalo Poblete Vilches ya que estas no están directamente relacionadas con los hechos del presente caso y se debieron a causas naturales. </w:t>
      </w:r>
    </w:p>
    <w:p w14:paraId="570506D5" w14:textId="77777777" w:rsidR="006B2A4D" w:rsidRPr="006B2A4D" w:rsidRDefault="006B2A4D" w:rsidP="006B2A4D">
      <w:pPr>
        <w:widowControl w:val="0"/>
        <w:tabs>
          <w:tab w:val="left" w:pos="567"/>
          <w:tab w:val="num" w:pos="12305"/>
        </w:tabs>
        <w:adjustRightInd w:val="0"/>
        <w:textAlignment w:val="baseline"/>
        <w:rPr>
          <w:rFonts w:eastAsia="Calibri"/>
          <w:sz w:val="20"/>
          <w:szCs w:val="20"/>
          <w:lang w:val="es-ES" w:eastAsia="es-ES"/>
        </w:rPr>
      </w:pPr>
    </w:p>
    <w:p w14:paraId="76E3ED4C" w14:textId="77777777" w:rsidR="006B2A4D" w:rsidRPr="00164C05" w:rsidRDefault="006B2A4D" w:rsidP="00AD229D">
      <w:pPr>
        <w:pStyle w:val="Heading3"/>
        <w:rPr>
          <w:b/>
        </w:rPr>
      </w:pPr>
      <w:bookmarkStart w:id="131" w:name="_Toc513644496"/>
      <w:r w:rsidRPr="00164C05">
        <w:rPr>
          <w:b/>
        </w:rPr>
        <w:t>1. Daño Material</w:t>
      </w:r>
      <w:bookmarkEnd w:id="131"/>
    </w:p>
    <w:p w14:paraId="2113673C" w14:textId="77777777" w:rsidR="006B2A4D" w:rsidRPr="006B2A4D" w:rsidRDefault="006B2A4D" w:rsidP="006B2A4D">
      <w:pPr>
        <w:rPr>
          <w:rFonts w:eastAsia="Calibri"/>
          <w:i/>
          <w:sz w:val="20"/>
          <w:szCs w:val="20"/>
          <w:lang w:val="es-ES" w:eastAsia="es-ES"/>
        </w:rPr>
      </w:pPr>
    </w:p>
    <w:p w14:paraId="006C2E8F" w14:textId="77777777" w:rsidR="006B2A4D" w:rsidRDefault="006B2A4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s-ES" w:eastAsia="es-ES"/>
        </w:rPr>
      </w:pPr>
      <w:r w:rsidRPr="006B2A4D">
        <w:rPr>
          <w:rFonts w:eastAsia="Calibri" w:cs="Verdana"/>
          <w:sz w:val="20"/>
          <w:szCs w:val="20"/>
          <w:lang w:val="es-ES" w:eastAsia="es-ES" w:bidi="en-US"/>
        </w:rPr>
        <w:t xml:space="preserve">La Corte ha desarrollado en su jurisprudencia el concepto de daño material y </w:t>
      </w:r>
      <w:r w:rsidRPr="006B2A4D">
        <w:rPr>
          <w:rFonts w:eastAsia="Calibri"/>
          <w:bCs/>
          <w:sz w:val="20"/>
          <w:szCs w:val="20"/>
          <w:lang w:val="es-ES" w:eastAsia="es-ES"/>
        </w:rPr>
        <w:t>ha establecido que supone “la pérdida o detrimento de los ingresos de las víctimas, los gastos efectuados con motivo de los hechos y las consecuencias de carácter pecuniario que tengan un nexo causal con los hechos del caso”</w:t>
      </w:r>
      <w:r w:rsidRPr="006B2A4D">
        <w:rPr>
          <w:rFonts w:eastAsia="Calibri"/>
          <w:bCs/>
          <w:sz w:val="20"/>
          <w:szCs w:val="20"/>
          <w:vertAlign w:val="superscript"/>
          <w:lang w:val="es-ES" w:eastAsia="es-ES"/>
        </w:rPr>
        <w:footnoteReference w:id="322"/>
      </w:r>
      <w:r w:rsidRPr="006B2A4D">
        <w:rPr>
          <w:rFonts w:eastAsia="Calibri"/>
          <w:bCs/>
          <w:sz w:val="20"/>
          <w:szCs w:val="20"/>
          <w:lang w:val="es-ES" w:eastAsia="es-ES"/>
        </w:rPr>
        <w:t xml:space="preserve"> </w:t>
      </w:r>
      <w:r w:rsidRPr="006B2A4D">
        <w:rPr>
          <w:rFonts w:eastAsia="Calibri"/>
          <w:sz w:val="20"/>
          <w:szCs w:val="20"/>
          <w:lang w:val="es-ES" w:eastAsia="es-ES"/>
        </w:rPr>
        <w:t>En razón de ello, la Corte determinará la pertinencia de otorgar reparaciones pecuniarias y los montos respectivos debidos en este caso.</w:t>
      </w:r>
    </w:p>
    <w:p w14:paraId="5142DB8C" w14:textId="77777777" w:rsidR="006B2A4D" w:rsidRPr="006B2A4D" w:rsidRDefault="006B2A4D" w:rsidP="006B2A4D">
      <w:pPr>
        <w:widowControl w:val="0"/>
        <w:tabs>
          <w:tab w:val="left" w:pos="567"/>
          <w:tab w:val="num" w:pos="12305"/>
        </w:tabs>
        <w:adjustRightInd w:val="0"/>
        <w:textAlignment w:val="baseline"/>
        <w:rPr>
          <w:rFonts w:eastAsia="Calibri"/>
          <w:sz w:val="20"/>
          <w:szCs w:val="20"/>
          <w:lang w:val="es-ES" w:eastAsia="es-ES"/>
        </w:rPr>
      </w:pPr>
    </w:p>
    <w:p w14:paraId="0CED5B29" w14:textId="3B12E837" w:rsidR="006B2A4D" w:rsidRPr="00AA65C5"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Respecto del </w:t>
      </w:r>
      <w:r w:rsidRPr="006B2A4D">
        <w:rPr>
          <w:rFonts w:eastAsia="Calibri"/>
          <w:i/>
          <w:sz w:val="20"/>
          <w:szCs w:val="20"/>
          <w:lang w:val="es-ES" w:eastAsia="es-ES"/>
        </w:rPr>
        <w:t>lucro cesante</w:t>
      </w:r>
      <w:r w:rsidRPr="006B2A4D">
        <w:rPr>
          <w:rFonts w:eastAsia="Calibri"/>
          <w:sz w:val="20"/>
          <w:szCs w:val="20"/>
          <w:lang w:val="es-ES" w:eastAsia="es-ES"/>
        </w:rPr>
        <w:t xml:space="preserve">, la Corte observa que las representantes no presentaron prueba concreta sobre los salarios dejados de percibir por el señor Poblete Vilches, dado que el puesto que ocupaba era de carácter informal y sólo se cuenta con el salario aproximado indicado por sus hijos que consta de </w:t>
      </w:r>
      <w:r w:rsidRPr="006B2A4D">
        <w:rPr>
          <w:rFonts w:eastAsia="Calibri"/>
          <w:sz w:val="20"/>
          <w:szCs w:val="20"/>
          <w:lang w:val="es-CL" w:eastAsia="es-ES"/>
        </w:rPr>
        <w:t>500 mil pesos chilenos al mes.</w:t>
      </w:r>
      <w:r w:rsidRPr="006B2A4D">
        <w:rPr>
          <w:rFonts w:eastAsia="Calibri"/>
          <w:sz w:val="20"/>
          <w:szCs w:val="20"/>
          <w:lang w:val="es-ES" w:eastAsia="es-ES"/>
        </w:rPr>
        <w:t xml:space="preserve"> En virtud de que el Estado fue </w:t>
      </w:r>
      <w:r w:rsidRPr="006B2A4D">
        <w:rPr>
          <w:rFonts w:eastAsia="Calibri"/>
          <w:sz w:val="20"/>
          <w:lang w:val="es-ES" w:eastAsia="es-ES"/>
        </w:rPr>
        <w:t xml:space="preserve">encontrado responsable por violaciones </w:t>
      </w:r>
      <w:r w:rsidRPr="00AB1E03">
        <w:rPr>
          <w:rFonts w:eastAsia="Calibri"/>
          <w:sz w:val="20"/>
          <w:lang w:val="es-ES" w:eastAsia="es-ES"/>
        </w:rPr>
        <w:t xml:space="preserve">a </w:t>
      </w:r>
      <w:r w:rsidR="00497952" w:rsidRPr="00B1523A">
        <w:rPr>
          <w:rFonts w:eastAsia="Calibri"/>
          <w:sz w:val="20"/>
          <w:szCs w:val="20"/>
          <w:lang w:val="es-ES" w:eastAsia="es-ES"/>
        </w:rPr>
        <w:t>los artículo 26, 4, 5, 13, 11 y 7 de la Convención</w:t>
      </w:r>
      <w:r w:rsidRPr="00AB1E03">
        <w:rPr>
          <w:rFonts w:eastAsia="Calibri"/>
          <w:sz w:val="20"/>
          <w:lang w:val="es-ES" w:eastAsia="es-ES"/>
        </w:rPr>
        <w:t>,</w:t>
      </w:r>
      <w:r w:rsidRPr="006B2A4D">
        <w:rPr>
          <w:rFonts w:eastAsia="Calibri"/>
          <w:sz w:val="20"/>
          <w:lang w:val="es-ES" w:eastAsia="es-ES"/>
        </w:rPr>
        <w:t xml:space="preserve"> y tomando en consideración </w:t>
      </w:r>
      <w:r w:rsidRPr="00B1523A">
        <w:rPr>
          <w:rFonts w:eastAsia="Calibri"/>
          <w:sz w:val="20"/>
          <w:szCs w:val="20"/>
          <w:lang w:val="es-ES" w:eastAsia="es-ES"/>
        </w:rPr>
        <w:t>la</w:t>
      </w:r>
      <w:r w:rsidR="00497952" w:rsidRPr="00B1523A">
        <w:rPr>
          <w:rFonts w:eastAsia="Calibri"/>
          <w:sz w:val="20"/>
          <w:szCs w:val="20"/>
          <w:lang w:val="es-ES" w:eastAsia="es-ES"/>
        </w:rPr>
        <w:t>s condiciones particulares</w:t>
      </w:r>
      <w:r w:rsidR="00497952" w:rsidRPr="00AB1E03">
        <w:rPr>
          <w:rFonts w:eastAsia="Calibri"/>
          <w:b/>
          <w:sz w:val="20"/>
          <w:szCs w:val="20"/>
          <w:lang w:val="es-ES" w:eastAsia="es-ES"/>
        </w:rPr>
        <w:t xml:space="preserve"> </w:t>
      </w:r>
      <w:r w:rsidR="00497952" w:rsidRPr="00B1523A">
        <w:rPr>
          <w:rFonts w:eastAsia="Calibri"/>
          <w:sz w:val="20"/>
          <w:szCs w:val="20"/>
          <w:lang w:val="es-ES" w:eastAsia="es-ES"/>
        </w:rPr>
        <w:t>del</w:t>
      </w:r>
      <w:r w:rsidRPr="006B2A4D">
        <w:rPr>
          <w:rFonts w:eastAsia="Calibri"/>
          <w:sz w:val="20"/>
          <w:szCs w:val="20"/>
          <w:lang w:val="es-ES" w:eastAsia="es-ES"/>
        </w:rPr>
        <w:t xml:space="preserve"> señor Poblete Vilches, la Corte dispone que el Estado debe </w:t>
      </w:r>
      <w:r w:rsidRPr="00AA65C5">
        <w:rPr>
          <w:rFonts w:eastAsia="Calibri"/>
          <w:sz w:val="20"/>
          <w:szCs w:val="20"/>
          <w:lang w:val="es-ES" w:eastAsia="es-ES"/>
        </w:rPr>
        <w:t xml:space="preserve">pagar, por concepto de indemnización compensatoria con motivo del lucro cesante, la suma de </w:t>
      </w:r>
      <w:r w:rsidR="00F24D4D" w:rsidRPr="007E5CD5">
        <w:rPr>
          <w:rFonts w:eastAsia="Calibri"/>
          <w:sz w:val="20"/>
          <w:szCs w:val="20"/>
          <w:lang w:val="es-ES" w:eastAsia="es-ES"/>
        </w:rPr>
        <w:t xml:space="preserve">US $ </w:t>
      </w:r>
      <w:r w:rsidR="00F377B4" w:rsidRPr="00B1523A">
        <w:rPr>
          <w:rFonts w:eastAsia="Calibri"/>
          <w:sz w:val="20"/>
          <w:szCs w:val="20"/>
          <w:lang w:val="es-ES" w:eastAsia="es-ES"/>
        </w:rPr>
        <w:t>10,000</w:t>
      </w:r>
      <w:r w:rsidRPr="007E5CD5">
        <w:rPr>
          <w:rFonts w:eastAsia="Calibri"/>
          <w:sz w:val="20"/>
          <w:szCs w:val="20"/>
          <w:lang w:val="es-ES" w:eastAsia="es-ES"/>
        </w:rPr>
        <w:t xml:space="preserve"> </w:t>
      </w:r>
      <w:r w:rsidR="00F24D4D" w:rsidRPr="00AA65C5">
        <w:rPr>
          <w:rFonts w:eastAsia="Calibri"/>
          <w:sz w:val="20"/>
          <w:szCs w:val="20"/>
          <w:lang w:val="es-ES" w:eastAsia="es-ES"/>
        </w:rPr>
        <w:t xml:space="preserve"> </w:t>
      </w:r>
      <w:r w:rsidRPr="00AA65C5">
        <w:rPr>
          <w:rFonts w:eastAsia="Calibri"/>
          <w:sz w:val="20"/>
          <w:szCs w:val="20"/>
          <w:lang w:val="es-ES" w:eastAsia="es-ES"/>
        </w:rPr>
        <w:t>(</w:t>
      </w:r>
      <w:r w:rsidR="00F24D4D" w:rsidRPr="00AA65C5">
        <w:rPr>
          <w:rFonts w:eastAsia="Calibri"/>
          <w:sz w:val="20"/>
          <w:szCs w:val="20"/>
          <w:lang w:val="es-ES" w:eastAsia="es-ES"/>
        </w:rPr>
        <w:t xml:space="preserve">diez mil </w:t>
      </w:r>
      <w:r w:rsidRPr="00AA65C5">
        <w:rPr>
          <w:rFonts w:eastAsia="Calibri"/>
          <w:sz w:val="20"/>
          <w:szCs w:val="20"/>
          <w:lang w:val="es-ES" w:eastAsia="es-ES"/>
        </w:rPr>
        <w:t>dólares de los Estados Unidos de América).</w:t>
      </w:r>
    </w:p>
    <w:p w14:paraId="08CEF5E9" w14:textId="77777777" w:rsidR="006B2A4D" w:rsidRPr="007E5CD5" w:rsidRDefault="006B2A4D" w:rsidP="006B2A4D">
      <w:pPr>
        <w:widowControl w:val="0"/>
        <w:tabs>
          <w:tab w:val="left" w:pos="567"/>
          <w:tab w:val="num" w:pos="1569"/>
          <w:tab w:val="num" w:pos="12305"/>
        </w:tabs>
        <w:adjustRightInd w:val="0"/>
        <w:textAlignment w:val="baseline"/>
        <w:rPr>
          <w:rFonts w:eastAsia="Calibri"/>
          <w:sz w:val="20"/>
          <w:szCs w:val="20"/>
          <w:lang w:val="es-ES" w:eastAsia="es-ES"/>
        </w:rPr>
      </w:pPr>
      <w:r w:rsidRPr="007E5CD5">
        <w:rPr>
          <w:rFonts w:eastAsia="Calibri"/>
          <w:sz w:val="20"/>
          <w:szCs w:val="20"/>
          <w:lang w:val="es-ES" w:eastAsia="es-ES"/>
        </w:rPr>
        <w:t xml:space="preserve"> </w:t>
      </w:r>
    </w:p>
    <w:p w14:paraId="06BCA019" w14:textId="3B56DB76" w:rsidR="006B2A4D" w:rsidRPr="007E5CD5"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sidRPr="007E5CD5">
        <w:rPr>
          <w:rFonts w:eastAsia="Calibri"/>
          <w:sz w:val="20"/>
          <w:szCs w:val="20"/>
          <w:lang w:val="es-ES" w:eastAsia="es-ES"/>
        </w:rPr>
        <w:t>Por otra parte, la Corte observa que no se acreditó en el capítulo correspondiente (</w:t>
      </w:r>
      <w:r w:rsidR="00062586" w:rsidRPr="007E5CD5">
        <w:rPr>
          <w:rFonts w:eastAsia="Calibri"/>
          <w:i/>
          <w:sz w:val="20"/>
          <w:szCs w:val="20"/>
          <w:lang w:val="es-ES" w:eastAsia="es-ES"/>
        </w:rPr>
        <w:t>supra</w:t>
      </w:r>
      <w:r w:rsidR="00062586" w:rsidRPr="007E5CD5">
        <w:rPr>
          <w:rFonts w:eastAsia="Calibri"/>
          <w:sz w:val="20"/>
          <w:szCs w:val="20"/>
          <w:lang w:val="es-ES" w:eastAsia="es-ES"/>
        </w:rPr>
        <w:t xml:space="preserve"> párr</w:t>
      </w:r>
      <w:r w:rsidR="00BF62C7">
        <w:rPr>
          <w:rFonts w:eastAsia="Calibri"/>
          <w:sz w:val="20"/>
          <w:szCs w:val="20"/>
          <w:lang w:val="es-ES" w:eastAsia="es-ES"/>
        </w:rPr>
        <w:t xml:space="preserve">. </w:t>
      </w:r>
      <w:r w:rsidR="00541592">
        <w:rPr>
          <w:rFonts w:eastAsia="Calibri"/>
          <w:sz w:val="20"/>
          <w:szCs w:val="20"/>
          <w:lang w:val="es-ES" w:eastAsia="es-ES"/>
        </w:rPr>
        <w:t>20</w:t>
      </w:r>
      <w:r w:rsidR="00BF62C7" w:rsidRPr="003F5FC6">
        <w:rPr>
          <w:rFonts w:eastAsia="Calibri"/>
          <w:sz w:val="20"/>
          <w:szCs w:val="20"/>
          <w:lang w:val="es-ES" w:eastAsia="es-ES"/>
        </w:rPr>
        <w:t>7</w:t>
      </w:r>
      <w:r w:rsidRPr="007E5CD5">
        <w:rPr>
          <w:rFonts w:eastAsia="Calibri"/>
          <w:sz w:val="20"/>
          <w:szCs w:val="20"/>
          <w:lang w:val="es-ES" w:eastAsia="es-ES"/>
        </w:rPr>
        <w:t xml:space="preserve">) las violaciones derivadas de la muerte de la señora Blanca Margarita Tapia Encina y Gonzalo Poblete Tapia por lo que no se otorgará un rubro por lucro cesante o daño emergente por estos hechos.  </w:t>
      </w:r>
    </w:p>
    <w:p w14:paraId="0D569841" w14:textId="77777777" w:rsidR="006B2A4D" w:rsidRPr="007E5CD5" w:rsidRDefault="006B2A4D" w:rsidP="006B2A4D">
      <w:pPr>
        <w:widowControl w:val="0"/>
        <w:tabs>
          <w:tab w:val="left" w:pos="567"/>
          <w:tab w:val="num" w:pos="1569"/>
          <w:tab w:val="num" w:pos="12305"/>
        </w:tabs>
        <w:adjustRightInd w:val="0"/>
        <w:textAlignment w:val="baseline"/>
        <w:rPr>
          <w:rFonts w:eastAsia="Calibri"/>
          <w:sz w:val="20"/>
          <w:szCs w:val="20"/>
          <w:lang w:val="es-ES" w:eastAsia="es-ES"/>
        </w:rPr>
      </w:pPr>
    </w:p>
    <w:p w14:paraId="4E1BBFCB" w14:textId="48FD4EAC" w:rsidR="006B2A4D" w:rsidRPr="00AA65C5"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eastAsia="es-ES"/>
        </w:rPr>
      </w:pPr>
      <w:r w:rsidRPr="007E5CD5">
        <w:rPr>
          <w:rFonts w:eastAsia="Calibri"/>
          <w:sz w:val="20"/>
          <w:szCs w:val="20"/>
          <w:lang w:val="es-ES" w:eastAsia="es-ES"/>
        </w:rPr>
        <w:t xml:space="preserve">Respecto del </w:t>
      </w:r>
      <w:r w:rsidRPr="007E5CD5">
        <w:rPr>
          <w:rFonts w:eastAsia="Calibri"/>
          <w:i/>
          <w:sz w:val="20"/>
          <w:szCs w:val="20"/>
          <w:lang w:val="es-ES" w:eastAsia="es-ES"/>
        </w:rPr>
        <w:t>daño emergente</w:t>
      </w:r>
      <w:r w:rsidRPr="007E5CD5">
        <w:rPr>
          <w:rFonts w:eastAsia="Calibri"/>
          <w:sz w:val="20"/>
          <w:szCs w:val="20"/>
          <w:lang w:val="es-ES" w:eastAsia="es-ES"/>
        </w:rPr>
        <w:t xml:space="preserve">, la Corte constata que derivado de la muerte del señor Poblete Vilches y de las violaciones declaradas en </w:t>
      </w:r>
      <w:r w:rsidR="00AA65C5" w:rsidRPr="007E5CD5">
        <w:rPr>
          <w:rFonts w:eastAsia="Calibri"/>
          <w:sz w:val="20"/>
          <w:szCs w:val="20"/>
          <w:lang w:val="es-ES" w:eastAsia="es-ES"/>
        </w:rPr>
        <w:t>el</w:t>
      </w:r>
      <w:r w:rsidRPr="007E5CD5">
        <w:rPr>
          <w:rFonts w:eastAsia="Calibri"/>
          <w:sz w:val="20"/>
          <w:szCs w:val="20"/>
          <w:lang w:val="es-ES" w:eastAsia="es-ES"/>
        </w:rPr>
        <w:t xml:space="preserve"> capítulo</w:t>
      </w:r>
      <w:r w:rsidRPr="007E5CD5">
        <w:rPr>
          <w:rFonts w:eastAsia="Calibri"/>
          <w:sz w:val="20"/>
          <w:lang w:val="es-ES" w:eastAsia="es-ES"/>
        </w:rPr>
        <w:t xml:space="preserve"> </w:t>
      </w:r>
      <w:r w:rsidR="00AA65C5" w:rsidRPr="00B1523A">
        <w:rPr>
          <w:rFonts w:eastAsia="Calibri"/>
          <w:sz w:val="20"/>
          <w:szCs w:val="20"/>
          <w:lang w:val="es-ES" w:eastAsia="es-ES"/>
        </w:rPr>
        <w:t>VII</w:t>
      </w:r>
      <w:r w:rsidRPr="00AA65C5">
        <w:rPr>
          <w:rFonts w:eastAsia="Calibri"/>
          <w:sz w:val="20"/>
          <w:szCs w:val="20"/>
          <w:lang w:val="es-ES" w:eastAsia="es-ES"/>
        </w:rPr>
        <w:t xml:space="preserve"> de la presente Sentencia, se realizaron gastos relacionados con el transporte en ambulancia del señor Poblete Vilches, y su posterior funeral, entierro y servicios religiosos</w:t>
      </w:r>
      <w:r w:rsidRPr="00AA65C5">
        <w:rPr>
          <w:rFonts w:eastAsia="Calibri"/>
          <w:sz w:val="20"/>
          <w:szCs w:val="20"/>
          <w:vertAlign w:val="superscript"/>
          <w:lang w:val="es-ES" w:eastAsia="es-ES"/>
        </w:rPr>
        <w:footnoteReference w:id="323"/>
      </w:r>
      <w:r w:rsidRPr="00AA65C5">
        <w:rPr>
          <w:rFonts w:eastAsia="Calibri"/>
          <w:sz w:val="20"/>
          <w:szCs w:val="20"/>
          <w:lang w:val="es-ES" w:eastAsia="es-ES"/>
        </w:rPr>
        <w:t xml:space="preserve">. Este Tribunal entiende que debido al incendio sufrido en la vivienda familiar, algunos comprobantes fueron destruidos o se han perdido con el transcurso del tiempo. </w:t>
      </w:r>
      <w:r w:rsidRPr="00AA65C5">
        <w:rPr>
          <w:rFonts w:eastAsia="Calibri"/>
          <w:sz w:val="20"/>
          <w:szCs w:val="20"/>
          <w:lang w:val="es-MX" w:eastAsia="es-ES"/>
        </w:rPr>
        <w:t xml:space="preserve">En razón de lo anterior, </w:t>
      </w:r>
      <w:r w:rsidRPr="007E5CD5">
        <w:rPr>
          <w:rFonts w:eastAsia="Calibri"/>
          <w:sz w:val="20"/>
          <w:szCs w:val="20"/>
          <w:lang w:val="es-MX" w:eastAsia="es-ES"/>
        </w:rPr>
        <w:t xml:space="preserve">la Corte estima que se le otorgue un monto razonable de </w:t>
      </w:r>
      <w:r w:rsidRPr="00D83D35">
        <w:rPr>
          <w:rFonts w:eastAsia="Calibri"/>
          <w:sz w:val="20"/>
          <w:szCs w:val="20"/>
          <w:lang w:eastAsia="es-ES"/>
        </w:rPr>
        <w:t>US $</w:t>
      </w:r>
      <w:r w:rsidR="002C4EDE" w:rsidRPr="00B1523A">
        <w:rPr>
          <w:rFonts w:eastAsia="Calibri"/>
          <w:sz w:val="20"/>
          <w:szCs w:val="20"/>
          <w:lang w:eastAsia="es-ES"/>
        </w:rPr>
        <w:t>1</w:t>
      </w:r>
      <w:r w:rsidR="00C32C1D" w:rsidRPr="00B1523A">
        <w:rPr>
          <w:rFonts w:eastAsia="Calibri"/>
          <w:sz w:val="20"/>
          <w:szCs w:val="20"/>
          <w:lang w:eastAsia="es-ES"/>
        </w:rPr>
        <w:t>,</w:t>
      </w:r>
      <w:r w:rsidR="00F377B4" w:rsidRPr="00B1523A">
        <w:rPr>
          <w:rFonts w:eastAsia="Calibri"/>
          <w:sz w:val="20"/>
          <w:szCs w:val="20"/>
          <w:lang w:eastAsia="es-ES"/>
        </w:rPr>
        <w:t>000</w:t>
      </w:r>
      <w:r w:rsidRPr="007E5CD5">
        <w:rPr>
          <w:rFonts w:eastAsia="Calibri"/>
          <w:b/>
          <w:sz w:val="20"/>
          <w:szCs w:val="20"/>
          <w:lang w:eastAsia="es-ES"/>
        </w:rPr>
        <w:t xml:space="preserve"> </w:t>
      </w:r>
      <w:r w:rsidR="00F24D4D" w:rsidRPr="007E5CD5">
        <w:rPr>
          <w:rFonts w:eastAsia="Calibri"/>
          <w:sz w:val="20"/>
          <w:szCs w:val="20"/>
          <w:lang w:eastAsia="es-ES"/>
        </w:rPr>
        <w:t>(</w:t>
      </w:r>
      <w:r w:rsidR="00F24D4D" w:rsidRPr="00AA65C5">
        <w:rPr>
          <w:rFonts w:eastAsia="Calibri"/>
          <w:sz w:val="20"/>
          <w:szCs w:val="20"/>
          <w:lang w:eastAsia="es-ES"/>
        </w:rPr>
        <w:t xml:space="preserve">mil </w:t>
      </w:r>
      <w:r w:rsidRPr="00AA65C5">
        <w:rPr>
          <w:rFonts w:eastAsia="Calibri"/>
          <w:sz w:val="20"/>
          <w:szCs w:val="20"/>
          <w:lang w:eastAsia="es-ES"/>
        </w:rPr>
        <w:t xml:space="preserve">dólares de los Estados Unidos de América). </w:t>
      </w:r>
    </w:p>
    <w:p w14:paraId="1999A1D8" w14:textId="77777777" w:rsidR="00AE16A7" w:rsidRDefault="00AE16A7" w:rsidP="0059117C">
      <w:pPr>
        <w:widowControl w:val="0"/>
        <w:tabs>
          <w:tab w:val="left" w:pos="567"/>
          <w:tab w:val="num" w:pos="12305"/>
        </w:tabs>
        <w:adjustRightInd w:val="0"/>
        <w:textAlignment w:val="baseline"/>
        <w:rPr>
          <w:rFonts w:eastAsia="Calibri"/>
          <w:sz w:val="20"/>
          <w:szCs w:val="20"/>
          <w:lang w:eastAsia="es-ES"/>
        </w:rPr>
      </w:pPr>
    </w:p>
    <w:p w14:paraId="5D310476" w14:textId="62751AC4" w:rsidR="002E620D" w:rsidRDefault="00AE16A7" w:rsidP="002A64C9">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Pr>
          <w:rFonts w:eastAsia="Calibri"/>
          <w:sz w:val="20"/>
          <w:szCs w:val="20"/>
          <w:lang w:val="es-ES" w:eastAsia="es-ES"/>
        </w:rPr>
        <w:t>Los montos establecidos por la Corte, por el rubro de lucro cesante y daño emergente, deberán ser entregados</w:t>
      </w:r>
      <w:r w:rsidR="002E620D">
        <w:rPr>
          <w:rFonts w:eastAsia="Calibri"/>
          <w:sz w:val="20"/>
          <w:szCs w:val="20"/>
          <w:lang w:val="es-ES" w:eastAsia="es-ES"/>
        </w:rPr>
        <w:t xml:space="preserve"> </w:t>
      </w:r>
      <w:r>
        <w:rPr>
          <w:rFonts w:eastAsia="Calibri"/>
          <w:sz w:val="20"/>
          <w:szCs w:val="20"/>
          <w:lang w:val="es-ES" w:eastAsia="es-ES"/>
        </w:rPr>
        <w:t xml:space="preserve">a sus dos hijos en </w:t>
      </w:r>
      <w:r w:rsidR="002E620D">
        <w:rPr>
          <w:rFonts w:eastAsia="Calibri"/>
          <w:sz w:val="20"/>
          <w:szCs w:val="20"/>
          <w:lang w:val="es-ES" w:eastAsia="es-ES"/>
        </w:rPr>
        <w:t xml:space="preserve">partes iguales, en </w:t>
      </w:r>
      <w:r>
        <w:rPr>
          <w:rFonts w:eastAsia="Calibri"/>
          <w:sz w:val="20"/>
          <w:szCs w:val="20"/>
          <w:lang w:val="es-ES" w:eastAsia="es-ES"/>
        </w:rPr>
        <w:t xml:space="preserve">el plazo </w:t>
      </w:r>
      <w:r w:rsidR="002E620D">
        <w:rPr>
          <w:rFonts w:eastAsia="Calibri"/>
          <w:sz w:val="20"/>
          <w:szCs w:val="20"/>
          <w:lang w:val="es-ES" w:eastAsia="es-ES"/>
        </w:rPr>
        <w:t xml:space="preserve">de un año a partir de la notificación de la Sentencia. </w:t>
      </w:r>
    </w:p>
    <w:p w14:paraId="206BAA4B" w14:textId="77777777" w:rsidR="006B2A4D" w:rsidRPr="006B2A4D" w:rsidRDefault="006B2A4D" w:rsidP="002A64C9">
      <w:pPr>
        <w:widowControl w:val="0"/>
        <w:tabs>
          <w:tab w:val="left" w:pos="567"/>
          <w:tab w:val="num" w:pos="12305"/>
        </w:tabs>
        <w:adjustRightInd w:val="0"/>
        <w:textAlignment w:val="baseline"/>
        <w:rPr>
          <w:rFonts w:eastAsia="Calibri"/>
          <w:sz w:val="20"/>
          <w:szCs w:val="20"/>
          <w:lang w:eastAsia="es-ES"/>
        </w:rPr>
      </w:pPr>
    </w:p>
    <w:p w14:paraId="5D70D0FE" w14:textId="3ED71AD8" w:rsidR="006B2A4D" w:rsidRPr="00164C05" w:rsidRDefault="006B2A4D" w:rsidP="00AD229D">
      <w:pPr>
        <w:pStyle w:val="Heading3"/>
        <w:ind w:left="0"/>
        <w:rPr>
          <w:b/>
        </w:rPr>
      </w:pPr>
      <w:r w:rsidRPr="006B2A4D">
        <w:rPr>
          <w:lang w:eastAsia="es-ES"/>
        </w:rPr>
        <w:tab/>
      </w:r>
      <w:r w:rsidRPr="006B2A4D">
        <w:rPr>
          <w:lang w:eastAsia="es-ES"/>
        </w:rPr>
        <w:tab/>
      </w:r>
      <w:r w:rsidRPr="006B2A4D">
        <w:rPr>
          <w:i w:val="0"/>
          <w:lang w:eastAsia="es-ES"/>
        </w:rPr>
        <w:tab/>
      </w:r>
      <w:bookmarkStart w:id="132" w:name="_Toc513644497"/>
      <w:r w:rsidRPr="00164C05">
        <w:rPr>
          <w:b/>
        </w:rPr>
        <w:t xml:space="preserve">2. Daño </w:t>
      </w:r>
      <w:r w:rsidR="00D83D35">
        <w:rPr>
          <w:b/>
        </w:rPr>
        <w:t>I</w:t>
      </w:r>
      <w:r w:rsidRPr="00164C05">
        <w:rPr>
          <w:b/>
        </w:rPr>
        <w:t>nmaterial</w:t>
      </w:r>
      <w:bookmarkEnd w:id="132"/>
    </w:p>
    <w:p w14:paraId="4C0E80A1" w14:textId="77777777" w:rsidR="006B2A4D" w:rsidRPr="006B2A4D" w:rsidRDefault="006B2A4D" w:rsidP="006B2A4D">
      <w:pPr>
        <w:tabs>
          <w:tab w:val="center" w:pos="567"/>
        </w:tabs>
        <w:autoSpaceDE w:val="0"/>
        <w:autoSpaceDN w:val="0"/>
        <w:ind w:right="-90"/>
        <w:rPr>
          <w:rFonts w:eastAsia="Calibri"/>
          <w:i/>
          <w:sz w:val="20"/>
          <w:szCs w:val="20"/>
          <w:lang w:eastAsia="es-ES"/>
        </w:rPr>
      </w:pPr>
    </w:p>
    <w:p w14:paraId="636990F4" w14:textId="77777777" w:rsidR="006B2A4D"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En cuanto al daño inmaterial este Tribunal ha determinado que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6B2A4D">
        <w:rPr>
          <w:rFonts w:eastAsia="Calibri"/>
          <w:sz w:val="20"/>
          <w:szCs w:val="20"/>
          <w:vertAlign w:val="superscript"/>
          <w:lang w:val="es-ES" w:eastAsia="es-ES"/>
        </w:rPr>
        <w:footnoteReference w:id="324"/>
      </w:r>
      <w:r w:rsidRPr="006B2A4D">
        <w:rPr>
          <w:rFonts w:eastAsia="Calibri"/>
          <w:sz w:val="20"/>
          <w:szCs w:val="20"/>
          <w:lang w:val="es-ES" w:eastAsia="es-ES"/>
        </w:rPr>
        <w:t xml:space="preserve">. </w:t>
      </w:r>
    </w:p>
    <w:p w14:paraId="63EAD321" w14:textId="77777777" w:rsidR="006B2A4D" w:rsidRPr="006B2A4D" w:rsidRDefault="006B2A4D" w:rsidP="006B2A4D">
      <w:pPr>
        <w:widowControl w:val="0"/>
        <w:tabs>
          <w:tab w:val="left" w:pos="567"/>
          <w:tab w:val="num" w:pos="1569"/>
          <w:tab w:val="num" w:pos="12305"/>
        </w:tabs>
        <w:adjustRightInd w:val="0"/>
        <w:textAlignment w:val="baseline"/>
        <w:rPr>
          <w:rFonts w:eastAsia="Calibri"/>
          <w:sz w:val="20"/>
          <w:szCs w:val="20"/>
          <w:lang w:val="es-ES" w:eastAsia="es-ES"/>
        </w:rPr>
      </w:pPr>
    </w:p>
    <w:p w14:paraId="2DD0D3F3" w14:textId="2EA38E47" w:rsidR="002E620D" w:rsidRPr="00D83D35" w:rsidRDefault="006B2A4D" w:rsidP="002E620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sidRPr="002E620D">
        <w:rPr>
          <w:rFonts w:eastAsia="Calibri"/>
          <w:sz w:val="20"/>
          <w:szCs w:val="20"/>
          <w:lang w:val="es-ES" w:eastAsia="es-ES"/>
        </w:rPr>
        <w:t xml:space="preserve">De conformidad con los criterios desarrollados por la Corte sobre el concepto de </w:t>
      </w:r>
      <w:r w:rsidRPr="002E620D">
        <w:rPr>
          <w:rFonts w:eastAsia="Calibri"/>
          <w:i/>
          <w:sz w:val="20"/>
          <w:szCs w:val="20"/>
          <w:lang w:val="es-ES" w:eastAsia="es-ES"/>
        </w:rPr>
        <w:t xml:space="preserve">daño </w:t>
      </w:r>
      <w:r w:rsidRPr="002E620D">
        <w:rPr>
          <w:rFonts w:eastAsia="Calibri"/>
          <w:i/>
          <w:sz w:val="20"/>
          <w:szCs w:val="20"/>
          <w:lang w:val="es-ES" w:eastAsia="es-ES"/>
        </w:rPr>
        <w:lastRenderedPageBreak/>
        <w:t>inmaterial</w:t>
      </w:r>
      <w:r w:rsidRPr="006B2A4D">
        <w:rPr>
          <w:rFonts w:eastAsia="Calibri"/>
          <w:sz w:val="20"/>
          <w:szCs w:val="20"/>
          <w:vertAlign w:val="superscript"/>
          <w:lang w:val="es-ES" w:eastAsia="es-ES"/>
        </w:rPr>
        <w:footnoteReference w:id="325"/>
      </w:r>
      <w:r w:rsidRPr="002E620D">
        <w:rPr>
          <w:rFonts w:eastAsia="Calibri"/>
          <w:sz w:val="20"/>
          <w:szCs w:val="20"/>
          <w:lang w:val="es-ES" w:eastAsia="es-ES"/>
        </w:rPr>
        <w:t xml:space="preserve"> y atendiendo a las circunstancias del </w:t>
      </w:r>
      <w:r w:rsidRPr="00AA65C5">
        <w:rPr>
          <w:rFonts w:eastAsia="Calibri"/>
          <w:sz w:val="20"/>
          <w:szCs w:val="20"/>
          <w:lang w:val="es-ES" w:eastAsia="es-ES"/>
        </w:rPr>
        <w:t xml:space="preserve">presente caso, el carácter de las violaciones cometidas, la Corte fija en equidad, el monto de </w:t>
      </w:r>
      <w:r w:rsidR="00F24D4D" w:rsidRPr="00D83D35">
        <w:rPr>
          <w:rFonts w:eastAsia="Calibri"/>
          <w:sz w:val="20"/>
          <w:szCs w:val="20"/>
          <w:lang w:eastAsia="es-ES"/>
        </w:rPr>
        <w:t xml:space="preserve">US </w:t>
      </w:r>
      <w:r w:rsidR="00F377B4" w:rsidRPr="00B1523A">
        <w:rPr>
          <w:rFonts w:eastAsia="Calibri"/>
          <w:sz w:val="20"/>
          <w:szCs w:val="20"/>
          <w:lang w:val="es-ES" w:eastAsia="es-ES"/>
        </w:rPr>
        <w:t>$</w:t>
      </w:r>
      <w:r w:rsidR="00C47603" w:rsidRPr="00B1523A">
        <w:rPr>
          <w:rFonts w:eastAsia="Calibri"/>
          <w:sz w:val="20"/>
          <w:szCs w:val="20"/>
          <w:lang w:val="es-ES" w:eastAsia="es-ES"/>
        </w:rPr>
        <w:t>10</w:t>
      </w:r>
      <w:r w:rsidR="00F377B4" w:rsidRPr="00B1523A">
        <w:rPr>
          <w:rFonts w:eastAsia="Calibri"/>
          <w:sz w:val="20"/>
          <w:szCs w:val="20"/>
          <w:lang w:val="es-ES" w:eastAsia="es-ES"/>
        </w:rPr>
        <w:t>0,000</w:t>
      </w:r>
      <w:r w:rsidR="00F377B4" w:rsidRPr="007E5CD5">
        <w:rPr>
          <w:rFonts w:eastAsia="Calibri"/>
          <w:sz w:val="20"/>
          <w:szCs w:val="20"/>
          <w:lang w:val="es-ES" w:eastAsia="es-ES"/>
        </w:rPr>
        <w:t xml:space="preserve"> (</w:t>
      </w:r>
      <w:r w:rsidR="00C47603" w:rsidRPr="007E5CD5">
        <w:rPr>
          <w:rFonts w:eastAsia="Calibri"/>
          <w:sz w:val="20"/>
          <w:szCs w:val="20"/>
          <w:lang w:val="es-ES" w:eastAsia="es-ES"/>
        </w:rPr>
        <w:t xml:space="preserve">cien </w:t>
      </w:r>
      <w:r w:rsidR="00F24D4D" w:rsidRPr="007E5CD5">
        <w:rPr>
          <w:rFonts w:eastAsia="Calibri"/>
          <w:sz w:val="20"/>
          <w:szCs w:val="20"/>
          <w:lang w:val="es-ES" w:eastAsia="es-ES"/>
        </w:rPr>
        <w:t>mil dólares de los Estados Unidos de América</w:t>
      </w:r>
      <w:r w:rsidR="00F377B4" w:rsidRPr="007E5CD5">
        <w:rPr>
          <w:rFonts w:eastAsia="Calibri"/>
          <w:sz w:val="20"/>
          <w:szCs w:val="20"/>
          <w:lang w:val="es-ES" w:eastAsia="es-ES"/>
        </w:rPr>
        <w:t>)</w:t>
      </w:r>
      <w:r w:rsidRPr="00AA65C5">
        <w:rPr>
          <w:rFonts w:eastAsia="Calibri"/>
          <w:sz w:val="20"/>
          <w:szCs w:val="20"/>
          <w:lang w:val="es-ES" w:eastAsia="es-ES"/>
        </w:rPr>
        <w:t xml:space="preserve"> a favor del señor Poblete Vilches</w:t>
      </w:r>
      <w:r w:rsidRPr="00AA65C5">
        <w:rPr>
          <w:rFonts w:eastAsia="Calibri"/>
          <w:sz w:val="20"/>
          <w:szCs w:val="20"/>
          <w:vertAlign w:val="superscript"/>
          <w:lang w:val="es-ES" w:eastAsia="es-ES"/>
        </w:rPr>
        <w:footnoteReference w:id="326"/>
      </w:r>
      <w:r w:rsidR="00AE16A7" w:rsidRPr="00AA65C5">
        <w:rPr>
          <w:rFonts w:eastAsia="Calibri"/>
          <w:sz w:val="20"/>
          <w:szCs w:val="20"/>
          <w:lang w:val="es-ES" w:eastAsia="es-ES"/>
        </w:rPr>
        <w:t>. El monto establecido por la Corte deberá ser entregado</w:t>
      </w:r>
      <w:r w:rsidR="002E620D" w:rsidRPr="00AA65C5">
        <w:rPr>
          <w:rFonts w:eastAsia="Calibri"/>
          <w:sz w:val="20"/>
          <w:szCs w:val="20"/>
          <w:lang w:val="es-ES" w:eastAsia="es-ES"/>
        </w:rPr>
        <w:t xml:space="preserve"> </w:t>
      </w:r>
      <w:r w:rsidR="00AE16A7" w:rsidRPr="00AA65C5">
        <w:rPr>
          <w:rFonts w:eastAsia="Calibri"/>
          <w:sz w:val="20"/>
          <w:szCs w:val="20"/>
          <w:lang w:val="es-ES" w:eastAsia="es-ES"/>
        </w:rPr>
        <w:t xml:space="preserve">a </w:t>
      </w:r>
      <w:r w:rsidR="00AE16A7" w:rsidRPr="00D83D35">
        <w:rPr>
          <w:rFonts w:eastAsia="Calibri"/>
          <w:sz w:val="20"/>
          <w:szCs w:val="20"/>
          <w:lang w:val="es-ES" w:eastAsia="es-ES"/>
        </w:rPr>
        <w:t xml:space="preserve">sus </w:t>
      </w:r>
      <w:r w:rsidR="00F377B4" w:rsidRPr="00B1523A">
        <w:rPr>
          <w:rFonts w:eastAsia="Calibri"/>
          <w:sz w:val="20"/>
          <w:szCs w:val="20"/>
          <w:lang w:val="es-ES" w:eastAsia="es-ES"/>
        </w:rPr>
        <w:t xml:space="preserve">herederos como beneficiario de la reparación </w:t>
      </w:r>
      <w:r w:rsidR="002E620D" w:rsidRPr="00D83D35">
        <w:rPr>
          <w:rFonts w:eastAsia="Calibri"/>
          <w:sz w:val="20"/>
          <w:szCs w:val="20"/>
          <w:lang w:val="es-ES" w:eastAsia="es-ES"/>
        </w:rPr>
        <w:t xml:space="preserve">en el plazo de un año a partir de la notificación de la Sentencia. </w:t>
      </w:r>
    </w:p>
    <w:p w14:paraId="44A2E918" w14:textId="77777777" w:rsidR="006B2A4D" w:rsidRPr="007E5CD5" w:rsidRDefault="006B2A4D" w:rsidP="006B2A4D">
      <w:pPr>
        <w:widowControl w:val="0"/>
        <w:tabs>
          <w:tab w:val="left" w:pos="567"/>
          <w:tab w:val="num" w:pos="1569"/>
          <w:tab w:val="num" w:pos="12305"/>
        </w:tabs>
        <w:adjustRightInd w:val="0"/>
        <w:textAlignment w:val="baseline"/>
        <w:rPr>
          <w:rFonts w:eastAsia="Calibri"/>
          <w:sz w:val="20"/>
          <w:szCs w:val="20"/>
          <w:lang w:val="es-ES" w:eastAsia="es-ES"/>
        </w:rPr>
      </w:pPr>
    </w:p>
    <w:p w14:paraId="38D52113" w14:textId="0E2E050D" w:rsidR="00AE16A7" w:rsidRPr="00D83D35"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sidRPr="007E5CD5">
        <w:rPr>
          <w:rFonts w:eastAsia="Calibri"/>
          <w:sz w:val="20"/>
          <w:szCs w:val="20"/>
          <w:lang w:val="es-ES" w:eastAsia="es-ES"/>
        </w:rPr>
        <w:t>Adicionalmente, en vista de la violación acreditada en perjuicio de los familiares, que derivaron en afectaciones en su esfera moral y psicológica, la Corte fija en equidad, las siguientes sumas de di</w:t>
      </w:r>
      <w:r w:rsidRPr="00D83D35">
        <w:rPr>
          <w:rFonts w:eastAsia="Calibri"/>
          <w:sz w:val="20"/>
          <w:szCs w:val="20"/>
          <w:lang w:val="es-ES" w:eastAsia="es-ES"/>
        </w:rPr>
        <w:t>nero</w:t>
      </w:r>
      <w:r w:rsidR="00F377B4" w:rsidRPr="00D83D35">
        <w:rPr>
          <w:rFonts w:eastAsia="Calibri"/>
          <w:sz w:val="20"/>
          <w:szCs w:val="20"/>
          <w:lang w:val="es-ES" w:eastAsia="es-ES"/>
        </w:rPr>
        <w:t xml:space="preserve">, correspondiente a </w:t>
      </w:r>
      <w:r w:rsidR="00F24D4D" w:rsidRPr="00B1523A">
        <w:rPr>
          <w:rFonts w:eastAsia="Calibri"/>
          <w:sz w:val="20"/>
          <w:szCs w:val="20"/>
          <w:lang w:val="es-ES" w:eastAsia="es-ES"/>
        </w:rPr>
        <w:t xml:space="preserve">US $ </w:t>
      </w:r>
      <w:r w:rsidR="00F377B4" w:rsidRPr="00B1523A">
        <w:rPr>
          <w:rFonts w:eastAsia="Calibri"/>
          <w:sz w:val="20"/>
          <w:szCs w:val="20"/>
          <w:lang w:val="es-ES" w:eastAsia="es-ES"/>
        </w:rPr>
        <w:t xml:space="preserve">15,000 </w:t>
      </w:r>
      <w:r w:rsidR="00F24D4D" w:rsidRPr="00D83D35">
        <w:rPr>
          <w:rFonts w:eastAsia="Calibri"/>
          <w:sz w:val="20"/>
          <w:szCs w:val="20"/>
          <w:lang w:val="es-ES" w:eastAsia="es-ES"/>
        </w:rPr>
        <w:t>(quince mil dólares de los Estados Unidos de América)</w:t>
      </w:r>
      <w:r w:rsidR="002C4EDE" w:rsidRPr="00D83D35">
        <w:rPr>
          <w:rFonts w:eastAsia="Calibri"/>
          <w:sz w:val="20"/>
          <w:szCs w:val="20"/>
          <w:lang w:val="es-ES" w:eastAsia="es-ES"/>
        </w:rPr>
        <w:t xml:space="preserve"> </w:t>
      </w:r>
      <w:r w:rsidR="00F377B4" w:rsidRPr="00B1523A">
        <w:rPr>
          <w:rFonts w:eastAsia="Calibri"/>
          <w:sz w:val="20"/>
          <w:szCs w:val="20"/>
          <w:lang w:val="es-ES" w:eastAsia="es-ES"/>
        </w:rPr>
        <w:t>para cada una de los cuatro familiares víctimas del presente caso (</w:t>
      </w:r>
      <w:r w:rsidR="00F377B4" w:rsidRPr="00B1523A">
        <w:rPr>
          <w:rFonts w:eastAsia="Calibri"/>
          <w:i/>
          <w:sz w:val="20"/>
          <w:szCs w:val="20"/>
          <w:lang w:val="es-ES" w:eastAsia="es-ES"/>
        </w:rPr>
        <w:t>supra</w:t>
      </w:r>
      <w:r w:rsidR="00F377B4" w:rsidRPr="00B1523A">
        <w:rPr>
          <w:rFonts w:eastAsia="Calibri"/>
          <w:sz w:val="20"/>
          <w:szCs w:val="20"/>
          <w:lang w:val="es-ES" w:eastAsia="es-ES"/>
        </w:rPr>
        <w:t xml:space="preserve"> párr.</w:t>
      </w:r>
      <w:r w:rsidR="00D83D35" w:rsidRPr="00B1523A">
        <w:rPr>
          <w:rFonts w:eastAsia="Calibri"/>
          <w:sz w:val="20"/>
          <w:szCs w:val="20"/>
          <w:lang w:val="es-ES" w:eastAsia="es-ES"/>
        </w:rPr>
        <w:t xml:space="preserve"> 244</w:t>
      </w:r>
      <w:r w:rsidR="00F377B4" w:rsidRPr="00B1523A">
        <w:rPr>
          <w:rFonts w:eastAsia="Calibri"/>
          <w:sz w:val="20"/>
          <w:szCs w:val="20"/>
          <w:lang w:val="es-ES" w:eastAsia="es-ES"/>
        </w:rPr>
        <w:t>)</w:t>
      </w:r>
      <w:r w:rsidR="00920D09" w:rsidRPr="00B1523A">
        <w:rPr>
          <w:rFonts w:eastAsia="Calibri"/>
          <w:sz w:val="20"/>
          <w:szCs w:val="20"/>
          <w:lang w:val="es-ES" w:eastAsia="es-ES"/>
        </w:rPr>
        <w:t>.</w:t>
      </w:r>
      <w:r w:rsidR="00F377B4" w:rsidRPr="00B1523A">
        <w:rPr>
          <w:rFonts w:eastAsia="Calibri"/>
          <w:sz w:val="20"/>
          <w:szCs w:val="20"/>
          <w:lang w:val="es-ES" w:eastAsia="es-ES"/>
        </w:rPr>
        <w:t xml:space="preserve"> En el caso de las personas fallecidas, el monto deberá ser entregado a sus herederos. </w:t>
      </w:r>
    </w:p>
    <w:p w14:paraId="2DF1EB4F" w14:textId="77777777" w:rsidR="006B2A4D" w:rsidRPr="006B2A4D" w:rsidRDefault="006B2A4D" w:rsidP="006B2A4D">
      <w:pPr>
        <w:widowControl w:val="0"/>
        <w:tabs>
          <w:tab w:val="left" w:pos="567"/>
          <w:tab w:val="num" w:pos="1569"/>
          <w:tab w:val="num" w:pos="12305"/>
        </w:tabs>
        <w:adjustRightInd w:val="0"/>
        <w:textAlignment w:val="baseline"/>
        <w:rPr>
          <w:rFonts w:eastAsia="Calibri"/>
          <w:sz w:val="20"/>
          <w:szCs w:val="20"/>
          <w:lang w:val="es-ES" w:eastAsia="es-ES"/>
        </w:rPr>
      </w:pPr>
    </w:p>
    <w:p w14:paraId="34DCF983" w14:textId="77777777" w:rsidR="006B2A4D" w:rsidRPr="00AD229D" w:rsidRDefault="006B2A4D" w:rsidP="002726E0">
      <w:pPr>
        <w:pStyle w:val="Heading2"/>
        <w:numPr>
          <w:ilvl w:val="0"/>
          <w:numId w:val="13"/>
        </w:numPr>
      </w:pPr>
      <w:bookmarkStart w:id="133" w:name="_Toc513644498"/>
      <w:r w:rsidRPr="00AD229D">
        <w:t>Gastos y Costas</w:t>
      </w:r>
      <w:bookmarkEnd w:id="133"/>
      <w:r w:rsidRPr="00AD229D">
        <w:t xml:space="preserve"> </w:t>
      </w:r>
    </w:p>
    <w:p w14:paraId="1C5CD8D4" w14:textId="77777777" w:rsidR="006B2A4D" w:rsidRPr="006B2A4D" w:rsidRDefault="006B2A4D" w:rsidP="006B2A4D">
      <w:pPr>
        <w:keepNext/>
        <w:keepLines/>
        <w:outlineLvl w:val="1"/>
        <w:rPr>
          <w:b/>
          <w:bCs/>
          <w:i/>
          <w:sz w:val="20"/>
          <w:szCs w:val="20"/>
          <w:lang w:val="es-ES" w:eastAsia="en-US"/>
        </w:rPr>
      </w:pPr>
    </w:p>
    <w:p w14:paraId="30F7065F" w14:textId="77777777" w:rsidR="006B2A4D"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La </w:t>
      </w:r>
      <w:r w:rsidRPr="006B2A4D">
        <w:rPr>
          <w:rFonts w:eastAsia="Calibri"/>
          <w:b/>
          <w:i/>
          <w:sz w:val="20"/>
          <w:szCs w:val="20"/>
          <w:lang w:val="es-ES" w:eastAsia="es-ES"/>
        </w:rPr>
        <w:t>Comisión</w:t>
      </w:r>
      <w:r w:rsidRPr="006B2A4D">
        <w:rPr>
          <w:rFonts w:eastAsia="Calibri"/>
          <w:sz w:val="20"/>
          <w:szCs w:val="20"/>
          <w:lang w:val="es-ES" w:eastAsia="es-ES"/>
        </w:rPr>
        <w:t xml:space="preserve"> no se pronunció respecto los gastos y costas.</w:t>
      </w:r>
    </w:p>
    <w:p w14:paraId="0FBC3DAF" w14:textId="77777777" w:rsidR="006B2A4D" w:rsidRPr="006B2A4D" w:rsidRDefault="006B2A4D" w:rsidP="006B2A4D">
      <w:pPr>
        <w:widowControl w:val="0"/>
        <w:tabs>
          <w:tab w:val="left" w:pos="567"/>
          <w:tab w:val="num" w:pos="1569"/>
          <w:tab w:val="num" w:pos="12305"/>
        </w:tabs>
        <w:adjustRightInd w:val="0"/>
        <w:textAlignment w:val="baseline"/>
        <w:rPr>
          <w:rFonts w:eastAsia="Calibri"/>
          <w:sz w:val="20"/>
          <w:szCs w:val="20"/>
          <w:lang w:val="es-ES" w:eastAsia="es-ES"/>
        </w:rPr>
      </w:pPr>
    </w:p>
    <w:p w14:paraId="43972DE1" w14:textId="77777777" w:rsidR="006B2A4D" w:rsidRPr="002A64C9"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sidRPr="006B2A4D">
        <w:rPr>
          <w:rFonts w:eastAsia="Calibri"/>
          <w:sz w:val="20"/>
          <w:szCs w:val="20"/>
          <w:lang w:val="es-ES" w:eastAsia="es-ES"/>
        </w:rPr>
        <w:t xml:space="preserve">Las </w:t>
      </w:r>
      <w:r w:rsidRPr="006B2A4D">
        <w:rPr>
          <w:rFonts w:eastAsia="Calibri"/>
          <w:b/>
          <w:i/>
          <w:sz w:val="20"/>
          <w:szCs w:val="20"/>
          <w:lang w:val="es-ES" w:eastAsia="es-ES"/>
        </w:rPr>
        <w:t xml:space="preserve">representantes </w:t>
      </w:r>
      <w:r w:rsidRPr="006B2A4D">
        <w:rPr>
          <w:rFonts w:eastAsia="Calibri"/>
          <w:sz w:val="20"/>
          <w:szCs w:val="20"/>
          <w:lang w:val="es-ES" w:eastAsia="es-ES"/>
        </w:rPr>
        <w:t xml:space="preserve">señalaron que las presuntas víctimas gastaron alrededor de 7 millones de pesos chilenos durante más de 14 años en remitir documentos por correos a la </w:t>
      </w:r>
      <w:r w:rsidRPr="00A7540B">
        <w:rPr>
          <w:rFonts w:eastAsia="Calibri"/>
          <w:sz w:val="20"/>
          <w:szCs w:val="20"/>
          <w:lang w:val="es-ES" w:eastAsia="es-ES"/>
        </w:rPr>
        <w:t>Comisión Interamericana y realizar llamadas telefónicas relacionadas con el caso. Además, las representantes notaron que tod</w:t>
      </w:r>
      <w:r w:rsidRPr="002A64C9">
        <w:rPr>
          <w:rFonts w:eastAsia="Calibri"/>
          <w:sz w:val="20"/>
          <w:szCs w:val="20"/>
          <w:lang w:val="es-ES" w:eastAsia="es-ES"/>
        </w:rPr>
        <w:t>a la documentación al respecto, que las presuntas víctimas habían archivado, se quemó en el incendio de su hogar.</w:t>
      </w:r>
    </w:p>
    <w:p w14:paraId="19C7D946" w14:textId="77777777" w:rsidR="006B2A4D" w:rsidRPr="002A64C9" w:rsidRDefault="006B2A4D" w:rsidP="006B2A4D">
      <w:pPr>
        <w:widowControl w:val="0"/>
        <w:tabs>
          <w:tab w:val="left" w:pos="567"/>
          <w:tab w:val="num" w:pos="1569"/>
          <w:tab w:val="num" w:pos="12305"/>
        </w:tabs>
        <w:adjustRightInd w:val="0"/>
        <w:textAlignment w:val="baseline"/>
        <w:rPr>
          <w:rFonts w:eastAsia="Calibri"/>
          <w:sz w:val="20"/>
          <w:szCs w:val="20"/>
          <w:lang w:val="es-ES" w:eastAsia="es-ES"/>
        </w:rPr>
      </w:pPr>
    </w:p>
    <w:p w14:paraId="22E6FF50" w14:textId="77777777" w:rsidR="006B2A4D" w:rsidRPr="002A64C9"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sidRPr="002A64C9">
        <w:rPr>
          <w:rFonts w:eastAsia="Calibri"/>
          <w:sz w:val="20"/>
          <w:szCs w:val="20"/>
          <w:lang w:val="es-ES" w:eastAsia="es-ES"/>
        </w:rPr>
        <w:t xml:space="preserve">El </w:t>
      </w:r>
      <w:r w:rsidRPr="002A64C9">
        <w:rPr>
          <w:rFonts w:eastAsia="Calibri"/>
          <w:b/>
          <w:i/>
          <w:sz w:val="20"/>
          <w:szCs w:val="20"/>
          <w:lang w:val="es-ES" w:eastAsia="es-ES"/>
        </w:rPr>
        <w:t>Estado</w:t>
      </w:r>
      <w:r w:rsidRPr="002A64C9">
        <w:rPr>
          <w:rFonts w:eastAsia="Calibri"/>
          <w:sz w:val="20"/>
          <w:szCs w:val="20"/>
          <w:lang w:val="es-ES" w:eastAsia="es-ES"/>
        </w:rPr>
        <w:t xml:space="preserve"> no se pronunció al respecto.</w:t>
      </w:r>
    </w:p>
    <w:p w14:paraId="12DD7256" w14:textId="77777777" w:rsidR="006B2A4D" w:rsidRPr="002A64C9" w:rsidRDefault="006B2A4D" w:rsidP="006B2A4D">
      <w:pPr>
        <w:rPr>
          <w:rFonts w:eastAsia="Calibri"/>
          <w:sz w:val="20"/>
          <w:szCs w:val="20"/>
          <w:lang w:val="es-ES" w:eastAsia="es-ES"/>
        </w:rPr>
      </w:pPr>
    </w:p>
    <w:p w14:paraId="547811A7" w14:textId="77777777" w:rsidR="006B2A4D"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eastAsia="es-ES"/>
        </w:rPr>
      </w:pPr>
      <w:r w:rsidRPr="002A64C9">
        <w:rPr>
          <w:rFonts w:eastAsia="Calibri"/>
          <w:sz w:val="20"/>
          <w:szCs w:val="20"/>
          <w:lang w:eastAsia="es-ES"/>
        </w:rPr>
        <w:t xml:space="preserve">La </w:t>
      </w:r>
      <w:r w:rsidRPr="004450BE">
        <w:rPr>
          <w:rFonts w:eastAsia="Calibri"/>
          <w:i/>
          <w:sz w:val="20"/>
          <w:szCs w:val="20"/>
          <w:lang w:eastAsia="es-ES"/>
        </w:rPr>
        <w:t>Corte</w:t>
      </w:r>
      <w:r w:rsidRPr="004450BE">
        <w:rPr>
          <w:rFonts w:eastAsia="Calibri"/>
          <w:sz w:val="20"/>
          <w:szCs w:val="20"/>
          <w:lang w:eastAsia="es-ES"/>
        </w:rPr>
        <w:t xml:space="preserve"> </w:t>
      </w:r>
      <w:r w:rsidRPr="002A64C9">
        <w:rPr>
          <w:rFonts w:eastAsia="Calibri"/>
          <w:sz w:val="20"/>
          <w:szCs w:val="20"/>
          <w:lang w:eastAsia="es-ES"/>
        </w:rPr>
        <w:t>reitera que, conforme a su jurisprudencia</w:t>
      </w:r>
      <w:r w:rsidRPr="00A7540B">
        <w:rPr>
          <w:rFonts w:eastAsia="Calibri"/>
          <w:sz w:val="20"/>
          <w:szCs w:val="20"/>
          <w:vertAlign w:val="superscript"/>
          <w:lang w:eastAsia="es-ES"/>
        </w:rPr>
        <w:footnoteReference w:id="327"/>
      </w:r>
      <w:r w:rsidRPr="00A7540B">
        <w:rPr>
          <w:rFonts w:eastAsia="Calibri"/>
          <w:sz w:val="20"/>
          <w:szCs w:val="20"/>
          <w:lang w:eastAsia="es-ES"/>
        </w:rPr>
        <w:t xml:space="preserve">, las costas y gastos hacen parte del concepto de </w:t>
      </w:r>
      <w:r w:rsidRPr="002A64C9">
        <w:rPr>
          <w:rFonts w:eastAsia="Calibri"/>
          <w:sz w:val="20"/>
          <w:szCs w:val="20"/>
          <w:lang w:eastAsia="es-ES"/>
        </w:rPr>
        <w:t>reparación, toda vez que la actividad desplegada por las víctimas con el fin de obtener justicia, tanto a nivel nacional como internacional, implica erogaciones que deben ser compensadas cuando la responsabilidad internacional del Estado es declarada mediante una sentencia</w:t>
      </w:r>
      <w:r w:rsidRPr="006B2A4D">
        <w:rPr>
          <w:rFonts w:eastAsia="Calibri"/>
          <w:sz w:val="20"/>
          <w:szCs w:val="20"/>
          <w:lang w:eastAsia="es-ES"/>
        </w:rPr>
        <w:t xml:space="preserve">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debe ser realizada tomando en cuenta los gastos señalados por las partes, siempre que su </w:t>
      </w:r>
      <w:r w:rsidRPr="006B2A4D">
        <w:rPr>
          <w:rFonts w:eastAsia="Calibri"/>
          <w:i/>
          <w:sz w:val="20"/>
          <w:szCs w:val="20"/>
          <w:lang w:eastAsia="es-ES"/>
        </w:rPr>
        <w:t>quantum</w:t>
      </w:r>
      <w:r w:rsidRPr="006B2A4D">
        <w:rPr>
          <w:rFonts w:eastAsia="Calibri"/>
          <w:sz w:val="20"/>
          <w:szCs w:val="20"/>
          <w:lang w:eastAsia="es-ES"/>
        </w:rPr>
        <w:t xml:space="preserve"> sea razonable</w:t>
      </w:r>
      <w:r w:rsidRPr="006B2A4D">
        <w:rPr>
          <w:rFonts w:eastAsia="Calibri"/>
          <w:sz w:val="20"/>
          <w:szCs w:val="20"/>
          <w:vertAlign w:val="superscript"/>
          <w:lang w:eastAsia="es-ES"/>
        </w:rPr>
        <w:footnoteReference w:id="328"/>
      </w:r>
      <w:r w:rsidRPr="006B2A4D">
        <w:rPr>
          <w:rFonts w:eastAsia="Calibri"/>
          <w:sz w:val="20"/>
          <w:szCs w:val="20"/>
          <w:lang w:eastAsia="es-ES"/>
        </w:rPr>
        <w:t xml:space="preserve">. </w:t>
      </w:r>
    </w:p>
    <w:p w14:paraId="1D4A074A" w14:textId="77777777" w:rsidR="006B2A4D" w:rsidRPr="006B2A4D" w:rsidRDefault="006B2A4D" w:rsidP="006B2A4D">
      <w:pPr>
        <w:widowControl w:val="0"/>
        <w:tabs>
          <w:tab w:val="left" w:pos="567"/>
          <w:tab w:val="num" w:pos="1569"/>
          <w:tab w:val="num" w:pos="12305"/>
        </w:tabs>
        <w:adjustRightInd w:val="0"/>
        <w:textAlignment w:val="baseline"/>
        <w:rPr>
          <w:rFonts w:eastAsia="Calibri"/>
          <w:sz w:val="20"/>
          <w:szCs w:val="20"/>
          <w:lang w:eastAsia="es-ES"/>
        </w:rPr>
      </w:pPr>
    </w:p>
    <w:p w14:paraId="3C0670A2" w14:textId="77777777" w:rsidR="006B2A4D"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eastAsia="es-ES"/>
        </w:rPr>
        <w:t>Este</w:t>
      </w:r>
      <w:r w:rsidRPr="006B2A4D">
        <w:rPr>
          <w:rFonts w:eastAsia="Calibri"/>
          <w:spacing w:val="-2"/>
          <w:sz w:val="20"/>
          <w:szCs w:val="20"/>
          <w:lang w:eastAsia="es-ES"/>
        </w:rPr>
        <w:t xml:space="preserve"> Tribunal </w:t>
      </w:r>
      <w:r w:rsidRPr="006B2A4D">
        <w:rPr>
          <w:rFonts w:eastAsia="Verdana" w:cs="Verdana"/>
          <w:spacing w:val="1"/>
          <w:sz w:val="20"/>
          <w:szCs w:val="20"/>
          <w:lang w:eastAsia="es-ES"/>
        </w:rPr>
        <w:t>h</w:t>
      </w:r>
      <w:r w:rsidRPr="006B2A4D">
        <w:rPr>
          <w:rFonts w:eastAsia="Verdana" w:cs="Verdana"/>
          <w:sz w:val="20"/>
          <w:szCs w:val="20"/>
          <w:lang w:eastAsia="es-ES"/>
        </w:rPr>
        <w:t>a</w:t>
      </w:r>
      <w:r w:rsidRPr="006B2A4D">
        <w:rPr>
          <w:rFonts w:eastAsia="Verdana" w:cs="Verdana"/>
          <w:spacing w:val="59"/>
          <w:sz w:val="20"/>
          <w:szCs w:val="20"/>
          <w:lang w:eastAsia="es-ES"/>
        </w:rPr>
        <w:t xml:space="preserve"> </w:t>
      </w:r>
      <w:r w:rsidRPr="006B2A4D">
        <w:rPr>
          <w:rFonts w:eastAsia="Verdana" w:cs="Verdana"/>
          <w:sz w:val="20"/>
          <w:szCs w:val="20"/>
          <w:lang w:eastAsia="es-ES"/>
        </w:rPr>
        <w:t>s</w:t>
      </w:r>
      <w:r w:rsidRPr="006B2A4D">
        <w:rPr>
          <w:rFonts w:eastAsia="Verdana" w:cs="Verdana"/>
          <w:spacing w:val="-2"/>
          <w:sz w:val="20"/>
          <w:szCs w:val="20"/>
          <w:lang w:eastAsia="es-ES"/>
        </w:rPr>
        <w:t>e</w:t>
      </w:r>
      <w:r w:rsidRPr="006B2A4D">
        <w:rPr>
          <w:rFonts w:eastAsia="Verdana" w:cs="Verdana"/>
          <w:spacing w:val="1"/>
          <w:sz w:val="20"/>
          <w:szCs w:val="20"/>
          <w:lang w:eastAsia="es-ES"/>
        </w:rPr>
        <w:t>ñ</w:t>
      </w:r>
      <w:r w:rsidRPr="006B2A4D">
        <w:rPr>
          <w:rFonts w:eastAsia="Verdana" w:cs="Verdana"/>
          <w:sz w:val="20"/>
          <w:szCs w:val="20"/>
          <w:lang w:eastAsia="es-ES"/>
        </w:rPr>
        <w:t>a</w:t>
      </w:r>
      <w:r w:rsidRPr="006B2A4D">
        <w:rPr>
          <w:rFonts w:eastAsia="Verdana" w:cs="Verdana"/>
          <w:spacing w:val="3"/>
          <w:sz w:val="20"/>
          <w:szCs w:val="20"/>
          <w:lang w:eastAsia="es-ES"/>
        </w:rPr>
        <w:t>l</w:t>
      </w:r>
      <w:r w:rsidRPr="006B2A4D">
        <w:rPr>
          <w:rFonts w:eastAsia="Verdana" w:cs="Verdana"/>
          <w:sz w:val="20"/>
          <w:szCs w:val="20"/>
          <w:lang w:eastAsia="es-ES"/>
        </w:rPr>
        <w:t>a</w:t>
      </w:r>
      <w:r w:rsidRPr="006B2A4D">
        <w:rPr>
          <w:rFonts w:eastAsia="Verdana" w:cs="Verdana"/>
          <w:spacing w:val="-1"/>
          <w:sz w:val="20"/>
          <w:szCs w:val="20"/>
          <w:lang w:eastAsia="es-ES"/>
        </w:rPr>
        <w:t>d</w:t>
      </w:r>
      <w:r w:rsidRPr="006B2A4D">
        <w:rPr>
          <w:rFonts w:eastAsia="Verdana" w:cs="Verdana"/>
          <w:sz w:val="20"/>
          <w:szCs w:val="20"/>
          <w:lang w:eastAsia="es-ES"/>
        </w:rPr>
        <w:t>o</w:t>
      </w:r>
      <w:r w:rsidRPr="006B2A4D">
        <w:rPr>
          <w:rFonts w:eastAsia="Verdana" w:cs="Verdana"/>
          <w:spacing w:val="51"/>
          <w:sz w:val="20"/>
          <w:szCs w:val="20"/>
          <w:lang w:eastAsia="es-ES"/>
        </w:rPr>
        <w:t xml:space="preserve"> </w:t>
      </w:r>
      <w:r w:rsidRPr="006B2A4D">
        <w:rPr>
          <w:rFonts w:eastAsia="Verdana" w:cs="Verdana"/>
          <w:spacing w:val="1"/>
          <w:sz w:val="20"/>
          <w:szCs w:val="20"/>
          <w:lang w:eastAsia="es-ES"/>
        </w:rPr>
        <w:t>qu</w:t>
      </w:r>
      <w:r w:rsidRPr="006B2A4D">
        <w:rPr>
          <w:rFonts w:eastAsia="Verdana" w:cs="Verdana"/>
          <w:sz w:val="20"/>
          <w:szCs w:val="20"/>
          <w:lang w:eastAsia="es-ES"/>
        </w:rPr>
        <w:t>e</w:t>
      </w:r>
      <w:r w:rsidRPr="006B2A4D">
        <w:rPr>
          <w:rFonts w:eastAsia="Verdana" w:cs="Verdana"/>
          <w:spacing w:val="59"/>
          <w:sz w:val="20"/>
          <w:szCs w:val="20"/>
          <w:lang w:eastAsia="es-ES"/>
        </w:rPr>
        <w:t xml:space="preserve"> </w:t>
      </w:r>
      <w:r w:rsidRPr="006B2A4D">
        <w:rPr>
          <w:rFonts w:eastAsia="Verdana" w:cs="Verdana"/>
          <w:sz w:val="20"/>
          <w:szCs w:val="20"/>
          <w:lang w:eastAsia="es-ES"/>
        </w:rPr>
        <w:t>“</w:t>
      </w:r>
      <w:r w:rsidRPr="006B2A4D">
        <w:rPr>
          <w:rFonts w:eastAsia="Verdana" w:cs="Verdana"/>
          <w:spacing w:val="3"/>
          <w:sz w:val="20"/>
          <w:szCs w:val="20"/>
          <w:lang w:eastAsia="es-ES"/>
        </w:rPr>
        <w:t>l</w:t>
      </w:r>
      <w:r w:rsidRPr="006B2A4D">
        <w:rPr>
          <w:rFonts w:eastAsia="Verdana" w:cs="Verdana"/>
          <w:sz w:val="20"/>
          <w:szCs w:val="20"/>
          <w:lang w:eastAsia="es-ES"/>
        </w:rPr>
        <w:t>as</w:t>
      </w:r>
      <w:r w:rsidRPr="006B2A4D">
        <w:rPr>
          <w:rFonts w:eastAsia="Verdana" w:cs="Verdana"/>
          <w:spacing w:val="58"/>
          <w:sz w:val="20"/>
          <w:szCs w:val="20"/>
          <w:lang w:eastAsia="es-ES"/>
        </w:rPr>
        <w:t xml:space="preserve"> </w:t>
      </w:r>
      <w:r w:rsidRPr="006B2A4D">
        <w:rPr>
          <w:rFonts w:eastAsia="Verdana" w:cs="Verdana"/>
          <w:spacing w:val="1"/>
          <w:sz w:val="20"/>
          <w:szCs w:val="20"/>
          <w:lang w:eastAsia="es-ES"/>
        </w:rPr>
        <w:t>p</w:t>
      </w:r>
      <w:r w:rsidRPr="006B2A4D">
        <w:rPr>
          <w:rFonts w:eastAsia="Verdana" w:cs="Verdana"/>
          <w:spacing w:val="-1"/>
          <w:sz w:val="20"/>
          <w:szCs w:val="20"/>
          <w:lang w:eastAsia="es-ES"/>
        </w:rPr>
        <w:t>re</w:t>
      </w:r>
      <w:r w:rsidRPr="006B2A4D">
        <w:rPr>
          <w:rFonts w:eastAsia="Verdana" w:cs="Verdana"/>
          <w:spacing w:val="3"/>
          <w:sz w:val="20"/>
          <w:szCs w:val="20"/>
          <w:lang w:eastAsia="es-ES"/>
        </w:rPr>
        <w:t>t</w:t>
      </w:r>
      <w:r w:rsidRPr="006B2A4D">
        <w:rPr>
          <w:rFonts w:eastAsia="Verdana" w:cs="Verdana"/>
          <w:spacing w:val="-1"/>
          <w:sz w:val="20"/>
          <w:szCs w:val="20"/>
          <w:lang w:eastAsia="es-ES"/>
        </w:rPr>
        <w:t>e</w:t>
      </w:r>
      <w:r w:rsidRPr="006B2A4D">
        <w:rPr>
          <w:rFonts w:eastAsia="Verdana" w:cs="Verdana"/>
          <w:spacing w:val="1"/>
          <w:sz w:val="20"/>
          <w:szCs w:val="20"/>
          <w:lang w:eastAsia="es-ES"/>
        </w:rPr>
        <w:t>n</w:t>
      </w:r>
      <w:r w:rsidRPr="006B2A4D">
        <w:rPr>
          <w:rFonts w:eastAsia="Verdana" w:cs="Verdana"/>
          <w:sz w:val="20"/>
          <w:szCs w:val="20"/>
          <w:lang w:eastAsia="es-ES"/>
        </w:rPr>
        <w:t>s</w:t>
      </w:r>
      <w:r w:rsidRPr="006B2A4D">
        <w:rPr>
          <w:rFonts w:eastAsia="Verdana" w:cs="Verdana"/>
          <w:spacing w:val="2"/>
          <w:sz w:val="20"/>
          <w:szCs w:val="20"/>
          <w:lang w:eastAsia="es-ES"/>
        </w:rPr>
        <w:t>i</w:t>
      </w:r>
      <w:r w:rsidRPr="006B2A4D">
        <w:rPr>
          <w:rFonts w:eastAsia="Verdana" w:cs="Verdana"/>
          <w:spacing w:val="-1"/>
          <w:sz w:val="20"/>
          <w:szCs w:val="20"/>
          <w:lang w:eastAsia="es-ES"/>
        </w:rPr>
        <w:t>o</w:t>
      </w:r>
      <w:r w:rsidRPr="006B2A4D">
        <w:rPr>
          <w:rFonts w:eastAsia="Verdana" w:cs="Verdana"/>
          <w:spacing w:val="1"/>
          <w:sz w:val="20"/>
          <w:szCs w:val="20"/>
          <w:lang w:eastAsia="es-ES"/>
        </w:rPr>
        <w:t>ne</w:t>
      </w:r>
      <w:r w:rsidRPr="006B2A4D">
        <w:rPr>
          <w:rFonts w:eastAsia="Verdana" w:cs="Verdana"/>
          <w:sz w:val="20"/>
          <w:szCs w:val="20"/>
          <w:lang w:eastAsia="es-ES"/>
        </w:rPr>
        <w:t>s</w:t>
      </w:r>
      <w:r w:rsidRPr="006B2A4D">
        <w:rPr>
          <w:rFonts w:eastAsia="Verdana" w:cs="Verdana"/>
          <w:spacing w:val="48"/>
          <w:sz w:val="20"/>
          <w:szCs w:val="20"/>
          <w:lang w:eastAsia="es-ES"/>
        </w:rPr>
        <w:t xml:space="preserve"> </w:t>
      </w:r>
      <w:r w:rsidRPr="006B2A4D">
        <w:rPr>
          <w:rFonts w:eastAsia="Verdana" w:cs="Verdana"/>
          <w:spacing w:val="1"/>
          <w:sz w:val="20"/>
          <w:szCs w:val="20"/>
          <w:lang w:eastAsia="es-ES"/>
        </w:rPr>
        <w:t>d</w:t>
      </w:r>
      <w:r w:rsidRPr="006B2A4D">
        <w:rPr>
          <w:rFonts w:eastAsia="Verdana" w:cs="Verdana"/>
          <w:sz w:val="20"/>
          <w:szCs w:val="20"/>
          <w:lang w:eastAsia="es-ES"/>
        </w:rPr>
        <w:t>e</w:t>
      </w:r>
      <w:r w:rsidRPr="006B2A4D">
        <w:rPr>
          <w:rFonts w:eastAsia="Verdana" w:cs="Verdana"/>
          <w:spacing w:val="58"/>
          <w:sz w:val="20"/>
          <w:szCs w:val="20"/>
          <w:lang w:eastAsia="es-ES"/>
        </w:rPr>
        <w:t xml:space="preserve"> </w:t>
      </w:r>
      <w:r w:rsidRPr="006B2A4D">
        <w:rPr>
          <w:rFonts w:eastAsia="Verdana" w:cs="Verdana"/>
          <w:spacing w:val="3"/>
          <w:sz w:val="20"/>
          <w:szCs w:val="20"/>
          <w:lang w:eastAsia="es-ES"/>
        </w:rPr>
        <w:t>l</w:t>
      </w:r>
      <w:r w:rsidRPr="006B2A4D">
        <w:rPr>
          <w:rFonts w:eastAsia="Verdana" w:cs="Verdana"/>
          <w:sz w:val="20"/>
          <w:szCs w:val="20"/>
          <w:lang w:eastAsia="es-ES"/>
        </w:rPr>
        <w:t>as</w:t>
      </w:r>
      <w:r w:rsidRPr="006B2A4D">
        <w:rPr>
          <w:rFonts w:eastAsia="Verdana" w:cs="Verdana"/>
          <w:spacing w:val="59"/>
          <w:sz w:val="20"/>
          <w:szCs w:val="20"/>
          <w:lang w:eastAsia="es-ES"/>
        </w:rPr>
        <w:t xml:space="preserve"> </w:t>
      </w:r>
      <w:r w:rsidRPr="006B2A4D">
        <w:rPr>
          <w:rFonts w:eastAsia="Verdana" w:cs="Verdana"/>
          <w:sz w:val="20"/>
          <w:szCs w:val="20"/>
          <w:lang w:eastAsia="es-ES"/>
        </w:rPr>
        <w:t>v</w:t>
      </w:r>
      <w:r w:rsidRPr="006B2A4D">
        <w:rPr>
          <w:rFonts w:eastAsia="Verdana" w:cs="Verdana"/>
          <w:spacing w:val="3"/>
          <w:sz w:val="20"/>
          <w:szCs w:val="20"/>
          <w:lang w:eastAsia="es-ES"/>
        </w:rPr>
        <w:t>í</w:t>
      </w:r>
      <w:r w:rsidRPr="006B2A4D">
        <w:rPr>
          <w:rFonts w:eastAsia="Verdana" w:cs="Verdana"/>
          <w:sz w:val="20"/>
          <w:szCs w:val="20"/>
          <w:lang w:eastAsia="es-ES"/>
        </w:rPr>
        <w:t>ct</w:t>
      </w:r>
      <w:r w:rsidRPr="006B2A4D">
        <w:rPr>
          <w:rFonts w:eastAsia="Verdana" w:cs="Verdana"/>
          <w:spacing w:val="3"/>
          <w:sz w:val="20"/>
          <w:szCs w:val="20"/>
          <w:lang w:eastAsia="es-ES"/>
        </w:rPr>
        <w:t>i</w:t>
      </w:r>
      <w:r w:rsidRPr="006B2A4D">
        <w:rPr>
          <w:rFonts w:eastAsia="Verdana" w:cs="Verdana"/>
          <w:sz w:val="20"/>
          <w:szCs w:val="20"/>
          <w:lang w:eastAsia="es-ES"/>
        </w:rPr>
        <w:t>m</w:t>
      </w:r>
      <w:r w:rsidRPr="006B2A4D">
        <w:rPr>
          <w:rFonts w:eastAsia="Verdana" w:cs="Verdana"/>
          <w:spacing w:val="1"/>
          <w:sz w:val="20"/>
          <w:szCs w:val="20"/>
          <w:lang w:eastAsia="es-ES"/>
        </w:rPr>
        <w:t>a</w:t>
      </w:r>
      <w:r w:rsidRPr="006B2A4D">
        <w:rPr>
          <w:rFonts w:eastAsia="Verdana" w:cs="Verdana"/>
          <w:sz w:val="20"/>
          <w:szCs w:val="20"/>
          <w:lang w:eastAsia="es-ES"/>
        </w:rPr>
        <w:t>s</w:t>
      </w:r>
      <w:r w:rsidRPr="006B2A4D">
        <w:rPr>
          <w:rFonts w:eastAsia="Verdana" w:cs="Verdana"/>
          <w:spacing w:val="52"/>
          <w:sz w:val="20"/>
          <w:szCs w:val="20"/>
          <w:lang w:eastAsia="es-ES"/>
        </w:rPr>
        <w:t xml:space="preserve"> </w:t>
      </w:r>
      <w:r w:rsidRPr="006B2A4D">
        <w:rPr>
          <w:rFonts w:eastAsia="Verdana" w:cs="Verdana"/>
          <w:sz w:val="20"/>
          <w:szCs w:val="20"/>
          <w:lang w:eastAsia="es-ES"/>
        </w:rPr>
        <w:t>o</w:t>
      </w:r>
      <w:r w:rsidRPr="006B2A4D">
        <w:rPr>
          <w:rFonts w:eastAsia="Verdana" w:cs="Verdana"/>
          <w:spacing w:val="59"/>
          <w:sz w:val="20"/>
          <w:szCs w:val="20"/>
          <w:lang w:eastAsia="es-ES"/>
        </w:rPr>
        <w:t xml:space="preserve"> </w:t>
      </w:r>
      <w:r w:rsidRPr="006B2A4D">
        <w:rPr>
          <w:rFonts w:eastAsia="Verdana" w:cs="Verdana"/>
          <w:spacing w:val="2"/>
          <w:sz w:val="20"/>
          <w:szCs w:val="20"/>
          <w:lang w:eastAsia="es-ES"/>
        </w:rPr>
        <w:t>s</w:t>
      </w:r>
      <w:r w:rsidRPr="006B2A4D">
        <w:rPr>
          <w:rFonts w:eastAsia="Verdana" w:cs="Verdana"/>
          <w:spacing w:val="1"/>
          <w:sz w:val="20"/>
          <w:szCs w:val="20"/>
          <w:lang w:eastAsia="es-ES"/>
        </w:rPr>
        <w:t>u</w:t>
      </w:r>
      <w:r w:rsidRPr="006B2A4D">
        <w:rPr>
          <w:rFonts w:eastAsia="Verdana" w:cs="Verdana"/>
          <w:sz w:val="20"/>
          <w:szCs w:val="20"/>
          <w:lang w:eastAsia="es-ES"/>
        </w:rPr>
        <w:t>s</w:t>
      </w:r>
      <w:r w:rsidRPr="006B2A4D">
        <w:rPr>
          <w:rFonts w:eastAsia="Verdana" w:cs="Verdana"/>
          <w:spacing w:val="57"/>
          <w:sz w:val="20"/>
          <w:szCs w:val="20"/>
          <w:lang w:eastAsia="es-ES"/>
        </w:rPr>
        <w:t xml:space="preserve"> </w:t>
      </w:r>
      <w:r w:rsidRPr="006B2A4D">
        <w:rPr>
          <w:rFonts w:eastAsia="Verdana" w:cs="Verdana"/>
          <w:spacing w:val="1"/>
          <w:sz w:val="20"/>
          <w:szCs w:val="20"/>
          <w:lang w:eastAsia="es-ES"/>
        </w:rPr>
        <w:t>r</w:t>
      </w:r>
      <w:r w:rsidRPr="006B2A4D">
        <w:rPr>
          <w:rFonts w:eastAsia="Verdana" w:cs="Verdana"/>
          <w:spacing w:val="-1"/>
          <w:sz w:val="20"/>
          <w:szCs w:val="20"/>
          <w:lang w:eastAsia="es-ES"/>
        </w:rPr>
        <w:t>e</w:t>
      </w:r>
      <w:r w:rsidRPr="006B2A4D">
        <w:rPr>
          <w:rFonts w:eastAsia="Verdana" w:cs="Verdana"/>
          <w:spacing w:val="1"/>
          <w:sz w:val="20"/>
          <w:szCs w:val="20"/>
          <w:lang w:eastAsia="es-ES"/>
        </w:rPr>
        <w:t>pr</w:t>
      </w:r>
      <w:r w:rsidRPr="006B2A4D">
        <w:rPr>
          <w:rFonts w:eastAsia="Verdana" w:cs="Verdana"/>
          <w:spacing w:val="-1"/>
          <w:sz w:val="20"/>
          <w:szCs w:val="20"/>
          <w:lang w:eastAsia="es-ES"/>
        </w:rPr>
        <w:t>e</w:t>
      </w:r>
      <w:r w:rsidRPr="006B2A4D">
        <w:rPr>
          <w:rFonts w:eastAsia="Verdana" w:cs="Verdana"/>
          <w:spacing w:val="2"/>
          <w:sz w:val="20"/>
          <w:szCs w:val="20"/>
          <w:lang w:eastAsia="es-ES"/>
        </w:rPr>
        <w:t>s</w:t>
      </w:r>
      <w:r w:rsidRPr="006B2A4D">
        <w:rPr>
          <w:rFonts w:eastAsia="Verdana" w:cs="Verdana"/>
          <w:spacing w:val="-1"/>
          <w:sz w:val="20"/>
          <w:szCs w:val="20"/>
          <w:lang w:eastAsia="es-ES"/>
        </w:rPr>
        <w:t>e</w:t>
      </w:r>
      <w:r w:rsidRPr="006B2A4D">
        <w:rPr>
          <w:rFonts w:eastAsia="Verdana" w:cs="Verdana"/>
          <w:spacing w:val="1"/>
          <w:sz w:val="20"/>
          <w:szCs w:val="20"/>
          <w:lang w:eastAsia="es-ES"/>
        </w:rPr>
        <w:t>nt</w:t>
      </w:r>
      <w:r w:rsidRPr="006B2A4D">
        <w:rPr>
          <w:rFonts w:eastAsia="Verdana" w:cs="Verdana"/>
          <w:sz w:val="20"/>
          <w:szCs w:val="20"/>
          <w:lang w:eastAsia="es-ES"/>
        </w:rPr>
        <w:t>a</w:t>
      </w:r>
      <w:r w:rsidRPr="006B2A4D">
        <w:rPr>
          <w:rFonts w:eastAsia="Verdana" w:cs="Verdana"/>
          <w:spacing w:val="1"/>
          <w:sz w:val="20"/>
          <w:szCs w:val="20"/>
          <w:lang w:eastAsia="es-ES"/>
        </w:rPr>
        <w:t>nt</w:t>
      </w:r>
      <w:r w:rsidRPr="006B2A4D">
        <w:rPr>
          <w:rFonts w:eastAsia="Verdana" w:cs="Verdana"/>
          <w:spacing w:val="-1"/>
          <w:sz w:val="20"/>
          <w:szCs w:val="20"/>
          <w:lang w:eastAsia="es-ES"/>
        </w:rPr>
        <w:t>e</w:t>
      </w:r>
      <w:r w:rsidRPr="006B2A4D">
        <w:rPr>
          <w:rFonts w:eastAsia="Verdana" w:cs="Verdana"/>
          <w:sz w:val="20"/>
          <w:szCs w:val="20"/>
          <w:lang w:eastAsia="es-ES"/>
        </w:rPr>
        <w:t>s</w:t>
      </w:r>
      <w:r w:rsidRPr="006B2A4D">
        <w:rPr>
          <w:rFonts w:eastAsia="Verdana" w:cs="Verdana"/>
          <w:spacing w:val="48"/>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n m</w:t>
      </w:r>
      <w:r w:rsidRPr="006B2A4D">
        <w:rPr>
          <w:rFonts w:eastAsia="Verdana" w:cs="Verdana"/>
          <w:spacing w:val="1"/>
          <w:sz w:val="20"/>
          <w:szCs w:val="20"/>
          <w:lang w:eastAsia="es-ES"/>
        </w:rPr>
        <w:t>at</w:t>
      </w:r>
      <w:r w:rsidRPr="006B2A4D">
        <w:rPr>
          <w:rFonts w:eastAsia="Verdana" w:cs="Verdana"/>
          <w:spacing w:val="-1"/>
          <w:sz w:val="20"/>
          <w:szCs w:val="20"/>
          <w:lang w:eastAsia="es-ES"/>
        </w:rPr>
        <w:t>er</w:t>
      </w:r>
      <w:r w:rsidRPr="006B2A4D">
        <w:rPr>
          <w:rFonts w:eastAsia="Verdana" w:cs="Verdana"/>
          <w:spacing w:val="3"/>
          <w:sz w:val="20"/>
          <w:szCs w:val="20"/>
          <w:lang w:eastAsia="es-ES"/>
        </w:rPr>
        <w:t>i</w:t>
      </w:r>
      <w:r w:rsidRPr="006B2A4D">
        <w:rPr>
          <w:rFonts w:eastAsia="Verdana" w:cs="Verdana"/>
          <w:sz w:val="20"/>
          <w:szCs w:val="20"/>
          <w:lang w:eastAsia="es-ES"/>
        </w:rPr>
        <w:t>a</w:t>
      </w:r>
      <w:r w:rsidRPr="006B2A4D">
        <w:rPr>
          <w:rFonts w:eastAsia="Verdana" w:cs="Verdana"/>
          <w:spacing w:val="6"/>
          <w:sz w:val="20"/>
          <w:szCs w:val="20"/>
          <w:lang w:eastAsia="es-ES"/>
        </w:rPr>
        <w:t xml:space="preserve"> </w:t>
      </w:r>
      <w:r w:rsidRPr="006B2A4D">
        <w:rPr>
          <w:rFonts w:eastAsia="Verdana" w:cs="Verdana"/>
          <w:spacing w:val="1"/>
          <w:sz w:val="20"/>
          <w:szCs w:val="20"/>
          <w:lang w:eastAsia="es-ES"/>
        </w:rPr>
        <w:t>d</w:t>
      </w:r>
      <w:r w:rsidRPr="006B2A4D">
        <w:rPr>
          <w:rFonts w:eastAsia="Verdana" w:cs="Verdana"/>
          <w:sz w:val="20"/>
          <w:szCs w:val="20"/>
          <w:lang w:eastAsia="es-ES"/>
        </w:rPr>
        <w:t>e</w:t>
      </w:r>
      <w:r w:rsidRPr="006B2A4D">
        <w:rPr>
          <w:rFonts w:eastAsia="Verdana" w:cs="Verdana"/>
          <w:spacing w:val="10"/>
          <w:sz w:val="20"/>
          <w:szCs w:val="20"/>
          <w:lang w:eastAsia="es-ES"/>
        </w:rPr>
        <w:t xml:space="preserve"> </w:t>
      </w:r>
      <w:r w:rsidRPr="006B2A4D">
        <w:rPr>
          <w:rFonts w:eastAsia="Verdana" w:cs="Verdana"/>
          <w:sz w:val="20"/>
          <w:szCs w:val="20"/>
          <w:lang w:eastAsia="es-ES"/>
        </w:rPr>
        <w:t>c</w:t>
      </w:r>
      <w:r w:rsidRPr="006B2A4D">
        <w:rPr>
          <w:rFonts w:eastAsia="Verdana" w:cs="Verdana"/>
          <w:spacing w:val="3"/>
          <w:sz w:val="20"/>
          <w:szCs w:val="20"/>
          <w:lang w:eastAsia="es-ES"/>
        </w:rPr>
        <w:t>o</w:t>
      </w:r>
      <w:r w:rsidRPr="006B2A4D">
        <w:rPr>
          <w:rFonts w:eastAsia="Verdana" w:cs="Verdana"/>
          <w:sz w:val="20"/>
          <w:szCs w:val="20"/>
          <w:lang w:eastAsia="es-ES"/>
        </w:rPr>
        <w:t>stas</w:t>
      </w:r>
      <w:r w:rsidRPr="006B2A4D">
        <w:rPr>
          <w:rFonts w:eastAsia="Verdana" w:cs="Verdana"/>
          <w:spacing w:val="8"/>
          <w:sz w:val="20"/>
          <w:szCs w:val="20"/>
          <w:lang w:eastAsia="es-ES"/>
        </w:rPr>
        <w:t xml:space="preserve"> </w:t>
      </w:r>
      <w:r w:rsidRPr="006B2A4D">
        <w:rPr>
          <w:rFonts w:eastAsia="Verdana" w:cs="Verdana"/>
          <w:sz w:val="20"/>
          <w:szCs w:val="20"/>
          <w:lang w:eastAsia="es-ES"/>
        </w:rPr>
        <w:t>y</w:t>
      </w:r>
      <w:r w:rsidRPr="006B2A4D">
        <w:rPr>
          <w:rFonts w:eastAsia="Verdana" w:cs="Verdana"/>
          <w:spacing w:val="13"/>
          <w:sz w:val="20"/>
          <w:szCs w:val="20"/>
          <w:lang w:eastAsia="es-ES"/>
        </w:rPr>
        <w:t xml:space="preserve"> </w:t>
      </w:r>
      <w:r w:rsidRPr="006B2A4D">
        <w:rPr>
          <w:rFonts w:eastAsia="Verdana" w:cs="Verdana"/>
          <w:spacing w:val="1"/>
          <w:sz w:val="20"/>
          <w:szCs w:val="20"/>
          <w:lang w:eastAsia="es-ES"/>
        </w:rPr>
        <w:t>g</w:t>
      </w:r>
      <w:r w:rsidRPr="006B2A4D">
        <w:rPr>
          <w:rFonts w:eastAsia="Verdana" w:cs="Verdana"/>
          <w:spacing w:val="2"/>
          <w:sz w:val="20"/>
          <w:szCs w:val="20"/>
          <w:lang w:eastAsia="es-ES"/>
        </w:rPr>
        <w:t>a</w:t>
      </w:r>
      <w:r w:rsidRPr="006B2A4D">
        <w:rPr>
          <w:rFonts w:eastAsia="Verdana" w:cs="Verdana"/>
          <w:sz w:val="20"/>
          <w:szCs w:val="20"/>
          <w:lang w:eastAsia="es-ES"/>
        </w:rPr>
        <w:t>st</w:t>
      </w:r>
      <w:r w:rsidRPr="006B2A4D">
        <w:rPr>
          <w:rFonts w:eastAsia="Verdana" w:cs="Verdana"/>
          <w:spacing w:val="-1"/>
          <w:sz w:val="20"/>
          <w:szCs w:val="20"/>
          <w:lang w:eastAsia="es-ES"/>
        </w:rPr>
        <w:t>o</w:t>
      </w:r>
      <w:r w:rsidRPr="006B2A4D">
        <w:rPr>
          <w:rFonts w:eastAsia="Verdana" w:cs="Verdana"/>
          <w:spacing w:val="2"/>
          <w:sz w:val="20"/>
          <w:szCs w:val="20"/>
          <w:lang w:eastAsia="es-ES"/>
        </w:rPr>
        <w:t>s</w:t>
      </w:r>
      <w:r w:rsidRPr="006B2A4D">
        <w:rPr>
          <w:rFonts w:eastAsia="Verdana" w:cs="Verdana"/>
          <w:sz w:val="20"/>
          <w:szCs w:val="20"/>
          <w:lang w:eastAsia="es-ES"/>
        </w:rPr>
        <w:t>,</w:t>
      </w:r>
      <w:r w:rsidRPr="006B2A4D">
        <w:rPr>
          <w:rFonts w:eastAsia="Verdana" w:cs="Verdana"/>
          <w:spacing w:val="7"/>
          <w:sz w:val="20"/>
          <w:szCs w:val="20"/>
          <w:lang w:eastAsia="es-ES"/>
        </w:rPr>
        <w:t xml:space="preserve"> </w:t>
      </w:r>
      <w:r w:rsidRPr="006B2A4D">
        <w:rPr>
          <w:rFonts w:eastAsia="Verdana" w:cs="Verdana"/>
          <w:sz w:val="20"/>
          <w:szCs w:val="20"/>
          <w:lang w:eastAsia="es-ES"/>
        </w:rPr>
        <w:t>y</w:t>
      </w:r>
      <w:r w:rsidRPr="006B2A4D">
        <w:rPr>
          <w:rFonts w:eastAsia="Verdana" w:cs="Verdana"/>
          <w:spacing w:val="13"/>
          <w:sz w:val="20"/>
          <w:szCs w:val="20"/>
          <w:lang w:eastAsia="es-ES"/>
        </w:rPr>
        <w:t xml:space="preserve"> </w:t>
      </w:r>
      <w:r w:rsidRPr="006B2A4D">
        <w:rPr>
          <w:rFonts w:eastAsia="Verdana" w:cs="Verdana"/>
          <w:spacing w:val="3"/>
          <w:sz w:val="20"/>
          <w:szCs w:val="20"/>
          <w:lang w:eastAsia="es-ES"/>
        </w:rPr>
        <w:t>l</w:t>
      </w:r>
      <w:r w:rsidRPr="006B2A4D">
        <w:rPr>
          <w:rFonts w:eastAsia="Verdana" w:cs="Verdana"/>
          <w:sz w:val="20"/>
          <w:szCs w:val="20"/>
          <w:lang w:eastAsia="es-ES"/>
        </w:rPr>
        <w:t>as</w:t>
      </w:r>
      <w:r w:rsidRPr="006B2A4D">
        <w:rPr>
          <w:rFonts w:eastAsia="Verdana" w:cs="Verdana"/>
          <w:spacing w:val="11"/>
          <w:sz w:val="20"/>
          <w:szCs w:val="20"/>
          <w:lang w:eastAsia="es-ES"/>
        </w:rPr>
        <w:t xml:space="preserve"> </w:t>
      </w:r>
      <w:r w:rsidRPr="006B2A4D">
        <w:rPr>
          <w:rFonts w:eastAsia="Verdana" w:cs="Verdana"/>
          <w:spacing w:val="1"/>
          <w:sz w:val="20"/>
          <w:szCs w:val="20"/>
          <w:lang w:eastAsia="es-ES"/>
        </w:rPr>
        <w:t>p</w:t>
      </w:r>
      <w:r w:rsidRPr="006B2A4D">
        <w:rPr>
          <w:rFonts w:eastAsia="Verdana" w:cs="Verdana"/>
          <w:spacing w:val="-1"/>
          <w:sz w:val="20"/>
          <w:szCs w:val="20"/>
          <w:lang w:eastAsia="es-ES"/>
        </w:rPr>
        <w:t>r</w:t>
      </w:r>
      <w:r w:rsidRPr="006B2A4D">
        <w:rPr>
          <w:rFonts w:eastAsia="Verdana" w:cs="Verdana"/>
          <w:spacing w:val="1"/>
          <w:sz w:val="20"/>
          <w:szCs w:val="20"/>
          <w:lang w:eastAsia="es-ES"/>
        </w:rPr>
        <w:t>u</w:t>
      </w:r>
      <w:r w:rsidRPr="006B2A4D">
        <w:rPr>
          <w:rFonts w:eastAsia="Verdana" w:cs="Verdana"/>
          <w:spacing w:val="-1"/>
          <w:sz w:val="20"/>
          <w:szCs w:val="20"/>
          <w:lang w:eastAsia="es-ES"/>
        </w:rPr>
        <w:t>e</w:t>
      </w:r>
      <w:r w:rsidRPr="006B2A4D">
        <w:rPr>
          <w:rFonts w:eastAsia="Verdana" w:cs="Verdana"/>
          <w:spacing w:val="1"/>
          <w:sz w:val="20"/>
          <w:szCs w:val="20"/>
          <w:lang w:eastAsia="es-ES"/>
        </w:rPr>
        <w:t>b</w:t>
      </w:r>
      <w:r w:rsidRPr="006B2A4D">
        <w:rPr>
          <w:rFonts w:eastAsia="Verdana" w:cs="Verdana"/>
          <w:sz w:val="20"/>
          <w:szCs w:val="20"/>
          <w:lang w:eastAsia="es-ES"/>
        </w:rPr>
        <w:t>as</w:t>
      </w:r>
      <w:r w:rsidRPr="006B2A4D">
        <w:rPr>
          <w:rFonts w:eastAsia="Verdana" w:cs="Verdana"/>
          <w:spacing w:val="6"/>
          <w:sz w:val="20"/>
          <w:szCs w:val="20"/>
          <w:lang w:eastAsia="es-ES"/>
        </w:rPr>
        <w:t xml:space="preserve"> </w:t>
      </w:r>
      <w:r w:rsidRPr="006B2A4D">
        <w:rPr>
          <w:rFonts w:eastAsia="Verdana" w:cs="Verdana"/>
          <w:spacing w:val="1"/>
          <w:sz w:val="20"/>
          <w:szCs w:val="20"/>
          <w:lang w:eastAsia="es-ES"/>
        </w:rPr>
        <w:t>qu</w:t>
      </w:r>
      <w:r w:rsidRPr="006B2A4D">
        <w:rPr>
          <w:rFonts w:eastAsia="Verdana" w:cs="Verdana"/>
          <w:sz w:val="20"/>
          <w:szCs w:val="20"/>
          <w:lang w:eastAsia="es-ES"/>
        </w:rPr>
        <w:t>e</w:t>
      </w:r>
      <w:r w:rsidRPr="006B2A4D">
        <w:rPr>
          <w:rFonts w:eastAsia="Verdana" w:cs="Verdana"/>
          <w:spacing w:val="11"/>
          <w:sz w:val="20"/>
          <w:szCs w:val="20"/>
          <w:lang w:eastAsia="es-ES"/>
        </w:rPr>
        <w:t xml:space="preserve"> </w:t>
      </w:r>
      <w:r w:rsidRPr="006B2A4D">
        <w:rPr>
          <w:rFonts w:eastAsia="Verdana" w:cs="Verdana"/>
          <w:spacing w:val="3"/>
          <w:sz w:val="20"/>
          <w:szCs w:val="20"/>
          <w:lang w:eastAsia="es-ES"/>
        </w:rPr>
        <w:t>l</w:t>
      </w:r>
      <w:r w:rsidRPr="006B2A4D">
        <w:rPr>
          <w:rFonts w:eastAsia="Verdana" w:cs="Verdana"/>
          <w:sz w:val="20"/>
          <w:szCs w:val="20"/>
          <w:lang w:eastAsia="es-ES"/>
        </w:rPr>
        <w:t>as</w:t>
      </w:r>
      <w:r w:rsidRPr="006B2A4D">
        <w:rPr>
          <w:rFonts w:eastAsia="Verdana" w:cs="Verdana"/>
          <w:spacing w:val="11"/>
          <w:sz w:val="20"/>
          <w:szCs w:val="20"/>
          <w:lang w:eastAsia="es-ES"/>
        </w:rPr>
        <w:t xml:space="preserve"> </w:t>
      </w:r>
      <w:r w:rsidRPr="006B2A4D">
        <w:rPr>
          <w:rFonts w:eastAsia="Verdana" w:cs="Verdana"/>
          <w:sz w:val="20"/>
          <w:szCs w:val="20"/>
          <w:lang w:eastAsia="es-ES"/>
        </w:rPr>
        <w:t>sust</w:t>
      </w:r>
      <w:r w:rsidRPr="006B2A4D">
        <w:rPr>
          <w:rFonts w:eastAsia="Verdana" w:cs="Verdana"/>
          <w:spacing w:val="-1"/>
          <w:sz w:val="20"/>
          <w:szCs w:val="20"/>
          <w:lang w:eastAsia="es-ES"/>
        </w:rPr>
        <w:t>e</w:t>
      </w:r>
      <w:r w:rsidRPr="006B2A4D">
        <w:rPr>
          <w:rFonts w:eastAsia="Verdana" w:cs="Verdana"/>
          <w:spacing w:val="1"/>
          <w:sz w:val="20"/>
          <w:szCs w:val="20"/>
          <w:lang w:eastAsia="es-ES"/>
        </w:rPr>
        <w:t>nt</w:t>
      </w:r>
      <w:r w:rsidRPr="006B2A4D">
        <w:rPr>
          <w:rFonts w:eastAsia="Verdana" w:cs="Verdana"/>
          <w:sz w:val="20"/>
          <w:szCs w:val="20"/>
          <w:lang w:eastAsia="es-ES"/>
        </w:rPr>
        <w:t>a</w:t>
      </w:r>
      <w:r w:rsidRPr="006B2A4D">
        <w:rPr>
          <w:rFonts w:eastAsia="Verdana" w:cs="Verdana"/>
          <w:spacing w:val="1"/>
          <w:sz w:val="20"/>
          <w:szCs w:val="20"/>
          <w:lang w:eastAsia="es-ES"/>
        </w:rPr>
        <w:t>n</w:t>
      </w:r>
      <w:r w:rsidRPr="006B2A4D">
        <w:rPr>
          <w:rFonts w:eastAsia="Verdana" w:cs="Verdana"/>
          <w:sz w:val="20"/>
          <w:szCs w:val="20"/>
          <w:lang w:eastAsia="es-ES"/>
        </w:rPr>
        <w:t>,</w:t>
      </w:r>
      <w:r w:rsidRPr="006B2A4D">
        <w:rPr>
          <w:rFonts w:eastAsia="Verdana" w:cs="Verdana"/>
          <w:spacing w:val="3"/>
          <w:sz w:val="20"/>
          <w:szCs w:val="20"/>
          <w:lang w:eastAsia="es-ES"/>
        </w:rPr>
        <w:t xml:space="preserve"> </w:t>
      </w:r>
      <w:r w:rsidRPr="006B2A4D">
        <w:rPr>
          <w:rFonts w:eastAsia="Verdana" w:cs="Verdana"/>
          <w:spacing w:val="1"/>
          <w:sz w:val="20"/>
          <w:szCs w:val="20"/>
          <w:lang w:eastAsia="es-ES"/>
        </w:rPr>
        <w:t>d</w:t>
      </w:r>
      <w:r w:rsidRPr="006B2A4D">
        <w:rPr>
          <w:rFonts w:eastAsia="Verdana" w:cs="Verdana"/>
          <w:spacing w:val="-1"/>
          <w:sz w:val="20"/>
          <w:szCs w:val="20"/>
          <w:lang w:eastAsia="es-ES"/>
        </w:rPr>
        <w:t>e</w:t>
      </w:r>
      <w:r w:rsidRPr="006B2A4D">
        <w:rPr>
          <w:rFonts w:eastAsia="Verdana" w:cs="Verdana"/>
          <w:spacing w:val="1"/>
          <w:sz w:val="20"/>
          <w:szCs w:val="20"/>
          <w:lang w:eastAsia="es-ES"/>
        </w:rPr>
        <w:t>b</w:t>
      </w:r>
      <w:r w:rsidRPr="006B2A4D">
        <w:rPr>
          <w:rFonts w:eastAsia="Verdana" w:cs="Verdana"/>
          <w:spacing w:val="-1"/>
          <w:sz w:val="20"/>
          <w:szCs w:val="20"/>
          <w:lang w:eastAsia="es-ES"/>
        </w:rPr>
        <w:t>e</w:t>
      </w:r>
      <w:r w:rsidRPr="006B2A4D">
        <w:rPr>
          <w:rFonts w:eastAsia="Verdana" w:cs="Verdana"/>
          <w:sz w:val="20"/>
          <w:szCs w:val="20"/>
          <w:lang w:eastAsia="es-ES"/>
        </w:rPr>
        <w:t>n</w:t>
      </w:r>
      <w:r w:rsidRPr="006B2A4D">
        <w:rPr>
          <w:rFonts w:eastAsia="Verdana" w:cs="Verdana"/>
          <w:spacing w:val="9"/>
          <w:sz w:val="20"/>
          <w:szCs w:val="20"/>
          <w:lang w:eastAsia="es-ES"/>
        </w:rPr>
        <w:t xml:space="preserve"> </w:t>
      </w:r>
      <w:r w:rsidRPr="006B2A4D">
        <w:rPr>
          <w:rFonts w:eastAsia="Verdana" w:cs="Verdana"/>
          <w:spacing w:val="1"/>
          <w:sz w:val="20"/>
          <w:szCs w:val="20"/>
          <w:lang w:eastAsia="es-ES"/>
        </w:rPr>
        <w:t>p</w:t>
      </w:r>
      <w:r w:rsidRPr="006B2A4D">
        <w:rPr>
          <w:rFonts w:eastAsia="Verdana" w:cs="Verdana"/>
          <w:spacing w:val="-1"/>
          <w:sz w:val="20"/>
          <w:szCs w:val="20"/>
          <w:lang w:eastAsia="es-ES"/>
        </w:rPr>
        <w:t>r</w:t>
      </w:r>
      <w:r w:rsidRPr="006B2A4D">
        <w:rPr>
          <w:rFonts w:eastAsia="Verdana" w:cs="Verdana"/>
          <w:spacing w:val="1"/>
          <w:sz w:val="20"/>
          <w:szCs w:val="20"/>
          <w:lang w:eastAsia="es-ES"/>
        </w:rPr>
        <w:t>e</w:t>
      </w:r>
      <w:r w:rsidRPr="006B2A4D">
        <w:rPr>
          <w:rFonts w:eastAsia="Verdana" w:cs="Verdana"/>
          <w:sz w:val="20"/>
          <w:szCs w:val="20"/>
          <w:lang w:eastAsia="es-ES"/>
        </w:rPr>
        <w:t>s</w:t>
      </w:r>
      <w:r w:rsidRPr="006B2A4D">
        <w:rPr>
          <w:rFonts w:eastAsia="Verdana" w:cs="Verdana"/>
          <w:spacing w:val="-2"/>
          <w:sz w:val="20"/>
          <w:szCs w:val="20"/>
          <w:lang w:eastAsia="es-ES"/>
        </w:rPr>
        <w:t>e</w:t>
      </w:r>
      <w:r w:rsidRPr="006B2A4D">
        <w:rPr>
          <w:rFonts w:eastAsia="Verdana" w:cs="Verdana"/>
          <w:spacing w:val="1"/>
          <w:sz w:val="20"/>
          <w:szCs w:val="20"/>
          <w:lang w:eastAsia="es-ES"/>
        </w:rPr>
        <w:t>nt</w:t>
      </w:r>
      <w:r w:rsidRPr="006B2A4D">
        <w:rPr>
          <w:rFonts w:eastAsia="Verdana" w:cs="Verdana"/>
          <w:sz w:val="20"/>
          <w:szCs w:val="20"/>
          <w:lang w:eastAsia="es-ES"/>
        </w:rPr>
        <w:t>a</w:t>
      </w:r>
      <w:r w:rsidRPr="006B2A4D">
        <w:rPr>
          <w:rFonts w:eastAsia="Verdana" w:cs="Verdana"/>
          <w:spacing w:val="2"/>
          <w:sz w:val="20"/>
          <w:szCs w:val="20"/>
          <w:lang w:eastAsia="es-ES"/>
        </w:rPr>
        <w:t>r</w:t>
      </w:r>
      <w:r w:rsidRPr="006B2A4D">
        <w:rPr>
          <w:rFonts w:eastAsia="Verdana" w:cs="Verdana"/>
          <w:sz w:val="20"/>
          <w:szCs w:val="20"/>
          <w:lang w:eastAsia="es-ES"/>
        </w:rPr>
        <w:t>se a</w:t>
      </w:r>
      <w:r w:rsidRPr="006B2A4D">
        <w:rPr>
          <w:rFonts w:eastAsia="Verdana" w:cs="Verdana"/>
          <w:spacing w:val="13"/>
          <w:sz w:val="20"/>
          <w:szCs w:val="20"/>
          <w:lang w:eastAsia="es-ES"/>
        </w:rPr>
        <w:t xml:space="preserve"> </w:t>
      </w:r>
      <w:r w:rsidRPr="006B2A4D">
        <w:rPr>
          <w:rFonts w:eastAsia="Verdana" w:cs="Verdana"/>
          <w:spacing w:val="3"/>
          <w:sz w:val="20"/>
          <w:szCs w:val="20"/>
          <w:lang w:eastAsia="es-ES"/>
        </w:rPr>
        <w:t>l</w:t>
      </w:r>
      <w:r w:rsidRPr="006B2A4D">
        <w:rPr>
          <w:rFonts w:eastAsia="Verdana" w:cs="Verdana"/>
          <w:sz w:val="20"/>
          <w:szCs w:val="20"/>
          <w:lang w:eastAsia="es-ES"/>
        </w:rPr>
        <w:t>a</w:t>
      </w:r>
      <w:r w:rsidRPr="006B2A4D">
        <w:rPr>
          <w:rFonts w:eastAsia="Verdana" w:cs="Verdana"/>
          <w:spacing w:val="12"/>
          <w:sz w:val="20"/>
          <w:szCs w:val="20"/>
          <w:lang w:eastAsia="es-ES"/>
        </w:rPr>
        <w:t xml:space="preserve"> </w:t>
      </w:r>
      <w:r w:rsidRPr="006B2A4D">
        <w:rPr>
          <w:rFonts w:eastAsia="Verdana" w:cs="Verdana"/>
          <w:sz w:val="20"/>
          <w:szCs w:val="20"/>
          <w:lang w:eastAsia="es-ES"/>
        </w:rPr>
        <w:t>C</w:t>
      </w:r>
      <w:r w:rsidRPr="006B2A4D">
        <w:rPr>
          <w:rFonts w:eastAsia="Verdana" w:cs="Verdana"/>
          <w:spacing w:val="-1"/>
          <w:sz w:val="20"/>
          <w:szCs w:val="20"/>
          <w:lang w:eastAsia="es-ES"/>
        </w:rPr>
        <w:t>or</w:t>
      </w:r>
      <w:r w:rsidRPr="006B2A4D">
        <w:rPr>
          <w:rFonts w:eastAsia="Verdana" w:cs="Verdana"/>
          <w:spacing w:val="3"/>
          <w:sz w:val="20"/>
          <w:szCs w:val="20"/>
          <w:lang w:eastAsia="es-ES"/>
        </w:rPr>
        <w:t>t</w:t>
      </w:r>
      <w:r w:rsidRPr="006B2A4D">
        <w:rPr>
          <w:rFonts w:eastAsia="Verdana" w:cs="Verdana"/>
          <w:sz w:val="20"/>
          <w:szCs w:val="20"/>
          <w:lang w:eastAsia="es-ES"/>
        </w:rPr>
        <w:t>e</w:t>
      </w:r>
      <w:r w:rsidRPr="006B2A4D">
        <w:rPr>
          <w:rFonts w:eastAsia="Verdana" w:cs="Verdana"/>
          <w:spacing w:val="9"/>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n</w:t>
      </w:r>
      <w:r w:rsidRPr="006B2A4D">
        <w:rPr>
          <w:rFonts w:eastAsia="Verdana" w:cs="Verdana"/>
          <w:spacing w:val="12"/>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 xml:space="preserve">l </w:t>
      </w:r>
      <w:r w:rsidRPr="006B2A4D">
        <w:rPr>
          <w:rFonts w:eastAsia="Verdana" w:cs="Verdana"/>
          <w:spacing w:val="1"/>
          <w:sz w:val="20"/>
          <w:szCs w:val="20"/>
          <w:lang w:eastAsia="es-ES"/>
        </w:rPr>
        <w:t>p</w:t>
      </w:r>
      <w:r w:rsidRPr="006B2A4D">
        <w:rPr>
          <w:rFonts w:eastAsia="Verdana" w:cs="Verdana"/>
          <w:spacing w:val="-1"/>
          <w:sz w:val="20"/>
          <w:szCs w:val="20"/>
          <w:lang w:eastAsia="es-ES"/>
        </w:rPr>
        <w:t>r</w:t>
      </w:r>
      <w:r w:rsidRPr="006B2A4D">
        <w:rPr>
          <w:rFonts w:eastAsia="Verdana" w:cs="Verdana"/>
          <w:spacing w:val="3"/>
          <w:sz w:val="20"/>
          <w:szCs w:val="20"/>
          <w:lang w:eastAsia="es-ES"/>
        </w:rPr>
        <w:t>i</w:t>
      </w:r>
      <w:r w:rsidRPr="006B2A4D">
        <w:rPr>
          <w:rFonts w:eastAsia="Verdana" w:cs="Verdana"/>
          <w:sz w:val="20"/>
          <w:szCs w:val="20"/>
          <w:lang w:eastAsia="es-ES"/>
        </w:rPr>
        <w:t>mer</w:t>
      </w:r>
      <w:r w:rsidRPr="006B2A4D">
        <w:rPr>
          <w:rFonts w:eastAsia="Verdana" w:cs="Verdana"/>
          <w:spacing w:val="-5"/>
          <w:sz w:val="20"/>
          <w:szCs w:val="20"/>
          <w:lang w:eastAsia="es-ES"/>
        </w:rPr>
        <w:t xml:space="preserve"> </w:t>
      </w:r>
      <w:r w:rsidRPr="006B2A4D">
        <w:rPr>
          <w:rFonts w:eastAsia="Verdana" w:cs="Verdana"/>
          <w:sz w:val="20"/>
          <w:szCs w:val="20"/>
          <w:lang w:eastAsia="es-ES"/>
        </w:rPr>
        <w:t>mo</w:t>
      </w:r>
      <w:r w:rsidRPr="006B2A4D">
        <w:rPr>
          <w:rFonts w:eastAsia="Verdana" w:cs="Verdana"/>
          <w:spacing w:val="3"/>
          <w:sz w:val="20"/>
          <w:szCs w:val="20"/>
          <w:lang w:eastAsia="es-ES"/>
        </w:rPr>
        <w:t>m</w:t>
      </w:r>
      <w:r w:rsidRPr="006B2A4D">
        <w:rPr>
          <w:rFonts w:eastAsia="Verdana" w:cs="Verdana"/>
          <w:spacing w:val="-1"/>
          <w:sz w:val="20"/>
          <w:szCs w:val="20"/>
          <w:lang w:eastAsia="es-ES"/>
        </w:rPr>
        <w:t>e</w:t>
      </w:r>
      <w:r w:rsidRPr="006B2A4D">
        <w:rPr>
          <w:rFonts w:eastAsia="Verdana" w:cs="Verdana"/>
          <w:spacing w:val="1"/>
          <w:sz w:val="20"/>
          <w:szCs w:val="20"/>
          <w:lang w:eastAsia="es-ES"/>
        </w:rPr>
        <w:t>nt</w:t>
      </w:r>
      <w:r w:rsidRPr="006B2A4D">
        <w:rPr>
          <w:rFonts w:eastAsia="Verdana" w:cs="Verdana"/>
          <w:sz w:val="20"/>
          <w:szCs w:val="20"/>
          <w:lang w:eastAsia="es-ES"/>
        </w:rPr>
        <w:t>o</w:t>
      </w:r>
      <w:r w:rsidRPr="006B2A4D">
        <w:rPr>
          <w:rFonts w:eastAsia="Verdana" w:cs="Verdana"/>
          <w:spacing w:val="-7"/>
          <w:sz w:val="20"/>
          <w:szCs w:val="20"/>
          <w:lang w:eastAsia="es-ES"/>
        </w:rPr>
        <w:t xml:space="preserve"> </w:t>
      </w:r>
      <w:r w:rsidRPr="006B2A4D">
        <w:rPr>
          <w:rFonts w:eastAsia="Verdana" w:cs="Verdana"/>
          <w:spacing w:val="1"/>
          <w:sz w:val="20"/>
          <w:szCs w:val="20"/>
          <w:lang w:eastAsia="es-ES"/>
        </w:rPr>
        <w:t>p</w:t>
      </w:r>
      <w:r w:rsidRPr="006B2A4D">
        <w:rPr>
          <w:rFonts w:eastAsia="Verdana" w:cs="Verdana"/>
          <w:spacing w:val="-1"/>
          <w:sz w:val="20"/>
          <w:szCs w:val="20"/>
          <w:lang w:eastAsia="es-ES"/>
        </w:rPr>
        <w:t>r</w:t>
      </w:r>
      <w:r w:rsidRPr="006B2A4D">
        <w:rPr>
          <w:rFonts w:eastAsia="Verdana" w:cs="Verdana"/>
          <w:spacing w:val="1"/>
          <w:sz w:val="20"/>
          <w:szCs w:val="20"/>
          <w:lang w:eastAsia="es-ES"/>
        </w:rPr>
        <w:t>o</w:t>
      </w:r>
      <w:r w:rsidRPr="006B2A4D">
        <w:rPr>
          <w:rFonts w:eastAsia="Verdana" w:cs="Verdana"/>
          <w:sz w:val="20"/>
          <w:szCs w:val="20"/>
          <w:lang w:eastAsia="es-ES"/>
        </w:rPr>
        <w:t>ce</w:t>
      </w:r>
      <w:r w:rsidRPr="006B2A4D">
        <w:rPr>
          <w:rFonts w:eastAsia="Verdana" w:cs="Verdana"/>
          <w:spacing w:val="2"/>
          <w:sz w:val="20"/>
          <w:szCs w:val="20"/>
          <w:lang w:eastAsia="es-ES"/>
        </w:rPr>
        <w:t>s</w:t>
      </w:r>
      <w:r w:rsidRPr="006B2A4D">
        <w:rPr>
          <w:rFonts w:eastAsia="Verdana" w:cs="Verdana"/>
          <w:sz w:val="20"/>
          <w:szCs w:val="20"/>
          <w:lang w:eastAsia="es-ES"/>
        </w:rPr>
        <w:t>al</w:t>
      </w:r>
      <w:r w:rsidRPr="006B2A4D">
        <w:rPr>
          <w:rFonts w:eastAsia="Verdana" w:cs="Verdana"/>
          <w:spacing w:val="-4"/>
          <w:sz w:val="20"/>
          <w:szCs w:val="20"/>
          <w:lang w:eastAsia="es-ES"/>
        </w:rPr>
        <w:t xml:space="preserve"> </w:t>
      </w:r>
      <w:r w:rsidRPr="006B2A4D">
        <w:rPr>
          <w:rFonts w:eastAsia="Verdana" w:cs="Verdana"/>
          <w:spacing w:val="1"/>
          <w:sz w:val="20"/>
          <w:szCs w:val="20"/>
          <w:lang w:eastAsia="es-ES"/>
        </w:rPr>
        <w:t>qu</w:t>
      </w:r>
      <w:r w:rsidRPr="006B2A4D">
        <w:rPr>
          <w:rFonts w:eastAsia="Verdana" w:cs="Verdana"/>
          <w:sz w:val="20"/>
          <w:szCs w:val="20"/>
          <w:lang w:eastAsia="es-ES"/>
        </w:rPr>
        <w:t>e</w:t>
      </w:r>
      <w:r w:rsidRPr="006B2A4D">
        <w:rPr>
          <w:rFonts w:eastAsia="Verdana" w:cs="Verdana"/>
          <w:spacing w:val="-1"/>
          <w:sz w:val="20"/>
          <w:szCs w:val="20"/>
          <w:lang w:eastAsia="es-ES"/>
        </w:rPr>
        <w:t xml:space="preserve"> </w:t>
      </w:r>
      <w:r w:rsidRPr="006B2A4D">
        <w:rPr>
          <w:rFonts w:eastAsia="Verdana" w:cs="Verdana"/>
          <w:sz w:val="20"/>
          <w:szCs w:val="20"/>
          <w:lang w:eastAsia="es-ES"/>
        </w:rPr>
        <w:t xml:space="preserve">se </w:t>
      </w:r>
      <w:r w:rsidRPr="006B2A4D">
        <w:rPr>
          <w:rFonts w:eastAsia="Verdana" w:cs="Verdana"/>
          <w:spacing w:val="3"/>
          <w:sz w:val="20"/>
          <w:szCs w:val="20"/>
          <w:lang w:eastAsia="es-ES"/>
        </w:rPr>
        <w:t>l</w:t>
      </w:r>
      <w:r w:rsidRPr="006B2A4D">
        <w:rPr>
          <w:rFonts w:eastAsia="Verdana" w:cs="Verdana"/>
          <w:spacing w:val="-1"/>
          <w:sz w:val="20"/>
          <w:szCs w:val="20"/>
          <w:lang w:eastAsia="es-ES"/>
        </w:rPr>
        <w:t>e</w:t>
      </w:r>
      <w:r w:rsidRPr="006B2A4D">
        <w:rPr>
          <w:rFonts w:eastAsia="Verdana" w:cs="Verdana"/>
          <w:sz w:val="20"/>
          <w:szCs w:val="20"/>
          <w:lang w:eastAsia="es-ES"/>
        </w:rPr>
        <w:t>s c</w:t>
      </w:r>
      <w:r w:rsidRPr="006B2A4D">
        <w:rPr>
          <w:rFonts w:eastAsia="Verdana" w:cs="Verdana"/>
          <w:spacing w:val="-2"/>
          <w:sz w:val="20"/>
          <w:szCs w:val="20"/>
          <w:lang w:eastAsia="es-ES"/>
        </w:rPr>
        <w:t>o</w:t>
      </w:r>
      <w:r w:rsidRPr="006B2A4D">
        <w:rPr>
          <w:rFonts w:eastAsia="Verdana" w:cs="Verdana"/>
          <w:spacing w:val="1"/>
          <w:sz w:val="20"/>
          <w:szCs w:val="20"/>
          <w:lang w:eastAsia="es-ES"/>
        </w:rPr>
        <w:t>n</w:t>
      </w:r>
      <w:r w:rsidRPr="006B2A4D">
        <w:rPr>
          <w:rFonts w:eastAsia="Verdana" w:cs="Verdana"/>
          <w:sz w:val="20"/>
          <w:szCs w:val="20"/>
          <w:lang w:eastAsia="es-ES"/>
        </w:rPr>
        <w:t>c</w:t>
      </w:r>
      <w:r w:rsidRPr="006B2A4D">
        <w:rPr>
          <w:rFonts w:eastAsia="Verdana" w:cs="Verdana"/>
          <w:spacing w:val="-2"/>
          <w:sz w:val="20"/>
          <w:szCs w:val="20"/>
          <w:lang w:eastAsia="es-ES"/>
        </w:rPr>
        <w:t>e</w:t>
      </w:r>
      <w:r w:rsidRPr="006B2A4D">
        <w:rPr>
          <w:rFonts w:eastAsia="Verdana" w:cs="Verdana"/>
          <w:spacing w:val="3"/>
          <w:sz w:val="20"/>
          <w:szCs w:val="20"/>
          <w:lang w:eastAsia="es-ES"/>
        </w:rPr>
        <w:t>d</w:t>
      </w:r>
      <w:r w:rsidRPr="006B2A4D">
        <w:rPr>
          <w:rFonts w:eastAsia="Verdana" w:cs="Verdana"/>
          <w:spacing w:val="-1"/>
          <w:sz w:val="20"/>
          <w:szCs w:val="20"/>
          <w:lang w:eastAsia="es-ES"/>
        </w:rPr>
        <w:t>e</w:t>
      </w:r>
      <w:r w:rsidRPr="006B2A4D">
        <w:rPr>
          <w:rFonts w:eastAsia="Verdana" w:cs="Verdana"/>
          <w:sz w:val="20"/>
          <w:szCs w:val="20"/>
          <w:lang w:eastAsia="es-ES"/>
        </w:rPr>
        <w:t>,</w:t>
      </w:r>
      <w:r w:rsidRPr="006B2A4D">
        <w:rPr>
          <w:rFonts w:eastAsia="Verdana" w:cs="Verdana"/>
          <w:spacing w:val="-3"/>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sto</w:t>
      </w:r>
      <w:r w:rsidRPr="006B2A4D">
        <w:rPr>
          <w:rFonts w:eastAsia="Verdana" w:cs="Verdana"/>
          <w:spacing w:val="-1"/>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 xml:space="preserve">s, </w:t>
      </w:r>
      <w:r w:rsidRPr="006B2A4D">
        <w:rPr>
          <w:rFonts w:eastAsia="Verdana" w:cs="Verdana"/>
          <w:spacing w:val="-1"/>
          <w:sz w:val="20"/>
          <w:szCs w:val="20"/>
          <w:lang w:eastAsia="es-ES"/>
        </w:rPr>
        <w:t>e</w:t>
      </w:r>
      <w:r w:rsidRPr="006B2A4D">
        <w:rPr>
          <w:rFonts w:eastAsia="Verdana" w:cs="Verdana"/>
          <w:sz w:val="20"/>
          <w:szCs w:val="20"/>
          <w:lang w:eastAsia="es-ES"/>
        </w:rPr>
        <w:t>n</w:t>
      </w:r>
      <w:r w:rsidRPr="006B2A4D">
        <w:rPr>
          <w:rFonts w:eastAsia="Verdana" w:cs="Verdana"/>
          <w:spacing w:val="3"/>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l</w:t>
      </w:r>
      <w:r w:rsidRPr="006B2A4D">
        <w:rPr>
          <w:rFonts w:eastAsia="Verdana" w:cs="Verdana"/>
          <w:spacing w:val="4"/>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s</w:t>
      </w:r>
      <w:r w:rsidRPr="006B2A4D">
        <w:rPr>
          <w:rFonts w:eastAsia="Verdana" w:cs="Verdana"/>
          <w:spacing w:val="1"/>
          <w:sz w:val="20"/>
          <w:szCs w:val="20"/>
          <w:lang w:eastAsia="es-ES"/>
        </w:rPr>
        <w:t>c</w:t>
      </w:r>
      <w:r w:rsidRPr="006B2A4D">
        <w:rPr>
          <w:rFonts w:eastAsia="Verdana" w:cs="Verdana"/>
          <w:spacing w:val="-1"/>
          <w:sz w:val="20"/>
          <w:szCs w:val="20"/>
          <w:lang w:eastAsia="es-ES"/>
        </w:rPr>
        <w:t>r</w:t>
      </w:r>
      <w:r w:rsidRPr="006B2A4D">
        <w:rPr>
          <w:rFonts w:eastAsia="Verdana" w:cs="Verdana"/>
          <w:spacing w:val="3"/>
          <w:sz w:val="20"/>
          <w:szCs w:val="20"/>
          <w:lang w:eastAsia="es-ES"/>
        </w:rPr>
        <w:t>i</w:t>
      </w:r>
      <w:r w:rsidRPr="006B2A4D">
        <w:rPr>
          <w:rFonts w:eastAsia="Verdana" w:cs="Verdana"/>
          <w:spacing w:val="1"/>
          <w:sz w:val="20"/>
          <w:szCs w:val="20"/>
          <w:lang w:eastAsia="es-ES"/>
        </w:rPr>
        <w:t>t</w:t>
      </w:r>
      <w:r w:rsidRPr="006B2A4D">
        <w:rPr>
          <w:rFonts w:eastAsia="Verdana" w:cs="Verdana"/>
          <w:sz w:val="20"/>
          <w:szCs w:val="20"/>
          <w:lang w:eastAsia="es-ES"/>
        </w:rPr>
        <w:t>o</w:t>
      </w:r>
      <w:r w:rsidRPr="006B2A4D">
        <w:rPr>
          <w:rFonts w:eastAsia="Verdana" w:cs="Verdana"/>
          <w:spacing w:val="-4"/>
          <w:sz w:val="20"/>
          <w:szCs w:val="20"/>
          <w:lang w:eastAsia="es-ES"/>
        </w:rPr>
        <w:t xml:space="preserve"> </w:t>
      </w:r>
      <w:r w:rsidRPr="006B2A4D">
        <w:rPr>
          <w:rFonts w:eastAsia="Verdana" w:cs="Verdana"/>
          <w:spacing w:val="1"/>
          <w:sz w:val="20"/>
          <w:szCs w:val="20"/>
          <w:lang w:eastAsia="es-ES"/>
        </w:rPr>
        <w:t>d</w:t>
      </w:r>
      <w:r w:rsidRPr="006B2A4D">
        <w:rPr>
          <w:rFonts w:eastAsia="Verdana" w:cs="Verdana"/>
          <w:sz w:val="20"/>
          <w:szCs w:val="20"/>
          <w:lang w:eastAsia="es-ES"/>
        </w:rPr>
        <w:t>e</w:t>
      </w:r>
      <w:r w:rsidRPr="006B2A4D">
        <w:rPr>
          <w:rFonts w:eastAsia="Verdana" w:cs="Verdana"/>
          <w:spacing w:val="1"/>
          <w:sz w:val="20"/>
          <w:szCs w:val="20"/>
          <w:lang w:eastAsia="es-ES"/>
        </w:rPr>
        <w:t xml:space="preserve"> </w:t>
      </w:r>
      <w:r w:rsidRPr="006B2A4D">
        <w:rPr>
          <w:rFonts w:eastAsia="Verdana" w:cs="Verdana"/>
          <w:sz w:val="20"/>
          <w:szCs w:val="20"/>
          <w:lang w:eastAsia="es-ES"/>
        </w:rPr>
        <w:t>s</w:t>
      </w:r>
      <w:r w:rsidRPr="006B2A4D">
        <w:rPr>
          <w:rFonts w:eastAsia="Verdana" w:cs="Verdana"/>
          <w:spacing w:val="-2"/>
          <w:sz w:val="20"/>
          <w:szCs w:val="20"/>
          <w:lang w:eastAsia="es-ES"/>
        </w:rPr>
        <w:t>o</w:t>
      </w:r>
      <w:r w:rsidRPr="006B2A4D">
        <w:rPr>
          <w:rFonts w:eastAsia="Verdana" w:cs="Verdana"/>
          <w:spacing w:val="3"/>
          <w:sz w:val="20"/>
          <w:szCs w:val="20"/>
          <w:lang w:eastAsia="es-ES"/>
        </w:rPr>
        <w:t>li</w:t>
      </w:r>
      <w:r w:rsidRPr="006B2A4D">
        <w:rPr>
          <w:rFonts w:eastAsia="Verdana" w:cs="Verdana"/>
          <w:spacing w:val="-3"/>
          <w:sz w:val="20"/>
          <w:szCs w:val="20"/>
          <w:lang w:eastAsia="es-ES"/>
        </w:rPr>
        <w:t>c</w:t>
      </w:r>
      <w:r w:rsidRPr="006B2A4D">
        <w:rPr>
          <w:rFonts w:eastAsia="Verdana" w:cs="Verdana"/>
          <w:spacing w:val="3"/>
          <w:sz w:val="20"/>
          <w:szCs w:val="20"/>
          <w:lang w:eastAsia="es-ES"/>
        </w:rPr>
        <w:t>i</w:t>
      </w:r>
      <w:r w:rsidRPr="006B2A4D">
        <w:rPr>
          <w:rFonts w:eastAsia="Verdana" w:cs="Verdana"/>
          <w:spacing w:val="1"/>
          <w:sz w:val="20"/>
          <w:szCs w:val="20"/>
          <w:lang w:eastAsia="es-ES"/>
        </w:rPr>
        <w:t>tud</w:t>
      </w:r>
      <w:r w:rsidRPr="006B2A4D">
        <w:rPr>
          <w:rFonts w:eastAsia="Verdana" w:cs="Verdana"/>
          <w:spacing w:val="-1"/>
          <w:sz w:val="20"/>
          <w:szCs w:val="20"/>
          <w:lang w:eastAsia="es-ES"/>
        </w:rPr>
        <w:t>e</w:t>
      </w:r>
      <w:r w:rsidRPr="006B2A4D">
        <w:rPr>
          <w:rFonts w:eastAsia="Verdana" w:cs="Verdana"/>
          <w:sz w:val="20"/>
          <w:szCs w:val="20"/>
          <w:lang w:eastAsia="es-ES"/>
        </w:rPr>
        <w:t>s</w:t>
      </w:r>
      <w:r w:rsidRPr="006B2A4D">
        <w:rPr>
          <w:rFonts w:eastAsia="Verdana" w:cs="Verdana"/>
          <w:spacing w:val="-7"/>
          <w:sz w:val="20"/>
          <w:szCs w:val="20"/>
          <w:lang w:eastAsia="es-ES"/>
        </w:rPr>
        <w:t xml:space="preserve"> </w:t>
      </w:r>
      <w:r w:rsidRPr="006B2A4D">
        <w:rPr>
          <w:rFonts w:eastAsia="Verdana" w:cs="Verdana"/>
          <w:sz w:val="20"/>
          <w:szCs w:val="20"/>
          <w:lang w:eastAsia="es-ES"/>
        </w:rPr>
        <w:t>y</w:t>
      </w:r>
      <w:r w:rsidRPr="006B2A4D">
        <w:rPr>
          <w:rFonts w:eastAsia="Verdana" w:cs="Verdana"/>
          <w:spacing w:val="3"/>
          <w:sz w:val="20"/>
          <w:szCs w:val="20"/>
          <w:lang w:eastAsia="es-ES"/>
        </w:rPr>
        <w:t xml:space="preserve"> </w:t>
      </w:r>
      <w:r w:rsidRPr="006B2A4D">
        <w:rPr>
          <w:rFonts w:eastAsia="Verdana" w:cs="Verdana"/>
          <w:sz w:val="20"/>
          <w:szCs w:val="20"/>
          <w:lang w:eastAsia="es-ES"/>
        </w:rPr>
        <w:t>a</w:t>
      </w:r>
      <w:r w:rsidRPr="006B2A4D">
        <w:rPr>
          <w:rFonts w:eastAsia="Verdana" w:cs="Verdana"/>
          <w:spacing w:val="-1"/>
          <w:sz w:val="20"/>
          <w:szCs w:val="20"/>
          <w:lang w:eastAsia="es-ES"/>
        </w:rPr>
        <w:t>r</w:t>
      </w:r>
      <w:r w:rsidRPr="006B2A4D">
        <w:rPr>
          <w:rFonts w:eastAsia="Verdana" w:cs="Verdana"/>
          <w:spacing w:val="1"/>
          <w:sz w:val="20"/>
          <w:szCs w:val="20"/>
          <w:lang w:eastAsia="es-ES"/>
        </w:rPr>
        <w:t>gu</w:t>
      </w:r>
      <w:r w:rsidRPr="006B2A4D">
        <w:rPr>
          <w:rFonts w:eastAsia="Verdana" w:cs="Verdana"/>
          <w:sz w:val="20"/>
          <w:szCs w:val="20"/>
          <w:lang w:eastAsia="es-ES"/>
        </w:rPr>
        <w:t>men</w:t>
      </w:r>
      <w:r w:rsidRPr="006B2A4D">
        <w:rPr>
          <w:rFonts w:eastAsia="Verdana" w:cs="Verdana"/>
          <w:spacing w:val="1"/>
          <w:sz w:val="20"/>
          <w:szCs w:val="20"/>
          <w:lang w:eastAsia="es-ES"/>
        </w:rPr>
        <w:t>t</w:t>
      </w:r>
      <w:r w:rsidRPr="006B2A4D">
        <w:rPr>
          <w:rFonts w:eastAsia="Verdana" w:cs="Verdana"/>
          <w:spacing w:val="-1"/>
          <w:sz w:val="20"/>
          <w:szCs w:val="20"/>
          <w:lang w:eastAsia="es-ES"/>
        </w:rPr>
        <w:t>o</w:t>
      </w:r>
      <w:r w:rsidRPr="006B2A4D">
        <w:rPr>
          <w:rFonts w:eastAsia="Verdana" w:cs="Verdana"/>
          <w:sz w:val="20"/>
          <w:szCs w:val="20"/>
          <w:lang w:eastAsia="es-ES"/>
        </w:rPr>
        <w:t>s,</w:t>
      </w:r>
      <w:r w:rsidRPr="006B2A4D">
        <w:rPr>
          <w:rFonts w:eastAsia="Verdana" w:cs="Verdana"/>
          <w:spacing w:val="-10"/>
          <w:sz w:val="20"/>
          <w:szCs w:val="20"/>
          <w:lang w:eastAsia="es-ES"/>
        </w:rPr>
        <w:t xml:space="preserve"> </w:t>
      </w:r>
      <w:r w:rsidRPr="006B2A4D">
        <w:rPr>
          <w:rFonts w:eastAsia="Verdana" w:cs="Verdana"/>
          <w:sz w:val="20"/>
          <w:szCs w:val="20"/>
          <w:lang w:eastAsia="es-ES"/>
        </w:rPr>
        <w:t>s</w:t>
      </w:r>
      <w:r w:rsidRPr="006B2A4D">
        <w:rPr>
          <w:rFonts w:eastAsia="Verdana" w:cs="Verdana"/>
          <w:spacing w:val="2"/>
          <w:sz w:val="20"/>
          <w:szCs w:val="20"/>
          <w:lang w:eastAsia="es-ES"/>
        </w:rPr>
        <w:t>i</w:t>
      </w:r>
      <w:r w:rsidRPr="006B2A4D">
        <w:rPr>
          <w:rFonts w:eastAsia="Verdana" w:cs="Verdana"/>
          <w:sz w:val="20"/>
          <w:szCs w:val="20"/>
          <w:lang w:eastAsia="es-ES"/>
        </w:rPr>
        <w:t xml:space="preserve">n </w:t>
      </w:r>
      <w:r w:rsidRPr="006B2A4D">
        <w:rPr>
          <w:rFonts w:eastAsia="Verdana" w:cs="Verdana"/>
          <w:spacing w:val="1"/>
          <w:sz w:val="20"/>
          <w:szCs w:val="20"/>
          <w:lang w:eastAsia="es-ES"/>
        </w:rPr>
        <w:t>p</w:t>
      </w:r>
      <w:r w:rsidRPr="006B2A4D">
        <w:rPr>
          <w:rFonts w:eastAsia="Verdana" w:cs="Verdana"/>
          <w:spacing w:val="-1"/>
          <w:sz w:val="20"/>
          <w:szCs w:val="20"/>
          <w:lang w:eastAsia="es-ES"/>
        </w:rPr>
        <w:t>er</w:t>
      </w:r>
      <w:r w:rsidRPr="006B2A4D">
        <w:rPr>
          <w:rFonts w:eastAsia="Verdana" w:cs="Verdana"/>
          <w:spacing w:val="1"/>
          <w:sz w:val="20"/>
          <w:szCs w:val="20"/>
          <w:lang w:eastAsia="es-ES"/>
        </w:rPr>
        <w:t>ju</w:t>
      </w:r>
      <w:r w:rsidRPr="006B2A4D">
        <w:rPr>
          <w:rFonts w:eastAsia="Verdana" w:cs="Verdana"/>
          <w:spacing w:val="3"/>
          <w:sz w:val="20"/>
          <w:szCs w:val="20"/>
          <w:lang w:eastAsia="es-ES"/>
        </w:rPr>
        <w:t>i</w:t>
      </w:r>
      <w:r w:rsidRPr="006B2A4D">
        <w:rPr>
          <w:rFonts w:eastAsia="Verdana" w:cs="Verdana"/>
          <w:sz w:val="20"/>
          <w:szCs w:val="20"/>
          <w:lang w:eastAsia="es-ES"/>
        </w:rPr>
        <w:t>c</w:t>
      </w:r>
      <w:r w:rsidRPr="006B2A4D">
        <w:rPr>
          <w:rFonts w:eastAsia="Verdana" w:cs="Verdana"/>
          <w:spacing w:val="2"/>
          <w:sz w:val="20"/>
          <w:szCs w:val="20"/>
          <w:lang w:eastAsia="es-ES"/>
        </w:rPr>
        <w:t>i</w:t>
      </w:r>
      <w:r w:rsidRPr="006B2A4D">
        <w:rPr>
          <w:rFonts w:eastAsia="Verdana" w:cs="Verdana"/>
          <w:sz w:val="20"/>
          <w:szCs w:val="20"/>
          <w:lang w:eastAsia="es-ES"/>
        </w:rPr>
        <w:t>o</w:t>
      </w:r>
      <w:r w:rsidRPr="006B2A4D">
        <w:rPr>
          <w:rFonts w:eastAsia="Verdana" w:cs="Verdana"/>
          <w:spacing w:val="1"/>
          <w:sz w:val="20"/>
          <w:szCs w:val="20"/>
          <w:lang w:eastAsia="es-ES"/>
        </w:rPr>
        <w:t xml:space="preserve"> d</w:t>
      </w:r>
      <w:r w:rsidRPr="006B2A4D">
        <w:rPr>
          <w:rFonts w:eastAsia="Verdana" w:cs="Verdana"/>
          <w:sz w:val="20"/>
          <w:szCs w:val="20"/>
          <w:lang w:eastAsia="es-ES"/>
        </w:rPr>
        <w:t>e</w:t>
      </w:r>
      <w:r w:rsidRPr="006B2A4D">
        <w:rPr>
          <w:rFonts w:eastAsia="Verdana" w:cs="Verdana"/>
          <w:spacing w:val="7"/>
          <w:sz w:val="20"/>
          <w:szCs w:val="20"/>
          <w:lang w:eastAsia="es-ES"/>
        </w:rPr>
        <w:t xml:space="preserve"> </w:t>
      </w:r>
      <w:r w:rsidRPr="006B2A4D">
        <w:rPr>
          <w:rFonts w:eastAsia="Verdana" w:cs="Verdana"/>
          <w:spacing w:val="1"/>
          <w:sz w:val="20"/>
          <w:szCs w:val="20"/>
          <w:lang w:eastAsia="es-ES"/>
        </w:rPr>
        <w:t>qu</w:t>
      </w:r>
      <w:r w:rsidRPr="006B2A4D">
        <w:rPr>
          <w:rFonts w:eastAsia="Verdana" w:cs="Verdana"/>
          <w:sz w:val="20"/>
          <w:szCs w:val="20"/>
          <w:lang w:eastAsia="es-ES"/>
        </w:rPr>
        <w:t>e</w:t>
      </w:r>
      <w:r w:rsidRPr="006B2A4D">
        <w:rPr>
          <w:rFonts w:eastAsia="Verdana" w:cs="Verdana"/>
          <w:spacing w:val="6"/>
          <w:sz w:val="20"/>
          <w:szCs w:val="20"/>
          <w:lang w:eastAsia="es-ES"/>
        </w:rPr>
        <w:t xml:space="preserve"> </w:t>
      </w:r>
      <w:r w:rsidRPr="006B2A4D">
        <w:rPr>
          <w:rFonts w:eastAsia="Verdana" w:cs="Verdana"/>
          <w:spacing w:val="1"/>
          <w:sz w:val="20"/>
          <w:szCs w:val="20"/>
          <w:lang w:eastAsia="es-ES"/>
        </w:rPr>
        <w:t>t</w:t>
      </w:r>
      <w:r w:rsidRPr="006B2A4D">
        <w:rPr>
          <w:rFonts w:eastAsia="Verdana" w:cs="Verdana"/>
          <w:sz w:val="20"/>
          <w:szCs w:val="20"/>
          <w:lang w:eastAsia="es-ES"/>
        </w:rPr>
        <w:t>a</w:t>
      </w:r>
      <w:r w:rsidRPr="006B2A4D">
        <w:rPr>
          <w:rFonts w:eastAsia="Verdana" w:cs="Verdana"/>
          <w:spacing w:val="3"/>
          <w:sz w:val="20"/>
          <w:szCs w:val="20"/>
          <w:lang w:eastAsia="es-ES"/>
        </w:rPr>
        <w:t>l</w:t>
      </w:r>
      <w:r w:rsidRPr="006B2A4D">
        <w:rPr>
          <w:rFonts w:eastAsia="Verdana" w:cs="Verdana"/>
          <w:spacing w:val="-1"/>
          <w:sz w:val="20"/>
          <w:szCs w:val="20"/>
          <w:lang w:eastAsia="es-ES"/>
        </w:rPr>
        <w:t>e</w:t>
      </w:r>
      <w:r w:rsidRPr="006B2A4D">
        <w:rPr>
          <w:rFonts w:eastAsia="Verdana" w:cs="Verdana"/>
          <w:sz w:val="20"/>
          <w:szCs w:val="20"/>
          <w:lang w:eastAsia="es-ES"/>
        </w:rPr>
        <w:t>s</w:t>
      </w:r>
      <w:r w:rsidRPr="006B2A4D">
        <w:rPr>
          <w:rFonts w:eastAsia="Verdana" w:cs="Verdana"/>
          <w:spacing w:val="5"/>
          <w:sz w:val="20"/>
          <w:szCs w:val="20"/>
          <w:lang w:eastAsia="es-ES"/>
        </w:rPr>
        <w:t xml:space="preserve"> </w:t>
      </w:r>
      <w:r w:rsidRPr="006B2A4D">
        <w:rPr>
          <w:rFonts w:eastAsia="Verdana" w:cs="Verdana"/>
          <w:spacing w:val="3"/>
          <w:sz w:val="20"/>
          <w:szCs w:val="20"/>
          <w:lang w:eastAsia="es-ES"/>
        </w:rPr>
        <w:t>p</w:t>
      </w:r>
      <w:r w:rsidRPr="006B2A4D">
        <w:rPr>
          <w:rFonts w:eastAsia="Verdana" w:cs="Verdana"/>
          <w:spacing w:val="-1"/>
          <w:sz w:val="20"/>
          <w:szCs w:val="20"/>
          <w:lang w:eastAsia="es-ES"/>
        </w:rPr>
        <w:t>re</w:t>
      </w:r>
      <w:r w:rsidRPr="006B2A4D">
        <w:rPr>
          <w:rFonts w:eastAsia="Verdana" w:cs="Verdana"/>
          <w:spacing w:val="3"/>
          <w:sz w:val="20"/>
          <w:szCs w:val="20"/>
          <w:lang w:eastAsia="es-ES"/>
        </w:rPr>
        <w:t>t</w:t>
      </w:r>
      <w:r w:rsidRPr="006B2A4D">
        <w:rPr>
          <w:rFonts w:eastAsia="Verdana" w:cs="Verdana"/>
          <w:spacing w:val="-1"/>
          <w:sz w:val="20"/>
          <w:szCs w:val="20"/>
          <w:lang w:eastAsia="es-ES"/>
        </w:rPr>
        <w:t>e</w:t>
      </w:r>
      <w:r w:rsidRPr="006B2A4D">
        <w:rPr>
          <w:rFonts w:eastAsia="Verdana" w:cs="Verdana"/>
          <w:spacing w:val="1"/>
          <w:sz w:val="20"/>
          <w:szCs w:val="20"/>
          <w:lang w:eastAsia="es-ES"/>
        </w:rPr>
        <w:t>n</w:t>
      </w:r>
      <w:r w:rsidRPr="006B2A4D">
        <w:rPr>
          <w:rFonts w:eastAsia="Verdana" w:cs="Verdana"/>
          <w:sz w:val="20"/>
          <w:szCs w:val="20"/>
          <w:lang w:eastAsia="es-ES"/>
        </w:rPr>
        <w:t>s</w:t>
      </w:r>
      <w:r w:rsidRPr="006B2A4D">
        <w:rPr>
          <w:rFonts w:eastAsia="Verdana" w:cs="Verdana"/>
          <w:spacing w:val="2"/>
          <w:sz w:val="20"/>
          <w:szCs w:val="20"/>
          <w:lang w:eastAsia="es-ES"/>
        </w:rPr>
        <w:t>i</w:t>
      </w:r>
      <w:r w:rsidRPr="006B2A4D">
        <w:rPr>
          <w:rFonts w:eastAsia="Verdana" w:cs="Verdana"/>
          <w:spacing w:val="-1"/>
          <w:sz w:val="20"/>
          <w:szCs w:val="20"/>
          <w:lang w:eastAsia="es-ES"/>
        </w:rPr>
        <w:t>o</w:t>
      </w:r>
      <w:r w:rsidRPr="006B2A4D">
        <w:rPr>
          <w:rFonts w:eastAsia="Verdana" w:cs="Verdana"/>
          <w:spacing w:val="1"/>
          <w:sz w:val="20"/>
          <w:szCs w:val="20"/>
          <w:lang w:eastAsia="es-ES"/>
        </w:rPr>
        <w:t>n</w:t>
      </w:r>
      <w:r w:rsidRPr="006B2A4D">
        <w:rPr>
          <w:rFonts w:eastAsia="Verdana" w:cs="Verdana"/>
          <w:spacing w:val="-1"/>
          <w:sz w:val="20"/>
          <w:szCs w:val="20"/>
          <w:lang w:eastAsia="es-ES"/>
        </w:rPr>
        <w:t>e</w:t>
      </w:r>
      <w:r w:rsidRPr="006B2A4D">
        <w:rPr>
          <w:rFonts w:eastAsia="Verdana" w:cs="Verdana"/>
          <w:sz w:val="20"/>
          <w:szCs w:val="20"/>
          <w:lang w:eastAsia="es-ES"/>
        </w:rPr>
        <w:t xml:space="preserve">s </w:t>
      </w:r>
      <w:r w:rsidRPr="006B2A4D">
        <w:rPr>
          <w:rFonts w:eastAsia="Verdana" w:cs="Verdana"/>
          <w:spacing w:val="2"/>
          <w:sz w:val="20"/>
          <w:szCs w:val="20"/>
          <w:lang w:eastAsia="es-ES"/>
        </w:rPr>
        <w:t>s</w:t>
      </w:r>
      <w:r w:rsidRPr="006B2A4D">
        <w:rPr>
          <w:rFonts w:eastAsia="Verdana" w:cs="Verdana"/>
          <w:sz w:val="20"/>
          <w:szCs w:val="20"/>
          <w:lang w:eastAsia="es-ES"/>
        </w:rPr>
        <w:t>e</w:t>
      </w:r>
      <w:r w:rsidRPr="006B2A4D">
        <w:rPr>
          <w:rFonts w:eastAsia="Verdana" w:cs="Verdana"/>
          <w:spacing w:val="8"/>
          <w:sz w:val="20"/>
          <w:szCs w:val="20"/>
          <w:lang w:eastAsia="es-ES"/>
        </w:rPr>
        <w:t xml:space="preserve"> </w:t>
      </w:r>
      <w:r w:rsidRPr="006B2A4D">
        <w:rPr>
          <w:rFonts w:eastAsia="Verdana" w:cs="Verdana"/>
          <w:sz w:val="20"/>
          <w:szCs w:val="20"/>
          <w:lang w:eastAsia="es-ES"/>
        </w:rPr>
        <w:t>act</w:t>
      </w:r>
      <w:r w:rsidRPr="006B2A4D">
        <w:rPr>
          <w:rFonts w:eastAsia="Verdana" w:cs="Verdana"/>
          <w:spacing w:val="2"/>
          <w:sz w:val="20"/>
          <w:szCs w:val="20"/>
          <w:lang w:eastAsia="es-ES"/>
        </w:rPr>
        <w:t>u</w:t>
      </w:r>
      <w:r w:rsidRPr="006B2A4D">
        <w:rPr>
          <w:rFonts w:eastAsia="Verdana" w:cs="Verdana"/>
          <w:sz w:val="20"/>
          <w:szCs w:val="20"/>
          <w:lang w:eastAsia="es-ES"/>
        </w:rPr>
        <w:t>a</w:t>
      </w:r>
      <w:r w:rsidRPr="006B2A4D">
        <w:rPr>
          <w:rFonts w:eastAsia="Verdana" w:cs="Verdana"/>
          <w:spacing w:val="3"/>
          <w:sz w:val="20"/>
          <w:szCs w:val="20"/>
          <w:lang w:eastAsia="es-ES"/>
        </w:rPr>
        <w:t>li</w:t>
      </w:r>
      <w:r w:rsidRPr="006B2A4D">
        <w:rPr>
          <w:rFonts w:eastAsia="Verdana" w:cs="Verdana"/>
          <w:sz w:val="20"/>
          <w:szCs w:val="20"/>
          <w:lang w:eastAsia="es-ES"/>
        </w:rPr>
        <w:t>c</w:t>
      </w:r>
      <w:r w:rsidRPr="006B2A4D">
        <w:rPr>
          <w:rFonts w:eastAsia="Verdana" w:cs="Verdana"/>
          <w:spacing w:val="-2"/>
          <w:sz w:val="20"/>
          <w:szCs w:val="20"/>
          <w:lang w:eastAsia="es-ES"/>
        </w:rPr>
        <w:t>e</w:t>
      </w:r>
      <w:r w:rsidRPr="006B2A4D">
        <w:rPr>
          <w:rFonts w:eastAsia="Verdana" w:cs="Verdana"/>
          <w:sz w:val="20"/>
          <w:szCs w:val="20"/>
          <w:lang w:eastAsia="es-ES"/>
        </w:rPr>
        <w:t>n</w:t>
      </w:r>
      <w:r w:rsidRPr="006B2A4D">
        <w:rPr>
          <w:rFonts w:eastAsia="Verdana" w:cs="Verdana"/>
          <w:spacing w:val="2"/>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n</w:t>
      </w:r>
      <w:r w:rsidRPr="006B2A4D">
        <w:rPr>
          <w:rFonts w:eastAsia="Verdana" w:cs="Verdana"/>
          <w:spacing w:val="9"/>
          <w:sz w:val="20"/>
          <w:szCs w:val="20"/>
          <w:lang w:eastAsia="es-ES"/>
        </w:rPr>
        <w:t xml:space="preserve"> </w:t>
      </w:r>
      <w:r w:rsidRPr="006B2A4D">
        <w:rPr>
          <w:rFonts w:eastAsia="Verdana" w:cs="Verdana"/>
          <w:spacing w:val="1"/>
          <w:sz w:val="20"/>
          <w:szCs w:val="20"/>
          <w:lang w:eastAsia="es-ES"/>
        </w:rPr>
        <w:t>u</w:t>
      </w:r>
      <w:r w:rsidRPr="006B2A4D">
        <w:rPr>
          <w:rFonts w:eastAsia="Verdana" w:cs="Verdana"/>
          <w:sz w:val="20"/>
          <w:szCs w:val="20"/>
          <w:lang w:eastAsia="es-ES"/>
        </w:rPr>
        <w:t>n</w:t>
      </w:r>
      <w:r w:rsidRPr="006B2A4D">
        <w:rPr>
          <w:rFonts w:eastAsia="Verdana" w:cs="Verdana"/>
          <w:spacing w:val="9"/>
          <w:sz w:val="20"/>
          <w:szCs w:val="20"/>
          <w:lang w:eastAsia="es-ES"/>
        </w:rPr>
        <w:t xml:space="preserve"> </w:t>
      </w:r>
      <w:r w:rsidRPr="006B2A4D">
        <w:rPr>
          <w:rFonts w:eastAsia="Verdana" w:cs="Verdana"/>
          <w:sz w:val="20"/>
          <w:szCs w:val="20"/>
          <w:lang w:eastAsia="es-ES"/>
        </w:rPr>
        <w:t>mo</w:t>
      </w:r>
      <w:r w:rsidRPr="006B2A4D">
        <w:rPr>
          <w:rFonts w:eastAsia="Verdana" w:cs="Verdana"/>
          <w:spacing w:val="3"/>
          <w:sz w:val="20"/>
          <w:szCs w:val="20"/>
          <w:lang w:eastAsia="es-ES"/>
        </w:rPr>
        <w:t>m</w:t>
      </w:r>
      <w:r w:rsidRPr="006B2A4D">
        <w:rPr>
          <w:rFonts w:eastAsia="Verdana" w:cs="Verdana"/>
          <w:spacing w:val="-1"/>
          <w:sz w:val="20"/>
          <w:szCs w:val="20"/>
          <w:lang w:eastAsia="es-ES"/>
        </w:rPr>
        <w:t>e</w:t>
      </w:r>
      <w:r w:rsidRPr="006B2A4D">
        <w:rPr>
          <w:rFonts w:eastAsia="Verdana" w:cs="Verdana"/>
          <w:spacing w:val="1"/>
          <w:sz w:val="20"/>
          <w:szCs w:val="20"/>
          <w:lang w:eastAsia="es-ES"/>
        </w:rPr>
        <w:t>nt</w:t>
      </w:r>
      <w:r w:rsidRPr="006B2A4D">
        <w:rPr>
          <w:rFonts w:eastAsia="Verdana" w:cs="Verdana"/>
          <w:sz w:val="20"/>
          <w:szCs w:val="20"/>
          <w:lang w:eastAsia="es-ES"/>
        </w:rPr>
        <w:t>o</w:t>
      </w:r>
      <w:r w:rsidRPr="006B2A4D">
        <w:rPr>
          <w:rFonts w:eastAsia="Verdana" w:cs="Verdana"/>
          <w:spacing w:val="2"/>
          <w:sz w:val="20"/>
          <w:szCs w:val="20"/>
          <w:lang w:eastAsia="es-ES"/>
        </w:rPr>
        <w:t xml:space="preserve"> </w:t>
      </w:r>
      <w:r w:rsidRPr="006B2A4D">
        <w:rPr>
          <w:rFonts w:eastAsia="Verdana" w:cs="Verdana"/>
          <w:spacing w:val="1"/>
          <w:sz w:val="20"/>
          <w:szCs w:val="20"/>
          <w:lang w:eastAsia="es-ES"/>
        </w:rPr>
        <w:t>po</w:t>
      </w:r>
      <w:r w:rsidRPr="006B2A4D">
        <w:rPr>
          <w:rFonts w:eastAsia="Verdana" w:cs="Verdana"/>
          <w:sz w:val="20"/>
          <w:szCs w:val="20"/>
          <w:lang w:eastAsia="es-ES"/>
        </w:rPr>
        <w:t>st</w:t>
      </w:r>
      <w:r w:rsidRPr="006B2A4D">
        <w:rPr>
          <w:rFonts w:eastAsia="Verdana" w:cs="Verdana"/>
          <w:spacing w:val="-1"/>
          <w:sz w:val="20"/>
          <w:szCs w:val="20"/>
          <w:lang w:eastAsia="es-ES"/>
        </w:rPr>
        <w:t>er</w:t>
      </w:r>
      <w:r w:rsidRPr="006B2A4D">
        <w:rPr>
          <w:rFonts w:eastAsia="Verdana" w:cs="Verdana"/>
          <w:spacing w:val="3"/>
          <w:sz w:val="20"/>
          <w:szCs w:val="20"/>
          <w:lang w:eastAsia="es-ES"/>
        </w:rPr>
        <w:t>i</w:t>
      </w:r>
      <w:r w:rsidRPr="006B2A4D">
        <w:rPr>
          <w:rFonts w:eastAsia="Verdana" w:cs="Verdana"/>
          <w:spacing w:val="-1"/>
          <w:sz w:val="20"/>
          <w:szCs w:val="20"/>
          <w:lang w:eastAsia="es-ES"/>
        </w:rPr>
        <w:t>o</w:t>
      </w:r>
      <w:r w:rsidRPr="006B2A4D">
        <w:rPr>
          <w:rFonts w:eastAsia="Verdana" w:cs="Verdana"/>
          <w:spacing w:val="10"/>
          <w:sz w:val="20"/>
          <w:szCs w:val="20"/>
          <w:lang w:eastAsia="es-ES"/>
        </w:rPr>
        <w:t>r</w:t>
      </w:r>
      <w:r w:rsidRPr="006B2A4D">
        <w:rPr>
          <w:rFonts w:eastAsia="Verdana" w:cs="Verdana"/>
          <w:sz w:val="20"/>
          <w:szCs w:val="20"/>
          <w:lang w:eastAsia="es-ES"/>
        </w:rPr>
        <w:t xml:space="preserve">, </w:t>
      </w:r>
      <w:r w:rsidRPr="006B2A4D">
        <w:rPr>
          <w:rFonts w:eastAsia="Verdana" w:cs="Verdana"/>
          <w:spacing w:val="2"/>
          <w:sz w:val="20"/>
          <w:szCs w:val="20"/>
          <w:lang w:eastAsia="es-ES"/>
        </w:rPr>
        <w:t>c</w:t>
      </w:r>
      <w:r w:rsidRPr="006B2A4D">
        <w:rPr>
          <w:rFonts w:eastAsia="Verdana" w:cs="Verdana"/>
          <w:spacing w:val="-1"/>
          <w:sz w:val="20"/>
          <w:szCs w:val="20"/>
          <w:lang w:eastAsia="es-ES"/>
        </w:rPr>
        <w:t>o</w:t>
      </w:r>
      <w:r w:rsidRPr="006B2A4D">
        <w:rPr>
          <w:rFonts w:eastAsia="Verdana" w:cs="Verdana"/>
          <w:spacing w:val="1"/>
          <w:sz w:val="20"/>
          <w:szCs w:val="20"/>
          <w:lang w:eastAsia="es-ES"/>
        </w:rPr>
        <w:t>n</w:t>
      </w:r>
      <w:r w:rsidRPr="006B2A4D">
        <w:rPr>
          <w:rFonts w:eastAsia="Verdana" w:cs="Verdana"/>
          <w:spacing w:val="2"/>
          <w:sz w:val="20"/>
          <w:szCs w:val="20"/>
          <w:lang w:eastAsia="es-ES"/>
        </w:rPr>
        <w:t>f</w:t>
      </w:r>
      <w:r w:rsidRPr="006B2A4D">
        <w:rPr>
          <w:rFonts w:eastAsia="Verdana" w:cs="Verdana"/>
          <w:spacing w:val="-1"/>
          <w:sz w:val="20"/>
          <w:szCs w:val="20"/>
          <w:lang w:eastAsia="es-ES"/>
        </w:rPr>
        <w:t>or</w:t>
      </w:r>
      <w:r w:rsidRPr="006B2A4D">
        <w:rPr>
          <w:rFonts w:eastAsia="Verdana" w:cs="Verdana"/>
          <w:spacing w:val="3"/>
          <w:sz w:val="20"/>
          <w:szCs w:val="20"/>
          <w:lang w:eastAsia="es-ES"/>
        </w:rPr>
        <w:t>m</w:t>
      </w:r>
      <w:r w:rsidRPr="006B2A4D">
        <w:rPr>
          <w:rFonts w:eastAsia="Verdana" w:cs="Verdana"/>
          <w:sz w:val="20"/>
          <w:szCs w:val="20"/>
          <w:lang w:eastAsia="es-ES"/>
        </w:rPr>
        <w:t>e a</w:t>
      </w:r>
      <w:r w:rsidRPr="006B2A4D">
        <w:rPr>
          <w:rFonts w:eastAsia="Verdana" w:cs="Verdana"/>
          <w:spacing w:val="12"/>
          <w:sz w:val="20"/>
          <w:szCs w:val="20"/>
          <w:lang w:eastAsia="es-ES"/>
        </w:rPr>
        <w:t xml:space="preserve"> </w:t>
      </w:r>
      <w:r w:rsidRPr="006B2A4D">
        <w:rPr>
          <w:rFonts w:eastAsia="Verdana" w:cs="Verdana"/>
          <w:spacing w:val="3"/>
          <w:sz w:val="20"/>
          <w:szCs w:val="20"/>
          <w:lang w:eastAsia="es-ES"/>
        </w:rPr>
        <w:t>l</w:t>
      </w:r>
      <w:r w:rsidRPr="006B2A4D">
        <w:rPr>
          <w:rFonts w:eastAsia="Verdana" w:cs="Verdana"/>
          <w:sz w:val="20"/>
          <w:szCs w:val="20"/>
          <w:lang w:eastAsia="es-ES"/>
        </w:rPr>
        <w:t>as</w:t>
      </w:r>
      <w:r w:rsidRPr="006B2A4D">
        <w:rPr>
          <w:rFonts w:eastAsia="Verdana" w:cs="Verdana"/>
          <w:spacing w:val="8"/>
          <w:sz w:val="20"/>
          <w:szCs w:val="20"/>
          <w:lang w:eastAsia="es-ES"/>
        </w:rPr>
        <w:t xml:space="preserve"> </w:t>
      </w:r>
      <w:r w:rsidRPr="006B2A4D">
        <w:rPr>
          <w:rFonts w:eastAsia="Verdana" w:cs="Verdana"/>
          <w:spacing w:val="1"/>
          <w:sz w:val="20"/>
          <w:szCs w:val="20"/>
          <w:lang w:eastAsia="es-ES"/>
        </w:rPr>
        <w:t>nu</w:t>
      </w:r>
      <w:r w:rsidRPr="006B2A4D">
        <w:rPr>
          <w:rFonts w:eastAsia="Verdana" w:cs="Verdana"/>
          <w:spacing w:val="-1"/>
          <w:sz w:val="20"/>
          <w:szCs w:val="20"/>
          <w:lang w:eastAsia="es-ES"/>
        </w:rPr>
        <w:t>e</w:t>
      </w:r>
      <w:r w:rsidRPr="006B2A4D">
        <w:rPr>
          <w:rFonts w:eastAsia="Verdana" w:cs="Verdana"/>
          <w:sz w:val="20"/>
          <w:szCs w:val="20"/>
          <w:lang w:eastAsia="es-ES"/>
        </w:rPr>
        <w:t>v</w:t>
      </w:r>
      <w:r w:rsidRPr="006B2A4D">
        <w:rPr>
          <w:rFonts w:eastAsia="Verdana" w:cs="Verdana"/>
          <w:spacing w:val="2"/>
          <w:sz w:val="20"/>
          <w:szCs w:val="20"/>
          <w:lang w:eastAsia="es-ES"/>
        </w:rPr>
        <w:t>a</w:t>
      </w:r>
      <w:r w:rsidRPr="006B2A4D">
        <w:rPr>
          <w:rFonts w:eastAsia="Verdana" w:cs="Verdana"/>
          <w:sz w:val="20"/>
          <w:szCs w:val="20"/>
          <w:lang w:eastAsia="es-ES"/>
        </w:rPr>
        <w:t>s c</w:t>
      </w:r>
      <w:r w:rsidRPr="006B2A4D">
        <w:rPr>
          <w:rFonts w:eastAsia="Verdana" w:cs="Verdana"/>
          <w:spacing w:val="-2"/>
          <w:sz w:val="20"/>
          <w:szCs w:val="20"/>
          <w:lang w:eastAsia="es-ES"/>
        </w:rPr>
        <w:t>o</w:t>
      </w:r>
      <w:r w:rsidRPr="006B2A4D">
        <w:rPr>
          <w:rFonts w:eastAsia="Verdana" w:cs="Verdana"/>
          <w:sz w:val="20"/>
          <w:szCs w:val="20"/>
          <w:lang w:eastAsia="es-ES"/>
        </w:rPr>
        <w:t>st</w:t>
      </w:r>
      <w:r w:rsidRPr="006B2A4D">
        <w:rPr>
          <w:rFonts w:eastAsia="Verdana" w:cs="Verdana"/>
          <w:spacing w:val="3"/>
          <w:sz w:val="20"/>
          <w:szCs w:val="20"/>
          <w:lang w:eastAsia="es-ES"/>
        </w:rPr>
        <w:t>a</w:t>
      </w:r>
      <w:r w:rsidRPr="006B2A4D">
        <w:rPr>
          <w:rFonts w:eastAsia="Verdana" w:cs="Verdana"/>
          <w:sz w:val="20"/>
          <w:szCs w:val="20"/>
          <w:lang w:eastAsia="es-ES"/>
        </w:rPr>
        <w:t>s</w:t>
      </w:r>
      <w:r w:rsidRPr="006B2A4D">
        <w:rPr>
          <w:rFonts w:eastAsia="Verdana" w:cs="Verdana"/>
          <w:spacing w:val="8"/>
          <w:sz w:val="20"/>
          <w:szCs w:val="20"/>
          <w:lang w:eastAsia="es-ES"/>
        </w:rPr>
        <w:t xml:space="preserve"> </w:t>
      </w:r>
      <w:r w:rsidRPr="006B2A4D">
        <w:rPr>
          <w:rFonts w:eastAsia="Verdana" w:cs="Verdana"/>
          <w:sz w:val="20"/>
          <w:szCs w:val="20"/>
          <w:lang w:eastAsia="es-ES"/>
        </w:rPr>
        <w:t>y</w:t>
      </w:r>
      <w:r w:rsidRPr="006B2A4D">
        <w:rPr>
          <w:rFonts w:eastAsia="Verdana" w:cs="Verdana"/>
          <w:spacing w:val="13"/>
          <w:sz w:val="20"/>
          <w:szCs w:val="20"/>
          <w:lang w:eastAsia="es-ES"/>
        </w:rPr>
        <w:t xml:space="preserve"> </w:t>
      </w:r>
      <w:r w:rsidRPr="006B2A4D">
        <w:rPr>
          <w:rFonts w:eastAsia="Verdana" w:cs="Verdana"/>
          <w:spacing w:val="1"/>
          <w:sz w:val="20"/>
          <w:szCs w:val="20"/>
          <w:lang w:eastAsia="es-ES"/>
        </w:rPr>
        <w:t>g</w:t>
      </w:r>
      <w:r w:rsidRPr="006B2A4D">
        <w:rPr>
          <w:rFonts w:eastAsia="Verdana" w:cs="Verdana"/>
          <w:sz w:val="20"/>
          <w:szCs w:val="20"/>
          <w:lang w:eastAsia="es-ES"/>
        </w:rPr>
        <w:t>astos</w:t>
      </w:r>
      <w:r w:rsidRPr="006B2A4D">
        <w:rPr>
          <w:rFonts w:eastAsia="Verdana" w:cs="Verdana"/>
          <w:spacing w:val="10"/>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n</w:t>
      </w:r>
      <w:r w:rsidRPr="006B2A4D">
        <w:rPr>
          <w:rFonts w:eastAsia="Verdana" w:cs="Verdana"/>
          <w:spacing w:val="14"/>
          <w:sz w:val="20"/>
          <w:szCs w:val="20"/>
          <w:lang w:eastAsia="es-ES"/>
        </w:rPr>
        <w:t xml:space="preserve"> </w:t>
      </w:r>
      <w:r w:rsidRPr="006B2A4D">
        <w:rPr>
          <w:rFonts w:eastAsia="Verdana" w:cs="Verdana"/>
          <w:spacing w:val="1"/>
          <w:sz w:val="20"/>
          <w:szCs w:val="20"/>
          <w:lang w:eastAsia="es-ES"/>
        </w:rPr>
        <w:t>qu</w:t>
      </w:r>
      <w:r w:rsidRPr="006B2A4D">
        <w:rPr>
          <w:rFonts w:eastAsia="Verdana" w:cs="Verdana"/>
          <w:sz w:val="20"/>
          <w:szCs w:val="20"/>
          <w:lang w:eastAsia="es-ES"/>
        </w:rPr>
        <w:t>e</w:t>
      </w:r>
      <w:r w:rsidRPr="006B2A4D">
        <w:rPr>
          <w:rFonts w:eastAsia="Verdana" w:cs="Verdana"/>
          <w:spacing w:val="11"/>
          <w:sz w:val="20"/>
          <w:szCs w:val="20"/>
          <w:lang w:eastAsia="es-ES"/>
        </w:rPr>
        <w:t xml:space="preserve"> </w:t>
      </w:r>
      <w:r w:rsidRPr="006B2A4D">
        <w:rPr>
          <w:rFonts w:eastAsia="Verdana" w:cs="Verdana"/>
          <w:sz w:val="20"/>
          <w:szCs w:val="20"/>
          <w:lang w:eastAsia="es-ES"/>
        </w:rPr>
        <w:t>se</w:t>
      </w:r>
      <w:r w:rsidRPr="006B2A4D">
        <w:rPr>
          <w:rFonts w:eastAsia="Verdana" w:cs="Verdana"/>
          <w:spacing w:val="11"/>
          <w:sz w:val="20"/>
          <w:szCs w:val="20"/>
          <w:lang w:eastAsia="es-ES"/>
        </w:rPr>
        <w:t xml:space="preserve"> </w:t>
      </w:r>
      <w:r w:rsidRPr="006B2A4D">
        <w:rPr>
          <w:rFonts w:eastAsia="Verdana" w:cs="Verdana"/>
          <w:spacing w:val="1"/>
          <w:sz w:val="20"/>
          <w:szCs w:val="20"/>
          <w:lang w:eastAsia="es-ES"/>
        </w:rPr>
        <w:t>h</w:t>
      </w:r>
      <w:r w:rsidRPr="006B2A4D">
        <w:rPr>
          <w:rFonts w:eastAsia="Verdana" w:cs="Verdana"/>
          <w:sz w:val="20"/>
          <w:szCs w:val="20"/>
          <w:lang w:eastAsia="es-ES"/>
        </w:rPr>
        <w:t>aya</w:t>
      </w:r>
      <w:r w:rsidRPr="006B2A4D">
        <w:rPr>
          <w:rFonts w:eastAsia="Verdana" w:cs="Verdana"/>
          <w:spacing w:val="10"/>
          <w:sz w:val="20"/>
          <w:szCs w:val="20"/>
          <w:lang w:eastAsia="es-ES"/>
        </w:rPr>
        <w:t xml:space="preserve"> </w:t>
      </w:r>
      <w:r w:rsidRPr="006B2A4D">
        <w:rPr>
          <w:rFonts w:eastAsia="Verdana" w:cs="Verdana"/>
          <w:spacing w:val="3"/>
          <w:sz w:val="20"/>
          <w:szCs w:val="20"/>
          <w:lang w:eastAsia="es-ES"/>
        </w:rPr>
        <w:t>i</w:t>
      </w:r>
      <w:r w:rsidRPr="006B2A4D">
        <w:rPr>
          <w:rFonts w:eastAsia="Verdana" w:cs="Verdana"/>
          <w:spacing w:val="1"/>
          <w:sz w:val="20"/>
          <w:szCs w:val="20"/>
          <w:lang w:eastAsia="es-ES"/>
        </w:rPr>
        <w:t>n</w:t>
      </w:r>
      <w:r w:rsidRPr="006B2A4D">
        <w:rPr>
          <w:rFonts w:eastAsia="Verdana" w:cs="Verdana"/>
          <w:sz w:val="20"/>
          <w:szCs w:val="20"/>
          <w:lang w:eastAsia="es-ES"/>
        </w:rPr>
        <w:t>cur</w:t>
      </w:r>
      <w:r w:rsidRPr="006B2A4D">
        <w:rPr>
          <w:rFonts w:eastAsia="Verdana" w:cs="Verdana"/>
          <w:spacing w:val="-2"/>
          <w:sz w:val="20"/>
          <w:szCs w:val="20"/>
          <w:lang w:eastAsia="es-ES"/>
        </w:rPr>
        <w:t>r</w:t>
      </w:r>
      <w:r w:rsidRPr="006B2A4D">
        <w:rPr>
          <w:rFonts w:eastAsia="Verdana" w:cs="Verdana"/>
          <w:spacing w:val="3"/>
          <w:sz w:val="20"/>
          <w:szCs w:val="20"/>
          <w:lang w:eastAsia="es-ES"/>
        </w:rPr>
        <w:t>i</w:t>
      </w:r>
      <w:r w:rsidRPr="006B2A4D">
        <w:rPr>
          <w:rFonts w:eastAsia="Verdana" w:cs="Verdana"/>
          <w:spacing w:val="1"/>
          <w:sz w:val="20"/>
          <w:szCs w:val="20"/>
          <w:lang w:eastAsia="es-ES"/>
        </w:rPr>
        <w:t>d</w:t>
      </w:r>
      <w:r w:rsidRPr="006B2A4D">
        <w:rPr>
          <w:rFonts w:eastAsia="Verdana" w:cs="Verdana"/>
          <w:sz w:val="20"/>
          <w:szCs w:val="20"/>
          <w:lang w:eastAsia="es-ES"/>
        </w:rPr>
        <w:t>o</w:t>
      </w:r>
      <w:r w:rsidRPr="006B2A4D">
        <w:rPr>
          <w:rFonts w:eastAsia="Verdana" w:cs="Verdana"/>
          <w:spacing w:val="5"/>
          <w:sz w:val="20"/>
          <w:szCs w:val="20"/>
          <w:lang w:eastAsia="es-ES"/>
        </w:rPr>
        <w:t xml:space="preserve"> </w:t>
      </w:r>
      <w:r w:rsidRPr="006B2A4D">
        <w:rPr>
          <w:rFonts w:eastAsia="Verdana" w:cs="Verdana"/>
          <w:sz w:val="20"/>
          <w:szCs w:val="20"/>
          <w:lang w:eastAsia="es-ES"/>
        </w:rPr>
        <w:t>c</w:t>
      </w:r>
      <w:r w:rsidRPr="006B2A4D">
        <w:rPr>
          <w:rFonts w:eastAsia="Verdana" w:cs="Verdana"/>
          <w:spacing w:val="-2"/>
          <w:sz w:val="20"/>
          <w:szCs w:val="20"/>
          <w:lang w:eastAsia="es-ES"/>
        </w:rPr>
        <w:t>o</w:t>
      </w:r>
      <w:r w:rsidRPr="006B2A4D">
        <w:rPr>
          <w:rFonts w:eastAsia="Verdana" w:cs="Verdana"/>
          <w:sz w:val="20"/>
          <w:szCs w:val="20"/>
          <w:lang w:eastAsia="es-ES"/>
        </w:rPr>
        <w:t>n</w:t>
      </w:r>
      <w:r w:rsidRPr="006B2A4D">
        <w:rPr>
          <w:rFonts w:eastAsia="Verdana" w:cs="Verdana"/>
          <w:spacing w:val="13"/>
          <w:sz w:val="20"/>
          <w:szCs w:val="20"/>
          <w:lang w:eastAsia="es-ES"/>
        </w:rPr>
        <w:t xml:space="preserve"> </w:t>
      </w:r>
      <w:r w:rsidRPr="006B2A4D">
        <w:rPr>
          <w:rFonts w:eastAsia="Verdana" w:cs="Verdana"/>
          <w:spacing w:val="-1"/>
          <w:sz w:val="20"/>
          <w:szCs w:val="20"/>
          <w:lang w:eastAsia="es-ES"/>
        </w:rPr>
        <w:t>o</w:t>
      </w:r>
      <w:r w:rsidRPr="006B2A4D">
        <w:rPr>
          <w:rFonts w:eastAsia="Verdana" w:cs="Verdana"/>
          <w:sz w:val="20"/>
          <w:szCs w:val="20"/>
          <w:lang w:eastAsia="es-ES"/>
        </w:rPr>
        <w:t>ca</w:t>
      </w:r>
      <w:r w:rsidRPr="006B2A4D">
        <w:rPr>
          <w:rFonts w:eastAsia="Verdana" w:cs="Verdana"/>
          <w:spacing w:val="-1"/>
          <w:sz w:val="20"/>
          <w:szCs w:val="20"/>
          <w:lang w:eastAsia="es-ES"/>
        </w:rPr>
        <w:t>s</w:t>
      </w:r>
      <w:r w:rsidRPr="006B2A4D">
        <w:rPr>
          <w:rFonts w:eastAsia="Verdana" w:cs="Verdana"/>
          <w:spacing w:val="3"/>
          <w:sz w:val="20"/>
          <w:szCs w:val="20"/>
          <w:lang w:eastAsia="es-ES"/>
        </w:rPr>
        <w:t>i</w:t>
      </w:r>
      <w:r w:rsidRPr="006B2A4D">
        <w:rPr>
          <w:rFonts w:eastAsia="Verdana" w:cs="Verdana"/>
          <w:spacing w:val="-1"/>
          <w:sz w:val="20"/>
          <w:szCs w:val="20"/>
          <w:lang w:eastAsia="es-ES"/>
        </w:rPr>
        <w:t>ó</w:t>
      </w:r>
      <w:r w:rsidRPr="006B2A4D">
        <w:rPr>
          <w:rFonts w:eastAsia="Verdana" w:cs="Verdana"/>
          <w:sz w:val="20"/>
          <w:szCs w:val="20"/>
          <w:lang w:eastAsia="es-ES"/>
        </w:rPr>
        <w:t>n</w:t>
      </w:r>
      <w:r w:rsidRPr="006B2A4D">
        <w:rPr>
          <w:rFonts w:eastAsia="Verdana" w:cs="Verdana"/>
          <w:spacing w:val="9"/>
          <w:sz w:val="20"/>
          <w:szCs w:val="20"/>
          <w:lang w:eastAsia="es-ES"/>
        </w:rPr>
        <w:t xml:space="preserve"> </w:t>
      </w:r>
      <w:r w:rsidRPr="006B2A4D">
        <w:rPr>
          <w:rFonts w:eastAsia="Verdana" w:cs="Verdana"/>
          <w:spacing w:val="1"/>
          <w:sz w:val="20"/>
          <w:szCs w:val="20"/>
          <w:lang w:eastAsia="es-ES"/>
        </w:rPr>
        <w:t>d</w:t>
      </w:r>
      <w:r w:rsidRPr="006B2A4D">
        <w:rPr>
          <w:rFonts w:eastAsia="Verdana" w:cs="Verdana"/>
          <w:spacing w:val="-1"/>
          <w:sz w:val="20"/>
          <w:szCs w:val="20"/>
          <w:lang w:eastAsia="es-ES"/>
        </w:rPr>
        <w:t>e</w:t>
      </w:r>
      <w:r w:rsidRPr="006B2A4D">
        <w:rPr>
          <w:rFonts w:eastAsia="Verdana" w:cs="Verdana"/>
          <w:sz w:val="20"/>
          <w:szCs w:val="20"/>
          <w:lang w:eastAsia="es-ES"/>
        </w:rPr>
        <w:t>l</w:t>
      </w:r>
      <w:r w:rsidRPr="006B2A4D">
        <w:rPr>
          <w:rFonts w:eastAsia="Verdana" w:cs="Verdana"/>
          <w:spacing w:val="15"/>
          <w:sz w:val="20"/>
          <w:szCs w:val="20"/>
          <w:lang w:eastAsia="es-ES"/>
        </w:rPr>
        <w:t xml:space="preserve"> </w:t>
      </w:r>
      <w:r w:rsidRPr="006B2A4D">
        <w:rPr>
          <w:rFonts w:eastAsia="Verdana" w:cs="Verdana"/>
          <w:spacing w:val="1"/>
          <w:sz w:val="20"/>
          <w:szCs w:val="20"/>
          <w:lang w:eastAsia="es-ES"/>
        </w:rPr>
        <w:t>p</w:t>
      </w:r>
      <w:r w:rsidRPr="006B2A4D">
        <w:rPr>
          <w:rFonts w:eastAsia="Verdana" w:cs="Verdana"/>
          <w:spacing w:val="-1"/>
          <w:sz w:val="20"/>
          <w:szCs w:val="20"/>
          <w:lang w:eastAsia="es-ES"/>
        </w:rPr>
        <w:t>ro</w:t>
      </w:r>
      <w:r w:rsidRPr="006B2A4D">
        <w:rPr>
          <w:rFonts w:eastAsia="Verdana" w:cs="Verdana"/>
          <w:sz w:val="20"/>
          <w:szCs w:val="20"/>
          <w:lang w:eastAsia="es-ES"/>
        </w:rPr>
        <w:t>c</w:t>
      </w:r>
      <w:r w:rsidRPr="006B2A4D">
        <w:rPr>
          <w:rFonts w:eastAsia="Verdana" w:cs="Verdana"/>
          <w:spacing w:val="-2"/>
          <w:sz w:val="20"/>
          <w:szCs w:val="20"/>
          <w:lang w:eastAsia="es-ES"/>
        </w:rPr>
        <w:t>e</w:t>
      </w:r>
      <w:r w:rsidRPr="006B2A4D">
        <w:rPr>
          <w:rFonts w:eastAsia="Verdana" w:cs="Verdana"/>
          <w:spacing w:val="1"/>
          <w:sz w:val="20"/>
          <w:szCs w:val="20"/>
          <w:lang w:eastAsia="es-ES"/>
        </w:rPr>
        <w:t>d</w:t>
      </w:r>
      <w:r w:rsidRPr="006B2A4D">
        <w:rPr>
          <w:rFonts w:eastAsia="Verdana" w:cs="Verdana"/>
          <w:spacing w:val="3"/>
          <w:sz w:val="20"/>
          <w:szCs w:val="20"/>
          <w:lang w:eastAsia="es-ES"/>
        </w:rPr>
        <w:t>i</w:t>
      </w:r>
      <w:r w:rsidRPr="006B2A4D">
        <w:rPr>
          <w:rFonts w:eastAsia="Verdana" w:cs="Verdana"/>
          <w:sz w:val="20"/>
          <w:szCs w:val="20"/>
          <w:lang w:eastAsia="es-ES"/>
        </w:rPr>
        <w:t>m</w:t>
      </w:r>
      <w:r w:rsidRPr="006B2A4D">
        <w:rPr>
          <w:rFonts w:eastAsia="Verdana" w:cs="Verdana"/>
          <w:spacing w:val="3"/>
          <w:sz w:val="20"/>
          <w:szCs w:val="20"/>
          <w:lang w:eastAsia="es-ES"/>
        </w:rPr>
        <w:t>i</w:t>
      </w:r>
      <w:r w:rsidRPr="006B2A4D">
        <w:rPr>
          <w:rFonts w:eastAsia="Verdana" w:cs="Verdana"/>
          <w:spacing w:val="-1"/>
          <w:sz w:val="20"/>
          <w:szCs w:val="20"/>
          <w:lang w:eastAsia="es-ES"/>
        </w:rPr>
        <w:t>e</w:t>
      </w:r>
      <w:r w:rsidRPr="006B2A4D">
        <w:rPr>
          <w:rFonts w:eastAsia="Verdana" w:cs="Verdana"/>
          <w:spacing w:val="1"/>
          <w:sz w:val="20"/>
          <w:szCs w:val="20"/>
          <w:lang w:eastAsia="es-ES"/>
        </w:rPr>
        <w:t>nt</w:t>
      </w:r>
      <w:r w:rsidRPr="006B2A4D">
        <w:rPr>
          <w:rFonts w:eastAsia="Verdana" w:cs="Verdana"/>
          <w:sz w:val="20"/>
          <w:szCs w:val="20"/>
          <w:lang w:eastAsia="es-ES"/>
        </w:rPr>
        <w:t>o a</w:t>
      </w:r>
      <w:r w:rsidRPr="006B2A4D">
        <w:rPr>
          <w:rFonts w:eastAsia="Verdana" w:cs="Verdana"/>
          <w:spacing w:val="1"/>
          <w:sz w:val="20"/>
          <w:szCs w:val="20"/>
          <w:lang w:eastAsia="es-ES"/>
        </w:rPr>
        <w:t>nt</w:t>
      </w:r>
      <w:r w:rsidRPr="006B2A4D">
        <w:rPr>
          <w:rFonts w:eastAsia="Verdana" w:cs="Verdana"/>
          <w:sz w:val="20"/>
          <w:szCs w:val="20"/>
          <w:lang w:eastAsia="es-ES"/>
        </w:rPr>
        <w:t>e</w:t>
      </w:r>
      <w:r w:rsidRPr="006B2A4D">
        <w:rPr>
          <w:rFonts w:eastAsia="Verdana" w:cs="Verdana"/>
          <w:spacing w:val="10"/>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sta</w:t>
      </w:r>
      <w:r w:rsidRPr="006B2A4D">
        <w:rPr>
          <w:rFonts w:eastAsia="Verdana" w:cs="Verdana"/>
          <w:spacing w:val="11"/>
          <w:sz w:val="20"/>
          <w:szCs w:val="20"/>
          <w:lang w:eastAsia="es-ES"/>
        </w:rPr>
        <w:t xml:space="preserve"> </w:t>
      </w:r>
      <w:r w:rsidRPr="006B2A4D">
        <w:rPr>
          <w:rFonts w:eastAsia="Verdana" w:cs="Verdana"/>
          <w:sz w:val="20"/>
          <w:szCs w:val="20"/>
          <w:lang w:eastAsia="es-ES"/>
        </w:rPr>
        <w:t>C</w:t>
      </w:r>
      <w:r w:rsidRPr="006B2A4D">
        <w:rPr>
          <w:rFonts w:eastAsia="Verdana" w:cs="Verdana"/>
          <w:spacing w:val="-1"/>
          <w:sz w:val="20"/>
          <w:szCs w:val="20"/>
          <w:lang w:eastAsia="es-ES"/>
        </w:rPr>
        <w:t>or</w:t>
      </w:r>
      <w:r w:rsidRPr="006B2A4D">
        <w:rPr>
          <w:rFonts w:eastAsia="Verdana" w:cs="Verdana"/>
          <w:spacing w:val="3"/>
          <w:sz w:val="20"/>
          <w:szCs w:val="20"/>
          <w:lang w:eastAsia="es-ES"/>
        </w:rPr>
        <w:t>t</w:t>
      </w:r>
      <w:r w:rsidRPr="006B2A4D">
        <w:rPr>
          <w:rFonts w:eastAsia="Verdana" w:cs="Verdana"/>
          <w:spacing w:val="-1"/>
          <w:sz w:val="20"/>
          <w:szCs w:val="20"/>
          <w:lang w:eastAsia="es-ES"/>
        </w:rPr>
        <w:t>e</w:t>
      </w:r>
      <w:r w:rsidRPr="006B2A4D">
        <w:rPr>
          <w:rFonts w:eastAsia="Verdana" w:cs="Verdana"/>
          <w:spacing w:val="11"/>
          <w:sz w:val="20"/>
          <w:szCs w:val="20"/>
          <w:lang w:eastAsia="es-ES"/>
        </w:rPr>
        <w:t>”</w:t>
      </w:r>
      <w:r w:rsidRPr="006B2A4D">
        <w:rPr>
          <w:rFonts w:eastAsia="Verdana" w:cs="Verdana"/>
          <w:spacing w:val="11"/>
          <w:sz w:val="20"/>
          <w:szCs w:val="20"/>
          <w:vertAlign w:val="superscript"/>
          <w:lang w:eastAsia="es-ES"/>
        </w:rPr>
        <w:footnoteReference w:id="329"/>
      </w:r>
      <w:r w:rsidRPr="006B2A4D">
        <w:rPr>
          <w:rFonts w:eastAsia="Verdana" w:cs="Verdana"/>
          <w:sz w:val="20"/>
          <w:szCs w:val="20"/>
          <w:lang w:eastAsia="es-ES"/>
        </w:rPr>
        <w:t>. As</w:t>
      </w:r>
      <w:r w:rsidRPr="006B2A4D">
        <w:rPr>
          <w:rFonts w:eastAsia="Verdana" w:cs="Verdana"/>
          <w:spacing w:val="3"/>
          <w:sz w:val="20"/>
          <w:szCs w:val="20"/>
          <w:lang w:eastAsia="es-ES"/>
        </w:rPr>
        <w:t>i</w:t>
      </w:r>
      <w:r w:rsidRPr="006B2A4D">
        <w:rPr>
          <w:rFonts w:eastAsia="Verdana" w:cs="Verdana"/>
          <w:spacing w:val="-2"/>
          <w:sz w:val="20"/>
          <w:szCs w:val="20"/>
          <w:lang w:eastAsia="es-ES"/>
        </w:rPr>
        <w:t>m</w:t>
      </w:r>
      <w:r w:rsidRPr="006B2A4D">
        <w:rPr>
          <w:rFonts w:eastAsia="Verdana" w:cs="Verdana"/>
          <w:spacing w:val="3"/>
          <w:sz w:val="20"/>
          <w:szCs w:val="20"/>
          <w:lang w:eastAsia="es-ES"/>
        </w:rPr>
        <w:t>i</w:t>
      </w:r>
      <w:r w:rsidRPr="006B2A4D">
        <w:rPr>
          <w:rFonts w:eastAsia="Verdana" w:cs="Verdana"/>
          <w:sz w:val="20"/>
          <w:szCs w:val="20"/>
          <w:lang w:eastAsia="es-ES"/>
        </w:rPr>
        <w:t>sm</w:t>
      </w:r>
      <w:r w:rsidRPr="006B2A4D">
        <w:rPr>
          <w:rFonts w:eastAsia="Verdana" w:cs="Verdana"/>
          <w:spacing w:val="-1"/>
          <w:sz w:val="20"/>
          <w:szCs w:val="20"/>
          <w:lang w:eastAsia="es-ES"/>
        </w:rPr>
        <w:t>o</w:t>
      </w:r>
      <w:r w:rsidRPr="006B2A4D">
        <w:rPr>
          <w:rFonts w:eastAsia="Verdana" w:cs="Verdana"/>
          <w:sz w:val="20"/>
          <w:szCs w:val="20"/>
          <w:lang w:eastAsia="es-ES"/>
        </w:rPr>
        <w:t>,</w:t>
      </w:r>
      <w:r w:rsidRPr="006B2A4D">
        <w:rPr>
          <w:rFonts w:eastAsia="Verdana" w:cs="Verdana"/>
          <w:spacing w:val="1"/>
          <w:sz w:val="20"/>
          <w:szCs w:val="20"/>
          <w:lang w:eastAsia="es-ES"/>
        </w:rPr>
        <w:t xml:space="preserve"> </w:t>
      </w:r>
      <w:r w:rsidRPr="006B2A4D">
        <w:rPr>
          <w:rFonts w:eastAsia="Verdana" w:cs="Verdana"/>
          <w:spacing w:val="3"/>
          <w:sz w:val="20"/>
          <w:szCs w:val="20"/>
          <w:lang w:eastAsia="es-ES"/>
        </w:rPr>
        <w:t>l</w:t>
      </w:r>
      <w:r w:rsidRPr="006B2A4D">
        <w:rPr>
          <w:rFonts w:eastAsia="Verdana" w:cs="Verdana"/>
          <w:sz w:val="20"/>
          <w:szCs w:val="20"/>
          <w:lang w:eastAsia="es-ES"/>
        </w:rPr>
        <w:t>a</w:t>
      </w:r>
      <w:r w:rsidRPr="006B2A4D">
        <w:rPr>
          <w:rFonts w:eastAsia="Verdana" w:cs="Verdana"/>
          <w:spacing w:val="9"/>
          <w:sz w:val="20"/>
          <w:szCs w:val="20"/>
          <w:lang w:eastAsia="es-ES"/>
        </w:rPr>
        <w:t xml:space="preserve"> </w:t>
      </w:r>
      <w:r w:rsidRPr="006B2A4D">
        <w:rPr>
          <w:rFonts w:eastAsia="Verdana" w:cs="Verdana"/>
          <w:sz w:val="20"/>
          <w:szCs w:val="20"/>
          <w:lang w:eastAsia="es-ES"/>
        </w:rPr>
        <w:t>C</w:t>
      </w:r>
      <w:r w:rsidRPr="006B2A4D">
        <w:rPr>
          <w:rFonts w:eastAsia="Verdana" w:cs="Verdana"/>
          <w:spacing w:val="-1"/>
          <w:sz w:val="20"/>
          <w:szCs w:val="20"/>
          <w:lang w:eastAsia="es-ES"/>
        </w:rPr>
        <w:t>or</w:t>
      </w:r>
      <w:r w:rsidRPr="006B2A4D">
        <w:rPr>
          <w:rFonts w:eastAsia="Verdana" w:cs="Verdana"/>
          <w:spacing w:val="3"/>
          <w:sz w:val="20"/>
          <w:szCs w:val="20"/>
          <w:lang w:eastAsia="es-ES"/>
        </w:rPr>
        <w:t>t</w:t>
      </w:r>
      <w:r w:rsidRPr="006B2A4D">
        <w:rPr>
          <w:rFonts w:eastAsia="Verdana" w:cs="Verdana"/>
          <w:sz w:val="20"/>
          <w:szCs w:val="20"/>
          <w:lang w:eastAsia="es-ES"/>
        </w:rPr>
        <w:t>e</w:t>
      </w:r>
      <w:r w:rsidRPr="006B2A4D">
        <w:rPr>
          <w:rFonts w:eastAsia="Verdana" w:cs="Verdana"/>
          <w:spacing w:val="7"/>
          <w:sz w:val="20"/>
          <w:szCs w:val="20"/>
          <w:lang w:eastAsia="es-ES"/>
        </w:rPr>
        <w:t xml:space="preserve"> </w:t>
      </w:r>
      <w:r w:rsidRPr="006B2A4D">
        <w:rPr>
          <w:rFonts w:eastAsia="Verdana" w:cs="Verdana"/>
          <w:spacing w:val="-1"/>
          <w:sz w:val="20"/>
          <w:szCs w:val="20"/>
          <w:lang w:eastAsia="es-ES"/>
        </w:rPr>
        <w:t>re</w:t>
      </w:r>
      <w:r w:rsidRPr="006B2A4D">
        <w:rPr>
          <w:rFonts w:eastAsia="Verdana" w:cs="Verdana"/>
          <w:spacing w:val="3"/>
          <w:sz w:val="20"/>
          <w:szCs w:val="20"/>
          <w:lang w:eastAsia="es-ES"/>
        </w:rPr>
        <w:t>i</w:t>
      </w:r>
      <w:r w:rsidRPr="006B2A4D">
        <w:rPr>
          <w:rFonts w:eastAsia="Verdana" w:cs="Verdana"/>
          <w:spacing w:val="1"/>
          <w:sz w:val="20"/>
          <w:szCs w:val="20"/>
          <w:lang w:eastAsia="es-ES"/>
        </w:rPr>
        <w:t>t</w:t>
      </w:r>
      <w:r w:rsidRPr="006B2A4D">
        <w:rPr>
          <w:rFonts w:eastAsia="Verdana" w:cs="Verdana"/>
          <w:spacing w:val="-1"/>
          <w:sz w:val="20"/>
          <w:szCs w:val="20"/>
          <w:lang w:eastAsia="es-ES"/>
        </w:rPr>
        <w:t>er</w:t>
      </w:r>
      <w:r w:rsidRPr="006B2A4D">
        <w:rPr>
          <w:rFonts w:eastAsia="Verdana" w:cs="Verdana"/>
          <w:sz w:val="20"/>
          <w:szCs w:val="20"/>
          <w:lang w:eastAsia="es-ES"/>
        </w:rPr>
        <w:t>a</w:t>
      </w:r>
      <w:r w:rsidRPr="006B2A4D">
        <w:rPr>
          <w:rFonts w:eastAsia="Verdana" w:cs="Verdana"/>
          <w:spacing w:val="7"/>
          <w:sz w:val="20"/>
          <w:szCs w:val="20"/>
          <w:lang w:eastAsia="es-ES"/>
        </w:rPr>
        <w:t xml:space="preserve"> </w:t>
      </w:r>
      <w:r w:rsidRPr="006B2A4D">
        <w:rPr>
          <w:rFonts w:eastAsia="Verdana" w:cs="Verdana"/>
          <w:spacing w:val="1"/>
          <w:sz w:val="20"/>
          <w:szCs w:val="20"/>
          <w:lang w:eastAsia="es-ES"/>
        </w:rPr>
        <w:t>qu</w:t>
      </w:r>
      <w:r w:rsidRPr="006B2A4D">
        <w:rPr>
          <w:rFonts w:eastAsia="Verdana" w:cs="Verdana"/>
          <w:sz w:val="20"/>
          <w:szCs w:val="20"/>
          <w:lang w:eastAsia="es-ES"/>
        </w:rPr>
        <w:t>e</w:t>
      </w:r>
      <w:r w:rsidRPr="006B2A4D">
        <w:rPr>
          <w:rFonts w:eastAsia="Verdana" w:cs="Verdana"/>
          <w:spacing w:val="6"/>
          <w:sz w:val="20"/>
          <w:szCs w:val="20"/>
          <w:lang w:eastAsia="es-ES"/>
        </w:rPr>
        <w:t xml:space="preserve"> </w:t>
      </w:r>
      <w:r w:rsidRPr="006B2A4D">
        <w:rPr>
          <w:rFonts w:eastAsia="Verdana" w:cs="Verdana"/>
          <w:spacing w:val="1"/>
          <w:sz w:val="20"/>
          <w:szCs w:val="20"/>
          <w:lang w:eastAsia="es-ES"/>
        </w:rPr>
        <w:t>n</w:t>
      </w:r>
      <w:r w:rsidRPr="006B2A4D">
        <w:rPr>
          <w:rFonts w:eastAsia="Verdana" w:cs="Verdana"/>
          <w:sz w:val="20"/>
          <w:szCs w:val="20"/>
          <w:lang w:eastAsia="es-ES"/>
        </w:rPr>
        <w:t>o</w:t>
      </w:r>
      <w:r w:rsidRPr="006B2A4D">
        <w:rPr>
          <w:rFonts w:eastAsia="Verdana" w:cs="Verdana"/>
          <w:spacing w:val="10"/>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s</w:t>
      </w:r>
      <w:r w:rsidRPr="006B2A4D">
        <w:rPr>
          <w:rFonts w:eastAsia="Verdana" w:cs="Verdana"/>
          <w:spacing w:val="8"/>
          <w:sz w:val="20"/>
          <w:szCs w:val="20"/>
          <w:lang w:eastAsia="es-ES"/>
        </w:rPr>
        <w:t xml:space="preserve"> </w:t>
      </w:r>
      <w:r w:rsidRPr="006B2A4D">
        <w:rPr>
          <w:rFonts w:eastAsia="Verdana" w:cs="Verdana"/>
          <w:sz w:val="20"/>
          <w:szCs w:val="20"/>
          <w:lang w:eastAsia="es-ES"/>
        </w:rPr>
        <w:t>suf</w:t>
      </w:r>
      <w:r w:rsidRPr="006B2A4D">
        <w:rPr>
          <w:rFonts w:eastAsia="Verdana" w:cs="Verdana"/>
          <w:spacing w:val="3"/>
          <w:sz w:val="20"/>
          <w:szCs w:val="20"/>
          <w:lang w:eastAsia="es-ES"/>
        </w:rPr>
        <w:t>i</w:t>
      </w:r>
      <w:r w:rsidRPr="006B2A4D">
        <w:rPr>
          <w:rFonts w:eastAsia="Verdana" w:cs="Verdana"/>
          <w:sz w:val="20"/>
          <w:szCs w:val="20"/>
          <w:lang w:eastAsia="es-ES"/>
        </w:rPr>
        <w:t>c</w:t>
      </w:r>
      <w:r w:rsidRPr="006B2A4D">
        <w:rPr>
          <w:rFonts w:eastAsia="Verdana" w:cs="Verdana"/>
          <w:spacing w:val="2"/>
          <w:sz w:val="20"/>
          <w:szCs w:val="20"/>
          <w:lang w:eastAsia="es-ES"/>
        </w:rPr>
        <w:t>i</w:t>
      </w:r>
      <w:r w:rsidRPr="006B2A4D">
        <w:rPr>
          <w:rFonts w:eastAsia="Verdana" w:cs="Verdana"/>
          <w:spacing w:val="-1"/>
          <w:sz w:val="20"/>
          <w:szCs w:val="20"/>
          <w:lang w:eastAsia="es-ES"/>
        </w:rPr>
        <w:t>e</w:t>
      </w:r>
      <w:r w:rsidRPr="006B2A4D">
        <w:rPr>
          <w:rFonts w:eastAsia="Verdana" w:cs="Verdana"/>
          <w:spacing w:val="1"/>
          <w:sz w:val="20"/>
          <w:szCs w:val="20"/>
          <w:lang w:eastAsia="es-ES"/>
        </w:rPr>
        <w:t>nt</w:t>
      </w:r>
      <w:r w:rsidRPr="006B2A4D">
        <w:rPr>
          <w:rFonts w:eastAsia="Verdana" w:cs="Verdana"/>
          <w:sz w:val="20"/>
          <w:szCs w:val="20"/>
          <w:lang w:eastAsia="es-ES"/>
        </w:rPr>
        <w:t xml:space="preserve">e </w:t>
      </w:r>
      <w:r w:rsidRPr="006B2A4D">
        <w:rPr>
          <w:rFonts w:eastAsia="Verdana" w:cs="Verdana"/>
          <w:spacing w:val="3"/>
          <w:sz w:val="20"/>
          <w:szCs w:val="20"/>
          <w:lang w:eastAsia="es-ES"/>
        </w:rPr>
        <w:t>l</w:t>
      </w:r>
      <w:r w:rsidRPr="006B2A4D">
        <w:rPr>
          <w:rFonts w:eastAsia="Verdana" w:cs="Verdana"/>
          <w:sz w:val="20"/>
          <w:szCs w:val="20"/>
          <w:lang w:eastAsia="es-ES"/>
        </w:rPr>
        <w:t>a</w:t>
      </w:r>
      <w:r w:rsidRPr="006B2A4D">
        <w:rPr>
          <w:rFonts w:eastAsia="Verdana" w:cs="Verdana"/>
          <w:spacing w:val="9"/>
          <w:sz w:val="20"/>
          <w:szCs w:val="20"/>
          <w:lang w:eastAsia="es-ES"/>
        </w:rPr>
        <w:t xml:space="preserve"> </w:t>
      </w:r>
      <w:r w:rsidRPr="006B2A4D">
        <w:rPr>
          <w:rFonts w:eastAsia="Verdana" w:cs="Verdana"/>
          <w:spacing w:val="-1"/>
          <w:sz w:val="20"/>
          <w:szCs w:val="20"/>
          <w:lang w:eastAsia="es-ES"/>
        </w:rPr>
        <w:t>re</w:t>
      </w:r>
      <w:r w:rsidRPr="006B2A4D">
        <w:rPr>
          <w:rFonts w:eastAsia="Verdana" w:cs="Verdana"/>
          <w:sz w:val="20"/>
          <w:szCs w:val="20"/>
          <w:lang w:eastAsia="es-ES"/>
        </w:rPr>
        <w:t>m</w:t>
      </w:r>
      <w:r w:rsidRPr="006B2A4D">
        <w:rPr>
          <w:rFonts w:eastAsia="Verdana" w:cs="Verdana"/>
          <w:spacing w:val="3"/>
          <w:sz w:val="20"/>
          <w:szCs w:val="20"/>
          <w:lang w:eastAsia="es-ES"/>
        </w:rPr>
        <w:t>i</w:t>
      </w:r>
      <w:r w:rsidRPr="006B2A4D">
        <w:rPr>
          <w:rFonts w:eastAsia="Verdana" w:cs="Verdana"/>
          <w:sz w:val="20"/>
          <w:szCs w:val="20"/>
          <w:lang w:eastAsia="es-ES"/>
        </w:rPr>
        <w:t>s</w:t>
      </w:r>
      <w:r w:rsidRPr="006B2A4D">
        <w:rPr>
          <w:rFonts w:eastAsia="Verdana" w:cs="Verdana"/>
          <w:spacing w:val="2"/>
          <w:sz w:val="20"/>
          <w:szCs w:val="20"/>
          <w:lang w:eastAsia="es-ES"/>
        </w:rPr>
        <w:t>i</w:t>
      </w:r>
      <w:r w:rsidRPr="006B2A4D">
        <w:rPr>
          <w:rFonts w:eastAsia="Verdana" w:cs="Verdana"/>
          <w:spacing w:val="-1"/>
          <w:sz w:val="20"/>
          <w:szCs w:val="20"/>
          <w:lang w:eastAsia="es-ES"/>
        </w:rPr>
        <w:t>ó</w:t>
      </w:r>
      <w:r w:rsidRPr="006B2A4D">
        <w:rPr>
          <w:rFonts w:eastAsia="Verdana" w:cs="Verdana"/>
          <w:sz w:val="20"/>
          <w:szCs w:val="20"/>
          <w:lang w:eastAsia="es-ES"/>
        </w:rPr>
        <w:t>n</w:t>
      </w:r>
      <w:r w:rsidRPr="006B2A4D">
        <w:rPr>
          <w:rFonts w:eastAsia="Verdana" w:cs="Verdana"/>
          <w:spacing w:val="3"/>
          <w:sz w:val="20"/>
          <w:szCs w:val="20"/>
          <w:lang w:eastAsia="es-ES"/>
        </w:rPr>
        <w:t xml:space="preserve"> </w:t>
      </w:r>
      <w:r w:rsidRPr="006B2A4D">
        <w:rPr>
          <w:rFonts w:eastAsia="Verdana" w:cs="Verdana"/>
          <w:spacing w:val="1"/>
          <w:sz w:val="20"/>
          <w:szCs w:val="20"/>
          <w:lang w:eastAsia="es-ES"/>
        </w:rPr>
        <w:t>d</w:t>
      </w:r>
      <w:r w:rsidRPr="006B2A4D">
        <w:rPr>
          <w:rFonts w:eastAsia="Verdana" w:cs="Verdana"/>
          <w:sz w:val="20"/>
          <w:szCs w:val="20"/>
          <w:lang w:eastAsia="es-ES"/>
        </w:rPr>
        <w:t>e</w:t>
      </w:r>
      <w:r w:rsidRPr="006B2A4D">
        <w:rPr>
          <w:rFonts w:eastAsia="Verdana" w:cs="Verdana"/>
          <w:spacing w:val="8"/>
          <w:sz w:val="20"/>
          <w:szCs w:val="20"/>
          <w:lang w:eastAsia="es-ES"/>
        </w:rPr>
        <w:t xml:space="preserve"> </w:t>
      </w:r>
      <w:r w:rsidRPr="006B2A4D">
        <w:rPr>
          <w:rFonts w:eastAsia="Verdana" w:cs="Verdana"/>
          <w:spacing w:val="1"/>
          <w:sz w:val="20"/>
          <w:szCs w:val="20"/>
          <w:lang w:eastAsia="es-ES"/>
        </w:rPr>
        <w:t>d</w:t>
      </w:r>
      <w:r w:rsidRPr="006B2A4D">
        <w:rPr>
          <w:rFonts w:eastAsia="Verdana" w:cs="Verdana"/>
          <w:spacing w:val="-1"/>
          <w:sz w:val="20"/>
          <w:szCs w:val="20"/>
          <w:lang w:eastAsia="es-ES"/>
        </w:rPr>
        <w:t>o</w:t>
      </w:r>
      <w:r w:rsidRPr="006B2A4D">
        <w:rPr>
          <w:rFonts w:eastAsia="Verdana" w:cs="Verdana"/>
          <w:sz w:val="20"/>
          <w:szCs w:val="20"/>
          <w:lang w:eastAsia="es-ES"/>
        </w:rPr>
        <w:t>cu</w:t>
      </w:r>
      <w:r w:rsidRPr="006B2A4D">
        <w:rPr>
          <w:rFonts w:eastAsia="Verdana" w:cs="Verdana"/>
          <w:spacing w:val="3"/>
          <w:sz w:val="20"/>
          <w:szCs w:val="20"/>
          <w:lang w:eastAsia="es-ES"/>
        </w:rPr>
        <w:t>m</w:t>
      </w:r>
      <w:r w:rsidRPr="006B2A4D">
        <w:rPr>
          <w:rFonts w:eastAsia="Verdana" w:cs="Verdana"/>
          <w:spacing w:val="1"/>
          <w:sz w:val="20"/>
          <w:szCs w:val="20"/>
          <w:lang w:eastAsia="es-ES"/>
        </w:rPr>
        <w:t>ent</w:t>
      </w:r>
      <w:r w:rsidRPr="006B2A4D">
        <w:rPr>
          <w:rFonts w:eastAsia="Verdana" w:cs="Verdana"/>
          <w:spacing w:val="-1"/>
          <w:sz w:val="20"/>
          <w:szCs w:val="20"/>
          <w:lang w:eastAsia="es-ES"/>
        </w:rPr>
        <w:t>o</w:t>
      </w:r>
      <w:r w:rsidRPr="006B2A4D">
        <w:rPr>
          <w:rFonts w:eastAsia="Verdana" w:cs="Verdana"/>
          <w:sz w:val="20"/>
          <w:szCs w:val="20"/>
          <w:lang w:eastAsia="es-ES"/>
        </w:rPr>
        <w:t>s</w:t>
      </w:r>
      <w:r w:rsidRPr="006B2A4D">
        <w:rPr>
          <w:rFonts w:eastAsia="Verdana" w:cs="Verdana"/>
          <w:spacing w:val="-2"/>
          <w:sz w:val="20"/>
          <w:szCs w:val="20"/>
          <w:lang w:eastAsia="es-ES"/>
        </w:rPr>
        <w:t xml:space="preserve"> </w:t>
      </w:r>
      <w:r w:rsidRPr="006B2A4D">
        <w:rPr>
          <w:rFonts w:eastAsia="Verdana" w:cs="Verdana"/>
          <w:spacing w:val="1"/>
          <w:sz w:val="20"/>
          <w:szCs w:val="20"/>
          <w:lang w:eastAsia="es-ES"/>
        </w:rPr>
        <w:t>pr</w:t>
      </w:r>
      <w:r w:rsidRPr="006B2A4D">
        <w:rPr>
          <w:rFonts w:eastAsia="Verdana" w:cs="Verdana"/>
          <w:spacing w:val="-1"/>
          <w:sz w:val="20"/>
          <w:szCs w:val="20"/>
          <w:lang w:eastAsia="es-ES"/>
        </w:rPr>
        <w:t>o</w:t>
      </w:r>
      <w:r w:rsidRPr="006B2A4D">
        <w:rPr>
          <w:rFonts w:eastAsia="Verdana" w:cs="Verdana"/>
          <w:spacing w:val="1"/>
          <w:sz w:val="20"/>
          <w:szCs w:val="20"/>
          <w:lang w:eastAsia="es-ES"/>
        </w:rPr>
        <w:t>b</w:t>
      </w:r>
      <w:r w:rsidRPr="006B2A4D">
        <w:rPr>
          <w:rFonts w:eastAsia="Verdana" w:cs="Verdana"/>
          <w:sz w:val="20"/>
          <w:szCs w:val="20"/>
          <w:lang w:eastAsia="es-ES"/>
        </w:rPr>
        <w:t>a</w:t>
      </w:r>
      <w:r w:rsidRPr="006B2A4D">
        <w:rPr>
          <w:rFonts w:eastAsia="Verdana" w:cs="Verdana"/>
          <w:spacing w:val="1"/>
          <w:sz w:val="20"/>
          <w:szCs w:val="20"/>
          <w:lang w:eastAsia="es-ES"/>
        </w:rPr>
        <w:t>to</w:t>
      </w:r>
      <w:r w:rsidRPr="006B2A4D">
        <w:rPr>
          <w:rFonts w:eastAsia="Verdana" w:cs="Verdana"/>
          <w:spacing w:val="-1"/>
          <w:sz w:val="20"/>
          <w:szCs w:val="20"/>
          <w:lang w:eastAsia="es-ES"/>
        </w:rPr>
        <w:t>r</w:t>
      </w:r>
      <w:r w:rsidRPr="006B2A4D">
        <w:rPr>
          <w:rFonts w:eastAsia="Verdana" w:cs="Verdana"/>
          <w:spacing w:val="3"/>
          <w:sz w:val="20"/>
          <w:szCs w:val="20"/>
          <w:lang w:eastAsia="es-ES"/>
        </w:rPr>
        <w:t>i</w:t>
      </w:r>
      <w:r w:rsidRPr="006B2A4D">
        <w:rPr>
          <w:rFonts w:eastAsia="Verdana" w:cs="Verdana"/>
          <w:spacing w:val="-1"/>
          <w:sz w:val="20"/>
          <w:szCs w:val="20"/>
          <w:lang w:eastAsia="es-ES"/>
        </w:rPr>
        <w:t>o</w:t>
      </w:r>
      <w:r w:rsidRPr="006B2A4D">
        <w:rPr>
          <w:rFonts w:eastAsia="Verdana" w:cs="Verdana"/>
          <w:sz w:val="20"/>
          <w:szCs w:val="20"/>
          <w:lang w:eastAsia="es-ES"/>
        </w:rPr>
        <w:t>s,</w:t>
      </w:r>
      <w:r w:rsidRPr="006B2A4D">
        <w:rPr>
          <w:rFonts w:eastAsia="Verdana" w:cs="Verdana"/>
          <w:spacing w:val="1"/>
          <w:sz w:val="20"/>
          <w:szCs w:val="20"/>
          <w:lang w:eastAsia="es-ES"/>
        </w:rPr>
        <w:t xml:space="preserve"> </w:t>
      </w:r>
      <w:r w:rsidRPr="006B2A4D">
        <w:rPr>
          <w:rFonts w:eastAsia="Verdana" w:cs="Verdana"/>
          <w:sz w:val="20"/>
          <w:szCs w:val="20"/>
          <w:lang w:eastAsia="es-ES"/>
        </w:rPr>
        <w:t>s</w:t>
      </w:r>
      <w:r w:rsidRPr="006B2A4D">
        <w:rPr>
          <w:rFonts w:eastAsia="Verdana" w:cs="Verdana"/>
          <w:spacing w:val="2"/>
          <w:sz w:val="20"/>
          <w:szCs w:val="20"/>
          <w:lang w:eastAsia="es-ES"/>
        </w:rPr>
        <w:t>i</w:t>
      </w:r>
      <w:r w:rsidRPr="006B2A4D">
        <w:rPr>
          <w:rFonts w:eastAsia="Verdana" w:cs="Verdana"/>
          <w:spacing w:val="1"/>
          <w:sz w:val="20"/>
          <w:szCs w:val="20"/>
          <w:lang w:eastAsia="es-ES"/>
        </w:rPr>
        <w:t>n</w:t>
      </w:r>
      <w:r w:rsidRPr="006B2A4D">
        <w:rPr>
          <w:rFonts w:eastAsia="Verdana" w:cs="Verdana"/>
          <w:sz w:val="20"/>
          <w:szCs w:val="20"/>
          <w:lang w:eastAsia="es-ES"/>
        </w:rPr>
        <w:t>o</w:t>
      </w:r>
      <w:r w:rsidRPr="006B2A4D">
        <w:rPr>
          <w:rFonts w:eastAsia="Verdana" w:cs="Verdana"/>
          <w:spacing w:val="6"/>
          <w:sz w:val="20"/>
          <w:szCs w:val="20"/>
          <w:lang w:eastAsia="es-ES"/>
        </w:rPr>
        <w:t xml:space="preserve"> </w:t>
      </w:r>
      <w:r w:rsidRPr="006B2A4D">
        <w:rPr>
          <w:rFonts w:eastAsia="Verdana" w:cs="Verdana"/>
          <w:spacing w:val="1"/>
          <w:sz w:val="20"/>
          <w:szCs w:val="20"/>
          <w:lang w:eastAsia="es-ES"/>
        </w:rPr>
        <w:t>qu</w:t>
      </w:r>
      <w:r w:rsidRPr="006B2A4D">
        <w:rPr>
          <w:rFonts w:eastAsia="Verdana" w:cs="Verdana"/>
          <w:sz w:val="20"/>
          <w:szCs w:val="20"/>
          <w:lang w:eastAsia="es-ES"/>
        </w:rPr>
        <w:t>e</w:t>
      </w:r>
      <w:r w:rsidRPr="006B2A4D">
        <w:rPr>
          <w:rFonts w:eastAsia="Verdana" w:cs="Verdana"/>
          <w:spacing w:val="6"/>
          <w:sz w:val="20"/>
          <w:szCs w:val="20"/>
          <w:lang w:eastAsia="es-ES"/>
        </w:rPr>
        <w:t xml:space="preserve"> </w:t>
      </w:r>
      <w:r w:rsidRPr="006B2A4D">
        <w:rPr>
          <w:rFonts w:eastAsia="Verdana" w:cs="Verdana"/>
          <w:spacing w:val="2"/>
          <w:sz w:val="20"/>
          <w:szCs w:val="20"/>
          <w:lang w:eastAsia="es-ES"/>
        </w:rPr>
        <w:t>s</w:t>
      </w:r>
      <w:r w:rsidRPr="006B2A4D">
        <w:rPr>
          <w:rFonts w:eastAsia="Verdana" w:cs="Verdana"/>
          <w:sz w:val="20"/>
          <w:szCs w:val="20"/>
          <w:lang w:eastAsia="es-ES"/>
        </w:rPr>
        <w:t xml:space="preserve">e </w:t>
      </w:r>
      <w:r w:rsidRPr="006B2A4D">
        <w:rPr>
          <w:rFonts w:eastAsia="Verdana" w:cs="Verdana"/>
          <w:spacing w:val="-1"/>
          <w:sz w:val="20"/>
          <w:szCs w:val="20"/>
          <w:lang w:eastAsia="es-ES"/>
        </w:rPr>
        <w:t>re</w:t>
      </w:r>
      <w:r w:rsidRPr="006B2A4D">
        <w:rPr>
          <w:rFonts w:eastAsia="Verdana" w:cs="Verdana"/>
          <w:spacing w:val="1"/>
          <w:sz w:val="20"/>
          <w:szCs w:val="20"/>
          <w:lang w:eastAsia="es-ES"/>
        </w:rPr>
        <w:t>qu</w:t>
      </w:r>
      <w:r w:rsidRPr="006B2A4D">
        <w:rPr>
          <w:rFonts w:eastAsia="Verdana" w:cs="Verdana"/>
          <w:spacing w:val="3"/>
          <w:sz w:val="20"/>
          <w:szCs w:val="20"/>
          <w:lang w:eastAsia="es-ES"/>
        </w:rPr>
        <w:t>i</w:t>
      </w:r>
      <w:r w:rsidRPr="006B2A4D">
        <w:rPr>
          <w:rFonts w:eastAsia="Verdana" w:cs="Verdana"/>
          <w:spacing w:val="-1"/>
          <w:sz w:val="20"/>
          <w:szCs w:val="20"/>
          <w:lang w:eastAsia="es-ES"/>
        </w:rPr>
        <w:t>e</w:t>
      </w:r>
      <w:r w:rsidRPr="006B2A4D">
        <w:rPr>
          <w:rFonts w:eastAsia="Verdana" w:cs="Verdana"/>
          <w:spacing w:val="1"/>
          <w:sz w:val="20"/>
          <w:szCs w:val="20"/>
          <w:lang w:eastAsia="es-ES"/>
        </w:rPr>
        <w:t>r</w:t>
      </w:r>
      <w:r w:rsidRPr="006B2A4D">
        <w:rPr>
          <w:rFonts w:eastAsia="Verdana" w:cs="Verdana"/>
          <w:sz w:val="20"/>
          <w:szCs w:val="20"/>
          <w:lang w:eastAsia="es-ES"/>
        </w:rPr>
        <w:t>e</w:t>
      </w:r>
      <w:r w:rsidRPr="006B2A4D">
        <w:rPr>
          <w:rFonts w:eastAsia="Verdana" w:cs="Verdana"/>
          <w:spacing w:val="33"/>
          <w:sz w:val="20"/>
          <w:szCs w:val="20"/>
          <w:lang w:eastAsia="es-ES"/>
        </w:rPr>
        <w:t xml:space="preserve"> </w:t>
      </w:r>
      <w:r w:rsidRPr="006B2A4D">
        <w:rPr>
          <w:rFonts w:eastAsia="Verdana" w:cs="Verdana"/>
          <w:spacing w:val="1"/>
          <w:sz w:val="20"/>
          <w:szCs w:val="20"/>
          <w:lang w:eastAsia="es-ES"/>
        </w:rPr>
        <w:t>qu</w:t>
      </w:r>
      <w:r w:rsidRPr="006B2A4D">
        <w:rPr>
          <w:rFonts w:eastAsia="Verdana" w:cs="Verdana"/>
          <w:sz w:val="20"/>
          <w:szCs w:val="20"/>
          <w:lang w:eastAsia="es-ES"/>
        </w:rPr>
        <w:t>e</w:t>
      </w:r>
      <w:r w:rsidRPr="006B2A4D">
        <w:rPr>
          <w:rFonts w:eastAsia="Verdana" w:cs="Verdana"/>
          <w:spacing w:val="38"/>
          <w:sz w:val="20"/>
          <w:szCs w:val="20"/>
          <w:lang w:eastAsia="es-ES"/>
        </w:rPr>
        <w:t xml:space="preserve"> </w:t>
      </w:r>
      <w:r w:rsidRPr="006B2A4D">
        <w:rPr>
          <w:rFonts w:eastAsia="Verdana" w:cs="Verdana"/>
          <w:spacing w:val="3"/>
          <w:sz w:val="20"/>
          <w:szCs w:val="20"/>
          <w:lang w:eastAsia="es-ES"/>
        </w:rPr>
        <w:t>l</w:t>
      </w:r>
      <w:r w:rsidRPr="006B2A4D">
        <w:rPr>
          <w:rFonts w:eastAsia="Verdana" w:cs="Verdana"/>
          <w:sz w:val="20"/>
          <w:szCs w:val="20"/>
          <w:lang w:eastAsia="es-ES"/>
        </w:rPr>
        <w:t>as</w:t>
      </w:r>
      <w:r w:rsidRPr="006B2A4D">
        <w:rPr>
          <w:rFonts w:eastAsia="Verdana" w:cs="Verdana"/>
          <w:spacing w:val="40"/>
          <w:sz w:val="20"/>
          <w:szCs w:val="20"/>
          <w:lang w:eastAsia="es-ES"/>
        </w:rPr>
        <w:t xml:space="preserve"> </w:t>
      </w:r>
      <w:r w:rsidRPr="006B2A4D">
        <w:rPr>
          <w:rFonts w:eastAsia="Verdana" w:cs="Verdana"/>
          <w:spacing w:val="1"/>
          <w:sz w:val="20"/>
          <w:szCs w:val="20"/>
          <w:lang w:eastAsia="es-ES"/>
        </w:rPr>
        <w:t>p</w:t>
      </w:r>
      <w:r w:rsidRPr="006B2A4D">
        <w:rPr>
          <w:rFonts w:eastAsia="Verdana" w:cs="Verdana"/>
          <w:sz w:val="20"/>
          <w:szCs w:val="20"/>
          <w:lang w:eastAsia="es-ES"/>
        </w:rPr>
        <w:t>a</w:t>
      </w:r>
      <w:r w:rsidRPr="006B2A4D">
        <w:rPr>
          <w:rFonts w:eastAsia="Verdana" w:cs="Verdana"/>
          <w:spacing w:val="-1"/>
          <w:sz w:val="20"/>
          <w:szCs w:val="20"/>
          <w:lang w:eastAsia="es-ES"/>
        </w:rPr>
        <w:t>r</w:t>
      </w:r>
      <w:r w:rsidRPr="006B2A4D">
        <w:rPr>
          <w:rFonts w:eastAsia="Verdana" w:cs="Verdana"/>
          <w:spacing w:val="1"/>
          <w:sz w:val="20"/>
          <w:szCs w:val="20"/>
          <w:lang w:eastAsia="es-ES"/>
        </w:rPr>
        <w:t>te</w:t>
      </w:r>
      <w:r w:rsidRPr="006B2A4D">
        <w:rPr>
          <w:rFonts w:eastAsia="Verdana" w:cs="Verdana"/>
          <w:sz w:val="20"/>
          <w:szCs w:val="20"/>
          <w:lang w:eastAsia="es-ES"/>
        </w:rPr>
        <w:t>s</w:t>
      </w:r>
      <w:r w:rsidRPr="006B2A4D">
        <w:rPr>
          <w:rFonts w:eastAsia="Verdana" w:cs="Verdana"/>
          <w:spacing w:val="37"/>
          <w:sz w:val="20"/>
          <w:szCs w:val="20"/>
          <w:lang w:eastAsia="es-ES"/>
        </w:rPr>
        <w:t xml:space="preserve"> </w:t>
      </w:r>
      <w:r w:rsidRPr="006B2A4D">
        <w:rPr>
          <w:rFonts w:eastAsia="Verdana" w:cs="Verdana"/>
          <w:spacing w:val="1"/>
          <w:sz w:val="20"/>
          <w:szCs w:val="20"/>
          <w:lang w:eastAsia="es-ES"/>
        </w:rPr>
        <w:t>h</w:t>
      </w:r>
      <w:r w:rsidRPr="006B2A4D">
        <w:rPr>
          <w:rFonts w:eastAsia="Verdana" w:cs="Verdana"/>
          <w:sz w:val="20"/>
          <w:szCs w:val="20"/>
          <w:lang w:eastAsia="es-ES"/>
        </w:rPr>
        <w:t>a</w:t>
      </w:r>
      <w:r w:rsidRPr="006B2A4D">
        <w:rPr>
          <w:rFonts w:eastAsia="Verdana" w:cs="Verdana"/>
          <w:spacing w:val="1"/>
          <w:sz w:val="20"/>
          <w:szCs w:val="20"/>
          <w:lang w:eastAsia="es-ES"/>
        </w:rPr>
        <w:t>g</w:t>
      </w:r>
      <w:r w:rsidRPr="006B2A4D">
        <w:rPr>
          <w:rFonts w:eastAsia="Verdana" w:cs="Verdana"/>
          <w:sz w:val="20"/>
          <w:szCs w:val="20"/>
          <w:lang w:eastAsia="es-ES"/>
        </w:rPr>
        <w:t>an</w:t>
      </w:r>
      <w:r w:rsidRPr="006B2A4D">
        <w:rPr>
          <w:rFonts w:eastAsia="Verdana" w:cs="Verdana"/>
          <w:spacing w:val="37"/>
          <w:sz w:val="20"/>
          <w:szCs w:val="20"/>
          <w:lang w:eastAsia="es-ES"/>
        </w:rPr>
        <w:t xml:space="preserve"> </w:t>
      </w:r>
      <w:r w:rsidRPr="006B2A4D">
        <w:rPr>
          <w:rFonts w:eastAsia="Verdana" w:cs="Verdana"/>
          <w:spacing w:val="1"/>
          <w:sz w:val="20"/>
          <w:szCs w:val="20"/>
          <w:lang w:eastAsia="es-ES"/>
        </w:rPr>
        <w:t>un</w:t>
      </w:r>
      <w:r w:rsidRPr="006B2A4D">
        <w:rPr>
          <w:rFonts w:eastAsia="Verdana" w:cs="Verdana"/>
          <w:sz w:val="20"/>
          <w:szCs w:val="20"/>
          <w:lang w:eastAsia="es-ES"/>
        </w:rPr>
        <w:t>a</w:t>
      </w:r>
      <w:r w:rsidRPr="006B2A4D">
        <w:rPr>
          <w:rFonts w:eastAsia="Verdana" w:cs="Verdana"/>
          <w:spacing w:val="39"/>
          <w:sz w:val="20"/>
          <w:szCs w:val="20"/>
          <w:lang w:eastAsia="es-ES"/>
        </w:rPr>
        <w:t xml:space="preserve"> </w:t>
      </w:r>
      <w:r w:rsidRPr="006B2A4D">
        <w:rPr>
          <w:rFonts w:eastAsia="Verdana" w:cs="Verdana"/>
          <w:sz w:val="20"/>
          <w:szCs w:val="20"/>
          <w:lang w:eastAsia="es-ES"/>
        </w:rPr>
        <w:t>a</w:t>
      </w:r>
      <w:r w:rsidRPr="006B2A4D">
        <w:rPr>
          <w:rFonts w:eastAsia="Verdana" w:cs="Verdana"/>
          <w:spacing w:val="-1"/>
          <w:sz w:val="20"/>
          <w:szCs w:val="20"/>
          <w:lang w:eastAsia="es-ES"/>
        </w:rPr>
        <w:t>r</w:t>
      </w:r>
      <w:r w:rsidRPr="006B2A4D">
        <w:rPr>
          <w:rFonts w:eastAsia="Verdana" w:cs="Verdana"/>
          <w:spacing w:val="1"/>
          <w:sz w:val="20"/>
          <w:szCs w:val="20"/>
          <w:lang w:eastAsia="es-ES"/>
        </w:rPr>
        <w:t>gu</w:t>
      </w:r>
      <w:r w:rsidRPr="006B2A4D">
        <w:rPr>
          <w:rFonts w:eastAsia="Verdana" w:cs="Verdana"/>
          <w:sz w:val="20"/>
          <w:szCs w:val="20"/>
          <w:lang w:eastAsia="es-ES"/>
        </w:rPr>
        <w:t>men</w:t>
      </w:r>
      <w:r w:rsidRPr="006B2A4D">
        <w:rPr>
          <w:rFonts w:eastAsia="Verdana" w:cs="Verdana"/>
          <w:spacing w:val="1"/>
          <w:sz w:val="20"/>
          <w:szCs w:val="20"/>
          <w:lang w:eastAsia="es-ES"/>
        </w:rPr>
        <w:t>t</w:t>
      </w:r>
      <w:r w:rsidRPr="006B2A4D">
        <w:rPr>
          <w:rFonts w:eastAsia="Verdana" w:cs="Verdana"/>
          <w:spacing w:val="6"/>
          <w:sz w:val="20"/>
          <w:szCs w:val="20"/>
          <w:lang w:eastAsia="es-ES"/>
        </w:rPr>
        <w:t>a</w:t>
      </w:r>
      <w:r w:rsidRPr="006B2A4D">
        <w:rPr>
          <w:rFonts w:eastAsia="Verdana" w:cs="Verdana"/>
          <w:sz w:val="20"/>
          <w:szCs w:val="20"/>
          <w:lang w:eastAsia="es-ES"/>
        </w:rPr>
        <w:t>c</w:t>
      </w:r>
      <w:r w:rsidRPr="006B2A4D">
        <w:rPr>
          <w:rFonts w:eastAsia="Verdana" w:cs="Verdana"/>
          <w:spacing w:val="2"/>
          <w:sz w:val="20"/>
          <w:szCs w:val="20"/>
          <w:lang w:eastAsia="es-ES"/>
        </w:rPr>
        <w:t>i</w:t>
      </w:r>
      <w:r w:rsidRPr="006B2A4D">
        <w:rPr>
          <w:rFonts w:eastAsia="Verdana" w:cs="Verdana"/>
          <w:spacing w:val="-1"/>
          <w:sz w:val="20"/>
          <w:szCs w:val="20"/>
          <w:lang w:eastAsia="es-ES"/>
        </w:rPr>
        <w:t>ó</w:t>
      </w:r>
      <w:r w:rsidRPr="006B2A4D">
        <w:rPr>
          <w:rFonts w:eastAsia="Verdana" w:cs="Verdana"/>
          <w:sz w:val="20"/>
          <w:szCs w:val="20"/>
          <w:lang w:eastAsia="es-ES"/>
        </w:rPr>
        <w:t>n</w:t>
      </w:r>
      <w:r w:rsidRPr="006B2A4D">
        <w:rPr>
          <w:rFonts w:eastAsia="Verdana" w:cs="Verdana"/>
          <w:spacing w:val="28"/>
          <w:sz w:val="20"/>
          <w:szCs w:val="20"/>
          <w:lang w:eastAsia="es-ES"/>
        </w:rPr>
        <w:t xml:space="preserve"> </w:t>
      </w:r>
      <w:r w:rsidRPr="006B2A4D">
        <w:rPr>
          <w:rFonts w:eastAsia="Verdana" w:cs="Verdana"/>
          <w:spacing w:val="1"/>
          <w:sz w:val="20"/>
          <w:szCs w:val="20"/>
          <w:lang w:eastAsia="es-ES"/>
        </w:rPr>
        <w:t>qu</w:t>
      </w:r>
      <w:r w:rsidRPr="006B2A4D">
        <w:rPr>
          <w:rFonts w:eastAsia="Verdana" w:cs="Verdana"/>
          <w:sz w:val="20"/>
          <w:szCs w:val="20"/>
          <w:lang w:eastAsia="es-ES"/>
        </w:rPr>
        <w:t>e</w:t>
      </w:r>
      <w:r w:rsidRPr="006B2A4D">
        <w:rPr>
          <w:rFonts w:eastAsia="Verdana" w:cs="Verdana"/>
          <w:spacing w:val="38"/>
          <w:sz w:val="20"/>
          <w:szCs w:val="20"/>
          <w:lang w:eastAsia="es-ES"/>
        </w:rPr>
        <w:t xml:space="preserve"> </w:t>
      </w:r>
      <w:r w:rsidRPr="006B2A4D">
        <w:rPr>
          <w:rFonts w:eastAsia="Verdana" w:cs="Verdana"/>
          <w:spacing w:val="-1"/>
          <w:sz w:val="20"/>
          <w:szCs w:val="20"/>
          <w:lang w:eastAsia="es-ES"/>
        </w:rPr>
        <w:t>re</w:t>
      </w:r>
      <w:r w:rsidRPr="006B2A4D">
        <w:rPr>
          <w:rFonts w:eastAsia="Verdana" w:cs="Verdana"/>
          <w:spacing w:val="3"/>
          <w:sz w:val="20"/>
          <w:szCs w:val="20"/>
          <w:lang w:eastAsia="es-ES"/>
        </w:rPr>
        <w:t>l</w:t>
      </w:r>
      <w:r w:rsidRPr="006B2A4D">
        <w:rPr>
          <w:rFonts w:eastAsia="Verdana" w:cs="Verdana"/>
          <w:sz w:val="20"/>
          <w:szCs w:val="20"/>
          <w:lang w:eastAsia="es-ES"/>
        </w:rPr>
        <w:t>ac</w:t>
      </w:r>
      <w:r w:rsidRPr="006B2A4D">
        <w:rPr>
          <w:rFonts w:eastAsia="Verdana" w:cs="Verdana"/>
          <w:spacing w:val="3"/>
          <w:sz w:val="20"/>
          <w:szCs w:val="20"/>
          <w:lang w:eastAsia="es-ES"/>
        </w:rPr>
        <w:t>i</w:t>
      </w:r>
      <w:r w:rsidRPr="006B2A4D">
        <w:rPr>
          <w:rFonts w:eastAsia="Verdana" w:cs="Verdana"/>
          <w:spacing w:val="-1"/>
          <w:sz w:val="20"/>
          <w:szCs w:val="20"/>
          <w:lang w:eastAsia="es-ES"/>
        </w:rPr>
        <w:t>o</w:t>
      </w:r>
      <w:r w:rsidRPr="006B2A4D">
        <w:rPr>
          <w:rFonts w:eastAsia="Verdana" w:cs="Verdana"/>
          <w:spacing w:val="1"/>
          <w:sz w:val="20"/>
          <w:szCs w:val="20"/>
          <w:lang w:eastAsia="es-ES"/>
        </w:rPr>
        <w:t>n</w:t>
      </w:r>
      <w:r w:rsidRPr="006B2A4D">
        <w:rPr>
          <w:rFonts w:eastAsia="Verdana" w:cs="Verdana"/>
          <w:sz w:val="20"/>
          <w:szCs w:val="20"/>
          <w:lang w:eastAsia="es-ES"/>
        </w:rPr>
        <w:t>e</w:t>
      </w:r>
      <w:r w:rsidRPr="006B2A4D">
        <w:rPr>
          <w:rFonts w:eastAsia="Verdana" w:cs="Verdana"/>
          <w:spacing w:val="32"/>
          <w:sz w:val="20"/>
          <w:szCs w:val="20"/>
          <w:lang w:eastAsia="es-ES"/>
        </w:rPr>
        <w:t xml:space="preserve"> </w:t>
      </w:r>
      <w:r w:rsidRPr="006B2A4D">
        <w:rPr>
          <w:rFonts w:eastAsia="Verdana" w:cs="Verdana"/>
          <w:spacing w:val="3"/>
          <w:sz w:val="20"/>
          <w:szCs w:val="20"/>
          <w:lang w:eastAsia="es-ES"/>
        </w:rPr>
        <w:t>l</w:t>
      </w:r>
      <w:r w:rsidRPr="006B2A4D">
        <w:rPr>
          <w:rFonts w:eastAsia="Verdana" w:cs="Verdana"/>
          <w:sz w:val="20"/>
          <w:szCs w:val="20"/>
          <w:lang w:eastAsia="es-ES"/>
        </w:rPr>
        <w:t>a</w:t>
      </w:r>
      <w:r w:rsidRPr="006B2A4D">
        <w:rPr>
          <w:rFonts w:eastAsia="Verdana" w:cs="Verdana"/>
          <w:spacing w:val="41"/>
          <w:sz w:val="20"/>
          <w:szCs w:val="20"/>
          <w:lang w:eastAsia="es-ES"/>
        </w:rPr>
        <w:t xml:space="preserve"> </w:t>
      </w:r>
      <w:r w:rsidRPr="006B2A4D">
        <w:rPr>
          <w:rFonts w:eastAsia="Verdana" w:cs="Verdana"/>
          <w:spacing w:val="-2"/>
          <w:sz w:val="20"/>
          <w:szCs w:val="20"/>
          <w:lang w:eastAsia="es-ES"/>
        </w:rPr>
        <w:lastRenderedPageBreak/>
        <w:t>p</w:t>
      </w:r>
      <w:r w:rsidRPr="006B2A4D">
        <w:rPr>
          <w:rFonts w:eastAsia="Verdana" w:cs="Verdana"/>
          <w:spacing w:val="-1"/>
          <w:sz w:val="20"/>
          <w:szCs w:val="20"/>
          <w:lang w:eastAsia="es-ES"/>
        </w:rPr>
        <w:t>r</w:t>
      </w:r>
      <w:r w:rsidRPr="006B2A4D">
        <w:rPr>
          <w:rFonts w:eastAsia="Verdana" w:cs="Verdana"/>
          <w:spacing w:val="1"/>
          <w:sz w:val="20"/>
          <w:szCs w:val="20"/>
          <w:lang w:eastAsia="es-ES"/>
        </w:rPr>
        <w:t>u</w:t>
      </w:r>
      <w:r w:rsidRPr="006B2A4D">
        <w:rPr>
          <w:rFonts w:eastAsia="Verdana" w:cs="Verdana"/>
          <w:spacing w:val="-1"/>
          <w:sz w:val="20"/>
          <w:szCs w:val="20"/>
          <w:lang w:eastAsia="es-ES"/>
        </w:rPr>
        <w:t>e</w:t>
      </w:r>
      <w:r w:rsidRPr="006B2A4D">
        <w:rPr>
          <w:rFonts w:eastAsia="Verdana" w:cs="Verdana"/>
          <w:spacing w:val="1"/>
          <w:sz w:val="20"/>
          <w:szCs w:val="20"/>
          <w:lang w:eastAsia="es-ES"/>
        </w:rPr>
        <w:t>b</w:t>
      </w:r>
      <w:r w:rsidRPr="006B2A4D">
        <w:rPr>
          <w:rFonts w:eastAsia="Verdana" w:cs="Verdana"/>
          <w:sz w:val="20"/>
          <w:szCs w:val="20"/>
          <w:lang w:eastAsia="es-ES"/>
        </w:rPr>
        <w:t>a</w:t>
      </w:r>
      <w:r w:rsidRPr="006B2A4D">
        <w:rPr>
          <w:rFonts w:eastAsia="Verdana" w:cs="Verdana"/>
          <w:spacing w:val="35"/>
          <w:sz w:val="20"/>
          <w:szCs w:val="20"/>
          <w:lang w:eastAsia="es-ES"/>
        </w:rPr>
        <w:t xml:space="preserve"> </w:t>
      </w:r>
      <w:r w:rsidRPr="006B2A4D">
        <w:rPr>
          <w:rFonts w:eastAsia="Verdana" w:cs="Verdana"/>
          <w:spacing w:val="2"/>
          <w:sz w:val="20"/>
          <w:szCs w:val="20"/>
          <w:lang w:eastAsia="es-ES"/>
        </w:rPr>
        <w:t>c</w:t>
      </w:r>
      <w:r w:rsidRPr="006B2A4D">
        <w:rPr>
          <w:rFonts w:eastAsia="Verdana" w:cs="Verdana"/>
          <w:spacing w:val="-1"/>
          <w:sz w:val="20"/>
          <w:szCs w:val="20"/>
          <w:lang w:eastAsia="es-ES"/>
        </w:rPr>
        <w:t>o</w:t>
      </w:r>
      <w:r w:rsidRPr="006B2A4D">
        <w:rPr>
          <w:rFonts w:eastAsia="Verdana" w:cs="Verdana"/>
          <w:sz w:val="20"/>
          <w:szCs w:val="20"/>
          <w:lang w:eastAsia="es-ES"/>
        </w:rPr>
        <w:t>n</w:t>
      </w:r>
      <w:r w:rsidRPr="006B2A4D">
        <w:rPr>
          <w:rFonts w:eastAsia="Verdana" w:cs="Verdana"/>
          <w:spacing w:val="40"/>
          <w:sz w:val="20"/>
          <w:szCs w:val="20"/>
          <w:lang w:eastAsia="es-ES"/>
        </w:rPr>
        <w:t xml:space="preserve"> </w:t>
      </w:r>
      <w:r w:rsidRPr="006B2A4D">
        <w:rPr>
          <w:rFonts w:eastAsia="Verdana" w:cs="Verdana"/>
          <w:spacing w:val="-1"/>
          <w:sz w:val="20"/>
          <w:szCs w:val="20"/>
          <w:lang w:eastAsia="es-ES"/>
        </w:rPr>
        <w:t>e</w:t>
      </w:r>
      <w:r w:rsidRPr="006B2A4D">
        <w:rPr>
          <w:rFonts w:eastAsia="Verdana" w:cs="Verdana"/>
          <w:sz w:val="20"/>
          <w:szCs w:val="20"/>
          <w:lang w:eastAsia="es-ES"/>
        </w:rPr>
        <w:t>l</w:t>
      </w:r>
      <w:r w:rsidRPr="006B2A4D">
        <w:rPr>
          <w:rFonts w:eastAsia="Verdana" w:cs="Verdana"/>
          <w:spacing w:val="43"/>
          <w:sz w:val="20"/>
          <w:szCs w:val="20"/>
          <w:lang w:eastAsia="es-ES"/>
        </w:rPr>
        <w:t xml:space="preserve"> </w:t>
      </w:r>
      <w:r w:rsidRPr="006B2A4D">
        <w:rPr>
          <w:rFonts w:eastAsia="Verdana" w:cs="Verdana"/>
          <w:spacing w:val="1"/>
          <w:sz w:val="20"/>
          <w:szCs w:val="20"/>
          <w:lang w:eastAsia="es-ES"/>
        </w:rPr>
        <w:t>h</w:t>
      </w:r>
      <w:r w:rsidRPr="006B2A4D">
        <w:rPr>
          <w:rFonts w:eastAsia="Verdana" w:cs="Verdana"/>
          <w:spacing w:val="-1"/>
          <w:sz w:val="20"/>
          <w:szCs w:val="20"/>
          <w:lang w:eastAsia="es-ES"/>
        </w:rPr>
        <w:t>e</w:t>
      </w:r>
      <w:r w:rsidRPr="006B2A4D">
        <w:rPr>
          <w:rFonts w:eastAsia="Verdana" w:cs="Verdana"/>
          <w:sz w:val="20"/>
          <w:szCs w:val="20"/>
          <w:lang w:eastAsia="es-ES"/>
        </w:rPr>
        <w:t>cho</w:t>
      </w:r>
      <w:r w:rsidRPr="006B2A4D">
        <w:rPr>
          <w:rFonts w:eastAsia="Verdana" w:cs="Verdana"/>
          <w:spacing w:val="35"/>
          <w:sz w:val="20"/>
          <w:szCs w:val="20"/>
          <w:lang w:eastAsia="es-ES"/>
        </w:rPr>
        <w:t xml:space="preserve"> </w:t>
      </w:r>
      <w:r w:rsidRPr="006B2A4D">
        <w:rPr>
          <w:rFonts w:eastAsia="Verdana" w:cs="Verdana"/>
          <w:spacing w:val="1"/>
          <w:sz w:val="20"/>
          <w:szCs w:val="20"/>
          <w:lang w:eastAsia="es-ES"/>
        </w:rPr>
        <w:t>q</w:t>
      </w:r>
      <w:r w:rsidRPr="006B2A4D">
        <w:rPr>
          <w:rFonts w:eastAsia="Verdana" w:cs="Verdana"/>
          <w:spacing w:val="3"/>
          <w:sz w:val="20"/>
          <w:szCs w:val="20"/>
          <w:lang w:eastAsia="es-ES"/>
        </w:rPr>
        <w:t>u</w:t>
      </w:r>
      <w:r w:rsidRPr="006B2A4D">
        <w:rPr>
          <w:rFonts w:eastAsia="Verdana" w:cs="Verdana"/>
          <w:sz w:val="20"/>
          <w:szCs w:val="20"/>
          <w:lang w:eastAsia="es-ES"/>
        </w:rPr>
        <w:t>e</w:t>
      </w:r>
      <w:r w:rsidRPr="006B2A4D">
        <w:rPr>
          <w:rFonts w:eastAsia="Verdana" w:cs="Verdana"/>
          <w:spacing w:val="38"/>
          <w:sz w:val="20"/>
          <w:szCs w:val="20"/>
          <w:lang w:eastAsia="es-ES"/>
        </w:rPr>
        <w:t xml:space="preserve"> </w:t>
      </w:r>
      <w:r w:rsidRPr="006B2A4D">
        <w:rPr>
          <w:rFonts w:eastAsia="Verdana" w:cs="Verdana"/>
          <w:spacing w:val="2"/>
          <w:sz w:val="20"/>
          <w:szCs w:val="20"/>
          <w:lang w:eastAsia="es-ES"/>
        </w:rPr>
        <w:t>s</w:t>
      </w:r>
      <w:r w:rsidRPr="006B2A4D">
        <w:rPr>
          <w:rFonts w:eastAsia="Verdana" w:cs="Verdana"/>
          <w:sz w:val="20"/>
          <w:szCs w:val="20"/>
          <w:lang w:eastAsia="es-ES"/>
        </w:rPr>
        <w:t>e c</w:t>
      </w:r>
      <w:r w:rsidRPr="006B2A4D">
        <w:rPr>
          <w:rFonts w:eastAsia="Verdana" w:cs="Verdana"/>
          <w:spacing w:val="-2"/>
          <w:sz w:val="20"/>
          <w:szCs w:val="20"/>
          <w:lang w:eastAsia="es-ES"/>
        </w:rPr>
        <w:t>o</w:t>
      </w:r>
      <w:r w:rsidRPr="006B2A4D">
        <w:rPr>
          <w:rFonts w:eastAsia="Verdana" w:cs="Verdana"/>
          <w:spacing w:val="1"/>
          <w:sz w:val="20"/>
          <w:szCs w:val="20"/>
          <w:lang w:eastAsia="es-ES"/>
        </w:rPr>
        <w:t>n</w:t>
      </w:r>
      <w:r w:rsidRPr="006B2A4D">
        <w:rPr>
          <w:rFonts w:eastAsia="Verdana" w:cs="Verdana"/>
          <w:sz w:val="20"/>
          <w:szCs w:val="20"/>
          <w:lang w:eastAsia="es-ES"/>
        </w:rPr>
        <w:t>s</w:t>
      </w:r>
      <w:r w:rsidRPr="006B2A4D">
        <w:rPr>
          <w:rFonts w:eastAsia="Verdana" w:cs="Verdana"/>
          <w:spacing w:val="2"/>
          <w:sz w:val="20"/>
          <w:szCs w:val="20"/>
          <w:lang w:eastAsia="es-ES"/>
        </w:rPr>
        <w:t>i</w:t>
      </w:r>
      <w:r w:rsidRPr="006B2A4D">
        <w:rPr>
          <w:rFonts w:eastAsia="Verdana" w:cs="Verdana"/>
          <w:spacing w:val="1"/>
          <w:sz w:val="20"/>
          <w:szCs w:val="20"/>
          <w:lang w:eastAsia="es-ES"/>
        </w:rPr>
        <w:t>d</w:t>
      </w:r>
      <w:r w:rsidRPr="006B2A4D">
        <w:rPr>
          <w:rFonts w:eastAsia="Verdana" w:cs="Verdana"/>
          <w:spacing w:val="-1"/>
          <w:sz w:val="20"/>
          <w:szCs w:val="20"/>
          <w:lang w:eastAsia="es-ES"/>
        </w:rPr>
        <w:t>er</w:t>
      </w:r>
      <w:r w:rsidRPr="006B2A4D">
        <w:rPr>
          <w:rFonts w:eastAsia="Verdana" w:cs="Verdana"/>
          <w:sz w:val="20"/>
          <w:szCs w:val="20"/>
          <w:lang w:eastAsia="es-ES"/>
        </w:rPr>
        <w:t>a</w:t>
      </w:r>
      <w:r w:rsidRPr="006B2A4D">
        <w:rPr>
          <w:rFonts w:eastAsia="Verdana" w:cs="Verdana"/>
          <w:spacing w:val="-6"/>
          <w:sz w:val="20"/>
          <w:szCs w:val="20"/>
          <w:lang w:eastAsia="es-ES"/>
        </w:rPr>
        <w:t xml:space="preserve"> </w:t>
      </w:r>
      <w:r w:rsidRPr="006B2A4D">
        <w:rPr>
          <w:rFonts w:eastAsia="Verdana" w:cs="Verdana"/>
          <w:spacing w:val="-1"/>
          <w:sz w:val="20"/>
          <w:szCs w:val="20"/>
          <w:lang w:eastAsia="es-ES"/>
        </w:rPr>
        <w:t>re</w:t>
      </w:r>
      <w:r w:rsidRPr="006B2A4D">
        <w:rPr>
          <w:rFonts w:eastAsia="Verdana" w:cs="Verdana"/>
          <w:spacing w:val="3"/>
          <w:sz w:val="20"/>
          <w:szCs w:val="20"/>
          <w:lang w:eastAsia="es-ES"/>
        </w:rPr>
        <w:t>p</w:t>
      </w:r>
      <w:r w:rsidRPr="006B2A4D">
        <w:rPr>
          <w:rFonts w:eastAsia="Verdana" w:cs="Verdana"/>
          <w:spacing w:val="-1"/>
          <w:sz w:val="20"/>
          <w:szCs w:val="20"/>
          <w:lang w:eastAsia="es-ES"/>
        </w:rPr>
        <w:t>r</w:t>
      </w:r>
      <w:r w:rsidRPr="006B2A4D">
        <w:rPr>
          <w:rFonts w:eastAsia="Verdana" w:cs="Verdana"/>
          <w:spacing w:val="1"/>
          <w:sz w:val="20"/>
          <w:szCs w:val="20"/>
          <w:lang w:eastAsia="es-ES"/>
        </w:rPr>
        <w:t>e</w:t>
      </w:r>
      <w:r w:rsidRPr="006B2A4D">
        <w:rPr>
          <w:rFonts w:eastAsia="Verdana" w:cs="Verdana"/>
          <w:sz w:val="20"/>
          <w:szCs w:val="20"/>
          <w:lang w:eastAsia="es-ES"/>
        </w:rPr>
        <w:t>s</w:t>
      </w:r>
      <w:r w:rsidRPr="006B2A4D">
        <w:rPr>
          <w:rFonts w:eastAsia="Verdana" w:cs="Verdana"/>
          <w:spacing w:val="-2"/>
          <w:sz w:val="20"/>
          <w:szCs w:val="20"/>
          <w:lang w:eastAsia="es-ES"/>
        </w:rPr>
        <w:t>e</w:t>
      </w:r>
      <w:r w:rsidRPr="006B2A4D">
        <w:rPr>
          <w:rFonts w:eastAsia="Verdana" w:cs="Verdana"/>
          <w:spacing w:val="1"/>
          <w:sz w:val="20"/>
          <w:szCs w:val="20"/>
          <w:lang w:eastAsia="es-ES"/>
        </w:rPr>
        <w:t>nt</w:t>
      </w:r>
      <w:r w:rsidRPr="006B2A4D">
        <w:rPr>
          <w:rFonts w:eastAsia="Verdana" w:cs="Verdana"/>
          <w:sz w:val="20"/>
          <w:szCs w:val="20"/>
          <w:lang w:eastAsia="es-ES"/>
        </w:rPr>
        <w:t>a</w:t>
      </w:r>
      <w:r w:rsidRPr="006B2A4D">
        <w:rPr>
          <w:rFonts w:eastAsia="Verdana" w:cs="Verdana"/>
          <w:spacing w:val="3"/>
          <w:sz w:val="20"/>
          <w:szCs w:val="20"/>
          <w:lang w:eastAsia="es-ES"/>
        </w:rPr>
        <w:t>d</w:t>
      </w:r>
      <w:r w:rsidRPr="006B2A4D">
        <w:rPr>
          <w:rFonts w:eastAsia="Verdana" w:cs="Verdana"/>
          <w:spacing w:val="-1"/>
          <w:sz w:val="20"/>
          <w:szCs w:val="20"/>
          <w:lang w:eastAsia="es-ES"/>
        </w:rPr>
        <w:t>o</w:t>
      </w:r>
      <w:r w:rsidRPr="006B2A4D">
        <w:rPr>
          <w:rFonts w:eastAsia="Verdana" w:cs="Verdana"/>
          <w:sz w:val="20"/>
          <w:szCs w:val="20"/>
          <w:lang w:eastAsia="es-ES"/>
        </w:rPr>
        <w:t>,</w:t>
      </w:r>
      <w:r w:rsidRPr="006B2A4D">
        <w:rPr>
          <w:rFonts w:eastAsia="Verdana" w:cs="Verdana"/>
          <w:spacing w:val="-11"/>
          <w:sz w:val="20"/>
          <w:szCs w:val="20"/>
          <w:lang w:eastAsia="es-ES"/>
        </w:rPr>
        <w:t xml:space="preserve"> </w:t>
      </w:r>
      <w:r w:rsidRPr="006B2A4D">
        <w:rPr>
          <w:rFonts w:eastAsia="Verdana" w:cs="Verdana"/>
          <w:sz w:val="20"/>
          <w:szCs w:val="20"/>
          <w:lang w:eastAsia="es-ES"/>
        </w:rPr>
        <w:t xml:space="preserve">y </w:t>
      </w:r>
      <w:r w:rsidRPr="006B2A4D">
        <w:rPr>
          <w:rFonts w:eastAsia="Verdana" w:cs="Verdana"/>
          <w:spacing w:val="1"/>
          <w:sz w:val="20"/>
          <w:szCs w:val="20"/>
          <w:lang w:eastAsia="es-ES"/>
        </w:rPr>
        <w:t>qu</w:t>
      </w:r>
      <w:r w:rsidRPr="006B2A4D">
        <w:rPr>
          <w:rFonts w:eastAsia="Verdana" w:cs="Verdana"/>
          <w:spacing w:val="-1"/>
          <w:sz w:val="20"/>
          <w:szCs w:val="20"/>
          <w:lang w:eastAsia="es-ES"/>
        </w:rPr>
        <w:t>e</w:t>
      </w:r>
      <w:r w:rsidRPr="006B2A4D">
        <w:rPr>
          <w:rFonts w:eastAsia="Verdana" w:cs="Verdana"/>
          <w:sz w:val="20"/>
          <w:szCs w:val="20"/>
          <w:lang w:eastAsia="es-ES"/>
        </w:rPr>
        <w:t>,</w:t>
      </w:r>
      <w:r w:rsidRPr="006B2A4D">
        <w:rPr>
          <w:rFonts w:eastAsia="Verdana" w:cs="Verdana"/>
          <w:spacing w:val="-3"/>
          <w:sz w:val="20"/>
          <w:szCs w:val="20"/>
          <w:lang w:eastAsia="es-ES"/>
        </w:rPr>
        <w:t xml:space="preserve"> </w:t>
      </w:r>
      <w:r w:rsidRPr="006B2A4D">
        <w:rPr>
          <w:rFonts w:eastAsia="Verdana" w:cs="Verdana"/>
          <w:sz w:val="20"/>
          <w:szCs w:val="20"/>
          <w:lang w:eastAsia="es-ES"/>
        </w:rPr>
        <w:t>al</w:t>
      </w:r>
      <w:r w:rsidRPr="006B2A4D">
        <w:rPr>
          <w:rFonts w:eastAsia="Verdana" w:cs="Verdana"/>
          <w:spacing w:val="2"/>
          <w:sz w:val="20"/>
          <w:szCs w:val="20"/>
          <w:lang w:eastAsia="es-ES"/>
        </w:rPr>
        <w:t xml:space="preserve"> </w:t>
      </w:r>
      <w:r w:rsidRPr="006B2A4D">
        <w:rPr>
          <w:rFonts w:eastAsia="Verdana" w:cs="Verdana"/>
          <w:spacing w:val="1"/>
          <w:sz w:val="20"/>
          <w:szCs w:val="20"/>
          <w:lang w:eastAsia="es-ES"/>
        </w:rPr>
        <w:t>t</w:t>
      </w:r>
      <w:r w:rsidRPr="006B2A4D">
        <w:rPr>
          <w:rFonts w:eastAsia="Verdana" w:cs="Verdana"/>
          <w:spacing w:val="-1"/>
          <w:sz w:val="20"/>
          <w:szCs w:val="20"/>
          <w:lang w:eastAsia="es-ES"/>
        </w:rPr>
        <w:t>r</w:t>
      </w:r>
      <w:r w:rsidRPr="006B2A4D">
        <w:rPr>
          <w:rFonts w:eastAsia="Verdana" w:cs="Verdana"/>
          <w:sz w:val="20"/>
          <w:szCs w:val="20"/>
          <w:lang w:eastAsia="es-ES"/>
        </w:rPr>
        <w:t>a</w:t>
      </w:r>
      <w:r w:rsidRPr="006B2A4D">
        <w:rPr>
          <w:rFonts w:eastAsia="Verdana" w:cs="Verdana"/>
          <w:spacing w:val="1"/>
          <w:sz w:val="20"/>
          <w:szCs w:val="20"/>
          <w:lang w:eastAsia="es-ES"/>
        </w:rPr>
        <w:t>t</w:t>
      </w:r>
      <w:r w:rsidRPr="006B2A4D">
        <w:rPr>
          <w:rFonts w:eastAsia="Verdana" w:cs="Verdana"/>
          <w:sz w:val="20"/>
          <w:szCs w:val="20"/>
          <w:lang w:eastAsia="es-ES"/>
        </w:rPr>
        <w:t>a</w:t>
      </w:r>
      <w:r w:rsidRPr="006B2A4D">
        <w:rPr>
          <w:rFonts w:eastAsia="Verdana" w:cs="Verdana"/>
          <w:spacing w:val="-1"/>
          <w:sz w:val="20"/>
          <w:szCs w:val="20"/>
          <w:lang w:eastAsia="es-ES"/>
        </w:rPr>
        <w:t>r</w:t>
      </w:r>
      <w:r w:rsidRPr="006B2A4D">
        <w:rPr>
          <w:rFonts w:eastAsia="Verdana" w:cs="Verdana"/>
          <w:sz w:val="20"/>
          <w:szCs w:val="20"/>
          <w:lang w:eastAsia="es-ES"/>
        </w:rPr>
        <w:t>se</w:t>
      </w:r>
      <w:r w:rsidRPr="006B2A4D">
        <w:rPr>
          <w:rFonts w:eastAsia="Verdana" w:cs="Verdana"/>
          <w:spacing w:val="-8"/>
          <w:sz w:val="20"/>
          <w:szCs w:val="20"/>
          <w:lang w:eastAsia="es-ES"/>
        </w:rPr>
        <w:t xml:space="preserve"> </w:t>
      </w:r>
      <w:r w:rsidRPr="006B2A4D">
        <w:rPr>
          <w:rFonts w:eastAsia="Verdana" w:cs="Verdana"/>
          <w:spacing w:val="1"/>
          <w:sz w:val="20"/>
          <w:szCs w:val="20"/>
          <w:lang w:eastAsia="es-ES"/>
        </w:rPr>
        <w:t>d</w:t>
      </w:r>
      <w:r w:rsidRPr="006B2A4D">
        <w:rPr>
          <w:rFonts w:eastAsia="Verdana" w:cs="Verdana"/>
          <w:sz w:val="20"/>
          <w:szCs w:val="20"/>
          <w:lang w:eastAsia="es-ES"/>
        </w:rPr>
        <w:t>e</w:t>
      </w:r>
      <w:r w:rsidRPr="006B2A4D">
        <w:rPr>
          <w:rFonts w:eastAsia="Verdana" w:cs="Verdana"/>
          <w:spacing w:val="-2"/>
          <w:sz w:val="20"/>
          <w:szCs w:val="20"/>
          <w:lang w:eastAsia="es-ES"/>
        </w:rPr>
        <w:t xml:space="preserve"> </w:t>
      </w:r>
      <w:r w:rsidRPr="006B2A4D">
        <w:rPr>
          <w:rFonts w:eastAsia="Verdana" w:cs="Verdana"/>
          <w:sz w:val="20"/>
          <w:szCs w:val="20"/>
          <w:lang w:eastAsia="es-ES"/>
        </w:rPr>
        <w:t>a</w:t>
      </w:r>
      <w:r w:rsidRPr="006B2A4D">
        <w:rPr>
          <w:rFonts w:eastAsia="Verdana" w:cs="Verdana"/>
          <w:spacing w:val="3"/>
          <w:sz w:val="20"/>
          <w:szCs w:val="20"/>
          <w:lang w:eastAsia="es-ES"/>
        </w:rPr>
        <w:t>l</w:t>
      </w:r>
      <w:r w:rsidRPr="006B2A4D">
        <w:rPr>
          <w:rFonts w:eastAsia="Verdana" w:cs="Verdana"/>
          <w:spacing w:val="-1"/>
          <w:sz w:val="20"/>
          <w:szCs w:val="20"/>
          <w:lang w:eastAsia="es-ES"/>
        </w:rPr>
        <w:t>e</w:t>
      </w:r>
      <w:r w:rsidRPr="006B2A4D">
        <w:rPr>
          <w:rFonts w:eastAsia="Verdana" w:cs="Verdana"/>
          <w:spacing w:val="1"/>
          <w:sz w:val="20"/>
          <w:szCs w:val="20"/>
          <w:lang w:eastAsia="es-ES"/>
        </w:rPr>
        <w:t>g</w:t>
      </w:r>
      <w:r w:rsidRPr="006B2A4D">
        <w:rPr>
          <w:rFonts w:eastAsia="Verdana" w:cs="Verdana"/>
          <w:sz w:val="20"/>
          <w:szCs w:val="20"/>
          <w:lang w:eastAsia="es-ES"/>
        </w:rPr>
        <w:t>a</w:t>
      </w:r>
      <w:r w:rsidRPr="006B2A4D">
        <w:rPr>
          <w:rFonts w:eastAsia="Verdana" w:cs="Verdana"/>
          <w:spacing w:val="1"/>
          <w:sz w:val="20"/>
          <w:szCs w:val="20"/>
          <w:lang w:eastAsia="es-ES"/>
        </w:rPr>
        <w:t>do</w:t>
      </w:r>
      <w:r w:rsidRPr="006B2A4D">
        <w:rPr>
          <w:rFonts w:eastAsia="Verdana" w:cs="Verdana"/>
          <w:sz w:val="20"/>
          <w:szCs w:val="20"/>
          <w:lang w:eastAsia="es-ES"/>
        </w:rPr>
        <w:t>s</w:t>
      </w:r>
      <w:r w:rsidRPr="006B2A4D">
        <w:rPr>
          <w:rFonts w:eastAsia="Verdana" w:cs="Verdana"/>
          <w:spacing w:val="-8"/>
          <w:sz w:val="20"/>
          <w:szCs w:val="20"/>
          <w:lang w:eastAsia="es-ES"/>
        </w:rPr>
        <w:t xml:space="preserve"> </w:t>
      </w:r>
      <w:r w:rsidRPr="006B2A4D">
        <w:rPr>
          <w:rFonts w:eastAsia="Verdana" w:cs="Verdana"/>
          <w:spacing w:val="1"/>
          <w:sz w:val="20"/>
          <w:szCs w:val="20"/>
          <w:lang w:eastAsia="es-ES"/>
        </w:rPr>
        <w:t>d</w:t>
      </w:r>
      <w:r w:rsidRPr="006B2A4D">
        <w:rPr>
          <w:rFonts w:eastAsia="Verdana" w:cs="Verdana"/>
          <w:spacing w:val="-1"/>
          <w:sz w:val="20"/>
          <w:szCs w:val="20"/>
          <w:lang w:eastAsia="es-ES"/>
        </w:rPr>
        <w:t>e</w:t>
      </w:r>
      <w:r w:rsidRPr="006B2A4D">
        <w:rPr>
          <w:rFonts w:eastAsia="Verdana" w:cs="Verdana"/>
          <w:spacing w:val="2"/>
          <w:sz w:val="20"/>
          <w:szCs w:val="20"/>
          <w:lang w:eastAsia="es-ES"/>
        </w:rPr>
        <w:t>s</w:t>
      </w:r>
      <w:r w:rsidRPr="006B2A4D">
        <w:rPr>
          <w:rFonts w:eastAsia="Verdana" w:cs="Verdana"/>
          <w:spacing w:val="-1"/>
          <w:sz w:val="20"/>
          <w:szCs w:val="20"/>
          <w:lang w:eastAsia="es-ES"/>
        </w:rPr>
        <w:t>e</w:t>
      </w:r>
      <w:r w:rsidRPr="006B2A4D">
        <w:rPr>
          <w:rFonts w:eastAsia="Verdana" w:cs="Verdana"/>
          <w:sz w:val="20"/>
          <w:szCs w:val="20"/>
          <w:lang w:eastAsia="es-ES"/>
        </w:rPr>
        <w:t>m</w:t>
      </w:r>
      <w:r w:rsidRPr="006B2A4D">
        <w:rPr>
          <w:rFonts w:eastAsia="Verdana" w:cs="Verdana"/>
          <w:spacing w:val="3"/>
          <w:sz w:val="20"/>
          <w:szCs w:val="20"/>
          <w:lang w:eastAsia="es-ES"/>
        </w:rPr>
        <w:t>b</w:t>
      </w:r>
      <w:r w:rsidRPr="006B2A4D">
        <w:rPr>
          <w:rFonts w:eastAsia="Verdana" w:cs="Verdana"/>
          <w:spacing w:val="-1"/>
          <w:sz w:val="20"/>
          <w:szCs w:val="20"/>
          <w:lang w:eastAsia="es-ES"/>
        </w:rPr>
        <w:t>o</w:t>
      </w:r>
      <w:r w:rsidRPr="006B2A4D">
        <w:rPr>
          <w:rFonts w:eastAsia="Verdana" w:cs="Verdana"/>
          <w:spacing w:val="3"/>
          <w:sz w:val="20"/>
          <w:szCs w:val="20"/>
          <w:lang w:eastAsia="es-ES"/>
        </w:rPr>
        <w:t>l</w:t>
      </w:r>
      <w:r w:rsidRPr="006B2A4D">
        <w:rPr>
          <w:rFonts w:eastAsia="Verdana" w:cs="Verdana"/>
          <w:sz w:val="20"/>
          <w:szCs w:val="20"/>
          <w:lang w:eastAsia="es-ES"/>
        </w:rPr>
        <w:t>s</w:t>
      </w:r>
      <w:r w:rsidRPr="006B2A4D">
        <w:rPr>
          <w:rFonts w:eastAsia="Verdana" w:cs="Verdana"/>
          <w:spacing w:val="-2"/>
          <w:sz w:val="20"/>
          <w:szCs w:val="20"/>
          <w:lang w:eastAsia="es-ES"/>
        </w:rPr>
        <w:t>o</w:t>
      </w:r>
      <w:r w:rsidRPr="006B2A4D">
        <w:rPr>
          <w:rFonts w:eastAsia="Verdana" w:cs="Verdana"/>
          <w:sz w:val="20"/>
          <w:szCs w:val="20"/>
          <w:lang w:eastAsia="es-ES"/>
        </w:rPr>
        <w:t>s</w:t>
      </w:r>
      <w:r w:rsidRPr="006B2A4D">
        <w:rPr>
          <w:rFonts w:eastAsia="Verdana" w:cs="Verdana"/>
          <w:spacing w:val="-12"/>
          <w:sz w:val="20"/>
          <w:szCs w:val="20"/>
          <w:lang w:eastAsia="es-ES"/>
        </w:rPr>
        <w:t xml:space="preserve"> </w:t>
      </w:r>
      <w:r w:rsidRPr="006B2A4D">
        <w:rPr>
          <w:rFonts w:eastAsia="Verdana" w:cs="Verdana"/>
          <w:spacing w:val="1"/>
          <w:sz w:val="20"/>
          <w:szCs w:val="20"/>
          <w:lang w:eastAsia="es-ES"/>
        </w:rPr>
        <w:t>e</w:t>
      </w:r>
      <w:r w:rsidRPr="006B2A4D">
        <w:rPr>
          <w:rFonts w:eastAsia="Verdana" w:cs="Verdana"/>
          <w:spacing w:val="2"/>
          <w:sz w:val="20"/>
          <w:szCs w:val="20"/>
          <w:lang w:eastAsia="es-ES"/>
        </w:rPr>
        <w:t>c</w:t>
      </w:r>
      <w:r w:rsidRPr="006B2A4D">
        <w:rPr>
          <w:rFonts w:eastAsia="Verdana" w:cs="Verdana"/>
          <w:spacing w:val="-1"/>
          <w:sz w:val="20"/>
          <w:szCs w:val="20"/>
          <w:lang w:eastAsia="es-ES"/>
        </w:rPr>
        <w:t>o</w:t>
      </w:r>
      <w:r w:rsidRPr="006B2A4D">
        <w:rPr>
          <w:rFonts w:eastAsia="Verdana" w:cs="Verdana"/>
          <w:spacing w:val="1"/>
          <w:sz w:val="20"/>
          <w:szCs w:val="20"/>
          <w:lang w:eastAsia="es-ES"/>
        </w:rPr>
        <w:t>n</w:t>
      </w:r>
      <w:r w:rsidRPr="006B2A4D">
        <w:rPr>
          <w:rFonts w:eastAsia="Verdana" w:cs="Verdana"/>
          <w:spacing w:val="-1"/>
          <w:sz w:val="20"/>
          <w:szCs w:val="20"/>
          <w:lang w:eastAsia="es-ES"/>
        </w:rPr>
        <w:t>ó</w:t>
      </w:r>
      <w:r w:rsidRPr="006B2A4D">
        <w:rPr>
          <w:rFonts w:eastAsia="Verdana" w:cs="Verdana"/>
          <w:sz w:val="20"/>
          <w:szCs w:val="20"/>
          <w:lang w:eastAsia="es-ES"/>
        </w:rPr>
        <w:t>m</w:t>
      </w:r>
      <w:r w:rsidRPr="006B2A4D">
        <w:rPr>
          <w:rFonts w:eastAsia="Verdana" w:cs="Verdana"/>
          <w:spacing w:val="3"/>
          <w:sz w:val="20"/>
          <w:szCs w:val="20"/>
          <w:lang w:eastAsia="es-ES"/>
        </w:rPr>
        <w:t>i</w:t>
      </w:r>
      <w:r w:rsidRPr="006B2A4D">
        <w:rPr>
          <w:rFonts w:eastAsia="Verdana" w:cs="Verdana"/>
          <w:sz w:val="20"/>
          <w:szCs w:val="20"/>
          <w:lang w:eastAsia="es-ES"/>
        </w:rPr>
        <w:t>c</w:t>
      </w:r>
      <w:r w:rsidRPr="006B2A4D">
        <w:rPr>
          <w:rFonts w:eastAsia="Verdana" w:cs="Verdana"/>
          <w:spacing w:val="-2"/>
          <w:sz w:val="20"/>
          <w:szCs w:val="20"/>
          <w:lang w:eastAsia="es-ES"/>
        </w:rPr>
        <w:t>o</w:t>
      </w:r>
      <w:r w:rsidRPr="006B2A4D">
        <w:rPr>
          <w:rFonts w:eastAsia="Verdana" w:cs="Verdana"/>
          <w:spacing w:val="2"/>
          <w:sz w:val="20"/>
          <w:szCs w:val="20"/>
          <w:lang w:eastAsia="es-ES"/>
        </w:rPr>
        <w:t>s</w:t>
      </w:r>
      <w:r w:rsidRPr="006B2A4D">
        <w:rPr>
          <w:rFonts w:eastAsia="Verdana" w:cs="Verdana"/>
          <w:sz w:val="20"/>
          <w:szCs w:val="20"/>
          <w:lang w:eastAsia="es-ES"/>
        </w:rPr>
        <w:t>,</w:t>
      </w:r>
      <w:r w:rsidRPr="006B2A4D">
        <w:rPr>
          <w:rFonts w:eastAsia="Verdana" w:cs="Verdana"/>
          <w:spacing w:val="-11"/>
          <w:sz w:val="20"/>
          <w:szCs w:val="20"/>
          <w:lang w:eastAsia="es-ES"/>
        </w:rPr>
        <w:t xml:space="preserve"> </w:t>
      </w:r>
      <w:r w:rsidRPr="006B2A4D">
        <w:rPr>
          <w:rFonts w:eastAsia="Verdana" w:cs="Verdana"/>
          <w:sz w:val="20"/>
          <w:szCs w:val="20"/>
          <w:lang w:eastAsia="es-ES"/>
        </w:rPr>
        <w:t xml:space="preserve">se </w:t>
      </w:r>
      <w:r w:rsidRPr="006B2A4D">
        <w:rPr>
          <w:rFonts w:eastAsia="Verdana" w:cs="Verdana"/>
          <w:spacing w:val="-1"/>
          <w:sz w:val="20"/>
          <w:szCs w:val="20"/>
          <w:lang w:eastAsia="es-ES"/>
        </w:rPr>
        <w:t>e</w:t>
      </w:r>
      <w:r w:rsidRPr="006B2A4D">
        <w:rPr>
          <w:rFonts w:eastAsia="Verdana" w:cs="Verdana"/>
          <w:sz w:val="20"/>
          <w:szCs w:val="20"/>
          <w:lang w:eastAsia="es-ES"/>
        </w:rPr>
        <w:t>sta</w:t>
      </w:r>
      <w:r w:rsidRPr="006B2A4D">
        <w:rPr>
          <w:rFonts w:eastAsia="Verdana" w:cs="Verdana"/>
          <w:spacing w:val="1"/>
          <w:sz w:val="20"/>
          <w:szCs w:val="20"/>
          <w:lang w:eastAsia="es-ES"/>
        </w:rPr>
        <w:t>b</w:t>
      </w:r>
      <w:r w:rsidRPr="006B2A4D">
        <w:rPr>
          <w:rFonts w:eastAsia="Verdana" w:cs="Verdana"/>
          <w:spacing w:val="3"/>
          <w:sz w:val="20"/>
          <w:szCs w:val="20"/>
          <w:lang w:eastAsia="es-ES"/>
        </w:rPr>
        <w:t>l</w:t>
      </w:r>
      <w:r w:rsidRPr="006B2A4D">
        <w:rPr>
          <w:rFonts w:eastAsia="Verdana" w:cs="Verdana"/>
          <w:spacing w:val="-1"/>
          <w:sz w:val="20"/>
          <w:szCs w:val="20"/>
          <w:lang w:eastAsia="es-ES"/>
        </w:rPr>
        <w:t>e</w:t>
      </w:r>
      <w:r w:rsidRPr="006B2A4D">
        <w:rPr>
          <w:rFonts w:eastAsia="Verdana" w:cs="Verdana"/>
          <w:spacing w:val="1"/>
          <w:sz w:val="20"/>
          <w:szCs w:val="20"/>
          <w:lang w:eastAsia="es-ES"/>
        </w:rPr>
        <w:t>z</w:t>
      </w:r>
      <w:r w:rsidRPr="006B2A4D">
        <w:rPr>
          <w:rFonts w:eastAsia="Verdana" w:cs="Verdana"/>
          <w:sz w:val="20"/>
          <w:szCs w:val="20"/>
          <w:lang w:eastAsia="es-ES"/>
        </w:rPr>
        <w:t>c</w:t>
      </w:r>
      <w:r w:rsidRPr="006B2A4D">
        <w:rPr>
          <w:rFonts w:eastAsia="Verdana" w:cs="Verdana"/>
          <w:spacing w:val="2"/>
          <w:sz w:val="20"/>
          <w:szCs w:val="20"/>
          <w:lang w:eastAsia="es-ES"/>
        </w:rPr>
        <w:t>a</w:t>
      </w:r>
      <w:r w:rsidRPr="006B2A4D">
        <w:rPr>
          <w:rFonts w:eastAsia="Verdana" w:cs="Verdana"/>
          <w:sz w:val="20"/>
          <w:szCs w:val="20"/>
          <w:lang w:eastAsia="es-ES"/>
        </w:rPr>
        <w:t>n</w:t>
      </w:r>
      <w:r w:rsidRPr="006B2A4D">
        <w:rPr>
          <w:rFonts w:eastAsia="Verdana" w:cs="Verdana"/>
          <w:spacing w:val="-10"/>
          <w:sz w:val="20"/>
          <w:szCs w:val="20"/>
          <w:lang w:eastAsia="es-ES"/>
        </w:rPr>
        <w:t xml:space="preserve"> </w:t>
      </w:r>
      <w:r w:rsidRPr="006B2A4D">
        <w:rPr>
          <w:rFonts w:eastAsia="Verdana" w:cs="Verdana"/>
          <w:sz w:val="20"/>
          <w:szCs w:val="20"/>
          <w:lang w:eastAsia="es-ES"/>
        </w:rPr>
        <w:t>c</w:t>
      </w:r>
      <w:r w:rsidRPr="006B2A4D">
        <w:rPr>
          <w:rFonts w:eastAsia="Verdana" w:cs="Verdana"/>
          <w:spacing w:val="-2"/>
          <w:sz w:val="20"/>
          <w:szCs w:val="20"/>
          <w:lang w:eastAsia="es-ES"/>
        </w:rPr>
        <w:t>o</w:t>
      </w:r>
      <w:r w:rsidRPr="006B2A4D">
        <w:rPr>
          <w:rFonts w:eastAsia="Verdana" w:cs="Verdana"/>
          <w:sz w:val="20"/>
          <w:szCs w:val="20"/>
          <w:lang w:eastAsia="es-ES"/>
        </w:rPr>
        <w:t>n c</w:t>
      </w:r>
      <w:r w:rsidRPr="006B2A4D">
        <w:rPr>
          <w:rFonts w:eastAsia="Verdana" w:cs="Verdana"/>
          <w:spacing w:val="2"/>
          <w:sz w:val="20"/>
          <w:szCs w:val="20"/>
          <w:lang w:eastAsia="es-ES"/>
        </w:rPr>
        <w:t>l</w:t>
      </w:r>
      <w:r w:rsidRPr="006B2A4D">
        <w:rPr>
          <w:rFonts w:eastAsia="Verdana" w:cs="Verdana"/>
          <w:sz w:val="20"/>
          <w:szCs w:val="20"/>
          <w:lang w:eastAsia="es-ES"/>
        </w:rPr>
        <w:t>a</w:t>
      </w:r>
      <w:r w:rsidRPr="006B2A4D">
        <w:rPr>
          <w:rFonts w:eastAsia="Verdana" w:cs="Verdana"/>
          <w:spacing w:val="-1"/>
          <w:sz w:val="20"/>
          <w:szCs w:val="20"/>
          <w:lang w:eastAsia="es-ES"/>
        </w:rPr>
        <w:t>r</w:t>
      </w:r>
      <w:r w:rsidRPr="006B2A4D">
        <w:rPr>
          <w:rFonts w:eastAsia="Verdana" w:cs="Verdana"/>
          <w:spacing w:val="3"/>
          <w:sz w:val="20"/>
          <w:szCs w:val="20"/>
          <w:lang w:eastAsia="es-ES"/>
        </w:rPr>
        <w:t>i</w:t>
      </w:r>
      <w:r w:rsidRPr="006B2A4D">
        <w:rPr>
          <w:rFonts w:eastAsia="Verdana" w:cs="Verdana"/>
          <w:spacing w:val="1"/>
          <w:sz w:val="20"/>
          <w:szCs w:val="20"/>
          <w:lang w:eastAsia="es-ES"/>
        </w:rPr>
        <w:t>d</w:t>
      </w:r>
      <w:r w:rsidRPr="006B2A4D">
        <w:rPr>
          <w:rFonts w:eastAsia="Verdana" w:cs="Verdana"/>
          <w:sz w:val="20"/>
          <w:szCs w:val="20"/>
          <w:lang w:eastAsia="es-ES"/>
        </w:rPr>
        <w:t>ad</w:t>
      </w:r>
      <w:r w:rsidRPr="006B2A4D">
        <w:rPr>
          <w:rFonts w:eastAsia="Verdana" w:cs="Verdana"/>
          <w:spacing w:val="-10"/>
          <w:sz w:val="20"/>
          <w:szCs w:val="20"/>
          <w:lang w:eastAsia="es-ES"/>
        </w:rPr>
        <w:t xml:space="preserve"> </w:t>
      </w:r>
      <w:r w:rsidRPr="006B2A4D">
        <w:rPr>
          <w:rFonts w:eastAsia="Verdana" w:cs="Verdana"/>
          <w:spacing w:val="3"/>
          <w:sz w:val="20"/>
          <w:szCs w:val="20"/>
          <w:lang w:eastAsia="es-ES"/>
        </w:rPr>
        <w:t>l</w:t>
      </w:r>
      <w:r w:rsidRPr="006B2A4D">
        <w:rPr>
          <w:rFonts w:eastAsia="Verdana" w:cs="Verdana"/>
          <w:spacing w:val="-1"/>
          <w:sz w:val="20"/>
          <w:szCs w:val="20"/>
          <w:lang w:eastAsia="es-ES"/>
        </w:rPr>
        <w:t>o</w:t>
      </w:r>
      <w:r w:rsidRPr="006B2A4D">
        <w:rPr>
          <w:rFonts w:eastAsia="Verdana" w:cs="Verdana"/>
          <w:sz w:val="20"/>
          <w:szCs w:val="20"/>
          <w:lang w:eastAsia="es-ES"/>
        </w:rPr>
        <w:t>s</w:t>
      </w:r>
      <w:r w:rsidRPr="006B2A4D">
        <w:rPr>
          <w:rFonts w:eastAsia="Verdana" w:cs="Verdana"/>
          <w:spacing w:val="-4"/>
          <w:sz w:val="20"/>
          <w:szCs w:val="20"/>
          <w:lang w:eastAsia="es-ES"/>
        </w:rPr>
        <w:t xml:space="preserve"> </w:t>
      </w:r>
      <w:r w:rsidRPr="006B2A4D">
        <w:rPr>
          <w:rFonts w:eastAsia="Verdana" w:cs="Verdana"/>
          <w:spacing w:val="-1"/>
          <w:sz w:val="20"/>
          <w:szCs w:val="20"/>
          <w:lang w:eastAsia="es-ES"/>
        </w:rPr>
        <w:t>r</w:t>
      </w:r>
      <w:r w:rsidRPr="006B2A4D">
        <w:rPr>
          <w:rFonts w:eastAsia="Verdana" w:cs="Verdana"/>
          <w:spacing w:val="1"/>
          <w:sz w:val="20"/>
          <w:szCs w:val="20"/>
          <w:lang w:eastAsia="es-ES"/>
        </w:rPr>
        <w:t>ubr</w:t>
      </w:r>
      <w:r w:rsidRPr="006B2A4D">
        <w:rPr>
          <w:rFonts w:eastAsia="Verdana" w:cs="Verdana"/>
          <w:spacing w:val="-1"/>
          <w:sz w:val="20"/>
          <w:szCs w:val="20"/>
          <w:lang w:eastAsia="es-ES"/>
        </w:rPr>
        <w:t>o</w:t>
      </w:r>
      <w:r w:rsidRPr="006B2A4D">
        <w:rPr>
          <w:rFonts w:eastAsia="Verdana" w:cs="Verdana"/>
          <w:sz w:val="20"/>
          <w:szCs w:val="20"/>
          <w:lang w:eastAsia="es-ES"/>
        </w:rPr>
        <w:t>s</w:t>
      </w:r>
      <w:r w:rsidRPr="006B2A4D">
        <w:rPr>
          <w:rFonts w:eastAsia="Verdana" w:cs="Verdana"/>
          <w:spacing w:val="-5"/>
          <w:sz w:val="20"/>
          <w:szCs w:val="20"/>
          <w:lang w:eastAsia="es-ES"/>
        </w:rPr>
        <w:t xml:space="preserve"> </w:t>
      </w:r>
      <w:r w:rsidRPr="006B2A4D">
        <w:rPr>
          <w:rFonts w:eastAsia="Verdana" w:cs="Verdana"/>
          <w:sz w:val="20"/>
          <w:szCs w:val="20"/>
          <w:lang w:eastAsia="es-ES"/>
        </w:rPr>
        <w:t>y</w:t>
      </w:r>
      <w:r w:rsidRPr="006B2A4D">
        <w:rPr>
          <w:rFonts w:eastAsia="Verdana" w:cs="Verdana"/>
          <w:spacing w:val="-2"/>
          <w:sz w:val="20"/>
          <w:szCs w:val="20"/>
          <w:lang w:eastAsia="es-ES"/>
        </w:rPr>
        <w:t xml:space="preserve"> </w:t>
      </w:r>
      <w:r w:rsidRPr="006B2A4D">
        <w:rPr>
          <w:rFonts w:eastAsia="Verdana" w:cs="Verdana"/>
          <w:spacing w:val="3"/>
          <w:sz w:val="20"/>
          <w:szCs w:val="20"/>
          <w:lang w:eastAsia="es-ES"/>
        </w:rPr>
        <w:t>l</w:t>
      </w:r>
      <w:r w:rsidRPr="006B2A4D">
        <w:rPr>
          <w:rFonts w:eastAsia="Verdana" w:cs="Verdana"/>
          <w:sz w:val="20"/>
          <w:szCs w:val="20"/>
          <w:lang w:eastAsia="es-ES"/>
        </w:rPr>
        <w:t>a</w:t>
      </w:r>
      <w:r w:rsidRPr="006B2A4D">
        <w:rPr>
          <w:rFonts w:eastAsia="Verdana" w:cs="Verdana"/>
          <w:spacing w:val="-2"/>
          <w:sz w:val="20"/>
          <w:szCs w:val="20"/>
          <w:lang w:eastAsia="es-ES"/>
        </w:rPr>
        <w:t xml:space="preserve"> </w:t>
      </w:r>
      <w:r w:rsidRPr="006B2A4D">
        <w:rPr>
          <w:rFonts w:eastAsia="Verdana" w:cs="Verdana"/>
          <w:spacing w:val="1"/>
          <w:sz w:val="20"/>
          <w:szCs w:val="20"/>
          <w:lang w:eastAsia="es-ES"/>
        </w:rPr>
        <w:t>ju</w:t>
      </w:r>
      <w:r w:rsidRPr="006B2A4D">
        <w:rPr>
          <w:rFonts w:eastAsia="Verdana" w:cs="Verdana"/>
          <w:sz w:val="20"/>
          <w:szCs w:val="20"/>
          <w:lang w:eastAsia="es-ES"/>
        </w:rPr>
        <w:t>st</w:t>
      </w:r>
      <w:r w:rsidRPr="006B2A4D">
        <w:rPr>
          <w:rFonts w:eastAsia="Verdana" w:cs="Verdana"/>
          <w:spacing w:val="3"/>
          <w:sz w:val="20"/>
          <w:szCs w:val="20"/>
          <w:lang w:eastAsia="es-ES"/>
        </w:rPr>
        <w:t>i</w:t>
      </w:r>
      <w:r w:rsidRPr="006B2A4D">
        <w:rPr>
          <w:rFonts w:eastAsia="Verdana" w:cs="Verdana"/>
          <w:spacing w:val="-3"/>
          <w:sz w:val="20"/>
          <w:szCs w:val="20"/>
          <w:lang w:eastAsia="es-ES"/>
        </w:rPr>
        <w:t>f</w:t>
      </w:r>
      <w:r w:rsidRPr="006B2A4D">
        <w:rPr>
          <w:rFonts w:eastAsia="Verdana" w:cs="Verdana"/>
          <w:spacing w:val="3"/>
          <w:sz w:val="20"/>
          <w:szCs w:val="20"/>
          <w:lang w:eastAsia="es-ES"/>
        </w:rPr>
        <w:t>i</w:t>
      </w:r>
      <w:r w:rsidRPr="006B2A4D">
        <w:rPr>
          <w:rFonts w:eastAsia="Verdana" w:cs="Verdana"/>
          <w:sz w:val="20"/>
          <w:szCs w:val="20"/>
          <w:lang w:eastAsia="es-ES"/>
        </w:rPr>
        <w:t>ca</w:t>
      </w:r>
      <w:r w:rsidRPr="006B2A4D">
        <w:rPr>
          <w:rFonts w:eastAsia="Verdana" w:cs="Verdana"/>
          <w:spacing w:val="-1"/>
          <w:sz w:val="20"/>
          <w:szCs w:val="20"/>
          <w:lang w:eastAsia="es-ES"/>
        </w:rPr>
        <w:t>c</w:t>
      </w:r>
      <w:r w:rsidRPr="006B2A4D">
        <w:rPr>
          <w:rFonts w:eastAsia="Verdana" w:cs="Verdana"/>
          <w:spacing w:val="3"/>
          <w:sz w:val="20"/>
          <w:szCs w:val="20"/>
          <w:lang w:eastAsia="es-ES"/>
        </w:rPr>
        <w:t>i</w:t>
      </w:r>
      <w:r w:rsidRPr="006B2A4D">
        <w:rPr>
          <w:rFonts w:eastAsia="Verdana" w:cs="Verdana"/>
          <w:spacing w:val="-1"/>
          <w:sz w:val="20"/>
          <w:szCs w:val="20"/>
          <w:lang w:eastAsia="es-ES"/>
        </w:rPr>
        <w:t>ó</w:t>
      </w:r>
      <w:r w:rsidRPr="006B2A4D">
        <w:rPr>
          <w:rFonts w:eastAsia="Verdana" w:cs="Verdana"/>
          <w:sz w:val="20"/>
          <w:szCs w:val="20"/>
          <w:lang w:eastAsia="es-ES"/>
        </w:rPr>
        <w:t>n</w:t>
      </w:r>
      <w:r w:rsidRPr="006B2A4D">
        <w:rPr>
          <w:rFonts w:eastAsia="Verdana" w:cs="Verdana"/>
          <w:spacing w:val="-11"/>
          <w:sz w:val="20"/>
          <w:szCs w:val="20"/>
          <w:lang w:eastAsia="es-ES"/>
        </w:rPr>
        <w:t xml:space="preserve"> </w:t>
      </w:r>
      <w:r w:rsidRPr="006B2A4D">
        <w:rPr>
          <w:rFonts w:eastAsia="Verdana" w:cs="Verdana"/>
          <w:sz w:val="20"/>
          <w:szCs w:val="20"/>
          <w:lang w:eastAsia="es-ES"/>
        </w:rPr>
        <w:t>de</w:t>
      </w:r>
      <w:r w:rsidRPr="006B2A4D">
        <w:rPr>
          <w:rFonts w:eastAsia="Verdana" w:cs="Verdana"/>
          <w:spacing w:val="-3"/>
          <w:sz w:val="20"/>
          <w:szCs w:val="20"/>
          <w:lang w:eastAsia="es-ES"/>
        </w:rPr>
        <w:t xml:space="preserve"> </w:t>
      </w:r>
      <w:r w:rsidRPr="006B2A4D">
        <w:rPr>
          <w:rFonts w:eastAsia="Verdana" w:cs="Verdana"/>
          <w:spacing w:val="2"/>
          <w:sz w:val="20"/>
          <w:szCs w:val="20"/>
          <w:lang w:eastAsia="es-ES"/>
        </w:rPr>
        <w:t>l</w:t>
      </w:r>
      <w:r w:rsidRPr="006B2A4D">
        <w:rPr>
          <w:rFonts w:eastAsia="Verdana" w:cs="Verdana"/>
          <w:spacing w:val="-1"/>
          <w:sz w:val="20"/>
          <w:szCs w:val="20"/>
          <w:lang w:eastAsia="es-ES"/>
        </w:rPr>
        <w:t>o</w:t>
      </w:r>
      <w:r w:rsidRPr="006B2A4D">
        <w:rPr>
          <w:rFonts w:eastAsia="Verdana" w:cs="Verdana"/>
          <w:sz w:val="20"/>
          <w:szCs w:val="20"/>
          <w:lang w:eastAsia="es-ES"/>
        </w:rPr>
        <w:t>s</w:t>
      </w:r>
      <w:r w:rsidRPr="006B2A4D">
        <w:rPr>
          <w:rFonts w:eastAsia="Verdana" w:cs="Verdana"/>
          <w:spacing w:val="-4"/>
          <w:sz w:val="20"/>
          <w:szCs w:val="20"/>
          <w:lang w:eastAsia="es-ES"/>
        </w:rPr>
        <w:t xml:space="preserve"> </w:t>
      </w:r>
      <w:r w:rsidRPr="006B2A4D">
        <w:rPr>
          <w:rFonts w:eastAsia="Verdana" w:cs="Verdana"/>
          <w:sz w:val="20"/>
          <w:szCs w:val="20"/>
          <w:lang w:eastAsia="es-ES"/>
        </w:rPr>
        <w:t>m</w:t>
      </w:r>
      <w:r w:rsidRPr="006B2A4D">
        <w:rPr>
          <w:rFonts w:eastAsia="Verdana" w:cs="Verdana"/>
          <w:spacing w:val="3"/>
          <w:sz w:val="20"/>
          <w:szCs w:val="20"/>
          <w:lang w:eastAsia="es-ES"/>
        </w:rPr>
        <w:t>i</w:t>
      </w:r>
      <w:r w:rsidRPr="006B2A4D">
        <w:rPr>
          <w:rFonts w:eastAsia="Verdana" w:cs="Verdana"/>
          <w:sz w:val="20"/>
          <w:szCs w:val="20"/>
          <w:lang w:eastAsia="es-ES"/>
        </w:rPr>
        <w:t>sm</w:t>
      </w:r>
      <w:r w:rsidRPr="006B2A4D">
        <w:rPr>
          <w:rFonts w:eastAsia="Verdana" w:cs="Verdana"/>
          <w:spacing w:val="-1"/>
          <w:sz w:val="20"/>
          <w:szCs w:val="20"/>
          <w:lang w:eastAsia="es-ES"/>
        </w:rPr>
        <w:t>o</w:t>
      </w:r>
      <w:r w:rsidRPr="006B2A4D">
        <w:rPr>
          <w:rFonts w:eastAsia="Verdana" w:cs="Verdana"/>
          <w:spacing w:val="7"/>
          <w:sz w:val="20"/>
          <w:szCs w:val="20"/>
          <w:lang w:eastAsia="es-ES"/>
        </w:rPr>
        <w:t>s</w:t>
      </w:r>
      <w:r w:rsidRPr="006B2A4D">
        <w:rPr>
          <w:rFonts w:eastAsia="Verdana" w:cs="Verdana"/>
          <w:spacing w:val="7"/>
          <w:sz w:val="20"/>
          <w:szCs w:val="20"/>
          <w:vertAlign w:val="superscript"/>
          <w:lang w:eastAsia="es-ES"/>
        </w:rPr>
        <w:footnoteReference w:id="330"/>
      </w:r>
      <w:r w:rsidRPr="006B2A4D">
        <w:rPr>
          <w:rFonts w:eastAsia="Verdana" w:cs="Verdana"/>
          <w:sz w:val="20"/>
          <w:szCs w:val="20"/>
          <w:lang w:eastAsia="es-ES"/>
        </w:rPr>
        <w:t>.</w:t>
      </w:r>
      <w:r w:rsidRPr="006B2A4D">
        <w:rPr>
          <w:rFonts w:eastAsia="Calibri"/>
          <w:sz w:val="20"/>
          <w:szCs w:val="20"/>
          <w:lang w:eastAsia="es-ES"/>
        </w:rPr>
        <w:t xml:space="preserve"> </w:t>
      </w:r>
    </w:p>
    <w:p w14:paraId="5E1BCD05" w14:textId="77777777" w:rsidR="006B2A4D" w:rsidRPr="006B2A4D" w:rsidRDefault="006B2A4D" w:rsidP="006B2A4D">
      <w:pPr>
        <w:widowControl w:val="0"/>
        <w:tabs>
          <w:tab w:val="left" w:pos="567"/>
          <w:tab w:val="num" w:pos="1569"/>
          <w:tab w:val="num" w:pos="12305"/>
        </w:tabs>
        <w:adjustRightInd w:val="0"/>
        <w:textAlignment w:val="baseline"/>
        <w:rPr>
          <w:rFonts w:eastAsia="Calibri"/>
          <w:sz w:val="20"/>
          <w:szCs w:val="20"/>
          <w:lang w:eastAsia="es-ES"/>
        </w:rPr>
      </w:pPr>
    </w:p>
    <w:p w14:paraId="6B950E4F" w14:textId="155CB91A" w:rsidR="006B2A4D"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eastAsia="es-ES"/>
        </w:rPr>
        <w:t>En el presente caso</w:t>
      </w:r>
      <w:r w:rsidRPr="006B2A4D">
        <w:rPr>
          <w:rFonts w:eastAsia="Calibri"/>
          <w:color w:val="000000"/>
          <w:sz w:val="20"/>
          <w:szCs w:val="20"/>
          <w:lang w:eastAsia="es-ES"/>
        </w:rPr>
        <w:t xml:space="preserve">, la Corte constata que los representantes no se refirieron al monto de los gastos incurridos durante el litigio a nivel nacional ni tampoco aportaron prueba al respecto. Por tanto, la Corte no cuenta con el respaldo probatorio para determinar los gastos realizados. En relación con los gastos incurridos durante el proceso internacional tampoco se aportó prueba para establecer los gastos realizados debido a su perdida en el incendio ocurrido en la vivienda familiar. Sin embargo, la Corte considera que es razonable suponer que durante los años de trámite del presente caso ante la jurisdicción interna la víctima realizó erogaciones económicas. Por otra parte, la Corte también considera razonable que las víctimas del presente caso y sus representantes han incurrido en diversos gastos relativos a honorarios, recolección de prueba, transporte, servicios de comunicación, entre otros, en el trámite internacional del presente caso. </w:t>
      </w:r>
      <w:r w:rsidRPr="006B2A4D">
        <w:rPr>
          <w:rFonts w:eastAsia="Calibri"/>
          <w:sz w:val="20"/>
          <w:szCs w:val="20"/>
          <w:lang w:eastAsia="es-ES"/>
        </w:rPr>
        <w:t xml:space="preserve">En consecuencia, la Corte decide fijar un monto razonable por la cantidad </w:t>
      </w:r>
      <w:r w:rsidRPr="00AA65C5">
        <w:rPr>
          <w:rFonts w:eastAsia="Calibri"/>
          <w:sz w:val="20"/>
          <w:szCs w:val="20"/>
          <w:lang w:eastAsia="es-ES"/>
        </w:rPr>
        <w:t xml:space="preserve">de </w:t>
      </w:r>
      <w:r w:rsidRPr="00B1523A">
        <w:rPr>
          <w:rFonts w:eastAsia="Calibri"/>
          <w:sz w:val="20"/>
          <w:lang w:eastAsia="es-ES"/>
        </w:rPr>
        <w:t>US</w:t>
      </w:r>
      <w:r w:rsidRPr="007E5CD5">
        <w:rPr>
          <w:rFonts w:eastAsia="Calibri"/>
          <w:b/>
          <w:sz w:val="20"/>
          <w:lang w:eastAsia="es-ES"/>
        </w:rPr>
        <w:t xml:space="preserve"> </w:t>
      </w:r>
      <w:r w:rsidRPr="00B1523A">
        <w:rPr>
          <w:rFonts w:eastAsia="Calibri"/>
          <w:sz w:val="20"/>
          <w:szCs w:val="20"/>
          <w:lang w:eastAsia="es-ES"/>
        </w:rPr>
        <w:t>$</w:t>
      </w:r>
      <w:r w:rsidR="00F377B4" w:rsidRPr="00B1523A">
        <w:rPr>
          <w:rFonts w:eastAsia="Calibri"/>
          <w:sz w:val="20"/>
          <w:szCs w:val="20"/>
          <w:lang w:eastAsia="es-ES"/>
        </w:rPr>
        <w:t>15,000</w:t>
      </w:r>
      <w:r w:rsidRPr="007E5CD5">
        <w:rPr>
          <w:rFonts w:eastAsia="Calibri"/>
          <w:sz w:val="20"/>
          <w:lang w:eastAsia="es-ES"/>
        </w:rPr>
        <w:t xml:space="preserve"> </w:t>
      </w:r>
      <w:r w:rsidR="00F24D4D" w:rsidRPr="007E5CD5">
        <w:rPr>
          <w:rFonts w:eastAsia="Calibri"/>
          <w:sz w:val="20"/>
          <w:lang w:eastAsia="es-ES"/>
        </w:rPr>
        <w:t xml:space="preserve">(quince mil </w:t>
      </w:r>
      <w:r w:rsidRPr="007E5CD5">
        <w:rPr>
          <w:rFonts w:eastAsia="Calibri"/>
          <w:sz w:val="20"/>
          <w:lang w:eastAsia="es-ES"/>
        </w:rPr>
        <w:t>dólares de los Estados Unidos de América)</w:t>
      </w:r>
      <w:r w:rsidRPr="00AA65C5">
        <w:rPr>
          <w:rFonts w:eastAsia="Calibri"/>
          <w:sz w:val="20"/>
          <w:szCs w:val="20"/>
          <w:lang w:eastAsia="es-ES"/>
        </w:rPr>
        <w:t xml:space="preserve"> con motivo de las labores realizadas</w:t>
      </w:r>
      <w:r w:rsidRPr="006B2A4D">
        <w:rPr>
          <w:rFonts w:eastAsia="Calibri"/>
          <w:sz w:val="20"/>
          <w:szCs w:val="20"/>
          <w:lang w:eastAsia="es-ES"/>
        </w:rPr>
        <w:t xml:space="preserve"> en el litigio del presente caso, el cual deberá ser entregado a las víctimas sobrevivientes en presente caso, quienes a su vez podrán otorgarlo a quien corresponda</w:t>
      </w:r>
      <w:r w:rsidR="00340F58">
        <w:rPr>
          <w:rFonts w:eastAsia="Calibri"/>
          <w:sz w:val="20"/>
          <w:szCs w:val="20"/>
          <w:lang w:eastAsia="es-ES"/>
        </w:rPr>
        <w:t>,</w:t>
      </w:r>
      <w:r w:rsidR="002A5941">
        <w:rPr>
          <w:rFonts w:eastAsia="Calibri"/>
          <w:sz w:val="20"/>
          <w:szCs w:val="20"/>
          <w:lang w:eastAsia="es-ES"/>
        </w:rPr>
        <w:t xml:space="preserve"> lo cual no será supervisado por la Corte</w:t>
      </w:r>
      <w:r w:rsidRPr="006B2A4D">
        <w:rPr>
          <w:rFonts w:eastAsia="Calibri"/>
          <w:sz w:val="20"/>
          <w:szCs w:val="20"/>
          <w:lang w:eastAsia="es-ES"/>
        </w:rPr>
        <w:t>.</w:t>
      </w:r>
    </w:p>
    <w:p w14:paraId="5052D034" w14:textId="77777777" w:rsidR="006B2A4D" w:rsidRPr="006B2A4D" w:rsidRDefault="006B2A4D" w:rsidP="006B2A4D">
      <w:pPr>
        <w:widowControl w:val="0"/>
        <w:tabs>
          <w:tab w:val="left" w:pos="567"/>
          <w:tab w:val="num" w:pos="1569"/>
          <w:tab w:val="num" w:pos="12305"/>
        </w:tabs>
        <w:adjustRightInd w:val="0"/>
        <w:textAlignment w:val="baseline"/>
        <w:rPr>
          <w:rFonts w:eastAsia="Calibri"/>
          <w:sz w:val="20"/>
          <w:szCs w:val="20"/>
          <w:lang w:eastAsia="es-ES"/>
        </w:rPr>
      </w:pPr>
    </w:p>
    <w:p w14:paraId="140A3D20" w14:textId="77777777" w:rsidR="006B2A4D" w:rsidRPr="00AD229D" w:rsidRDefault="006B2A4D" w:rsidP="002726E0">
      <w:pPr>
        <w:pStyle w:val="Heading2"/>
        <w:numPr>
          <w:ilvl w:val="0"/>
          <w:numId w:val="13"/>
        </w:numPr>
      </w:pPr>
      <w:bookmarkStart w:id="134" w:name="_Toc498333530"/>
      <w:bookmarkStart w:id="135" w:name="_Toc513644499"/>
      <w:r w:rsidRPr="00AD229D">
        <w:t>Reintegro de los gastos al Fondo de Asistencia Legal de Víctimas</w:t>
      </w:r>
      <w:bookmarkEnd w:id="134"/>
      <w:bookmarkEnd w:id="135"/>
    </w:p>
    <w:p w14:paraId="67D7AD1E" w14:textId="77777777" w:rsidR="006B2A4D" w:rsidRPr="006B2A4D" w:rsidRDefault="006B2A4D" w:rsidP="006B2A4D">
      <w:pPr>
        <w:keepNext/>
        <w:keepLines/>
        <w:outlineLvl w:val="1"/>
        <w:rPr>
          <w:b/>
          <w:bCs/>
          <w:i/>
          <w:sz w:val="20"/>
          <w:szCs w:val="20"/>
          <w:lang w:val="es-ES" w:eastAsia="en-US"/>
        </w:rPr>
      </w:pPr>
    </w:p>
    <w:p w14:paraId="58195674" w14:textId="7416B67F" w:rsidR="006B2A4D" w:rsidRPr="006B2A4D"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cs="Verdana"/>
          <w:color w:val="000000"/>
          <w:sz w:val="20"/>
          <w:szCs w:val="20"/>
          <w:lang w:eastAsia="es-ES"/>
        </w:rPr>
      </w:pPr>
      <w:r w:rsidRPr="006B2A4D">
        <w:rPr>
          <w:rFonts w:eastAsia="Calibri" w:cs="Verdana"/>
          <w:color w:val="000000"/>
          <w:sz w:val="20"/>
          <w:szCs w:val="20"/>
          <w:lang w:eastAsia="es-ES"/>
        </w:rPr>
        <w:t xml:space="preserve"> </w:t>
      </w:r>
      <w:r w:rsidRPr="006B2A4D">
        <w:rPr>
          <w:rFonts w:eastAsia="Calibri" w:cs="Verdana"/>
          <w:bCs/>
          <w:iCs/>
          <w:color w:val="000000"/>
          <w:sz w:val="20"/>
          <w:szCs w:val="20"/>
          <w:lang w:val="es-ES_tradnl" w:eastAsia="es-ES"/>
        </w:rPr>
        <w:t>En el 2008 la Asamblea General de la Organización de los Estados Americanos creó el Fondo de Asistencia Legal del Sistema Interamericano de Derechos Humanos (en adelante también “FALV”), con el “objeto [de] facilitar el acceso al sistema interamericano de derechos humanos a aquellas personas que actualmente no tienen los recursos necesarios para llevar su caso al sistema”</w:t>
      </w:r>
      <w:r w:rsidRPr="006B2A4D">
        <w:rPr>
          <w:rFonts w:eastAsia="Calibri" w:cs="Verdana"/>
          <w:bCs/>
          <w:iCs/>
          <w:color w:val="000000"/>
          <w:sz w:val="20"/>
          <w:szCs w:val="20"/>
          <w:vertAlign w:val="superscript"/>
          <w:lang w:val="es-ES_tradnl" w:eastAsia="es-ES"/>
        </w:rPr>
        <w:footnoteReference w:id="331"/>
      </w:r>
      <w:r w:rsidRPr="006B2A4D">
        <w:rPr>
          <w:rFonts w:eastAsia="Calibri" w:cs="Verdana"/>
          <w:bCs/>
          <w:iCs/>
          <w:color w:val="000000"/>
          <w:sz w:val="20"/>
          <w:szCs w:val="20"/>
          <w:lang w:val="es-ES_tradnl" w:eastAsia="es-ES"/>
        </w:rPr>
        <w:t xml:space="preserve">. </w:t>
      </w:r>
      <w:r w:rsidRPr="006B2A4D">
        <w:rPr>
          <w:rFonts w:eastAsia="Calibri" w:cs="Verdana"/>
          <w:color w:val="000000"/>
          <w:sz w:val="20"/>
          <w:szCs w:val="20"/>
          <w:lang w:eastAsia="es-ES"/>
        </w:rPr>
        <w:t>Las representantes, en su escrito de solicitudes, argumentos y pruebas, solicitaron acogerse al Fondo de Asistencia de la Corte</w:t>
      </w:r>
      <w:r w:rsidRPr="006B2A4D">
        <w:rPr>
          <w:rFonts w:eastAsia="Calibri"/>
          <w:sz w:val="20"/>
          <w:szCs w:val="20"/>
          <w:lang w:val="es-ES" w:eastAsia="es-ES"/>
        </w:rPr>
        <w:t>.</w:t>
      </w:r>
      <w:r w:rsidRPr="006B2A4D">
        <w:rPr>
          <w:rFonts w:eastAsia="Calibri" w:cs="Verdana"/>
          <w:color w:val="000000"/>
          <w:sz w:val="20"/>
          <w:szCs w:val="20"/>
          <w:lang w:eastAsia="es-ES"/>
        </w:rPr>
        <w:t xml:space="preserve"> </w:t>
      </w:r>
      <w:r w:rsidRPr="006B2A4D">
        <w:rPr>
          <w:rFonts w:eastAsia="Calibri"/>
          <w:sz w:val="20"/>
          <w:szCs w:val="20"/>
          <w:lang w:val="es-ES" w:eastAsia="es-ES"/>
        </w:rPr>
        <w:t>Mediante Resolución emitida por el Presidente de la Corte Interamericana el día 21 de septiembre de 2017</w:t>
      </w:r>
      <w:r w:rsidRPr="006B2A4D">
        <w:rPr>
          <w:rFonts w:eastAsia="Calibri"/>
          <w:sz w:val="20"/>
          <w:szCs w:val="20"/>
          <w:vertAlign w:val="superscript"/>
          <w:lang w:val="es-ES" w:eastAsia="es-ES"/>
        </w:rPr>
        <w:footnoteReference w:id="332"/>
      </w:r>
      <w:r w:rsidRPr="006B2A4D">
        <w:rPr>
          <w:rFonts w:eastAsia="Calibri"/>
          <w:sz w:val="20"/>
          <w:szCs w:val="20"/>
          <w:lang w:val="es-ES" w:eastAsia="es-ES"/>
        </w:rPr>
        <w:t xml:space="preserve">, se declaró procedente la aplicación del Fondo </w:t>
      </w:r>
      <w:r w:rsidRPr="006B2A4D">
        <w:rPr>
          <w:rFonts w:eastAsia="Calibri"/>
          <w:sz w:val="20"/>
          <w:szCs w:val="20"/>
          <w:lang w:eastAsia="es-ES"/>
        </w:rPr>
        <w:t xml:space="preserve">para cubrir los gastos de: i) viaje y estadía necesarios para que las dos defensoras interamericanas asistan a la audiencia pública a ejercer sus labores de representación; ii) viaje y estadía necesarios para que el señor Vinicio Marco Antonio Poblete Tapia, el señor Javier Alejandro Santos comparezcan en dicha audiencia a rendir su declaración y dictamen pericial, respectivamente; iii) los costos que generen las declaraciones por </w:t>
      </w:r>
      <w:r w:rsidRPr="006B2A4D">
        <w:rPr>
          <w:rFonts w:eastAsia="Calibri"/>
          <w:i/>
          <w:sz w:val="20"/>
          <w:szCs w:val="20"/>
          <w:lang w:eastAsia="es-ES"/>
        </w:rPr>
        <w:t>affidávit</w:t>
      </w:r>
      <w:r w:rsidRPr="006B2A4D">
        <w:rPr>
          <w:rFonts w:eastAsia="Calibri"/>
          <w:sz w:val="20"/>
          <w:szCs w:val="20"/>
          <w:lang w:eastAsia="es-ES"/>
        </w:rPr>
        <w:t xml:space="preserve"> de 5 declarantes o peritos en total propuestos por las defensoras, según se especifica en la parte resolutiva de esta decisión; i</w:t>
      </w:r>
      <w:r w:rsidRPr="006B2A4D">
        <w:rPr>
          <w:rFonts w:eastAsia="Calibri"/>
          <w:sz w:val="20"/>
          <w:szCs w:val="20"/>
          <w:lang w:val="es-MX" w:eastAsia="es-ES"/>
        </w:rPr>
        <w:t xml:space="preserve">v) los demás gastos razonables y necesarios en que hayan incurrido o puedan incurrir </w:t>
      </w:r>
      <w:r w:rsidR="00854F1A">
        <w:rPr>
          <w:rFonts w:eastAsia="Calibri"/>
          <w:sz w:val="20"/>
          <w:szCs w:val="20"/>
          <w:lang w:val="es-MX" w:eastAsia="es-ES"/>
        </w:rPr>
        <w:t xml:space="preserve">las defensoras interamericanas. </w:t>
      </w:r>
    </w:p>
    <w:p w14:paraId="5F1671F6" w14:textId="77777777" w:rsidR="006B2A4D" w:rsidRPr="006B2A4D" w:rsidRDefault="006B2A4D" w:rsidP="006B2A4D">
      <w:pPr>
        <w:widowControl w:val="0"/>
        <w:tabs>
          <w:tab w:val="left" w:pos="567"/>
          <w:tab w:val="num" w:pos="1569"/>
          <w:tab w:val="num" w:pos="12305"/>
        </w:tabs>
        <w:adjustRightInd w:val="0"/>
        <w:textAlignment w:val="baseline"/>
        <w:rPr>
          <w:rFonts w:eastAsia="Calibri" w:cs="Verdana"/>
          <w:color w:val="000000"/>
          <w:sz w:val="20"/>
          <w:szCs w:val="20"/>
          <w:lang w:eastAsia="es-ES"/>
        </w:rPr>
      </w:pPr>
    </w:p>
    <w:p w14:paraId="7B1ED1B1" w14:textId="588132F7" w:rsidR="006B2A4D" w:rsidRPr="00C079F5"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cs="Verdana"/>
          <w:color w:val="000000"/>
          <w:sz w:val="20"/>
          <w:szCs w:val="20"/>
          <w:lang w:eastAsia="es-ES"/>
        </w:rPr>
      </w:pPr>
      <w:r w:rsidRPr="006B2A4D">
        <w:rPr>
          <w:rFonts w:eastAsia="Calibri" w:cs="Verdana"/>
          <w:color w:val="000000"/>
          <w:sz w:val="20"/>
          <w:szCs w:val="20"/>
          <w:lang w:eastAsia="es-ES"/>
        </w:rPr>
        <w:t xml:space="preserve">Mediante nota de Secretaría de la Corte de </w:t>
      </w:r>
      <w:r w:rsidR="00201CC4">
        <w:rPr>
          <w:rFonts w:eastAsia="Calibri" w:cs="Verdana"/>
          <w:sz w:val="20"/>
          <w:szCs w:val="20"/>
          <w:lang w:eastAsia="es-ES"/>
        </w:rPr>
        <w:t>12 de enero de 2018</w:t>
      </w:r>
      <w:r w:rsidR="00201CC4">
        <w:rPr>
          <w:rStyle w:val="FootnoteReference"/>
          <w:rFonts w:eastAsia="Calibri" w:cs="Verdana"/>
          <w:sz w:val="20"/>
          <w:szCs w:val="20"/>
          <w:lang w:eastAsia="es-ES"/>
        </w:rPr>
        <w:footnoteReference w:id="333"/>
      </w:r>
      <w:r w:rsidRPr="006B2A4D">
        <w:rPr>
          <w:rFonts w:eastAsia="Calibri" w:cs="Verdana"/>
          <w:sz w:val="20"/>
          <w:szCs w:val="20"/>
          <w:lang w:eastAsia="es-ES"/>
        </w:rPr>
        <w:t xml:space="preserve">, </w:t>
      </w:r>
      <w:r w:rsidRPr="006B2A4D">
        <w:rPr>
          <w:rFonts w:eastAsia="Calibri" w:cs="Verdana"/>
          <w:color w:val="000000"/>
          <w:sz w:val="20"/>
          <w:szCs w:val="20"/>
          <w:lang w:eastAsia="es-ES"/>
        </w:rPr>
        <w:t xml:space="preserve">se remitió un informe al Estado sobre las erogaciones efectuadas en aplicación del Fondo de Asistencia en el presente caso, las cuales ascendieron a la suma de </w:t>
      </w:r>
      <w:r w:rsidRPr="002C4EDE">
        <w:rPr>
          <w:rFonts w:eastAsia="Calibri"/>
          <w:color w:val="000000"/>
          <w:sz w:val="20"/>
          <w:lang w:eastAsia="es-ES"/>
        </w:rPr>
        <w:t xml:space="preserve">US </w:t>
      </w:r>
      <w:r w:rsidRPr="002C4EDE">
        <w:rPr>
          <w:rFonts w:eastAsia="Calibri"/>
          <w:sz w:val="20"/>
          <w:lang w:eastAsia="es-ES"/>
        </w:rPr>
        <w:t>10,939.93</w:t>
      </w:r>
      <w:r w:rsidRPr="002C4EDE">
        <w:rPr>
          <w:rFonts w:eastAsia="Calibri"/>
          <w:sz w:val="20"/>
          <w:vertAlign w:val="superscript"/>
          <w:lang w:eastAsia="es-ES"/>
        </w:rPr>
        <w:footnoteReference w:id="334"/>
      </w:r>
      <w:r w:rsidRPr="006B2A4D">
        <w:rPr>
          <w:rFonts w:eastAsia="Calibri" w:cs="Verdana"/>
          <w:sz w:val="20"/>
          <w:szCs w:val="20"/>
          <w:lang w:eastAsia="es-ES"/>
        </w:rPr>
        <w:t xml:space="preserve"> (diez mil novecientos treinta y nueve </w:t>
      </w:r>
      <w:r w:rsidRPr="006B2A4D">
        <w:rPr>
          <w:rFonts w:eastAsia="Calibri" w:cs="Verdana"/>
          <w:sz w:val="20"/>
          <w:szCs w:val="20"/>
          <w:lang w:eastAsia="es-ES"/>
        </w:rPr>
        <w:lastRenderedPageBreak/>
        <w:t>dólares con noventa y tres centavos de los Estados Unidos de América)</w:t>
      </w:r>
      <w:r w:rsidRPr="006B2A4D">
        <w:rPr>
          <w:rFonts w:eastAsia="Calibri"/>
          <w:sz w:val="20"/>
          <w:szCs w:val="20"/>
          <w:vertAlign w:val="superscript"/>
          <w:lang w:eastAsia="es-ES"/>
        </w:rPr>
        <w:footnoteReference w:id="335"/>
      </w:r>
      <w:r w:rsidRPr="006B2A4D">
        <w:rPr>
          <w:rFonts w:eastAsia="Calibri" w:cs="Verdana"/>
          <w:sz w:val="20"/>
          <w:szCs w:val="20"/>
          <w:lang w:eastAsia="es-ES"/>
        </w:rPr>
        <w:t xml:space="preserve"> </w:t>
      </w:r>
      <w:r w:rsidRPr="006B2A4D">
        <w:rPr>
          <w:rFonts w:eastAsia="Calibri" w:cs="Verdana"/>
          <w:color w:val="000000"/>
          <w:sz w:val="20"/>
          <w:szCs w:val="20"/>
          <w:lang w:eastAsia="es-ES"/>
        </w:rPr>
        <w:t>y, según lo dispuesto en el artículo 5 del Reglamento de la Corte sobre el Funcionamiento del referido Fondo, se otorgó un plazo para que el Estado chileno presentara las observaciones que estimara pertinentes</w:t>
      </w:r>
      <w:r w:rsidRPr="006B2A4D">
        <w:rPr>
          <w:rFonts w:eastAsia="Calibri"/>
          <w:sz w:val="20"/>
          <w:szCs w:val="20"/>
          <w:vertAlign w:val="superscript"/>
          <w:lang w:eastAsia="es-ES"/>
        </w:rPr>
        <w:footnoteReference w:id="336"/>
      </w:r>
      <w:r w:rsidRPr="006B2A4D">
        <w:rPr>
          <w:rFonts w:eastAsia="Calibri" w:cs="Verdana"/>
          <w:sz w:val="20"/>
          <w:szCs w:val="20"/>
          <w:lang w:eastAsia="es-ES"/>
        </w:rPr>
        <w:t>. En vista de lo anterior, dicha cantidad deberá ser reintegrada en el plazo de noventa días, contados a partir de la notificación del presente Fallo.</w:t>
      </w:r>
    </w:p>
    <w:p w14:paraId="685F5FA5" w14:textId="77777777" w:rsidR="00C079F5" w:rsidRPr="006B2A4D" w:rsidRDefault="00C079F5" w:rsidP="00C079F5">
      <w:pPr>
        <w:widowControl w:val="0"/>
        <w:tabs>
          <w:tab w:val="left" w:pos="567"/>
          <w:tab w:val="num" w:pos="12305"/>
        </w:tabs>
        <w:adjustRightInd w:val="0"/>
        <w:textAlignment w:val="baseline"/>
        <w:rPr>
          <w:rFonts w:eastAsia="Calibri" w:cs="Verdana"/>
          <w:color w:val="000000"/>
          <w:sz w:val="20"/>
          <w:szCs w:val="20"/>
          <w:lang w:eastAsia="es-ES"/>
        </w:rPr>
      </w:pPr>
    </w:p>
    <w:p w14:paraId="2DE52FCF" w14:textId="77777777" w:rsidR="006B2A4D" w:rsidRPr="00AD229D" w:rsidRDefault="006B2A4D" w:rsidP="002726E0">
      <w:pPr>
        <w:pStyle w:val="Heading2"/>
        <w:numPr>
          <w:ilvl w:val="0"/>
          <w:numId w:val="13"/>
        </w:numPr>
      </w:pPr>
      <w:bookmarkStart w:id="136" w:name="_Toc498333531"/>
      <w:bookmarkStart w:id="137" w:name="_Toc513644500"/>
      <w:r w:rsidRPr="00AD229D">
        <w:t>Modalidad de cumplimiento de los pagos ordenados</w:t>
      </w:r>
      <w:bookmarkEnd w:id="136"/>
      <w:bookmarkEnd w:id="137"/>
    </w:p>
    <w:p w14:paraId="4C67DD22" w14:textId="77777777" w:rsidR="00C079F5" w:rsidRPr="006B2A4D" w:rsidRDefault="00C079F5" w:rsidP="00C079F5">
      <w:pPr>
        <w:keepNext/>
        <w:keepLines/>
        <w:outlineLvl w:val="1"/>
        <w:rPr>
          <w:b/>
          <w:bCs/>
          <w:i/>
          <w:sz w:val="20"/>
          <w:szCs w:val="20"/>
          <w:lang w:val="es-ES" w:eastAsia="en-US"/>
        </w:rPr>
      </w:pPr>
    </w:p>
    <w:p w14:paraId="479B3F63" w14:textId="77777777" w:rsidR="006B2A4D" w:rsidRDefault="006B2A4D"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eastAsia="es-ES"/>
        </w:rPr>
        <w:t xml:space="preserve">El Estado deberá efectuar el pago de las indemnizaciones por concepto de daño material e inmaterial, así como el reintegro de las costas y gastos establecidos en la presente Sentencia directamente a la persona indicada en la misma, dentro del plazo de un año contado a partir de la notificación del presente Fallo, en los términos de los siguientes párrafos. </w:t>
      </w:r>
    </w:p>
    <w:p w14:paraId="29DB913B" w14:textId="77777777" w:rsidR="00C079F5" w:rsidRPr="006B2A4D" w:rsidRDefault="00C079F5" w:rsidP="00C079F5">
      <w:pPr>
        <w:widowControl w:val="0"/>
        <w:tabs>
          <w:tab w:val="left" w:pos="567"/>
          <w:tab w:val="num" w:pos="1569"/>
          <w:tab w:val="num" w:pos="12305"/>
        </w:tabs>
        <w:adjustRightInd w:val="0"/>
        <w:textAlignment w:val="baseline"/>
        <w:rPr>
          <w:rFonts w:eastAsia="Calibri"/>
          <w:sz w:val="20"/>
          <w:szCs w:val="20"/>
          <w:lang w:eastAsia="es-ES"/>
        </w:rPr>
      </w:pPr>
    </w:p>
    <w:p w14:paraId="675F5D39" w14:textId="77777777" w:rsidR="006B2A4D" w:rsidRDefault="006B2A4D"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eastAsia="es-ES"/>
        </w:rPr>
        <w:t xml:space="preserve">En caso de que el beneficiario fallezca antes de que les sean entregadas las indemnizaciones respectivas, éstas se efectuarán directamente a sus derechohabientes, conforme al derecho interno aplicable. </w:t>
      </w:r>
    </w:p>
    <w:p w14:paraId="508836E9" w14:textId="77777777" w:rsidR="00C079F5" w:rsidRPr="006B2A4D" w:rsidRDefault="00C079F5" w:rsidP="00C079F5">
      <w:pPr>
        <w:widowControl w:val="0"/>
        <w:tabs>
          <w:tab w:val="left" w:pos="567"/>
          <w:tab w:val="num" w:pos="1569"/>
          <w:tab w:val="num" w:pos="12305"/>
        </w:tabs>
        <w:adjustRightInd w:val="0"/>
        <w:textAlignment w:val="baseline"/>
        <w:rPr>
          <w:rFonts w:eastAsia="Calibri"/>
          <w:sz w:val="20"/>
          <w:szCs w:val="20"/>
          <w:lang w:eastAsia="es-ES"/>
        </w:rPr>
      </w:pPr>
    </w:p>
    <w:p w14:paraId="14AF755E" w14:textId="77777777" w:rsidR="006B2A4D" w:rsidRDefault="006B2A4D"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eastAsia="es-ES"/>
        </w:rPr>
        <w:t xml:space="preserve">El Estado debe cumplir sus obligaciones monetarias mediante el pago en dólares de los Estados Unidos de América o su equivalente en moneda chilena, utilizando para el cálculo respectivo el tipo de cambio que se encuentre vigente en la bolsa de Nueva York, Estados Unidos de América, el día anterior al pago. </w:t>
      </w:r>
    </w:p>
    <w:p w14:paraId="2A366021" w14:textId="77777777" w:rsidR="00C079F5" w:rsidRPr="006B2A4D" w:rsidRDefault="00C079F5" w:rsidP="00C079F5">
      <w:pPr>
        <w:widowControl w:val="0"/>
        <w:tabs>
          <w:tab w:val="left" w:pos="567"/>
          <w:tab w:val="num" w:pos="1569"/>
          <w:tab w:val="num" w:pos="12305"/>
        </w:tabs>
        <w:adjustRightInd w:val="0"/>
        <w:textAlignment w:val="baseline"/>
        <w:rPr>
          <w:rFonts w:eastAsia="Calibri"/>
          <w:sz w:val="20"/>
          <w:szCs w:val="20"/>
          <w:lang w:eastAsia="es-ES"/>
        </w:rPr>
      </w:pPr>
    </w:p>
    <w:p w14:paraId="0312A8AF" w14:textId="77777777" w:rsidR="006B2A4D" w:rsidRDefault="006B2A4D"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eastAsia="es-ES"/>
        </w:rPr>
        <w:t xml:space="preserve">Si por causas atribuibles al beneficiario de las indemnizaciones o a sus derechohabientes no fuese posible el pago de las cantidades determinadas dentro del plazo indicado, el Estado consignará dichos montos a su favor en una cuenta o certificado de depósito en una institución financiera chilena solvente, en dólares de los Estados Unidos de América, y en las condiciones financieras más favorables que permitan la legislación y la práctica bancaria del Estado. Si no se reclama la indemnización correspondiente una vez transcurridos diez años, las cantidades serán devueltas al Estado con los intereses devengados. </w:t>
      </w:r>
    </w:p>
    <w:p w14:paraId="7DDDFB1E" w14:textId="77777777" w:rsidR="00C079F5" w:rsidRPr="006B2A4D" w:rsidRDefault="00C079F5" w:rsidP="00C079F5">
      <w:pPr>
        <w:widowControl w:val="0"/>
        <w:tabs>
          <w:tab w:val="left" w:pos="567"/>
          <w:tab w:val="num" w:pos="1569"/>
          <w:tab w:val="num" w:pos="12305"/>
        </w:tabs>
        <w:adjustRightInd w:val="0"/>
        <w:textAlignment w:val="baseline"/>
        <w:rPr>
          <w:rFonts w:eastAsia="Calibri"/>
          <w:sz w:val="20"/>
          <w:szCs w:val="20"/>
          <w:lang w:eastAsia="es-ES"/>
        </w:rPr>
      </w:pPr>
    </w:p>
    <w:p w14:paraId="47F79AEC" w14:textId="77777777" w:rsidR="006B2A4D" w:rsidRDefault="006B2A4D"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eastAsia="es-ES"/>
        </w:rPr>
      </w:pPr>
      <w:r w:rsidRPr="006B2A4D">
        <w:rPr>
          <w:rFonts w:eastAsia="Calibri"/>
          <w:sz w:val="20"/>
          <w:szCs w:val="20"/>
          <w:lang w:eastAsia="es-ES"/>
        </w:rPr>
        <w:t xml:space="preserve">Las cantidades asignadas en la presente Sentencia como indemnización por daño inmaterial, y como reintegro de costas y gastos deberán ser entregadas a las personas indicadas en forma íntegra, conforme a lo establecido en este Fallo, sin reducciones derivadas de eventuales cargas fiscales. </w:t>
      </w:r>
    </w:p>
    <w:p w14:paraId="00FF253B" w14:textId="77777777" w:rsidR="00C079F5" w:rsidRPr="006B2A4D" w:rsidRDefault="00C079F5" w:rsidP="00C079F5">
      <w:pPr>
        <w:widowControl w:val="0"/>
        <w:tabs>
          <w:tab w:val="left" w:pos="567"/>
          <w:tab w:val="num" w:pos="1569"/>
          <w:tab w:val="num" w:pos="12305"/>
        </w:tabs>
        <w:adjustRightInd w:val="0"/>
        <w:textAlignment w:val="baseline"/>
        <w:rPr>
          <w:rFonts w:eastAsia="Calibri"/>
          <w:sz w:val="20"/>
          <w:szCs w:val="20"/>
          <w:lang w:eastAsia="es-ES"/>
        </w:rPr>
      </w:pPr>
    </w:p>
    <w:p w14:paraId="57440593" w14:textId="77777777" w:rsidR="006B2A4D" w:rsidRPr="002A64C9" w:rsidRDefault="006B2A4D"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s-ES" w:eastAsia="es-ES"/>
        </w:rPr>
      </w:pPr>
      <w:r w:rsidRPr="006B2A4D">
        <w:rPr>
          <w:rFonts w:eastAsia="Calibri"/>
          <w:spacing w:val="-2"/>
          <w:sz w:val="20"/>
          <w:szCs w:val="20"/>
          <w:lang w:val="es-ES" w:eastAsia="es-ES"/>
        </w:rPr>
        <w:t>En caso de que el Estado incurriera en mora</w:t>
      </w:r>
      <w:r w:rsidRPr="006B2A4D">
        <w:rPr>
          <w:rFonts w:eastAsia="Calibri" w:cs="Verdana"/>
          <w:spacing w:val="-2"/>
          <w:sz w:val="20"/>
          <w:szCs w:val="20"/>
          <w:lang w:val="es-ES" w:eastAsia="es-ES"/>
        </w:rPr>
        <w:t>, incluyendo en el reintegro de los gastos al Fondo de Asistencia Legal de Víctimas</w:t>
      </w:r>
      <w:r w:rsidRPr="006B2A4D">
        <w:rPr>
          <w:rFonts w:eastAsia="Calibri"/>
          <w:spacing w:val="-2"/>
          <w:sz w:val="20"/>
          <w:szCs w:val="20"/>
          <w:lang w:val="es-ES" w:eastAsia="es-ES"/>
        </w:rPr>
        <w:t>, deberá pagar un interés sobre la cantidad adeudada, correspondiente al interés bancario moratorio en la República de Chile.</w:t>
      </w:r>
    </w:p>
    <w:p w14:paraId="50FD59F8" w14:textId="4A5871AD" w:rsidR="002A64C9" w:rsidRPr="002A64C9" w:rsidRDefault="002A64C9" w:rsidP="002A64C9">
      <w:pPr>
        <w:widowControl w:val="0"/>
        <w:tabs>
          <w:tab w:val="left" w:pos="567"/>
          <w:tab w:val="num" w:pos="12305"/>
        </w:tabs>
        <w:adjustRightInd w:val="0"/>
        <w:textAlignment w:val="baseline"/>
        <w:rPr>
          <w:rFonts w:eastAsia="Calibri"/>
          <w:spacing w:val="-2"/>
          <w:sz w:val="20"/>
          <w:szCs w:val="20"/>
          <w:lang w:val="es-ES" w:eastAsia="es-ES"/>
        </w:rPr>
      </w:pPr>
    </w:p>
    <w:p w14:paraId="08667CEC" w14:textId="77777777" w:rsidR="008A113A" w:rsidRDefault="008A113A" w:rsidP="00641CEB">
      <w:pPr>
        <w:pStyle w:val="Title"/>
      </w:pPr>
      <w:bookmarkStart w:id="138" w:name="_Toc513644501"/>
    </w:p>
    <w:p w14:paraId="5ED31A10" w14:textId="77777777" w:rsidR="008A113A" w:rsidRDefault="008A113A" w:rsidP="00641CEB">
      <w:pPr>
        <w:pStyle w:val="Title"/>
      </w:pPr>
    </w:p>
    <w:p w14:paraId="639BB7B8" w14:textId="77777777" w:rsidR="008A113A" w:rsidRDefault="008A113A" w:rsidP="00641CEB">
      <w:pPr>
        <w:pStyle w:val="Title"/>
      </w:pPr>
    </w:p>
    <w:p w14:paraId="67E3FADD" w14:textId="77777777" w:rsidR="008A113A" w:rsidRDefault="008A113A" w:rsidP="00641CEB">
      <w:pPr>
        <w:pStyle w:val="Title"/>
      </w:pPr>
    </w:p>
    <w:p w14:paraId="1C82C32D" w14:textId="77777777" w:rsidR="00A07555" w:rsidRPr="00641CEB" w:rsidRDefault="00A07555" w:rsidP="00641CEB">
      <w:pPr>
        <w:pStyle w:val="Title"/>
      </w:pPr>
      <w:r w:rsidRPr="00641CEB">
        <w:lastRenderedPageBreak/>
        <w:t>IX</w:t>
      </w:r>
      <w:bookmarkEnd w:id="138"/>
    </w:p>
    <w:p w14:paraId="5F866585" w14:textId="77777777" w:rsidR="00A07555" w:rsidRPr="00641CEB" w:rsidRDefault="00A07555" w:rsidP="00641CEB">
      <w:pPr>
        <w:pStyle w:val="Title"/>
      </w:pPr>
      <w:bookmarkStart w:id="139" w:name="_Toc513644502"/>
      <w:r w:rsidRPr="00641CEB">
        <w:t>PUNTOS RESOLUTIVOS</w:t>
      </w:r>
      <w:bookmarkEnd w:id="139"/>
    </w:p>
    <w:p w14:paraId="41F186CB" w14:textId="77777777" w:rsidR="00A07555" w:rsidRPr="0029137A" w:rsidRDefault="00A07555" w:rsidP="00A07555">
      <w:pPr>
        <w:pStyle w:val="Prrafodelista2"/>
        <w:tabs>
          <w:tab w:val="left" w:pos="0"/>
          <w:tab w:val="num" w:pos="12305"/>
        </w:tabs>
        <w:ind w:left="0" w:right="-90"/>
        <w:jc w:val="both"/>
      </w:pPr>
      <w:r w:rsidRPr="0029137A">
        <w:t xml:space="preserve">Por tanto, </w:t>
      </w:r>
    </w:p>
    <w:p w14:paraId="69CCEDAA" w14:textId="77777777" w:rsidR="00A07555" w:rsidRDefault="00A07555" w:rsidP="00A07555">
      <w:pPr>
        <w:pStyle w:val="Prrafodelista2"/>
        <w:tabs>
          <w:tab w:val="left" w:pos="720"/>
        </w:tabs>
        <w:ind w:left="0" w:right="-90"/>
        <w:contextualSpacing/>
        <w:rPr>
          <w:rFonts w:asciiTheme="minorHAnsi" w:eastAsiaTheme="minorHAnsi" w:hAnsiTheme="minorHAnsi" w:cstheme="minorBidi"/>
          <w:sz w:val="22"/>
          <w:szCs w:val="22"/>
          <w:lang w:bidi="ar-SA"/>
        </w:rPr>
      </w:pPr>
    </w:p>
    <w:p w14:paraId="75C67D61" w14:textId="77777777" w:rsidR="00A07555" w:rsidRPr="0029137A" w:rsidRDefault="00A07555" w:rsidP="00A07555">
      <w:pPr>
        <w:pStyle w:val="Prrafodelista2"/>
        <w:tabs>
          <w:tab w:val="left" w:pos="720"/>
        </w:tabs>
        <w:ind w:left="0" w:right="-90"/>
        <w:contextualSpacing/>
        <w:rPr>
          <w:b/>
          <w:bCs/>
        </w:rPr>
      </w:pPr>
      <w:r w:rsidRPr="0029137A">
        <w:rPr>
          <w:b/>
          <w:bCs/>
        </w:rPr>
        <w:t xml:space="preserve">LA CORTE </w:t>
      </w:r>
    </w:p>
    <w:p w14:paraId="5AC4DE49" w14:textId="77777777" w:rsidR="00A07555" w:rsidRPr="0029137A" w:rsidRDefault="00A07555" w:rsidP="00A07555">
      <w:pPr>
        <w:pStyle w:val="Prrafodelista2"/>
        <w:tabs>
          <w:tab w:val="left" w:pos="720"/>
        </w:tabs>
        <w:ind w:left="0" w:right="-90"/>
        <w:contextualSpacing/>
        <w:rPr>
          <w:b/>
          <w:bCs/>
        </w:rPr>
      </w:pPr>
    </w:p>
    <w:p w14:paraId="4D906D83" w14:textId="77777777" w:rsidR="00A07555" w:rsidRDefault="00A07555" w:rsidP="00A07555">
      <w:pPr>
        <w:pStyle w:val="Prrafodelista2"/>
        <w:tabs>
          <w:tab w:val="left" w:pos="720"/>
        </w:tabs>
        <w:ind w:left="0" w:right="-90"/>
        <w:contextualSpacing/>
        <w:rPr>
          <w:b/>
          <w:bCs/>
        </w:rPr>
      </w:pPr>
      <w:r w:rsidRPr="0029137A">
        <w:rPr>
          <w:b/>
          <w:bCs/>
        </w:rPr>
        <w:t xml:space="preserve">DECIDE, </w:t>
      </w:r>
    </w:p>
    <w:p w14:paraId="1287284B" w14:textId="77777777" w:rsidR="00E32C76" w:rsidRDefault="00E32C76" w:rsidP="00E32C76">
      <w:pPr>
        <w:pStyle w:val="Prrafodelista2"/>
        <w:ind w:left="0" w:right="-90"/>
        <w:contextualSpacing/>
      </w:pPr>
    </w:p>
    <w:p w14:paraId="7707474C" w14:textId="64C03619" w:rsidR="00E32C76" w:rsidRPr="00E32C76" w:rsidRDefault="00E32C76" w:rsidP="00E32C76">
      <w:pPr>
        <w:pStyle w:val="Prrafodelista2"/>
        <w:ind w:left="0" w:right="-90"/>
        <w:contextualSpacing/>
      </w:pPr>
      <w:r>
        <w:t>Por unanimidad</w:t>
      </w:r>
      <w:r w:rsidRPr="0029137A">
        <w:t>, que:</w:t>
      </w:r>
    </w:p>
    <w:p w14:paraId="38C61002" w14:textId="77777777" w:rsidR="00A07555" w:rsidRPr="00067421" w:rsidRDefault="00A07555" w:rsidP="00A07555">
      <w:pPr>
        <w:pStyle w:val="Prrafodelista2"/>
        <w:tabs>
          <w:tab w:val="left" w:pos="720"/>
        </w:tabs>
        <w:ind w:left="0" w:right="-90"/>
        <w:contextualSpacing/>
      </w:pPr>
      <w:r w:rsidRPr="0029137A">
        <w:t xml:space="preserve"> </w:t>
      </w:r>
    </w:p>
    <w:p w14:paraId="2160F944" w14:textId="1123154F" w:rsidR="00A07555"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AA691F">
        <w:rPr>
          <w:sz w:val="20"/>
          <w:szCs w:val="20"/>
          <w:lang w:val="es-MX"/>
        </w:rPr>
        <w:t xml:space="preserve"> Aceptar el reconocimiento parcial de responsabilidad internacional efectuado por el Estado, en los </w:t>
      </w:r>
      <w:r w:rsidR="0022762E">
        <w:rPr>
          <w:sz w:val="20"/>
          <w:szCs w:val="20"/>
          <w:lang w:val="es-MX"/>
        </w:rPr>
        <w:t xml:space="preserve">términos de los párrafos </w:t>
      </w:r>
      <w:r w:rsidR="00294152">
        <w:rPr>
          <w:sz w:val="20"/>
          <w:szCs w:val="20"/>
          <w:lang w:val="es-MX"/>
        </w:rPr>
        <w:t>25 a 34</w:t>
      </w:r>
      <w:r w:rsidRPr="00AA691F">
        <w:rPr>
          <w:sz w:val="20"/>
          <w:szCs w:val="20"/>
          <w:lang w:val="es-MX"/>
        </w:rPr>
        <w:t xml:space="preserve"> de la presente Sentencia.</w:t>
      </w:r>
    </w:p>
    <w:p w14:paraId="204765B2" w14:textId="77777777" w:rsidR="00A07555" w:rsidRPr="00AA691F" w:rsidRDefault="00A07555" w:rsidP="00A07555">
      <w:pPr>
        <w:pStyle w:val="ListParagraph"/>
        <w:widowControl w:val="0"/>
        <w:tabs>
          <w:tab w:val="center" w:pos="567"/>
        </w:tabs>
        <w:autoSpaceDE w:val="0"/>
        <w:autoSpaceDN w:val="0"/>
        <w:adjustRightInd w:val="0"/>
        <w:ind w:left="0" w:right="-90"/>
        <w:rPr>
          <w:sz w:val="20"/>
          <w:szCs w:val="20"/>
          <w:lang w:val="es-MX"/>
        </w:rPr>
      </w:pPr>
    </w:p>
    <w:p w14:paraId="6E1515C8" w14:textId="77777777" w:rsidR="00A07555" w:rsidRPr="0029137A" w:rsidRDefault="00A07555" w:rsidP="00A07555">
      <w:pPr>
        <w:pStyle w:val="Prrafodelista2"/>
        <w:tabs>
          <w:tab w:val="left" w:pos="720"/>
        </w:tabs>
        <w:ind w:left="0" w:right="-90"/>
        <w:contextualSpacing/>
        <w:rPr>
          <w:b/>
          <w:bCs/>
        </w:rPr>
      </w:pPr>
      <w:r w:rsidRPr="0029137A">
        <w:rPr>
          <w:b/>
          <w:bCs/>
        </w:rPr>
        <w:t xml:space="preserve">DECLARA: </w:t>
      </w:r>
    </w:p>
    <w:p w14:paraId="39F19BBC" w14:textId="77777777" w:rsidR="00A07555" w:rsidRDefault="00A07555" w:rsidP="00A07555">
      <w:pPr>
        <w:pStyle w:val="ListParagraph"/>
        <w:widowControl w:val="0"/>
        <w:tabs>
          <w:tab w:val="center" w:pos="567"/>
        </w:tabs>
        <w:autoSpaceDE w:val="0"/>
        <w:autoSpaceDN w:val="0"/>
        <w:adjustRightInd w:val="0"/>
        <w:ind w:left="0" w:right="-90"/>
        <w:rPr>
          <w:sz w:val="20"/>
          <w:szCs w:val="20"/>
          <w:lang w:val="es-MX"/>
        </w:rPr>
      </w:pPr>
    </w:p>
    <w:p w14:paraId="1E013F84" w14:textId="77777777" w:rsidR="00E32C76" w:rsidRPr="00E32C76" w:rsidRDefault="00E32C76" w:rsidP="00E32C76">
      <w:pPr>
        <w:pStyle w:val="Prrafodelista2"/>
        <w:ind w:left="0" w:right="-90"/>
        <w:contextualSpacing/>
      </w:pPr>
      <w:r>
        <w:t>Por unanimidad</w:t>
      </w:r>
      <w:r w:rsidRPr="0029137A">
        <w:t>, que:</w:t>
      </w:r>
    </w:p>
    <w:p w14:paraId="070CB820" w14:textId="77777777" w:rsidR="00E32C76" w:rsidRPr="00BF545D" w:rsidRDefault="00E32C76" w:rsidP="00A07555">
      <w:pPr>
        <w:pStyle w:val="ListParagraph"/>
        <w:widowControl w:val="0"/>
        <w:tabs>
          <w:tab w:val="center" w:pos="567"/>
        </w:tabs>
        <w:autoSpaceDE w:val="0"/>
        <w:autoSpaceDN w:val="0"/>
        <w:adjustRightInd w:val="0"/>
        <w:ind w:left="0" w:right="-90"/>
        <w:rPr>
          <w:sz w:val="20"/>
          <w:szCs w:val="20"/>
          <w:lang w:val="es-MX"/>
        </w:rPr>
      </w:pPr>
    </w:p>
    <w:p w14:paraId="04F03B5D" w14:textId="78E053C4" w:rsidR="00A07555" w:rsidRPr="0029137A"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29137A">
        <w:rPr>
          <w:sz w:val="20"/>
          <w:szCs w:val="20"/>
          <w:lang w:val="es-MX"/>
        </w:rPr>
        <w:t>El Estado es re</w:t>
      </w:r>
      <w:r>
        <w:rPr>
          <w:sz w:val="20"/>
          <w:szCs w:val="20"/>
          <w:lang w:val="es-MX"/>
        </w:rPr>
        <w:t xml:space="preserve">sponsable por la violación del </w:t>
      </w:r>
      <w:r>
        <w:rPr>
          <w:sz w:val="20"/>
          <w:szCs w:val="20"/>
          <w:lang w:val="es-AR"/>
        </w:rPr>
        <w:t>derecho a la salud</w:t>
      </w:r>
      <w:r>
        <w:rPr>
          <w:sz w:val="20"/>
          <w:szCs w:val="20"/>
          <w:lang w:val="es-MX"/>
        </w:rPr>
        <w:t xml:space="preserve">, </w:t>
      </w:r>
      <w:r w:rsidR="003437A0">
        <w:rPr>
          <w:sz w:val="20"/>
          <w:szCs w:val="20"/>
          <w:lang w:val="es-MX"/>
        </w:rPr>
        <w:t xml:space="preserve">de conformidad con </w:t>
      </w:r>
      <w:r>
        <w:rPr>
          <w:sz w:val="20"/>
          <w:szCs w:val="20"/>
          <w:lang w:val="es-MX"/>
        </w:rPr>
        <w:t>el artículo 26</w:t>
      </w:r>
      <w:r w:rsidRPr="0029137A">
        <w:rPr>
          <w:sz w:val="20"/>
          <w:szCs w:val="20"/>
          <w:lang w:val="es-MX"/>
        </w:rPr>
        <w:t xml:space="preserve"> de la Convención Americana, en relación con el artículo 1.1 de la misma, en perjuicio del señor</w:t>
      </w:r>
      <w:r>
        <w:rPr>
          <w:sz w:val="20"/>
          <w:szCs w:val="20"/>
          <w:lang w:val="es-MX"/>
        </w:rPr>
        <w:t xml:space="preserve"> </w:t>
      </w:r>
      <w:r w:rsidR="00460FE6">
        <w:rPr>
          <w:sz w:val="20"/>
          <w:szCs w:val="20"/>
          <w:lang w:val="es-MX"/>
        </w:rPr>
        <w:t xml:space="preserve">Vinicio </w:t>
      </w:r>
      <w:r>
        <w:rPr>
          <w:sz w:val="20"/>
          <w:szCs w:val="20"/>
          <w:lang w:val="es-MX"/>
        </w:rPr>
        <w:t>Poblete Vilches</w:t>
      </w:r>
      <w:r w:rsidRPr="0029137A">
        <w:rPr>
          <w:sz w:val="20"/>
          <w:szCs w:val="20"/>
          <w:lang w:val="es-MX"/>
        </w:rPr>
        <w:t>, en</w:t>
      </w:r>
      <w:r>
        <w:rPr>
          <w:sz w:val="20"/>
          <w:szCs w:val="20"/>
          <w:lang w:val="es-MX"/>
        </w:rPr>
        <w:t xml:space="preserve"> </w:t>
      </w:r>
      <w:r w:rsidR="0022762E">
        <w:rPr>
          <w:sz w:val="20"/>
          <w:szCs w:val="20"/>
          <w:lang w:val="es-MX"/>
        </w:rPr>
        <w:t xml:space="preserve">los términos de los párrafos </w:t>
      </w:r>
      <w:r w:rsidR="00294152">
        <w:rPr>
          <w:sz w:val="20"/>
          <w:szCs w:val="20"/>
          <w:lang w:val="es-MX"/>
        </w:rPr>
        <w:t>99 a 143 y 174 a 176</w:t>
      </w:r>
      <w:r w:rsidR="0022762E">
        <w:rPr>
          <w:sz w:val="20"/>
          <w:szCs w:val="20"/>
          <w:lang w:val="es-MX"/>
        </w:rPr>
        <w:t xml:space="preserve"> </w:t>
      </w:r>
      <w:r w:rsidRPr="0029137A">
        <w:rPr>
          <w:sz w:val="20"/>
          <w:szCs w:val="20"/>
          <w:lang w:val="es-MX"/>
        </w:rPr>
        <w:t>de la presente Sentencia.</w:t>
      </w:r>
    </w:p>
    <w:p w14:paraId="0F221DE1" w14:textId="77777777" w:rsidR="00A07555" w:rsidRPr="00BF545D" w:rsidRDefault="00A07555" w:rsidP="00A07555">
      <w:pPr>
        <w:pStyle w:val="ListParagraph"/>
        <w:widowControl w:val="0"/>
        <w:tabs>
          <w:tab w:val="center" w:pos="567"/>
        </w:tabs>
        <w:autoSpaceDE w:val="0"/>
        <w:autoSpaceDN w:val="0"/>
        <w:adjustRightInd w:val="0"/>
        <w:ind w:left="0" w:right="-90"/>
        <w:rPr>
          <w:sz w:val="20"/>
          <w:szCs w:val="20"/>
          <w:lang w:val="es-MX"/>
        </w:rPr>
      </w:pPr>
    </w:p>
    <w:p w14:paraId="2AE0F1F8" w14:textId="347F06EA" w:rsidR="00A07555" w:rsidRPr="0029137A"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29137A">
        <w:rPr>
          <w:sz w:val="20"/>
          <w:szCs w:val="20"/>
          <w:lang w:val="es-MX"/>
        </w:rPr>
        <w:t xml:space="preserve">El Estado es responsable por la violación </w:t>
      </w:r>
      <w:r>
        <w:rPr>
          <w:sz w:val="20"/>
          <w:szCs w:val="20"/>
          <w:lang w:val="es-MX"/>
        </w:rPr>
        <w:t>del</w:t>
      </w:r>
      <w:r w:rsidRPr="0029137A">
        <w:rPr>
          <w:sz w:val="20"/>
          <w:szCs w:val="20"/>
          <w:lang w:val="es-MX"/>
        </w:rPr>
        <w:t xml:space="preserve"> derecho a la</w:t>
      </w:r>
      <w:r>
        <w:rPr>
          <w:sz w:val="20"/>
          <w:szCs w:val="20"/>
          <w:lang w:val="es-MX"/>
        </w:rPr>
        <w:t xml:space="preserve"> vida</w:t>
      </w:r>
      <w:r w:rsidRPr="0029137A">
        <w:rPr>
          <w:sz w:val="20"/>
          <w:szCs w:val="20"/>
          <w:lang w:val="es-MX"/>
        </w:rPr>
        <w:t>, reconocid</w:t>
      </w:r>
      <w:r>
        <w:rPr>
          <w:sz w:val="20"/>
          <w:szCs w:val="20"/>
          <w:lang w:val="es-MX"/>
        </w:rPr>
        <w:t>o en el artículo 4</w:t>
      </w:r>
      <w:r w:rsidRPr="0029137A">
        <w:rPr>
          <w:sz w:val="20"/>
          <w:szCs w:val="20"/>
          <w:lang w:val="es-MX"/>
        </w:rPr>
        <w:t xml:space="preserve"> de la Convención Americana, e</w:t>
      </w:r>
      <w:r>
        <w:rPr>
          <w:sz w:val="20"/>
          <w:szCs w:val="20"/>
          <w:lang w:val="es-MX"/>
        </w:rPr>
        <w:t>n relación con los artículos 26 y 1.1</w:t>
      </w:r>
      <w:r w:rsidRPr="0029137A">
        <w:rPr>
          <w:sz w:val="20"/>
          <w:szCs w:val="20"/>
          <w:lang w:val="es-MX"/>
        </w:rPr>
        <w:t xml:space="preserve"> de la misma, en per</w:t>
      </w:r>
      <w:r>
        <w:rPr>
          <w:sz w:val="20"/>
          <w:szCs w:val="20"/>
          <w:lang w:val="es-MX"/>
        </w:rPr>
        <w:t xml:space="preserve">juicio del señor </w:t>
      </w:r>
      <w:r w:rsidR="00460FE6">
        <w:rPr>
          <w:sz w:val="20"/>
          <w:szCs w:val="20"/>
          <w:lang w:val="es-MX"/>
        </w:rPr>
        <w:t xml:space="preserve">Vinicio </w:t>
      </w:r>
      <w:r>
        <w:rPr>
          <w:sz w:val="20"/>
          <w:szCs w:val="20"/>
          <w:lang w:val="es-MX"/>
        </w:rPr>
        <w:t>Poblete Vilches</w:t>
      </w:r>
      <w:r w:rsidRPr="0029137A">
        <w:rPr>
          <w:sz w:val="20"/>
          <w:szCs w:val="20"/>
          <w:lang w:val="es-MX"/>
        </w:rPr>
        <w:t xml:space="preserve">, en </w:t>
      </w:r>
      <w:r w:rsidR="0022762E">
        <w:rPr>
          <w:sz w:val="20"/>
          <w:szCs w:val="20"/>
          <w:lang w:val="es-MX"/>
        </w:rPr>
        <w:t xml:space="preserve">los términos de los párrafos </w:t>
      </w:r>
      <w:r w:rsidR="00294152">
        <w:rPr>
          <w:sz w:val="20"/>
          <w:szCs w:val="20"/>
          <w:lang w:val="es-MX"/>
        </w:rPr>
        <w:t>144</w:t>
      </w:r>
      <w:r>
        <w:rPr>
          <w:sz w:val="20"/>
          <w:szCs w:val="20"/>
          <w:lang w:val="es-MX"/>
        </w:rPr>
        <w:t xml:space="preserve"> a </w:t>
      </w:r>
      <w:r w:rsidR="00294152">
        <w:rPr>
          <w:sz w:val="20"/>
          <w:szCs w:val="20"/>
          <w:lang w:val="es-MX"/>
        </w:rPr>
        <w:t>151 y 174 a 176</w:t>
      </w:r>
      <w:r>
        <w:rPr>
          <w:sz w:val="20"/>
          <w:szCs w:val="20"/>
          <w:lang w:val="es-MX"/>
        </w:rPr>
        <w:t xml:space="preserve"> </w:t>
      </w:r>
      <w:r w:rsidRPr="0029137A">
        <w:rPr>
          <w:sz w:val="20"/>
          <w:szCs w:val="20"/>
          <w:lang w:val="es-MX"/>
        </w:rPr>
        <w:t>de la presente Sentencia.</w:t>
      </w:r>
    </w:p>
    <w:p w14:paraId="12AF7789" w14:textId="77777777" w:rsidR="00A07555" w:rsidRPr="00BF545D" w:rsidRDefault="00A07555" w:rsidP="00A07555">
      <w:pPr>
        <w:pStyle w:val="ListParagraph"/>
        <w:widowControl w:val="0"/>
        <w:tabs>
          <w:tab w:val="center" w:pos="567"/>
        </w:tabs>
        <w:autoSpaceDE w:val="0"/>
        <w:autoSpaceDN w:val="0"/>
        <w:adjustRightInd w:val="0"/>
        <w:ind w:left="0" w:right="-90"/>
        <w:rPr>
          <w:sz w:val="20"/>
          <w:szCs w:val="20"/>
          <w:lang w:val="es-MX"/>
        </w:rPr>
      </w:pPr>
    </w:p>
    <w:p w14:paraId="740ADAF3" w14:textId="0E8CD043" w:rsidR="00F377B4" w:rsidRPr="007E5CD5" w:rsidRDefault="00F377B4" w:rsidP="00F377B4">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7E5CD5">
        <w:rPr>
          <w:sz w:val="20"/>
          <w:szCs w:val="20"/>
          <w:lang w:val="es-MX"/>
        </w:rPr>
        <w:t xml:space="preserve">El Estado es responsable por la violación del derecho a la integridad personal, reconocido en el artículo 5 de la Convención Americana, en relación con los artículos 26 y 1.1 de la misma, en perjuicio del señor </w:t>
      </w:r>
      <w:r w:rsidR="00460FE6" w:rsidRPr="00867138">
        <w:rPr>
          <w:sz w:val="20"/>
          <w:szCs w:val="20"/>
          <w:lang w:val="es-MX"/>
        </w:rPr>
        <w:t>Vinicio</w:t>
      </w:r>
      <w:r w:rsidR="00460FE6" w:rsidRPr="007E5CD5">
        <w:rPr>
          <w:sz w:val="20"/>
          <w:szCs w:val="20"/>
          <w:lang w:val="es-MX"/>
        </w:rPr>
        <w:t xml:space="preserve"> </w:t>
      </w:r>
      <w:r w:rsidRPr="007E5CD5">
        <w:rPr>
          <w:sz w:val="20"/>
          <w:szCs w:val="20"/>
          <w:lang w:val="es-MX"/>
        </w:rPr>
        <w:t xml:space="preserve">Poblete Vilches, en los términos de los párrafos </w:t>
      </w:r>
      <w:r w:rsidR="00294152">
        <w:rPr>
          <w:sz w:val="20"/>
          <w:szCs w:val="20"/>
          <w:lang w:val="es-MX"/>
        </w:rPr>
        <w:t>158</w:t>
      </w:r>
      <w:r w:rsidRPr="007E5CD5">
        <w:rPr>
          <w:sz w:val="20"/>
          <w:szCs w:val="20"/>
          <w:lang w:val="es-MX"/>
        </w:rPr>
        <w:t xml:space="preserve"> a </w:t>
      </w:r>
      <w:r w:rsidR="00294152">
        <w:rPr>
          <w:sz w:val="20"/>
          <w:szCs w:val="20"/>
          <w:lang w:val="es-MX"/>
        </w:rPr>
        <w:t>160 y 174 a 176</w:t>
      </w:r>
      <w:r w:rsidRPr="007E5CD5">
        <w:rPr>
          <w:sz w:val="20"/>
          <w:szCs w:val="20"/>
          <w:lang w:val="es-MX"/>
        </w:rPr>
        <w:t xml:space="preserve"> de la presente Sentencia.</w:t>
      </w:r>
    </w:p>
    <w:p w14:paraId="1DB68162" w14:textId="77777777" w:rsidR="00F377B4" w:rsidRPr="00BF545D" w:rsidRDefault="00F377B4" w:rsidP="00A07555">
      <w:pPr>
        <w:pStyle w:val="ListParagraph"/>
        <w:widowControl w:val="0"/>
        <w:tabs>
          <w:tab w:val="center" w:pos="567"/>
        </w:tabs>
        <w:autoSpaceDE w:val="0"/>
        <w:autoSpaceDN w:val="0"/>
        <w:adjustRightInd w:val="0"/>
        <w:ind w:left="0" w:right="-90"/>
        <w:rPr>
          <w:sz w:val="20"/>
          <w:szCs w:val="20"/>
          <w:lang w:val="es-MX"/>
        </w:rPr>
      </w:pPr>
    </w:p>
    <w:p w14:paraId="70897E56" w14:textId="6D95538C" w:rsidR="00A07555"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29137A">
        <w:rPr>
          <w:sz w:val="20"/>
          <w:szCs w:val="20"/>
          <w:lang w:val="es-MX"/>
        </w:rPr>
        <w:t xml:space="preserve">El Estado es responsable por la violación </w:t>
      </w:r>
      <w:r>
        <w:rPr>
          <w:sz w:val="20"/>
          <w:szCs w:val="20"/>
          <w:lang w:val="es-MX"/>
        </w:rPr>
        <w:t>del</w:t>
      </w:r>
      <w:r w:rsidRPr="0029137A">
        <w:rPr>
          <w:sz w:val="20"/>
          <w:szCs w:val="20"/>
          <w:lang w:val="es-MX"/>
        </w:rPr>
        <w:t xml:space="preserve"> derecho</w:t>
      </w:r>
      <w:r>
        <w:rPr>
          <w:sz w:val="20"/>
          <w:szCs w:val="20"/>
          <w:lang w:val="es-MX"/>
        </w:rPr>
        <w:t xml:space="preserve"> </w:t>
      </w:r>
      <w:r w:rsidRPr="002A2E31">
        <w:rPr>
          <w:sz w:val="20"/>
          <w:szCs w:val="20"/>
          <w:lang w:val="es-MX"/>
        </w:rPr>
        <w:t xml:space="preserve">a obtener un consentimiento informado </w:t>
      </w:r>
      <w:r>
        <w:rPr>
          <w:sz w:val="20"/>
          <w:szCs w:val="20"/>
          <w:lang w:val="es-MX"/>
        </w:rPr>
        <w:t xml:space="preserve">y acceso a la información </w:t>
      </w:r>
      <w:r w:rsidRPr="002A2E31">
        <w:rPr>
          <w:sz w:val="20"/>
          <w:szCs w:val="20"/>
          <w:lang w:val="es-MX"/>
        </w:rPr>
        <w:t>en materia de salud</w:t>
      </w:r>
      <w:r>
        <w:rPr>
          <w:sz w:val="20"/>
          <w:szCs w:val="20"/>
          <w:lang w:val="es-MX"/>
        </w:rPr>
        <w:t xml:space="preserve">, </w:t>
      </w:r>
      <w:r w:rsidR="003437A0">
        <w:rPr>
          <w:sz w:val="20"/>
          <w:szCs w:val="20"/>
          <w:lang w:val="es-MX"/>
        </w:rPr>
        <w:t xml:space="preserve">de conformidad con los </w:t>
      </w:r>
      <w:r>
        <w:rPr>
          <w:sz w:val="20"/>
          <w:szCs w:val="20"/>
          <w:lang w:val="es-MX"/>
        </w:rPr>
        <w:t>artículos 26</w:t>
      </w:r>
      <w:r w:rsidR="00460FE6">
        <w:rPr>
          <w:sz w:val="20"/>
          <w:szCs w:val="20"/>
          <w:lang w:val="es-MX"/>
        </w:rPr>
        <w:t>,</w:t>
      </w:r>
      <w:r>
        <w:rPr>
          <w:sz w:val="20"/>
          <w:szCs w:val="20"/>
          <w:lang w:val="es-MX"/>
        </w:rPr>
        <w:t xml:space="preserve"> </w:t>
      </w:r>
      <w:r w:rsidRPr="007E5CD5">
        <w:rPr>
          <w:sz w:val="20"/>
          <w:lang w:val="es-MX"/>
        </w:rPr>
        <w:t>13</w:t>
      </w:r>
      <w:r w:rsidR="002C4EDE" w:rsidRPr="007E5CD5">
        <w:rPr>
          <w:sz w:val="20"/>
          <w:szCs w:val="20"/>
          <w:lang w:val="es-MX"/>
        </w:rPr>
        <w:t>, 7 y 11</w:t>
      </w:r>
      <w:r w:rsidR="00F377B4" w:rsidRPr="00AB1E03">
        <w:rPr>
          <w:b/>
          <w:sz w:val="20"/>
          <w:szCs w:val="20"/>
          <w:lang w:val="es-MX"/>
        </w:rPr>
        <w:t xml:space="preserve"> </w:t>
      </w:r>
      <w:r w:rsidRPr="0029137A">
        <w:rPr>
          <w:sz w:val="20"/>
          <w:szCs w:val="20"/>
          <w:lang w:val="es-MX"/>
        </w:rPr>
        <w:t xml:space="preserve">de la Convención Americana, en </w:t>
      </w:r>
      <w:r>
        <w:rPr>
          <w:sz w:val="20"/>
          <w:szCs w:val="20"/>
          <w:lang w:val="es-MX"/>
        </w:rPr>
        <w:t xml:space="preserve">relación con el artículo 1.1 </w:t>
      </w:r>
      <w:r w:rsidRPr="0029137A">
        <w:rPr>
          <w:sz w:val="20"/>
          <w:szCs w:val="20"/>
          <w:lang w:val="es-MX"/>
        </w:rPr>
        <w:t>de la misma, en perjuicio del señor</w:t>
      </w:r>
      <w:r>
        <w:rPr>
          <w:sz w:val="20"/>
          <w:szCs w:val="20"/>
          <w:lang w:val="es-MX"/>
        </w:rPr>
        <w:t xml:space="preserve"> </w:t>
      </w:r>
      <w:r w:rsidR="00460FE6">
        <w:rPr>
          <w:sz w:val="20"/>
          <w:szCs w:val="20"/>
          <w:lang w:val="es-MX"/>
        </w:rPr>
        <w:t xml:space="preserve">Vinicio </w:t>
      </w:r>
      <w:r>
        <w:rPr>
          <w:sz w:val="20"/>
          <w:szCs w:val="20"/>
          <w:lang w:val="es-MX"/>
        </w:rPr>
        <w:t>Poblete Vilches y de sus familiares</w:t>
      </w:r>
      <w:r w:rsidRPr="0029137A">
        <w:rPr>
          <w:sz w:val="20"/>
          <w:szCs w:val="20"/>
          <w:lang w:val="es-MX"/>
        </w:rPr>
        <w:t>, en los términos de</w:t>
      </w:r>
      <w:r>
        <w:rPr>
          <w:sz w:val="20"/>
          <w:szCs w:val="20"/>
          <w:lang w:val="es-MX"/>
        </w:rPr>
        <w:t xml:space="preserve"> los párrafos </w:t>
      </w:r>
      <w:r w:rsidR="00294152">
        <w:rPr>
          <w:sz w:val="20"/>
          <w:szCs w:val="20"/>
          <w:lang w:val="es-MX"/>
        </w:rPr>
        <w:t>161</w:t>
      </w:r>
      <w:r>
        <w:rPr>
          <w:sz w:val="20"/>
          <w:szCs w:val="20"/>
          <w:lang w:val="es-MX"/>
        </w:rPr>
        <w:t xml:space="preserve"> a </w:t>
      </w:r>
      <w:r w:rsidR="00294152">
        <w:rPr>
          <w:sz w:val="20"/>
          <w:szCs w:val="20"/>
          <w:lang w:val="es-MX"/>
        </w:rPr>
        <w:t xml:space="preserve">173 y 174 a 176 </w:t>
      </w:r>
      <w:r w:rsidRPr="0029137A">
        <w:rPr>
          <w:sz w:val="20"/>
          <w:szCs w:val="20"/>
          <w:lang w:val="es-MX"/>
        </w:rPr>
        <w:t>de la presente Sentencia.</w:t>
      </w:r>
    </w:p>
    <w:p w14:paraId="65C09297" w14:textId="77777777" w:rsidR="00A07555" w:rsidRDefault="00A07555" w:rsidP="00A07555">
      <w:pPr>
        <w:pStyle w:val="ListParagraph"/>
        <w:widowControl w:val="0"/>
        <w:tabs>
          <w:tab w:val="center" w:pos="567"/>
        </w:tabs>
        <w:autoSpaceDE w:val="0"/>
        <w:autoSpaceDN w:val="0"/>
        <w:adjustRightInd w:val="0"/>
        <w:ind w:left="0" w:right="-90"/>
        <w:rPr>
          <w:sz w:val="20"/>
          <w:szCs w:val="20"/>
          <w:lang w:val="es-MX"/>
        </w:rPr>
      </w:pPr>
    </w:p>
    <w:p w14:paraId="27C49388" w14:textId="362BDD33" w:rsidR="00A07555" w:rsidRPr="002A64C9"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73302C">
        <w:rPr>
          <w:sz w:val="20"/>
          <w:szCs w:val="20"/>
          <w:lang w:val="es-MX"/>
        </w:rPr>
        <w:t xml:space="preserve">El Estado es responsable por la violación </w:t>
      </w:r>
      <w:r>
        <w:rPr>
          <w:sz w:val="20"/>
          <w:szCs w:val="20"/>
          <w:lang w:val="es-MX"/>
        </w:rPr>
        <w:t>de los</w:t>
      </w:r>
      <w:r w:rsidRPr="0073302C">
        <w:rPr>
          <w:sz w:val="20"/>
          <w:szCs w:val="20"/>
          <w:lang w:val="es-MX"/>
        </w:rPr>
        <w:t xml:space="preserve"> derecho</w:t>
      </w:r>
      <w:r>
        <w:rPr>
          <w:sz w:val="20"/>
          <w:szCs w:val="20"/>
          <w:lang w:val="es-MX"/>
        </w:rPr>
        <w:t>s</w:t>
      </w:r>
      <w:r w:rsidRPr="0073302C">
        <w:rPr>
          <w:sz w:val="20"/>
          <w:szCs w:val="20"/>
          <w:lang w:val="es-MX"/>
        </w:rPr>
        <w:t xml:space="preserve"> </w:t>
      </w:r>
      <w:r>
        <w:rPr>
          <w:sz w:val="20"/>
          <w:szCs w:val="20"/>
        </w:rPr>
        <w:t>a las garantías judiciales y protección judicial, reconocidos en los artículos</w:t>
      </w:r>
      <w:r w:rsidRPr="0073302C">
        <w:rPr>
          <w:sz w:val="20"/>
          <w:szCs w:val="20"/>
        </w:rPr>
        <w:t xml:space="preserve"> </w:t>
      </w:r>
      <w:r w:rsidRPr="0073302C">
        <w:rPr>
          <w:sz w:val="20"/>
          <w:szCs w:val="20"/>
          <w:lang w:val="es-AR"/>
        </w:rPr>
        <w:t>8.1 y 25.1 de la Convención</w:t>
      </w:r>
      <w:r>
        <w:rPr>
          <w:sz w:val="20"/>
          <w:szCs w:val="20"/>
          <w:lang w:val="es-AR"/>
        </w:rPr>
        <w:t xml:space="preserve"> Americana, en relación con el artículo 1.1 de la misma, en perjuicio de </w:t>
      </w:r>
      <w:r w:rsidR="006E671C">
        <w:rPr>
          <w:sz w:val="20"/>
          <w:szCs w:val="20"/>
          <w:lang w:val="es-AR"/>
        </w:rPr>
        <w:t xml:space="preserve">sus </w:t>
      </w:r>
      <w:r>
        <w:rPr>
          <w:sz w:val="20"/>
          <w:szCs w:val="20"/>
          <w:lang w:val="es-AR"/>
        </w:rPr>
        <w:t>familiares</w:t>
      </w:r>
      <w:r w:rsidR="006E671C" w:rsidRPr="006E671C">
        <w:rPr>
          <w:sz w:val="20"/>
          <w:szCs w:val="20"/>
          <w:lang w:val="es-MX"/>
        </w:rPr>
        <w:t xml:space="preserve"> </w:t>
      </w:r>
      <w:r w:rsidR="006E671C">
        <w:rPr>
          <w:sz w:val="20"/>
          <w:szCs w:val="20"/>
          <w:lang w:val="es-MX"/>
        </w:rPr>
        <w:t>Blanca Tapia Encina, Gonzalo</w:t>
      </w:r>
      <w:r w:rsidR="00460FE6">
        <w:rPr>
          <w:sz w:val="20"/>
          <w:szCs w:val="20"/>
          <w:lang w:val="es-MX"/>
        </w:rPr>
        <w:t xml:space="preserve"> Poblete Tapia</w:t>
      </w:r>
      <w:r w:rsidR="006E671C">
        <w:rPr>
          <w:sz w:val="20"/>
          <w:szCs w:val="20"/>
          <w:lang w:val="es-MX"/>
        </w:rPr>
        <w:t xml:space="preserve">, Vinicio Marco </w:t>
      </w:r>
      <w:r w:rsidR="00460FE6">
        <w:rPr>
          <w:sz w:val="20"/>
          <w:szCs w:val="20"/>
          <w:lang w:val="es-MX"/>
        </w:rPr>
        <w:t xml:space="preserve">Poblete Tapia </w:t>
      </w:r>
      <w:r w:rsidR="006E671C">
        <w:rPr>
          <w:sz w:val="20"/>
          <w:szCs w:val="20"/>
          <w:lang w:val="es-MX"/>
        </w:rPr>
        <w:t xml:space="preserve">y </w:t>
      </w:r>
      <w:proofErr w:type="spellStart"/>
      <w:r w:rsidR="006E671C">
        <w:rPr>
          <w:sz w:val="20"/>
          <w:szCs w:val="20"/>
          <w:lang w:val="es-MX"/>
        </w:rPr>
        <w:t>Cesia</w:t>
      </w:r>
      <w:proofErr w:type="spellEnd"/>
      <w:r w:rsidR="006E671C">
        <w:rPr>
          <w:sz w:val="20"/>
          <w:szCs w:val="20"/>
          <w:lang w:val="es-MX"/>
        </w:rPr>
        <w:t xml:space="preserve"> Poblete Tapia,</w:t>
      </w:r>
      <w:r>
        <w:rPr>
          <w:sz w:val="20"/>
          <w:szCs w:val="20"/>
          <w:lang w:val="es-AR"/>
        </w:rPr>
        <w:t xml:space="preserve"> en los términos de los párrafos </w:t>
      </w:r>
      <w:r w:rsidR="00294152">
        <w:rPr>
          <w:sz w:val="20"/>
          <w:szCs w:val="20"/>
          <w:lang w:val="es-AR"/>
        </w:rPr>
        <w:t>182</w:t>
      </w:r>
      <w:r>
        <w:rPr>
          <w:sz w:val="20"/>
          <w:szCs w:val="20"/>
          <w:lang w:val="es-AR"/>
        </w:rPr>
        <w:t xml:space="preserve"> a </w:t>
      </w:r>
      <w:r w:rsidR="00294152">
        <w:rPr>
          <w:sz w:val="20"/>
          <w:szCs w:val="20"/>
          <w:lang w:val="es-AR"/>
        </w:rPr>
        <w:t>193</w:t>
      </w:r>
      <w:r>
        <w:rPr>
          <w:sz w:val="20"/>
          <w:szCs w:val="20"/>
          <w:lang w:val="es-AR"/>
        </w:rPr>
        <w:t xml:space="preserve"> de la presente Sentencia.</w:t>
      </w:r>
    </w:p>
    <w:p w14:paraId="1D8B4431" w14:textId="77777777" w:rsidR="003437A0" w:rsidRPr="0029137A" w:rsidRDefault="003437A0" w:rsidP="002A64C9">
      <w:pPr>
        <w:pStyle w:val="ListParagraph"/>
        <w:widowControl w:val="0"/>
        <w:tabs>
          <w:tab w:val="center" w:pos="567"/>
        </w:tabs>
        <w:autoSpaceDE w:val="0"/>
        <w:autoSpaceDN w:val="0"/>
        <w:adjustRightInd w:val="0"/>
        <w:ind w:left="0" w:right="-90"/>
        <w:contextualSpacing/>
        <w:rPr>
          <w:sz w:val="20"/>
          <w:szCs w:val="20"/>
          <w:lang w:val="es-MX"/>
        </w:rPr>
      </w:pPr>
    </w:p>
    <w:p w14:paraId="6666F43A" w14:textId="6E2EBD31" w:rsidR="003437A0" w:rsidRPr="009D1266" w:rsidRDefault="003437A0" w:rsidP="003437A0">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9D1266">
        <w:rPr>
          <w:sz w:val="20"/>
          <w:szCs w:val="20"/>
          <w:lang w:val="es-MX"/>
        </w:rPr>
        <w:t>El Estado es responsable por la violación</w:t>
      </w:r>
      <w:r>
        <w:rPr>
          <w:sz w:val="20"/>
          <w:szCs w:val="20"/>
          <w:lang w:val="es-MX"/>
        </w:rPr>
        <w:t xml:space="preserve"> </w:t>
      </w:r>
      <w:r w:rsidR="00002BD1">
        <w:rPr>
          <w:sz w:val="20"/>
          <w:szCs w:val="20"/>
          <w:lang w:val="es-MX"/>
        </w:rPr>
        <w:t>a la integ</w:t>
      </w:r>
      <w:r w:rsidR="00AC78D0">
        <w:rPr>
          <w:sz w:val="20"/>
          <w:szCs w:val="20"/>
          <w:lang w:val="es-MX"/>
        </w:rPr>
        <w:t>r</w:t>
      </w:r>
      <w:r w:rsidR="00002BD1">
        <w:rPr>
          <w:sz w:val="20"/>
          <w:szCs w:val="20"/>
          <w:lang w:val="es-MX"/>
        </w:rPr>
        <w:t xml:space="preserve">idad personal, reconocida en </w:t>
      </w:r>
      <w:r>
        <w:rPr>
          <w:sz w:val="20"/>
          <w:szCs w:val="20"/>
          <w:lang w:val="es-MX"/>
        </w:rPr>
        <w:t xml:space="preserve">el artículo 5.1 de la Convención Americana, en perjuicio de </w:t>
      </w:r>
      <w:r w:rsidR="006E671C">
        <w:rPr>
          <w:sz w:val="20"/>
          <w:szCs w:val="20"/>
          <w:lang w:val="es-MX"/>
        </w:rPr>
        <w:t>sus</w:t>
      </w:r>
      <w:r>
        <w:rPr>
          <w:sz w:val="20"/>
          <w:szCs w:val="20"/>
          <w:lang w:val="es-MX"/>
        </w:rPr>
        <w:t xml:space="preserve"> familiares</w:t>
      </w:r>
      <w:r w:rsidR="00002BD1">
        <w:rPr>
          <w:sz w:val="20"/>
          <w:szCs w:val="20"/>
          <w:lang w:val="es-MX"/>
        </w:rPr>
        <w:t xml:space="preserve"> Blanca</w:t>
      </w:r>
      <w:r w:rsidR="006E671C">
        <w:rPr>
          <w:sz w:val="20"/>
          <w:szCs w:val="20"/>
          <w:lang w:val="es-MX"/>
        </w:rPr>
        <w:t xml:space="preserve"> Tapia Encina, Gonzalo</w:t>
      </w:r>
      <w:r w:rsidR="00460FE6">
        <w:rPr>
          <w:sz w:val="20"/>
          <w:szCs w:val="20"/>
          <w:lang w:val="es-MX"/>
        </w:rPr>
        <w:t xml:space="preserve"> Poblete Tapia</w:t>
      </w:r>
      <w:r w:rsidR="006E671C">
        <w:rPr>
          <w:sz w:val="20"/>
          <w:szCs w:val="20"/>
          <w:lang w:val="es-MX"/>
        </w:rPr>
        <w:t xml:space="preserve">, Vinicio Marco </w:t>
      </w:r>
      <w:r w:rsidR="00460FE6">
        <w:rPr>
          <w:sz w:val="20"/>
          <w:szCs w:val="20"/>
          <w:lang w:val="es-MX"/>
        </w:rPr>
        <w:t xml:space="preserve">Poblete Tapia </w:t>
      </w:r>
      <w:r w:rsidR="006E671C">
        <w:rPr>
          <w:sz w:val="20"/>
          <w:szCs w:val="20"/>
          <w:lang w:val="es-MX"/>
        </w:rPr>
        <w:t xml:space="preserve">y </w:t>
      </w:r>
      <w:proofErr w:type="spellStart"/>
      <w:r w:rsidR="006E671C">
        <w:rPr>
          <w:sz w:val="20"/>
          <w:szCs w:val="20"/>
          <w:lang w:val="es-MX"/>
        </w:rPr>
        <w:t>Cesia</w:t>
      </w:r>
      <w:proofErr w:type="spellEnd"/>
      <w:r w:rsidR="006E671C">
        <w:rPr>
          <w:sz w:val="20"/>
          <w:szCs w:val="20"/>
          <w:lang w:val="es-MX"/>
        </w:rPr>
        <w:t xml:space="preserve"> Poblete Tapia</w:t>
      </w:r>
      <w:r w:rsidR="00294152">
        <w:rPr>
          <w:sz w:val="20"/>
          <w:szCs w:val="20"/>
          <w:lang w:val="es-MX"/>
        </w:rPr>
        <w:t>,</w:t>
      </w:r>
      <w:r w:rsidR="00002BD1">
        <w:rPr>
          <w:sz w:val="20"/>
          <w:szCs w:val="20"/>
          <w:lang w:val="es-MX"/>
        </w:rPr>
        <w:t xml:space="preserve"> </w:t>
      </w:r>
      <w:r>
        <w:rPr>
          <w:sz w:val="20"/>
          <w:szCs w:val="20"/>
          <w:lang w:val="es-MX"/>
        </w:rPr>
        <w:t xml:space="preserve">en los términos de los párrafos </w:t>
      </w:r>
      <w:r w:rsidR="00294152">
        <w:rPr>
          <w:sz w:val="20"/>
          <w:szCs w:val="20"/>
          <w:lang w:val="es-MX"/>
        </w:rPr>
        <w:t>203</w:t>
      </w:r>
      <w:r>
        <w:rPr>
          <w:sz w:val="20"/>
          <w:szCs w:val="20"/>
          <w:lang w:val="es-MX"/>
        </w:rPr>
        <w:t xml:space="preserve"> a </w:t>
      </w:r>
      <w:r w:rsidR="00294152">
        <w:rPr>
          <w:sz w:val="20"/>
          <w:szCs w:val="20"/>
          <w:lang w:val="es-MX"/>
        </w:rPr>
        <w:t>210</w:t>
      </w:r>
      <w:r w:rsidR="00002BD1" w:rsidRPr="00002BD1">
        <w:rPr>
          <w:sz w:val="20"/>
          <w:szCs w:val="20"/>
          <w:lang w:val="es-AR"/>
        </w:rPr>
        <w:t xml:space="preserve"> </w:t>
      </w:r>
      <w:r w:rsidR="00002BD1">
        <w:rPr>
          <w:sz w:val="20"/>
          <w:szCs w:val="20"/>
          <w:lang w:val="es-AR"/>
        </w:rPr>
        <w:t>de la presente Sentencia</w:t>
      </w:r>
      <w:r>
        <w:rPr>
          <w:sz w:val="20"/>
          <w:szCs w:val="20"/>
          <w:lang w:val="es-MX"/>
        </w:rPr>
        <w:t>.</w:t>
      </w:r>
    </w:p>
    <w:p w14:paraId="744983A0" w14:textId="77777777" w:rsidR="00F377B4" w:rsidRDefault="00F377B4" w:rsidP="00AB1E03">
      <w:pPr>
        <w:pStyle w:val="ListParagraph"/>
        <w:widowControl w:val="0"/>
        <w:tabs>
          <w:tab w:val="center" w:pos="567"/>
        </w:tabs>
        <w:autoSpaceDE w:val="0"/>
        <w:autoSpaceDN w:val="0"/>
        <w:adjustRightInd w:val="0"/>
        <w:ind w:left="0" w:right="-90"/>
        <w:contextualSpacing/>
        <w:rPr>
          <w:sz w:val="20"/>
          <w:szCs w:val="20"/>
          <w:lang w:val="es-MX"/>
        </w:rPr>
      </w:pPr>
    </w:p>
    <w:p w14:paraId="69D18F75" w14:textId="4ACF8A52" w:rsidR="00F377B4" w:rsidRPr="007E5CD5" w:rsidRDefault="00F377B4"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7E5CD5">
        <w:rPr>
          <w:sz w:val="20"/>
          <w:szCs w:val="20"/>
          <w:lang w:val="es-MX"/>
        </w:rPr>
        <w:t xml:space="preserve">El Estado no es responsable por la violación del derecho a la seguridad social, de conformidad con el artículo 26 de la Convención Americana, </w:t>
      </w:r>
      <w:r w:rsidR="00541592">
        <w:rPr>
          <w:sz w:val="20"/>
          <w:szCs w:val="20"/>
          <w:lang w:val="es-MX"/>
        </w:rPr>
        <w:t xml:space="preserve">ni del derecho a la imparcialidad judicial, de conformidad con el artículo 8 de la misma, </w:t>
      </w:r>
      <w:r w:rsidRPr="007E5CD5">
        <w:rPr>
          <w:sz w:val="20"/>
          <w:szCs w:val="20"/>
          <w:lang w:val="es-MX"/>
        </w:rPr>
        <w:t>en los términos de</w:t>
      </w:r>
      <w:r w:rsidR="00294152">
        <w:rPr>
          <w:sz w:val="20"/>
          <w:szCs w:val="20"/>
          <w:lang w:val="es-MX"/>
        </w:rPr>
        <w:t>l</w:t>
      </w:r>
      <w:r w:rsidRPr="007E5CD5">
        <w:rPr>
          <w:sz w:val="20"/>
          <w:szCs w:val="20"/>
          <w:lang w:val="es-MX"/>
        </w:rPr>
        <w:t xml:space="preserve"> párrafo</w:t>
      </w:r>
      <w:r w:rsidR="00294152">
        <w:rPr>
          <w:sz w:val="20"/>
          <w:szCs w:val="20"/>
          <w:lang w:val="es-MX"/>
        </w:rPr>
        <w:t xml:space="preserve"> 99</w:t>
      </w:r>
      <w:r w:rsidRPr="007E5CD5">
        <w:rPr>
          <w:sz w:val="20"/>
          <w:szCs w:val="20"/>
          <w:lang w:val="es-MX"/>
        </w:rPr>
        <w:t xml:space="preserve"> </w:t>
      </w:r>
      <w:r w:rsidR="00541592">
        <w:rPr>
          <w:sz w:val="20"/>
          <w:szCs w:val="20"/>
          <w:lang w:val="es-MX"/>
        </w:rPr>
        <w:t xml:space="preserve">y 194 a 198, respectivamente, </w:t>
      </w:r>
      <w:r w:rsidRPr="007E5CD5">
        <w:rPr>
          <w:sz w:val="20"/>
          <w:szCs w:val="20"/>
          <w:lang w:val="es-MX"/>
        </w:rPr>
        <w:t>de la presente Sentencia.</w:t>
      </w:r>
    </w:p>
    <w:p w14:paraId="61D14544" w14:textId="77777777" w:rsidR="00A07555" w:rsidRPr="00477366" w:rsidRDefault="00A07555" w:rsidP="00A07555">
      <w:pPr>
        <w:pStyle w:val="Prrafodelista2"/>
        <w:tabs>
          <w:tab w:val="left" w:pos="720"/>
        </w:tabs>
        <w:ind w:left="0" w:right="-90"/>
        <w:contextualSpacing/>
        <w:rPr>
          <w:b/>
          <w:bCs/>
          <w:lang w:val="es-MX"/>
        </w:rPr>
      </w:pPr>
    </w:p>
    <w:p w14:paraId="345B3C36" w14:textId="77777777" w:rsidR="00A07555" w:rsidRPr="0029137A" w:rsidRDefault="00A07555" w:rsidP="00A07555">
      <w:pPr>
        <w:pStyle w:val="Prrafodelista2"/>
        <w:tabs>
          <w:tab w:val="left" w:pos="720"/>
        </w:tabs>
        <w:ind w:left="0" w:right="-90"/>
        <w:contextualSpacing/>
        <w:rPr>
          <w:b/>
          <w:bCs/>
        </w:rPr>
      </w:pPr>
      <w:r w:rsidRPr="0029137A">
        <w:rPr>
          <w:b/>
          <w:bCs/>
        </w:rPr>
        <w:lastRenderedPageBreak/>
        <w:t>Y DISPONE:</w:t>
      </w:r>
    </w:p>
    <w:p w14:paraId="2B21BCC9" w14:textId="77777777" w:rsidR="00A07555" w:rsidRDefault="00A07555" w:rsidP="00A07555">
      <w:pPr>
        <w:pStyle w:val="Prrafodelista2"/>
        <w:ind w:left="0" w:right="-90"/>
        <w:contextualSpacing/>
        <w:rPr>
          <w:rFonts w:asciiTheme="minorHAnsi" w:eastAsiaTheme="minorHAnsi" w:hAnsiTheme="minorHAnsi" w:cstheme="minorBidi"/>
          <w:b/>
          <w:bCs/>
          <w:sz w:val="22"/>
          <w:szCs w:val="22"/>
          <w:lang w:bidi="ar-SA"/>
        </w:rPr>
      </w:pPr>
    </w:p>
    <w:p w14:paraId="13D0A16B" w14:textId="77777777" w:rsidR="00E32C76" w:rsidRPr="00E32C76" w:rsidRDefault="00E32C76" w:rsidP="00E32C76">
      <w:pPr>
        <w:pStyle w:val="Prrafodelista2"/>
        <w:ind w:left="0" w:right="-90"/>
        <w:contextualSpacing/>
      </w:pPr>
      <w:r>
        <w:t>Por unanimidad</w:t>
      </w:r>
      <w:r w:rsidRPr="0029137A">
        <w:t>, que:</w:t>
      </w:r>
    </w:p>
    <w:p w14:paraId="5F02F5B8" w14:textId="77777777" w:rsidR="00A07555" w:rsidRPr="00E32C76" w:rsidRDefault="00A07555" w:rsidP="00A07555">
      <w:pPr>
        <w:pStyle w:val="ListParagraph"/>
        <w:widowControl w:val="0"/>
        <w:tabs>
          <w:tab w:val="center" w:pos="567"/>
        </w:tabs>
        <w:autoSpaceDE w:val="0"/>
        <w:autoSpaceDN w:val="0"/>
        <w:adjustRightInd w:val="0"/>
        <w:ind w:left="0" w:right="-90"/>
        <w:rPr>
          <w:sz w:val="20"/>
          <w:szCs w:val="20"/>
          <w:lang w:val="es-ES_tradnl"/>
        </w:rPr>
      </w:pPr>
    </w:p>
    <w:p w14:paraId="0F998510" w14:textId="4FF98C3B" w:rsidR="00A07555" w:rsidRPr="0029137A"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29137A">
        <w:rPr>
          <w:sz w:val="20"/>
          <w:szCs w:val="20"/>
          <w:lang w:val="es-MX"/>
        </w:rPr>
        <w:t>Esta Sentencia constituye, por sí misma, una forma de reparación.</w:t>
      </w:r>
    </w:p>
    <w:p w14:paraId="0F927BE6" w14:textId="77777777" w:rsidR="00A07555" w:rsidRPr="0029137A" w:rsidRDefault="00A07555" w:rsidP="00A07555">
      <w:pPr>
        <w:pStyle w:val="ListParagraph"/>
        <w:widowControl w:val="0"/>
        <w:tabs>
          <w:tab w:val="center" w:pos="567"/>
        </w:tabs>
        <w:autoSpaceDE w:val="0"/>
        <w:autoSpaceDN w:val="0"/>
        <w:adjustRightInd w:val="0"/>
        <w:ind w:left="0" w:right="-90"/>
        <w:rPr>
          <w:sz w:val="20"/>
          <w:szCs w:val="20"/>
          <w:lang w:val="es-MX"/>
        </w:rPr>
      </w:pPr>
    </w:p>
    <w:p w14:paraId="01A7EC2B" w14:textId="326910D1" w:rsidR="00A07555"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29137A">
        <w:rPr>
          <w:sz w:val="20"/>
          <w:szCs w:val="20"/>
          <w:lang w:val="es-MX"/>
        </w:rPr>
        <w:t>El Estado debe</w:t>
      </w:r>
      <w:r>
        <w:rPr>
          <w:sz w:val="20"/>
          <w:szCs w:val="20"/>
          <w:lang w:val="es-MX"/>
        </w:rPr>
        <w:t>, dentro del plazo de seis meses contado a partir de la notificación de esta Sentencia,</w:t>
      </w:r>
      <w:r w:rsidRPr="0029137A">
        <w:rPr>
          <w:sz w:val="20"/>
          <w:szCs w:val="20"/>
          <w:lang w:val="es-MX"/>
        </w:rPr>
        <w:t xml:space="preserve"> realizar las publicaci</w:t>
      </w:r>
      <w:r>
        <w:rPr>
          <w:sz w:val="20"/>
          <w:szCs w:val="20"/>
          <w:lang w:val="es-MX"/>
        </w:rPr>
        <w:t xml:space="preserve">ones indicadas en el párrafo </w:t>
      </w:r>
      <w:r w:rsidR="00294152">
        <w:rPr>
          <w:sz w:val="20"/>
          <w:szCs w:val="20"/>
          <w:lang w:val="es-MX"/>
        </w:rPr>
        <w:t>226</w:t>
      </w:r>
      <w:r w:rsidRPr="0029137A">
        <w:rPr>
          <w:sz w:val="20"/>
          <w:szCs w:val="20"/>
          <w:lang w:val="es-MX"/>
        </w:rPr>
        <w:t xml:space="preserve"> </w:t>
      </w:r>
      <w:r>
        <w:rPr>
          <w:sz w:val="20"/>
          <w:szCs w:val="20"/>
          <w:lang w:val="es-MX"/>
        </w:rPr>
        <w:t xml:space="preserve">de la presente </w:t>
      </w:r>
      <w:r w:rsidRPr="0029137A">
        <w:rPr>
          <w:sz w:val="20"/>
          <w:szCs w:val="20"/>
          <w:lang w:val="es-MX"/>
        </w:rPr>
        <w:t>Sentencia.</w:t>
      </w:r>
    </w:p>
    <w:p w14:paraId="221BD749" w14:textId="77777777" w:rsidR="00A07555" w:rsidRDefault="00A07555" w:rsidP="00A07555">
      <w:pPr>
        <w:pStyle w:val="ListParagraph"/>
        <w:widowControl w:val="0"/>
        <w:tabs>
          <w:tab w:val="center" w:pos="567"/>
        </w:tabs>
        <w:autoSpaceDE w:val="0"/>
        <w:autoSpaceDN w:val="0"/>
        <w:adjustRightInd w:val="0"/>
        <w:ind w:left="0" w:right="-90"/>
        <w:rPr>
          <w:sz w:val="20"/>
          <w:szCs w:val="20"/>
          <w:lang w:val="es-MX"/>
        </w:rPr>
      </w:pPr>
    </w:p>
    <w:p w14:paraId="211EBEB3" w14:textId="03B6DDCC" w:rsidR="00A07555"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Pr>
          <w:sz w:val="20"/>
          <w:szCs w:val="20"/>
          <w:lang w:val="es-MX"/>
        </w:rPr>
        <w:t>El Estado debe, dentro del plazo de un año contado a partir de la n</w:t>
      </w:r>
      <w:r w:rsidR="00840E52">
        <w:rPr>
          <w:sz w:val="20"/>
          <w:szCs w:val="20"/>
          <w:lang w:val="es-MX"/>
        </w:rPr>
        <w:t xml:space="preserve">otificación de esta Sentencia, </w:t>
      </w:r>
      <w:r w:rsidR="006E671C">
        <w:rPr>
          <w:sz w:val="20"/>
          <w:szCs w:val="20"/>
          <w:lang w:val="es-MX"/>
        </w:rPr>
        <w:t>realizar un acto público de reconocimiento de responsabilidad</w:t>
      </w:r>
      <w:r>
        <w:rPr>
          <w:sz w:val="20"/>
          <w:szCs w:val="20"/>
          <w:lang w:val="es-MX"/>
        </w:rPr>
        <w:t xml:space="preserve">, en los términos del párrafo </w:t>
      </w:r>
      <w:r w:rsidR="00294152">
        <w:rPr>
          <w:sz w:val="20"/>
          <w:szCs w:val="20"/>
          <w:lang w:val="es-MX"/>
        </w:rPr>
        <w:t>227</w:t>
      </w:r>
      <w:r>
        <w:rPr>
          <w:sz w:val="20"/>
          <w:szCs w:val="20"/>
          <w:lang w:val="es-MX"/>
        </w:rPr>
        <w:t xml:space="preserve"> de la presente Sentencia.  </w:t>
      </w:r>
    </w:p>
    <w:p w14:paraId="33869A54" w14:textId="77777777" w:rsidR="00A07555" w:rsidRDefault="00A07555" w:rsidP="00A07555">
      <w:pPr>
        <w:pStyle w:val="ListParagraph"/>
        <w:widowControl w:val="0"/>
        <w:tabs>
          <w:tab w:val="center" w:pos="567"/>
        </w:tabs>
        <w:autoSpaceDE w:val="0"/>
        <w:autoSpaceDN w:val="0"/>
        <w:adjustRightInd w:val="0"/>
        <w:ind w:left="0" w:right="-90"/>
        <w:rPr>
          <w:sz w:val="20"/>
          <w:szCs w:val="20"/>
          <w:lang w:val="es-MX"/>
        </w:rPr>
      </w:pPr>
    </w:p>
    <w:p w14:paraId="4DDB5AAD" w14:textId="1967939C" w:rsidR="00A07555" w:rsidRPr="0029137A"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Pr>
          <w:sz w:val="20"/>
          <w:szCs w:val="20"/>
          <w:lang w:val="es-MX"/>
        </w:rPr>
        <w:t xml:space="preserve">El Estado debe </w:t>
      </w:r>
      <w:r w:rsidRPr="004A27E5">
        <w:rPr>
          <w:sz w:val="20"/>
          <w:szCs w:val="20"/>
          <w:lang w:val="es-ES"/>
        </w:rPr>
        <w:t>brindar, a través de sus instituciones de salud, la atención médica psicológica de manera gratuita e inmediata a las víctimas</w:t>
      </w:r>
      <w:r>
        <w:rPr>
          <w:sz w:val="20"/>
          <w:szCs w:val="20"/>
          <w:lang w:val="es-ES"/>
        </w:rPr>
        <w:t>, en el modo</w:t>
      </w:r>
      <w:r w:rsidR="00294152">
        <w:rPr>
          <w:sz w:val="20"/>
          <w:szCs w:val="20"/>
          <w:lang w:val="es-ES"/>
        </w:rPr>
        <w:t xml:space="preserve"> y plazo</w:t>
      </w:r>
      <w:r>
        <w:rPr>
          <w:sz w:val="20"/>
          <w:szCs w:val="20"/>
          <w:lang w:val="es-ES"/>
        </w:rPr>
        <w:t xml:space="preserve"> fijado en el párrafo </w:t>
      </w:r>
      <w:r w:rsidR="00294152">
        <w:rPr>
          <w:sz w:val="20"/>
          <w:szCs w:val="20"/>
          <w:lang w:val="es-ES"/>
        </w:rPr>
        <w:t>231</w:t>
      </w:r>
      <w:r>
        <w:rPr>
          <w:sz w:val="20"/>
          <w:szCs w:val="20"/>
          <w:lang w:val="es-ES"/>
        </w:rPr>
        <w:t xml:space="preserve"> de la presente Sentencia</w:t>
      </w:r>
      <w:r w:rsidRPr="004A27E5">
        <w:rPr>
          <w:sz w:val="20"/>
          <w:szCs w:val="20"/>
          <w:lang w:val="es-ES"/>
        </w:rPr>
        <w:t>.</w:t>
      </w:r>
    </w:p>
    <w:p w14:paraId="73326BFC" w14:textId="77777777" w:rsidR="00A07555" w:rsidRDefault="00A07555" w:rsidP="00A07555">
      <w:pPr>
        <w:pStyle w:val="ListParagraph"/>
        <w:widowControl w:val="0"/>
        <w:tabs>
          <w:tab w:val="center" w:pos="567"/>
        </w:tabs>
        <w:autoSpaceDE w:val="0"/>
        <w:autoSpaceDN w:val="0"/>
        <w:adjustRightInd w:val="0"/>
        <w:ind w:left="0" w:right="-90"/>
        <w:rPr>
          <w:sz w:val="20"/>
          <w:szCs w:val="20"/>
          <w:lang w:val="es-MX"/>
        </w:rPr>
      </w:pPr>
    </w:p>
    <w:p w14:paraId="70658F91" w14:textId="35967980" w:rsidR="00A07555" w:rsidRPr="006E671C" w:rsidRDefault="00A07555" w:rsidP="006E671C">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Pr>
          <w:sz w:val="20"/>
          <w:szCs w:val="20"/>
          <w:lang w:val="es-MX"/>
        </w:rPr>
        <w:t xml:space="preserve">El Estado debe </w:t>
      </w:r>
      <w:r w:rsidRPr="00B71C34">
        <w:rPr>
          <w:sz w:val="20"/>
          <w:szCs w:val="20"/>
        </w:rPr>
        <w:t xml:space="preserve">implementar, en un plazo </w:t>
      </w:r>
      <w:r w:rsidR="00A7540B">
        <w:rPr>
          <w:sz w:val="20"/>
          <w:szCs w:val="20"/>
        </w:rPr>
        <w:t>de un año</w:t>
      </w:r>
      <w:r w:rsidRPr="006E671C">
        <w:rPr>
          <w:sz w:val="20"/>
          <w:szCs w:val="20"/>
        </w:rPr>
        <w:t xml:space="preserve">, programas permanentes de educación en derechos humanos, en los términos referidos en el párrafo </w:t>
      </w:r>
      <w:r w:rsidR="00294152">
        <w:rPr>
          <w:sz w:val="20"/>
          <w:szCs w:val="20"/>
        </w:rPr>
        <w:t>237</w:t>
      </w:r>
      <w:r w:rsidRPr="006E671C">
        <w:rPr>
          <w:sz w:val="20"/>
          <w:szCs w:val="20"/>
        </w:rPr>
        <w:t xml:space="preserve"> de esta Sentencia. </w:t>
      </w:r>
    </w:p>
    <w:p w14:paraId="0341929C" w14:textId="77777777" w:rsidR="00A07555" w:rsidRDefault="00A07555" w:rsidP="00A07555">
      <w:pPr>
        <w:pStyle w:val="ListParagraph"/>
        <w:widowControl w:val="0"/>
        <w:tabs>
          <w:tab w:val="center" w:pos="567"/>
        </w:tabs>
        <w:autoSpaceDE w:val="0"/>
        <w:autoSpaceDN w:val="0"/>
        <w:adjustRightInd w:val="0"/>
        <w:ind w:left="0" w:right="-90"/>
        <w:rPr>
          <w:sz w:val="20"/>
          <w:szCs w:val="20"/>
          <w:lang w:val="es-MX"/>
        </w:rPr>
      </w:pPr>
    </w:p>
    <w:p w14:paraId="179E3847" w14:textId="6C7A9EF2" w:rsidR="00E32C76" w:rsidRPr="00E32C76" w:rsidRDefault="00E32C76" w:rsidP="00E32C76">
      <w:pPr>
        <w:pStyle w:val="Prrafodelista2"/>
        <w:ind w:left="0" w:right="-90"/>
        <w:contextualSpacing/>
      </w:pPr>
      <w:r>
        <w:t>Por cuatro votos a favor y uno en contra</w:t>
      </w:r>
      <w:r w:rsidRPr="0029137A">
        <w:t>, que:</w:t>
      </w:r>
    </w:p>
    <w:p w14:paraId="1D905422" w14:textId="77777777" w:rsidR="00E32C76" w:rsidRPr="008145EA" w:rsidRDefault="00E32C76" w:rsidP="00A07555">
      <w:pPr>
        <w:pStyle w:val="ListParagraph"/>
        <w:widowControl w:val="0"/>
        <w:tabs>
          <w:tab w:val="center" w:pos="567"/>
        </w:tabs>
        <w:autoSpaceDE w:val="0"/>
        <w:autoSpaceDN w:val="0"/>
        <w:adjustRightInd w:val="0"/>
        <w:ind w:left="0" w:right="-90"/>
        <w:rPr>
          <w:sz w:val="20"/>
          <w:szCs w:val="20"/>
          <w:lang w:val="es-MX"/>
        </w:rPr>
      </w:pPr>
    </w:p>
    <w:p w14:paraId="05A21190" w14:textId="61A8A09A" w:rsidR="00A07555" w:rsidRPr="00016220"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Pr>
          <w:sz w:val="20"/>
          <w:szCs w:val="20"/>
          <w:lang w:val="es-MX"/>
        </w:rPr>
        <w:t xml:space="preserve">El Estado debe </w:t>
      </w:r>
      <w:r>
        <w:rPr>
          <w:sz w:val="20"/>
          <w:szCs w:val="20"/>
          <w:lang w:val="es-ES"/>
        </w:rPr>
        <w:t>informar al Tribunal, en el plazo de un</w:t>
      </w:r>
      <w:r w:rsidRPr="008145EA">
        <w:rPr>
          <w:sz w:val="20"/>
          <w:szCs w:val="20"/>
          <w:lang w:val="es-ES"/>
        </w:rPr>
        <w:t xml:space="preserve"> año, sobre los avances que ha implementado en </w:t>
      </w:r>
      <w:r w:rsidR="00A60A35">
        <w:rPr>
          <w:sz w:val="20"/>
          <w:szCs w:val="20"/>
          <w:lang w:val="es-ES"/>
        </w:rPr>
        <w:t>hospital</w:t>
      </w:r>
      <w:r w:rsidR="00294152">
        <w:rPr>
          <w:sz w:val="20"/>
          <w:szCs w:val="20"/>
          <w:lang w:val="es-ES"/>
        </w:rPr>
        <w:t xml:space="preserve"> de referencia</w:t>
      </w:r>
      <w:r>
        <w:rPr>
          <w:sz w:val="20"/>
          <w:szCs w:val="20"/>
          <w:lang w:val="es-ES"/>
        </w:rPr>
        <w:t xml:space="preserve">, en los términos del párrafo </w:t>
      </w:r>
      <w:r w:rsidR="00294152">
        <w:rPr>
          <w:sz w:val="20"/>
          <w:szCs w:val="20"/>
          <w:lang w:val="es-ES"/>
        </w:rPr>
        <w:t>238</w:t>
      </w:r>
      <w:r w:rsidR="006E671C">
        <w:rPr>
          <w:sz w:val="20"/>
          <w:szCs w:val="20"/>
          <w:lang w:val="es-ES"/>
        </w:rPr>
        <w:t xml:space="preserve"> de la presente Sentencia</w:t>
      </w:r>
      <w:r>
        <w:rPr>
          <w:sz w:val="20"/>
          <w:szCs w:val="20"/>
          <w:lang w:val="es-ES"/>
        </w:rPr>
        <w:t>.</w:t>
      </w:r>
    </w:p>
    <w:p w14:paraId="454761F1" w14:textId="77777777" w:rsidR="00A60A35" w:rsidRPr="00016220" w:rsidRDefault="00A60A35" w:rsidP="00016220">
      <w:pPr>
        <w:pStyle w:val="ListParagraph"/>
        <w:widowControl w:val="0"/>
        <w:tabs>
          <w:tab w:val="center" w:pos="567"/>
        </w:tabs>
        <w:autoSpaceDE w:val="0"/>
        <w:autoSpaceDN w:val="0"/>
        <w:adjustRightInd w:val="0"/>
        <w:ind w:left="0" w:right="-90"/>
        <w:contextualSpacing/>
        <w:rPr>
          <w:sz w:val="20"/>
          <w:szCs w:val="20"/>
          <w:lang w:val="es-MX"/>
        </w:rPr>
      </w:pPr>
    </w:p>
    <w:p w14:paraId="4E37E6FC" w14:textId="5A8C4B6E" w:rsidR="00A60A35" w:rsidRDefault="00A60A35" w:rsidP="00016220">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016220">
        <w:rPr>
          <w:sz w:val="20"/>
          <w:szCs w:val="20"/>
          <w:lang w:val="es-MX"/>
        </w:rPr>
        <w:t xml:space="preserve">El Estado debe </w:t>
      </w:r>
      <w:r>
        <w:rPr>
          <w:sz w:val="20"/>
          <w:szCs w:val="20"/>
          <w:lang w:val="es-MX"/>
        </w:rPr>
        <w:t xml:space="preserve">fortalecer </w:t>
      </w:r>
      <w:r w:rsidR="006E671C">
        <w:rPr>
          <w:sz w:val="20"/>
          <w:szCs w:val="20"/>
          <w:lang w:val="es-MX"/>
        </w:rPr>
        <w:t>el</w:t>
      </w:r>
      <w:r>
        <w:rPr>
          <w:sz w:val="20"/>
          <w:szCs w:val="20"/>
          <w:lang w:val="es-MX"/>
        </w:rPr>
        <w:t xml:space="preserve"> </w:t>
      </w:r>
      <w:r w:rsidRPr="00F24D93">
        <w:rPr>
          <w:rFonts w:eastAsia="Calibri"/>
          <w:sz w:val="20"/>
          <w:szCs w:val="20"/>
          <w:lang w:val="es-ES" w:eastAsia="es-ES"/>
        </w:rPr>
        <w:t>Instituto Nacional de Geriatría</w:t>
      </w:r>
      <w:r w:rsidR="006E671C">
        <w:rPr>
          <w:rFonts w:eastAsia="Calibri"/>
          <w:sz w:val="20"/>
          <w:szCs w:val="20"/>
          <w:lang w:val="es-ES" w:eastAsia="es-ES"/>
        </w:rPr>
        <w:t xml:space="preserve"> y su incidencia en la red hospitalaria</w:t>
      </w:r>
      <w:r>
        <w:rPr>
          <w:rFonts w:eastAsia="Calibri"/>
          <w:sz w:val="20"/>
          <w:szCs w:val="20"/>
          <w:lang w:val="es-ES" w:eastAsia="es-ES"/>
        </w:rPr>
        <w:t xml:space="preserve">, </w:t>
      </w:r>
      <w:r w:rsidRPr="00C64243">
        <w:rPr>
          <w:sz w:val="20"/>
          <w:szCs w:val="20"/>
          <w:lang w:val="es-MX"/>
        </w:rPr>
        <w:t xml:space="preserve">de conformidad con </w:t>
      </w:r>
      <w:r w:rsidRPr="00A60A35">
        <w:rPr>
          <w:sz w:val="20"/>
          <w:szCs w:val="20"/>
          <w:lang w:val="es-MX"/>
        </w:rPr>
        <w:t xml:space="preserve">lo establecido en el párrafo </w:t>
      </w:r>
      <w:r w:rsidR="00294152">
        <w:rPr>
          <w:sz w:val="20"/>
          <w:szCs w:val="20"/>
          <w:lang w:val="es-MX"/>
        </w:rPr>
        <w:t>239</w:t>
      </w:r>
      <w:r>
        <w:rPr>
          <w:sz w:val="20"/>
          <w:szCs w:val="20"/>
          <w:lang w:val="es-MX"/>
        </w:rPr>
        <w:t xml:space="preserve"> de esta Sentencia, así como</w:t>
      </w:r>
      <w:r w:rsidRPr="00A60A35">
        <w:rPr>
          <w:rFonts w:eastAsia="Calibri"/>
          <w:sz w:val="20"/>
          <w:szCs w:val="20"/>
          <w:lang w:val="es-ES" w:eastAsia="es-ES"/>
        </w:rPr>
        <w:t xml:space="preserve"> </w:t>
      </w:r>
      <w:r w:rsidRPr="00016220">
        <w:rPr>
          <w:sz w:val="20"/>
          <w:szCs w:val="20"/>
          <w:lang w:val="es-MX"/>
        </w:rPr>
        <w:t xml:space="preserve">diseñar una publicación o cartilla que desarrolle los derechos de </w:t>
      </w:r>
      <w:r w:rsidR="0001661C">
        <w:rPr>
          <w:sz w:val="20"/>
          <w:szCs w:val="20"/>
          <w:lang w:val="es-MX"/>
        </w:rPr>
        <w:t>las personas mayores</w:t>
      </w:r>
      <w:r w:rsidRPr="00A60A35">
        <w:rPr>
          <w:sz w:val="20"/>
          <w:szCs w:val="20"/>
          <w:lang w:val="es-MX"/>
        </w:rPr>
        <w:t xml:space="preserve"> en materia de salud</w:t>
      </w:r>
      <w:r w:rsidRPr="00016220">
        <w:rPr>
          <w:sz w:val="20"/>
          <w:szCs w:val="20"/>
          <w:lang w:val="es-MX"/>
        </w:rPr>
        <w:t xml:space="preserve">, de conformidad con </w:t>
      </w:r>
      <w:r w:rsidRPr="00A60A35">
        <w:rPr>
          <w:sz w:val="20"/>
          <w:szCs w:val="20"/>
          <w:lang w:val="es-MX"/>
        </w:rPr>
        <w:t xml:space="preserve">lo establecido en el párrafo </w:t>
      </w:r>
      <w:r w:rsidR="00294152">
        <w:rPr>
          <w:sz w:val="20"/>
          <w:szCs w:val="20"/>
          <w:lang w:val="es-MX"/>
        </w:rPr>
        <w:t>240</w:t>
      </w:r>
      <w:r w:rsidRPr="00016220">
        <w:rPr>
          <w:sz w:val="20"/>
          <w:szCs w:val="20"/>
          <w:lang w:val="es-MX"/>
        </w:rPr>
        <w:t xml:space="preserve"> de esta Sentencia.</w:t>
      </w:r>
    </w:p>
    <w:p w14:paraId="55CD4DF6" w14:textId="77777777" w:rsidR="002E1F02" w:rsidRDefault="002E1F02" w:rsidP="002A64C9">
      <w:pPr>
        <w:pStyle w:val="ListParagraph"/>
        <w:widowControl w:val="0"/>
        <w:tabs>
          <w:tab w:val="center" w:pos="567"/>
        </w:tabs>
        <w:autoSpaceDE w:val="0"/>
        <w:autoSpaceDN w:val="0"/>
        <w:adjustRightInd w:val="0"/>
        <w:ind w:left="0" w:right="-90"/>
        <w:contextualSpacing/>
        <w:rPr>
          <w:sz w:val="20"/>
          <w:szCs w:val="20"/>
          <w:lang w:val="es-MX"/>
        </w:rPr>
      </w:pPr>
    </w:p>
    <w:p w14:paraId="467DA553" w14:textId="53368F1B" w:rsidR="002E1F02" w:rsidRPr="00016220" w:rsidRDefault="002E1F02" w:rsidP="00016220">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Pr>
          <w:sz w:val="20"/>
          <w:szCs w:val="20"/>
          <w:lang w:val="es-MX"/>
        </w:rPr>
        <w:t xml:space="preserve">El Estado debe adoptar las medidas necesarias, </w:t>
      </w:r>
      <w:r>
        <w:rPr>
          <w:rFonts w:eastAsiaTheme="minorHAnsi" w:cs="Verdana"/>
          <w:color w:val="000000"/>
          <w:sz w:val="20"/>
          <w:szCs w:val="20"/>
          <w:lang w:eastAsia="en-US"/>
        </w:rPr>
        <w:t>a fin de diseñar una política general de protección integral a las personas mayores,</w:t>
      </w:r>
      <w:r w:rsidRPr="002E1F02">
        <w:rPr>
          <w:sz w:val="20"/>
          <w:szCs w:val="20"/>
        </w:rPr>
        <w:t xml:space="preserve"> </w:t>
      </w:r>
      <w:r>
        <w:rPr>
          <w:sz w:val="20"/>
          <w:szCs w:val="20"/>
        </w:rPr>
        <w:t xml:space="preserve">en los términos referidos en el párrafo </w:t>
      </w:r>
      <w:r w:rsidR="00294152">
        <w:rPr>
          <w:sz w:val="20"/>
          <w:szCs w:val="20"/>
        </w:rPr>
        <w:t>241</w:t>
      </w:r>
      <w:r>
        <w:rPr>
          <w:sz w:val="20"/>
          <w:szCs w:val="20"/>
        </w:rPr>
        <w:t xml:space="preserve"> de esta Sentencia.</w:t>
      </w:r>
    </w:p>
    <w:p w14:paraId="35887F35" w14:textId="77777777" w:rsidR="00A07555" w:rsidRDefault="00A07555" w:rsidP="00A07555">
      <w:pPr>
        <w:pStyle w:val="ListParagraph"/>
        <w:widowControl w:val="0"/>
        <w:tabs>
          <w:tab w:val="center" w:pos="567"/>
        </w:tabs>
        <w:autoSpaceDE w:val="0"/>
        <w:autoSpaceDN w:val="0"/>
        <w:adjustRightInd w:val="0"/>
        <w:ind w:left="0" w:right="-90"/>
        <w:rPr>
          <w:sz w:val="20"/>
          <w:szCs w:val="20"/>
          <w:lang w:val="es-MX"/>
        </w:rPr>
      </w:pPr>
    </w:p>
    <w:p w14:paraId="6F248DB2" w14:textId="03F642B0" w:rsidR="00E32C76" w:rsidRDefault="00E32C76" w:rsidP="00A07555">
      <w:pPr>
        <w:pStyle w:val="ListParagraph"/>
        <w:widowControl w:val="0"/>
        <w:tabs>
          <w:tab w:val="center" w:pos="567"/>
        </w:tabs>
        <w:autoSpaceDE w:val="0"/>
        <w:autoSpaceDN w:val="0"/>
        <w:adjustRightInd w:val="0"/>
        <w:ind w:left="0" w:right="-90"/>
        <w:rPr>
          <w:sz w:val="20"/>
          <w:szCs w:val="20"/>
          <w:lang w:val="es-MX"/>
        </w:rPr>
      </w:pPr>
      <w:r>
        <w:rPr>
          <w:sz w:val="20"/>
          <w:szCs w:val="20"/>
          <w:lang w:val="es-MX"/>
        </w:rPr>
        <w:t>Disiente el juez Humberto Antonio Sierra Porto</w:t>
      </w:r>
      <w:r w:rsidR="008F6D80">
        <w:rPr>
          <w:sz w:val="20"/>
          <w:szCs w:val="20"/>
          <w:lang w:val="es-MX"/>
        </w:rPr>
        <w:t>.</w:t>
      </w:r>
      <w:r>
        <w:rPr>
          <w:sz w:val="20"/>
          <w:szCs w:val="20"/>
          <w:lang w:val="es-MX"/>
        </w:rPr>
        <w:t xml:space="preserve"> </w:t>
      </w:r>
    </w:p>
    <w:p w14:paraId="601004B3" w14:textId="77777777" w:rsidR="00E32C76" w:rsidRDefault="00E32C76" w:rsidP="00A07555">
      <w:pPr>
        <w:pStyle w:val="ListParagraph"/>
        <w:widowControl w:val="0"/>
        <w:tabs>
          <w:tab w:val="center" w:pos="567"/>
        </w:tabs>
        <w:autoSpaceDE w:val="0"/>
        <w:autoSpaceDN w:val="0"/>
        <w:adjustRightInd w:val="0"/>
        <w:ind w:left="0" w:right="-90"/>
        <w:rPr>
          <w:sz w:val="20"/>
          <w:szCs w:val="20"/>
          <w:lang w:val="es-MX"/>
        </w:rPr>
      </w:pPr>
    </w:p>
    <w:p w14:paraId="75CA9281" w14:textId="77777777" w:rsidR="00E32C76" w:rsidRPr="00E32C76" w:rsidRDefault="00E32C76" w:rsidP="00E32C76">
      <w:pPr>
        <w:pStyle w:val="Prrafodelista2"/>
        <w:ind w:left="0" w:right="-90"/>
        <w:contextualSpacing/>
      </w:pPr>
      <w:r>
        <w:t>Por unanimidad</w:t>
      </w:r>
      <w:r w:rsidRPr="0029137A">
        <w:t>, que:</w:t>
      </w:r>
    </w:p>
    <w:p w14:paraId="36C3416C" w14:textId="77777777" w:rsidR="00E32C76" w:rsidRDefault="00E32C76" w:rsidP="00A07555">
      <w:pPr>
        <w:pStyle w:val="ListParagraph"/>
        <w:widowControl w:val="0"/>
        <w:tabs>
          <w:tab w:val="center" w:pos="567"/>
        </w:tabs>
        <w:autoSpaceDE w:val="0"/>
        <w:autoSpaceDN w:val="0"/>
        <w:adjustRightInd w:val="0"/>
        <w:ind w:left="0" w:right="-90"/>
        <w:rPr>
          <w:sz w:val="20"/>
          <w:szCs w:val="20"/>
          <w:lang w:val="es-MX"/>
        </w:rPr>
      </w:pPr>
    </w:p>
    <w:p w14:paraId="5084E013" w14:textId="462534E3" w:rsidR="00A07555" w:rsidRPr="005F2849"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5F2849">
        <w:rPr>
          <w:sz w:val="20"/>
          <w:szCs w:val="20"/>
          <w:lang w:val="es-MX"/>
        </w:rPr>
        <w:t xml:space="preserve">El Estado debe pagar las cantidades fijadas en </w:t>
      </w:r>
      <w:r>
        <w:rPr>
          <w:sz w:val="20"/>
          <w:szCs w:val="20"/>
          <w:lang w:val="es-MX"/>
        </w:rPr>
        <w:t xml:space="preserve">los párrafos </w:t>
      </w:r>
      <w:r w:rsidR="00294152">
        <w:rPr>
          <w:sz w:val="20"/>
          <w:szCs w:val="20"/>
          <w:lang w:val="es-MX"/>
        </w:rPr>
        <w:t>247, 249, 252, 253 y 259</w:t>
      </w:r>
      <w:r w:rsidRPr="005F2849">
        <w:rPr>
          <w:sz w:val="20"/>
          <w:szCs w:val="20"/>
          <w:lang w:val="es-MX"/>
        </w:rPr>
        <w:t xml:space="preserve"> de la presente Sentencia, por concepto de compensación por daño material e inmaterial y por el reintegro de costas y gastos, en los términos de los referidos párrafos y de lo previsto en los párrafos </w:t>
      </w:r>
      <w:r w:rsidR="00294152">
        <w:rPr>
          <w:sz w:val="20"/>
          <w:szCs w:val="20"/>
          <w:lang w:val="es-MX"/>
        </w:rPr>
        <w:t>250, 253, 259 y 262 a 267</w:t>
      </w:r>
      <w:r w:rsidRPr="005F2849">
        <w:rPr>
          <w:sz w:val="20"/>
          <w:szCs w:val="20"/>
          <w:lang w:val="es-MX"/>
        </w:rPr>
        <w:t xml:space="preserve"> de esta Sentencia.</w:t>
      </w:r>
    </w:p>
    <w:p w14:paraId="14952A92" w14:textId="77777777" w:rsidR="00A07555" w:rsidRPr="00BF545D" w:rsidRDefault="00A07555" w:rsidP="00A07555">
      <w:pPr>
        <w:pStyle w:val="ListParagraph"/>
        <w:widowControl w:val="0"/>
        <w:tabs>
          <w:tab w:val="center" w:pos="567"/>
        </w:tabs>
        <w:autoSpaceDE w:val="0"/>
        <w:autoSpaceDN w:val="0"/>
        <w:adjustRightInd w:val="0"/>
        <w:ind w:left="0" w:right="-90"/>
        <w:rPr>
          <w:sz w:val="20"/>
          <w:szCs w:val="20"/>
          <w:lang w:val="es-MX"/>
        </w:rPr>
      </w:pPr>
    </w:p>
    <w:p w14:paraId="398EEB92" w14:textId="1C6ACFCB" w:rsidR="00A07555" w:rsidRPr="0029137A"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29137A">
        <w:rPr>
          <w:sz w:val="20"/>
          <w:szCs w:val="20"/>
          <w:lang w:val="es-MX"/>
        </w:rPr>
        <w:t>El Estado debe reintegrar al Fondo de Asistencia Legal de Víctimas de la Corte Interamericana de Derechos Humanos</w:t>
      </w:r>
      <w:r>
        <w:rPr>
          <w:sz w:val="20"/>
          <w:szCs w:val="20"/>
          <w:lang w:val="es-MX"/>
        </w:rPr>
        <w:t>,</w:t>
      </w:r>
      <w:r w:rsidRPr="0029137A">
        <w:rPr>
          <w:sz w:val="20"/>
          <w:szCs w:val="20"/>
          <w:lang w:val="es-MX"/>
        </w:rPr>
        <w:t xml:space="preserve"> la cantidad erogada durante la tramitación del presente caso, en los términos del párrafo </w:t>
      </w:r>
      <w:r w:rsidR="00294152">
        <w:rPr>
          <w:sz w:val="20"/>
          <w:szCs w:val="20"/>
          <w:lang w:val="es-MX"/>
        </w:rPr>
        <w:t>261</w:t>
      </w:r>
      <w:r w:rsidRPr="0029137A">
        <w:rPr>
          <w:sz w:val="20"/>
          <w:szCs w:val="20"/>
          <w:lang w:val="es-MX"/>
        </w:rPr>
        <w:t xml:space="preserve"> de esta Sentencia.</w:t>
      </w:r>
    </w:p>
    <w:p w14:paraId="3AF01349" w14:textId="77777777" w:rsidR="00A07555" w:rsidRPr="00BF545D" w:rsidRDefault="00A07555" w:rsidP="00A07555">
      <w:pPr>
        <w:pStyle w:val="ListParagraph"/>
        <w:widowControl w:val="0"/>
        <w:tabs>
          <w:tab w:val="center" w:pos="567"/>
        </w:tabs>
        <w:autoSpaceDE w:val="0"/>
        <w:autoSpaceDN w:val="0"/>
        <w:adjustRightInd w:val="0"/>
        <w:ind w:left="0" w:right="-90"/>
        <w:rPr>
          <w:sz w:val="20"/>
          <w:szCs w:val="20"/>
          <w:lang w:val="es-MX"/>
        </w:rPr>
      </w:pPr>
    </w:p>
    <w:p w14:paraId="2720A9CB" w14:textId="3181C0CC" w:rsidR="00A07555" w:rsidRPr="0029137A"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29137A">
        <w:rPr>
          <w:sz w:val="20"/>
          <w:szCs w:val="20"/>
          <w:lang w:val="es-MX"/>
        </w:rPr>
        <w:t xml:space="preserve">El Estado debe, dentro del plazo de un año contado a partir de la notificación de esta Sentencia, rendir al Tribunal un informe sobre las medidas adoptadas para cumplir con la misma, sin perjuicio de lo establecido en </w:t>
      </w:r>
      <w:r w:rsidR="00294152">
        <w:rPr>
          <w:sz w:val="20"/>
          <w:szCs w:val="20"/>
          <w:lang w:val="es-MX"/>
        </w:rPr>
        <w:t>los</w:t>
      </w:r>
      <w:r w:rsidRPr="0029137A">
        <w:rPr>
          <w:sz w:val="20"/>
          <w:szCs w:val="20"/>
          <w:lang w:val="es-MX"/>
        </w:rPr>
        <w:t xml:space="preserve"> p</w:t>
      </w:r>
      <w:r>
        <w:rPr>
          <w:sz w:val="20"/>
          <w:szCs w:val="20"/>
          <w:lang w:val="es-MX"/>
        </w:rPr>
        <w:t>árrafo</w:t>
      </w:r>
      <w:r w:rsidR="00294152">
        <w:rPr>
          <w:sz w:val="20"/>
          <w:szCs w:val="20"/>
          <w:lang w:val="es-MX"/>
        </w:rPr>
        <w:t>s 226 y 231</w:t>
      </w:r>
      <w:r w:rsidRPr="0029137A">
        <w:rPr>
          <w:sz w:val="20"/>
          <w:szCs w:val="20"/>
          <w:lang w:val="es-MX"/>
        </w:rPr>
        <w:t xml:space="preserve"> de la presente Sentencia.</w:t>
      </w:r>
    </w:p>
    <w:p w14:paraId="2B1E9528" w14:textId="77777777" w:rsidR="00A07555" w:rsidRPr="00BF545D" w:rsidRDefault="00A07555" w:rsidP="00A07555">
      <w:pPr>
        <w:pStyle w:val="ListParagraph"/>
        <w:widowControl w:val="0"/>
        <w:tabs>
          <w:tab w:val="center" w:pos="567"/>
        </w:tabs>
        <w:autoSpaceDE w:val="0"/>
        <w:autoSpaceDN w:val="0"/>
        <w:adjustRightInd w:val="0"/>
        <w:ind w:left="0" w:right="-90"/>
        <w:rPr>
          <w:sz w:val="20"/>
          <w:szCs w:val="20"/>
          <w:lang w:val="es-MX"/>
        </w:rPr>
      </w:pPr>
    </w:p>
    <w:p w14:paraId="4F4CF327" w14:textId="77777777" w:rsidR="00A07555" w:rsidRPr="0029137A" w:rsidRDefault="00A07555" w:rsidP="00A07555">
      <w:pPr>
        <w:pStyle w:val="ListParagraph"/>
        <w:widowControl w:val="0"/>
        <w:numPr>
          <w:ilvl w:val="0"/>
          <w:numId w:val="24"/>
        </w:numPr>
        <w:tabs>
          <w:tab w:val="center" w:pos="567"/>
        </w:tabs>
        <w:autoSpaceDE w:val="0"/>
        <w:autoSpaceDN w:val="0"/>
        <w:adjustRightInd w:val="0"/>
        <w:ind w:left="0" w:right="-90" w:hanging="11"/>
        <w:contextualSpacing/>
        <w:rPr>
          <w:sz w:val="20"/>
          <w:szCs w:val="20"/>
          <w:lang w:val="es-MX"/>
        </w:rPr>
      </w:pPr>
      <w:r w:rsidRPr="0029137A">
        <w:rPr>
          <w:sz w:val="20"/>
          <w:szCs w:val="20"/>
          <w:lang w:val="es-MX"/>
        </w:rPr>
        <w:t xml:space="preserve">La Corte supervisará el cumplimiento íntegro de esta Sentencia, en ejercicio de sus atribuciones y en cumplimiento de sus deberes conforme a la Convención Americana sobre </w:t>
      </w:r>
      <w:r w:rsidRPr="0029137A">
        <w:rPr>
          <w:sz w:val="20"/>
          <w:szCs w:val="20"/>
          <w:lang w:val="es-MX"/>
        </w:rPr>
        <w:lastRenderedPageBreak/>
        <w:t>Derechos Humanos, y dará por concluido el presente caso una vez que el Estado haya dado cabal cumplimiento a lo dispuesto en la misma.</w:t>
      </w:r>
    </w:p>
    <w:p w14:paraId="5AF14532" w14:textId="77777777" w:rsidR="000663FA" w:rsidRDefault="000663FA" w:rsidP="00840E52">
      <w:pPr>
        <w:rPr>
          <w:lang w:val="es-MX"/>
        </w:rPr>
      </w:pPr>
    </w:p>
    <w:p w14:paraId="301BD524" w14:textId="77777777" w:rsidR="008A113A" w:rsidRDefault="008A113A" w:rsidP="00840E52">
      <w:pPr>
        <w:rPr>
          <w:lang w:val="es-MX"/>
        </w:rPr>
      </w:pPr>
    </w:p>
    <w:p w14:paraId="36CC8C49" w14:textId="77777777" w:rsidR="008A113A" w:rsidRDefault="008A113A" w:rsidP="00840E52">
      <w:pPr>
        <w:rPr>
          <w:sz w:val="20"/>
          <w:szCs w:val="20"/>
          <w:lang w:val="es-MX"/>
        </w:rPr>
      </w:pPr>
    </w:p>
    <w:p w14:paraId="7AB23555" w14:textId="77777777" w:rsidR="000663FA" w:rsidRDefault="000663FA" w:rsidP="000663FA">
      <w:pPr>
        <w:rPr>
          <w:sz w:val="20"/>
          <w:lang w:val="es-MX"/>
        </w:rPr>
      </w:pPr>
      <w:r>
        <w:rPr>
          <w:sz w:val="20"/>
          <w:lang w:val="es-MX"/>
        </w:rPr>
        <w:t xml:space="preserve">El juez Humberto Sierra Porto hizo conocer su voto individual parcialmente disidente, el cual acompaña esta Sentencia. </w:t>
      </w:r>
    </w:p>
    <w:p w14:paraId="21B4FC36" w14:textId="77777777" w:rsidR="000663FA" w:rsidRDefault="000663FA" w:rsidP="000663FA">
      <w:pPr>
        <w:rPr>
          <w:lang w:val="es-MX"/>
        </w:rPr>
      </w:pPr>
    </w:p>
    <w:p w14:paraId="7A11C4F0" w14:textId="77777777" w:rsidR="000663FA" w:rsidRDefault="000663FA" w:rsidP="000663FA">
      <w:pPr>
        <w:rPr>
          <w:sz w:val="20"/>
          <w:szCs w:val="20"/>
          <w:lang w:val="es-MX"/>
        </w:rPr>
      </w:pPr>
    </w:p>
    <w:p w14:paraId="3CD3246F" w14:textId="77777777" w:rsidR="000663FA" w:rsidRDefault="000663FA" w:rsidP="000663FA">
      <w:pPr>
        <w:rPr>
          <w:sz w:val="20"/>
          <w:szCs w:val="20"/>
          <w:lang w:val="es-MX"/>
        </w:rPr>
      </w:pPr>
    </w:p>
    <w:p w14:paraId="16BD289F" w14:textId="77777777" w:rsidR="000663FA" w:rsidRDefault="000663FA" w:rsidP="000663FA">
      <w:pPr>
        <w:rPr>
          <w:sz w:val="20"/>
          <w:szCs w:val="20"/>
          <w:lang w:val="es-MX"/>
        </w:rPr>
      </w:pPr>
    </w:p>
    <w:p w14:paraId="71CC11C8" w14:textId="77777777" w:rsidR="000663FA" w:rsidRDefault="000663FA" w:rsidP="000663FA">
      <w:pPr>
        <w:rPr>
          <w:sz w:val="20"/>
          <w:szCs w:val="20"/>
          <w:lang w:val="es-MX"/>
        </w:rPr>
      </w:pPr>
      <w:r>
        <w:rPr>
          <w:sz w:val="20"/>
          <w:szCs w:val="20"/>
          <w:lang w:val="es-MX"/>
        </w:rPr>
        <w:t>Emitida en español en San José, Costa Rica, el 8 de marzo de 2018.</w:t>
      </w:r>
    </w:p>
    <w:p w14:paraId="74F86E2C" w14:textId="77777777" w:rsidR="000663FA" w:rsidRDefault="000663FA" w:rsidP="00840E52">
      <w:pPr>
        <w:rPr>
          <w:sz w:val="20"/>
          <w:szCs w:val="20"/>
          <w:lang w:val="es-MX"/>
        </w:rPr>
      </w:pPr>
    </w:p>
    <w:p w14:paraId="385161F7" w14:textId="77777777" w:rsidR="003C025E" w:rsidRDefault="003C025E" w:rsidP="003C025E">
      <w:pPr>
        <w:rPr>
          <w:sz w:val="20"/>
        </w:rPr>
      </w:pPr>
    </w:p>
    <w:p w14:paraId="0B299D0E" w14:textId="567AD6AF" w:rsidR="000663FA" w:rsidRDefault="000663FA">
      <w:pPr>
        <w:rPr>
          <w:sz w:val="20"/>
        </w:rPr>
      </w:pPr>
      <w:r>
        <w:rPr>
          <w:sz w:val="20"/>
        </w:rPr>
        <w:br w:type="page"/>
      </w:r>
    </w:p>
    <w:p w14:paraId="418AE50B" w14:textId="77777777" w:rsidR="000663FA" w:rsidRDefault="000663FA" w:rsidP="003C025E">
      <w:pPr>
        <w:rPr>
          <w:sz w:val="20"/>
        </w:rPr>
      </w:pPr>
    </w:p>
    <w:p w14:paraId="25280B23" w14:textId="77777777" w:rsidR="003C025E" w:rsidRDefault="003C025E" w:rsidP="003C025E">
      <w:pPr>
        <w:rPr>
          <w:sz w:val="20"/>
        </w:rPr>
      </w:pPr>
      <w:r>
        <w:rPr>
          <w:sz w:val="20"/>
        </w:rPr>
        <w:t xml:space="preserve">Corte IDH. Caso </w:t>
      </w:r>
      <w:r>
        <w:rPr>
          <w:i/>
          <w:sz w:val="20"/>
        </w:rPr>
        <w:t>Poblete Vilches y otros Vs. Chile.</w:t>
      </w:r>
      <w:r>
        <w:rPr>
          <w:sz w:val="20"/>
        </w:rPr>
        <w:t xml:space="preserve"> Fondo, Reparaciones y Costas. Sentencia de 9 de marzo de 2018.</w:t>
      </w:r>
    </w:p>
    <w:p w14:paraId="0C3FFF5B" w14:textId="77777777" w:rsidR="003C025E" w:rsidRDefault="003C025E" w:rsidP="003C025E">
      <w:pPr>
        <w:rPr>
          <w:sz w:val="20"/>
        </w:rPr>
      </w:pPr>
    </w:p>
    <w:p w14:paraId="0E33FE09" w14:textId="77777777" w:rsidR="003C025E" w:rsidRDefault="003C025E" w:rsidP="003C025E">
      <w:pPr>
        <w:rPr>
          <w:sz w:val="20"/>
        </w:rPr>
      </w:pPr>
    </w:p>
    <w:p w14:paraId="7BA546AE" w14:textId="77777777" w:rsidR="003C025E" w:rsidRDefault="003C025E" w:rsidP="003C025E">
      <w:pPr>
        <w:rPr>
          <w:sz w:val="20"/>
        </w:rPr>
      </w:pPr>
    </w:p>
    <w:p w14:paraId="0E956FE2" w14:textId="77777777" w:rsidR="003C025E" w:rsidRDefault="003C025E" w:rsidP="003C025E">
      <w:pPr>
        <w:rPr>
          <w:sz w:val="20"/>
        </w:rPr>
      </w:pPr>
    </w:p>
    <w:p w14:paraId="15F1EF85" w14:textId="77777777" w:rsidR="003C025E" w:rsidRDefault="003C025E" w:rsidP="003C025E">
      <w:pPr>
        <w:jc w:val="center"/>
        <w:rPr>
          <w:sz w:val="20"/>
        </w:rPr>
      </w:pPr>
    </w:p>
    <w:p w14:paraId="7D7E808D" w14:textId="77777777" w:rsidR="003C025E" w:rsidRDefault="003C025E" w:rsidP="003C025E">
      <w:pPr>
        <w:jc w:val="center"/>
        <w:rPr>
          <w:sz w:val="20"/>
        </w:rPr>
      </w:pPr>
      <w:r>
        <w:rPr>
          <w:sz w:val="20"/>
        </w:rPr>
        <w:t>Eduardo Ferrer Mac-</w:t>
      </w:r>
      <w:proofErr w:type="spellStart"/>
      <w:r>
        <w:rPr>
          <w:sz w:val="20"/>
        </w:rPr>
        <w:t>Gregor</w:t>
      </w:r>
      <w:proofErr w:type="spellEnd"/>
      <w:r>
        <w:rPr>
          <w:sz w:val="20"/>
        </w:rPr>
        <w:t xml:space="preserve"> </w:t>
      </w:r>
      <w:proofErr w:type="spellStart"/>
      <w:r>
        <w:rPr>
          <w:sz w:val="20"/>
        </w:rPr>
        <w:t>Poisot</w:t>
      </w:r>
      <w:proofErr w:type="spellEnd"/>
      <w:r>
        <w:rPr>
          <w:sz w:val="20"/>
        </w:rPr>
        <w:t xml:space="preserve"> </w:t>
      </w:r>
    </w:p>
    <w:p w14:paraId="7916AD1C" w14:textId="77777777" w:rsidR="003C025E" w:rsidRDefault="003C025E" w:rsidP="003C025E">
      <w:pPr>
        <w:jc w:val="center"/>
        <w:rPr>
          <w:sz w:val="20"/>
        </w:rPr>
      </w:pPr>
      <w:r>
        <w:rPr>
          <w:sz w:val="20"/>
        </w:rPr>
        <w:t>Presidente</w:t>
      </w:r>
    </w:p>
    <w:p w14:paraId="75FC102B" w14:textId="77777777" w:rsidR="003C025E" w:rsidRDefault="003C025E" w:rsidP="003C025E">
      <w:pPr>
        <w:rPr>
          <w:sz w:val="20"/>
        </w:rPr>
      </w:pPr>
    </w:p>
    <w:p w14:paraId="62052B58" w14:textId="77777777" w:rsidR="003C025E" w:rsidRDefault="003C025E" w:rsidP="003C025E">
      <w:pPr>
        <w:rPr>
          <w:sz w:val="20"/>
        </w:rPr>
      </w:pPr>
    </w:p>
    <w:p w14:paraId="7B5CB432" w14:textId="77777777" w:rsidR="003C025E" w:rsidRDefault="003C025E" w:rsidP="003C025E">
      <w:pPr>
        <w:rPr>
          <w:sz w:val="20"/>
        </w:rPr>
      </w:pPr>
    </w:p>
    <w:p w14:paraId="2E79CB37" w14:textId="77777777" w:rsidR="003C025E" w:rsidRDefault="003C025E" w:rsidP="003C025E">
      <w:pPr>
        <w:rPr>
          <w:sz w:val="20"/>
        </w:rPr>
      </w:pPr>
    </w:p>
    <w:p w14:paraId="1175C9C9" w14:textId="77777777" w:rsidR="003C025E" w:rsidRDefault="003C025E" w:rsidP="003C025E">
      <w:pPr>
        <w:rPr>
          <w:sz w:val="20"/>
        </w:rPr>
      </w:pPr>
      <w:r>
        <w:rPr>
          <w:sz w:val="20"/>
        </w:rPr>
        <w:tab/>
      </w:r>
      <w:r>
        <w:rPr>
          <w:sz w:val="20"/>
        </w:rPr>
        <w:tab/>
      </w:r>
      <w:r>
        <w:rPr>
          <w:sz w:val="20"/>
        </w:rPr>
        <w:tab/>
      </w:r>
    </w:p>
    <w:p w14:paraId="6ECADE76" w14:textId="77777777" w:rsidR="003C025E" w:rsidRPr="003D7CEE" w:rsidRDefault="003C025E" w:rsidP="003C025E">
      <w:pPr>
        <w:rPr>
          <w:sz w:val="20"/>
        </w:rPr>
      </w:pPr>
      <w:r>
        <w:rPr>
          <w:sz w:val="20"/>
        </w:rPr>
        <w:t>Humberto A. Sierra Porto</w:t>
      </w:r>
      <w:r>
        <w:rPr>
          <w:sz w:val="20"/>
        </w:rPr>
        <w:tab/>
      </w:r>
      <w:r>
        <w:rPr>
          <w:sz w:val="20"/>
        </w:rPr>
        <w:tab/>
        <w:t xml:space="preserve">  </w:t>
      </w:r>
      <w:r>
        <w:rPr>
          <w:sz w:val="20"/>
        </w:rPr>
        <w:tab/>
      </w:r>
      <w:r>
        <w:rPr>
          <w:sz w:val="20"/>
        </w:rPr>
        <w:tab/>
      </w:r>
      <w:r>
        <w:rPr>
          <w:sz w:val="20"/>
        </w:rPr>
        <w:tab/>
      </w:r>
      <w:r>
        <w:rPr>
          <w:sz w:val="20"/>
        </w:rPr>
        <w:tab/>
      </w:r>
      <w:r>
        <w:rPr>
          <w:sz w:val="20"/>
        </w:rPr>
        <w:tab/>
        <w:t xml:space="preserve"> Elizabeth Odio Benito</w:t>
      </w:r>
    </w:p>
    <w:p w14:paraId="77C548C7" w14:textId="77777777" w:rsidR="003C025E" w:rsidRDefault="003C025E" w:rsidP="003C025E">
      <w:pPr>
        <w:jc w:val="center"/>
        <w:rPr>
          <w:sz w:val="20"/>
        </w:rPr>
      </w:pPr>
    </w:p>
    <w:p w14:paraId="6685FA7E" w14:textId="77777777" w:rsidR="003C025E" w:rsidRDefault="003C025E" w:rsidP="003C025E">
      <w:pPr>
        <w:rPr>
          <w:sz w:val="20"/>
        </w:rPr>
      </w:pPr>
    </w:p>
    <w:p w14:paraId="3CE7ABE2" w14:textId="77777777" w:rsidR="003C025E" w:rsidRDefault="003C025E" w:rsidP="003C025E">
      <w:pPr>
        <w:jc w:val="center"/>
        <w:rPr>
          <w:sz w:val="20"/>
        </w:rPr>
      </w:pPr>
    </w:p>
    <w:p w14:paraId="1EB9DD76" w14:textId="77777777" w:rsidR="003C025E" w:rsidRDefault="003C025E" w:rsidP="003C025E">
      <w:pPr>
        <w:jc w:val="center"/>
        <w:rPr>
          <w:sz w:val="20"/>
        </w:rPr>
      </w:pPr>
    </w:p>
    <w:p w14:paraId="5B71C1F8" w14:textId="77777777" w:rsidR="003C025E" w:rsidRDefault="003C025E" w:rsidP="003C025E">
      <w:pPr>
        <w:rPr>
          <w:sz w:val="20"/>
        </w:rPr>
      </w:pPr>
      <w:r>
        <w:rPr>
          <w:sz w:val="20"/>
        </w:rPr>
        <w:tab/>
      </w:r>
      <w:r>
        <w:rPr>
          <w:sz w:val="20"/>
        </w:rPr>
        <w:tab/>
      </w:r>
      <w:r>
        <w:rPr>
          <w:sz w:val="20"/>
        </w:rPr>
        <w:tab/>
      </w:r>
    </w:p>
    <w:p w14:paraId="362B3996" w14:textId="77777777" w:rsidR="003C025E" w:rsidRDefault="003C025E" w:rsidP="003C025E">
      <w:pPr>
        <w:rPr>
          <w:sz w:val="20"/>
        </w:rPr>
      </w:pPr>
      <w:r>
        <w:rPr>
          <w:sz w:val="20"/>
        </w:rPr>
        <w:t xml:space="preserve">Eugenio Raúl </w:t>
      </w:r>
      <w:proofErr w:type="spellStart"/>
      <w:r>
        <w:rPr>
          <w:sz w:val="20"/>
        </w:rPr>
        <w:t>Zaffaroni</w:t>
      </w:r>
      <w:proofErr w:type="spellEnd"/>
      <w:r>
        <w:rPr>
          <w:sz w:val="20"/>
        </w:rPr>
        <w:tab/>
      </w:r>
      <w:r>
        <w:rPr>
          <w:sz w:val="20"/>
        </w:rPr>
        <w:tab/>
      </w:r>
      <w:r>
        <w:rPr>
          <w:sz w:val="20"/>
        </w:rPr>
        <w:tab/>
      </w:r>
      <w:r>
        <w:rPr>
          <w:sz w:val="20"/>
        </w:rPr>
        <w:tab/>
      </w:r>
      <w:r>
        <w:rPr>
          <w:sz w:val="20"/>
        </w:rPr>
        <w:tab/>
        <w:t xml:space="preserve">                L. Patricio Pazmiño Freire</w:t>
      </w:r>
    </w:p>
    <w:p w14:paraId="334CF7F3" w14:textId="77777777" w:rsidR="003C025E" w:rsidRDefault="003C025E" w:rsidP="003C025E">
      <w:pPr>
        <w:rPr>
          <w:sz w:val="20"/>
        </w:rPr>
      </w:pPr>
      <w:r>
        <w:rPr>
          <w:sz w:val="20"/>
        </w:rPr>
        <w:tab/>
      </w:r>
      <w:r>
        <w:rPr>
          <w:sz w:val="20"/>
        </w:rPr>
        <w:tab/>
      </w:r>
      <w:r>
        <w:rPr>
          <w:sz w:val="20"/>
        </w:rPr>
        <w:tab/>
      </w:r>
    </w:p>
    <w:p w14:paraId="2AD0F18E" w14:textId="77777777" w:rsidR="003C025E" w:rsidRDefault="003C025E" w:rsidP="003C025E">
      <w:pPr>
        <w:rPr>
          <w:sz w:val="20"/>
        </w:rPr>
      </w:pPr>
    </w:p>
    <w:p w14:paraId="2CCFAAFB" w14:textId="77777777" w:rsidR="003C025E" w:rsidRDefault="003C025E" w:rsidP="003C025E">
      <w:pPr>
        <w:tabs>
          <w:tab w:val="left" w:pos="8460"/>
          <w:tab w:val="left" w:pos="8640"/>
        </w:tabs>
        <w:rPr>
          <w:sz w:val="20"/>
        </w:rPr>
      </w:pPr>
    </w:p>
    <w:p w14:paraId="35DF2338" w14:textId="77777777" w:rsidR="003C025E" w:rsidRDefault="003C025E" w:rsidP="003C025E">
      <w:pPr>
        <w:tabs>
          <w:tab w:val="left" w:pos="8460"/>
          <w:tab w:val="left" w:pos="8640"/>
        </w:tabs>
        <w:rPr>
          <w:sz w:val="20"/>
        </w:rPr>
      </w:pPr>
    </w:p>
    <w:p w14:paraId="4C56F27C" w14:textId="77777777" w:rsidR="003C025E" w:rsidRPr="00274D2F" w:rsidRDefault="003C025E" w:rsidP="003C025E">
      <w:pPr>
        <w:tabs>
          <w:tab w:val="left" w:pos="8460"/>
          <w:tab w:val="left" w:pos="8640"/>
        </w:tabs>
        <w:jc w:val="center"/>
        <w:rPr>
          <w:sz w:val="20"/>
        </w:rPr>
      </w:pPr>
    </w:p>
    <w:p w14:paraId="3EA16267" w14:textId="77777777" w:rsidR="003C025E" w:rsidRDefault="003C025E" w:rsidP="003C025E">
      <w:pPr>
        <w:tabs>
          <w:tab w:val="left" w:pos="8460"/>
          <w:tab w:val="left" w:pos="8640"/>
        </w:tabs>
        <w:jc w:val="center"/>
        <w:rPr>
          <w:sz w:val="20"/>
        </w:rPr>
      </w:pPr>
      <w:r>
        <w:rPr>
          <w:sz w:val="20"/>
        </w:rPr>
        <w:t>Emilia Segares Rodríguez</w:t>
      </w:r>
    </w:p>
    <w:p w14:paraId="5048DDB6" w14:textId="77777777" w:rsidR="003C025E" w:rsidRDefault="003C025E" w:rsidP="003C025E">
      <w:pPr>
        <w:tabs>
          <w:tab w:val="left" w:pos="8460"/>
          <w:tab w:val="left" w:pos="8640"/>
        </w:tabs>
        <w:jc w:val="center"/>
        <w:rPr>
          <w:sz w:val="20"/>
        </w:rPr>
      </w:pPr>
      <w:r>
        <w:rPr>
          <w:sz w:val="20"/>
        </w:rPr>
        <w:t>Secretaria Adjunta</w:t>
      </w:r>
    </w:p>
    <w:p w14:paraId="166E7639" w14:textId="77777777" w:rsidR="003C025E" w:rsidRDefault="003C025E" w:rsidP="003C025E">
      <w:pPr>
        <w:rPr>
          <w:sz w:val="20"/>
        </w:rPr>
      </w:pPr>
    </w:p>
    <w:p w14:paraId="26BA19C9" w14:textId="77777777" w:rsidR="003C025E" w:rsidRDefault="003C025E" w:rsidP="003C025E">
      <w:pPr>
        <w:tabs>
          <w:tab w:val="left" w:pos="8460"/>
          <w:tab w:val="left" w:pos="8640"/>
        </w:tabs>
        <w:rPr>
          <w:sz w:val="20"/>
        </w:rPr>
      </w:pPr>
      <w:r>
        <w:rPr>
          <w:sz w:val="20"/>
        </w:rPr>
        <w:t>Comuníquese y ejecútese,</w:t>
      </w:r>
    </w:p>
    <w:p w14:paraId="4C7C0CE2" w14:textId="77777777" w:rsidR="003C025E" w:rsidRDefault="003C025E" w:rsidP="003C025E">
      <w:pPr>
        <w:tabs>
          <w:tab w:val="left" w:pos="8460"/>
          <w:tab w:val="left" w:pos="8640"/>
        </w:tabs>
        <w:rPr>
          <w:sz w:val="20"/>
        </w:rPr>
      </w:pPr>
    </w:p>
    <w:p w14:paraId="4E072446" w14:textId="77777777" w:rsidR="003C025E" w:rsidRDefault="003C025E" w:rsidP="003C025E">
      <w:pPr>
        <w:tabs>
          <w:tab w:val="left" w:pos="8460"/>
          <w:tab w:val="left" w:pos="8640"/>
        </w:tabs>
        <w:rPr>
          <w:sz w:val="20"/>
        </w:rPr>
      </w:pPr>
    </w:p>
    <w:p w14:paraId="03077A09" w14:textId="77777777" w:rsidR="003C025E" w:rsidRDefault="003C025E" w:rsidP="003C025E">
      <w:pPr>
        <w:tabs>
          <w:tab w:val="left" w:pos="8460"/>
          <w:tab w:val="left" w:pos="8640"/>
        </w:tabs>
        <w:jc w:val="right"/>
        <w:rPr>
          <w:sz w:val="20"/>
        </w:rPr>
      </w:pPr>
    </w:p>
    <w:p w14:paraId="50E14E43" w14:textId="77777777" w:rsidR="003C025E" w:rsidRDefault="003C025E" w:rsidP="003C025E">
      <w:pPr>
        <w:ind w:left="5760"/>
        <w:jc w:val="center"/>
        <w:rPr>
          <w:sz w:val="20"/>
        </w:rPr>
      </w:pPr>
      <w:r>
        <w:rPr>
          <w:sz w:val="20"/>
        </w:rPr>
        <w:t xml:space="preserve">   Eduardo Ferrer Mac-</w:t>
      </w:r>
      <w:proofErr w:type="spellStart"/>
      <w:r>
        <w:rPr>
          <w:sz w:val="20"/>
        </w:rPr>
        <w:t>Gregor</w:t>
      </w:r>
      <w:proofErr w:type="spellEnd"/>
      <w:r>
        <w:rPr>
          <w:sz w:val="20"/>
        </w:rPr>
        <w:t xml:space="preserve"> </w:t>
      </w:r>
      <w:proofErr w:type="spellStart"/>
      <w:r>
        <w:rPr>
          <w:sz w:val="20"/>
        </w:rPr>
        <w:t>Poisot</w:t>
      </w:r>
      <w:proofErr w:type="spellEnd"/>
      <w:r>
        <w:rPr>
          <w:sz w:val="20"/>
        </w:rPr>
        <w:t xml:space="preserve"> </w:t>
      </w:r>
    </w:p>
    <w:p w14:paraId="6E843383" w14:textId="77777777" w:rsidR="003C025E" w:rsidRDefault="003C025E" w:rsidP="003C025E">
      <w:pPr>
        <w:ind w:left="5040" w:firstLine="720"/>
        <w:jc w:val="center"/>
        <w:rPr>
          <w:sz w:val="20"/>
        </w:rPr>
      </w:pPr>
      <w:r>
        <w:rPr>
          <w:sz w:val="20"/>
        </w:rPr>
        <w:t xml:space="preserve">   Presidente</w:t>
      </w:r>
    </w:p>
    <w:p w14:paraId="60B90AE5" w14:textId="77777777" w:rsidR="003C025E" w:rsidRDefault="003C025E" w:rsidP="003C025E">
      <w:pPr>
        <w:tabs>
          <w:tab w:val="left" w:pos="8460"/>
          <w:tab w:val="left" w:pos="8640"/>
        </w:tabs>
        <w:rPr>
          <w:sz w:val="20"/>
        </w:rPr>
      </w:pPr>
    </w:p>
    <w:p w14:paraId="35E3D905" w14:textId="77777777" w:rsidR="003C025E" w:rsidRDefault="003C025E" w:rsidP="003C025E">
      <w:pPr>
        <w:tabs>
          <w:tab w:val="left" w:pos="8460"/>
          <w:tab w:val="left" w:pos="8640"/>
        </w:tabs>
        <w:rPr>
          <w:sz w:val="20"/>
        </w:rPr>
      </w:pPr>
    </w:p>
    <w:p w14:paraId="010968E4" w14:textId="77777777" w:rsidR="003C025E" w:rsidRDefault="003C025E" w:rsidP="003C025E">
      <w:pPr>
        <w:tabs>
          <w:tab w:val="left" w:pos="8460"/>
          <w:tab w:val="left" w:pos="8640"/>
        </w:tabs>
        <w:rPr>
          <w:sz w:val="20"/>
        </w:rPr>
      </w:pPr>
    </w:p>
    <w:p w14:paraId="61099EA9" w14:textId="77777777" w:rsidR="003C025E" w:rsidRDefault="003C025E" w:rsidP="003C025E">
      <w:pPr>
        <w:tabs>
          <w:tab w:val="left" w:pos="8460"/>
          <w:tab w:val="left" w:pos="8640"/>
        </w:tabs>
        <w:rPr>
          <w:sz w:val="20"/>
        </w:rPr>
      </w:pPr>
    </w:p>
    <w:p w14:paraId="49189D33" w14:textId="77777777" w:rsidR="003C025E" w:rsidRDefault="003C025E" w:rsidP="003C025E">
      <w:pPr>
        <w:tabs>
          <w:tab w:val="left" w:pos="8460"/>
          <w:tab w:val="left" w:pos="8640"/>
        </w:tabs>
        <w:rPr>
          <w:sz w:val="20"/>
        </w:rPr>
      </w:pPr>
      <w:r>
        <w:rPr>
          <w:sz w:val="20"/>
        </w:rPr>
        <w:t xml:space="preserve">   Emilia Segares Rodríguez</w:t>
      </w:r>
    </w:p>
    <w:p w14:paraId="505390BB" w14:textId="77777777" w:rsidR="003C025E" w:rsidRDefault="003C025E" w:rsidP="003C025E">
      <w:pPr>
        <w:tabs>
          <w:tab w:val="left" w:pos="8460"/>
          <w:tab w:val="left" w:pos="8640"/>
        </w:tabs>
        <w:rPr>
          <w:sz w:val="20"/>
        </w:rPr>
      </w:pPr>
      <w:r>
        <w:rPr>
          <w:sz w:val="20"/>
        </w:rPr>
        <w:t xml:space="preserve">        Secretaria Adjunta</w:t>
      </w:r>
    </w:p>
    <w:p w14:paraId="250601D5" w14:textId="77777777" w:rsidR="00B370D2" w:rsidRDefault="00B370D2" w:rsidP="003C025E">
      <w:pPr>
        <w:rPr>
          <w:sz w:val="20"/>
        </w:rPr>
        <w:sectPr w:rsidR="00B370D2" w:rsidSect="004450BE">
          <w:headerReference w:type="default" r:id="rId12"/>
          <w:footerReference w:type="even" r:id="rId13"/>
          <w:headerReference w:type="first" r:id="rId14"/>
          <w:footnotePr>
            <w:numRestart w:val="eachSect"/>
          </w:footnotePr>
          <w:pgSz w:w="12240" w:h="15840"/>
          <w:pgMar w:top="1247" w:right="1247" w:bottom="1247" w:left="1247" w:header="709" w:footer="709" w:gutter="0"/>
          <w:pgNumType w:start="1"/>
          <w:cols w:space="708"/>
          <w:titlePg/>
          <w:docGrid w:linePitch="360"/>
        </w:sectPr>
      </w:pPr>
    </w:p>
    <w:p w14:paraId="3AE68A61" w14:textId="77777777" w:rsidR="00B370D2" w:rsidRPr="00BE7922" w:rsidRDefault="00B370D2" w:rsidP="00B370D2">
      <w:pPr>
        <w:jc w:val="center"/>
        <w:rPr>
          <w:b/>
          <w:sz w:val="18"/>
        </w:rPr>
      </w:pPr>
    </w:p>
    <w:p w14:paraId="39579184" w14:textId="77777777" w:rsidR="00B370D2" w:rsidRPr="00BE7922" w:rsidRDefault="00B370D2" w:rsidP="00B370D2">
      <w:pPr>
        <w:jc w:val="center"/>
        <w:rPr>
          <w:b/>
          <w:sz w:val="18"/>
        </w:rPr>
      </w:pPr>
    </w:p>
    <w:p w14:paraId="6F764C78" w14:textId="77777777" w:rsidR="00B370D2" w:rsidRPr="00BE7922" w:rsidRDefault="00B370D2" w:rsidP="00B370D2">
      <w:pPr>
        <w:jc w:val="center"/>
        <w:rPr>
          <w:b/>
          <w:sz w:val="18"/>
        </w:rPr>
      </w:pPr>
    </w:p>
    <w:p w14:paraId="2860776E" w14:textId="77777777" w:rsidR="00B370D2" w:rsidRPr="00BE7922" w:rsidRDefault="00B370D2" w:rsidP="00B370D2">
      <w:pPr>
        <w:jc w:val="center"/>
        <w:rPr>
          <w:b/>
          <w:sz w:val="18"/>
        </w:rPr>
      </w:pPr>
    </w:p>
    <w:p w14:paraId="17D276BA" w14:textId="77777777" w:rsidR="00B370D2" w:rsidRPr="00BE7922" w:rsidRDefault="00B370D2" w:rsidP="00B370D2">
      <w:pPr>
        <w:jc w:val="center"/>
        <w:rPr>
          <w:b/>
          <w:sz w:val="18"/>
        </w:rPr>
      </w:pPr>
    </w:p>
    <w:p w14:paraId="00218727" w14:textId="77777777" w:rsidR="00B370D2" w:rsidRPr="00BE7922" w:rsidRDefault="00B370D2" w:rsidP="00B370D2">
      <w:pPr>
        <w:jc w:val="center"/>
        <w:rPr>
          <w:b/>
          <w:sz w:val="18"/>
        </w:rPr>
      </w:pPr>
    </w:p>
    <w:p w14:paraId="214AA4E2" w14:textId="77777777" w:rsidR="00B370D2" w:rsidRPr="00BE7922" w:rsidRDefault="00B370D2" w:rsidP="00B370D2">
      <w:pPr>
        <w:jc w:val="center"/>
        <w:rPr>
          <w:b/>
          <w:sz w:val="18"/>
        </w:rPr>
      </w:pPr>
    </w:p>
    <w:p w14:paraId="47A4310B" w14:textId="77777777" w:rsidR="00B370D2" w:rsidRPr="00BE7922" w:rsidRDefault="00B370D2" w:rsidP="00B370D2">
      <w:pPr>
        <w:jc w:val="center"/>
        <w:rPr>
          <w:rFonts w:eastAsia="Calibri"/>
          <w:b/>
          <w:sz w:val="20"/>
          <w:szCs w:val="20"/>
          <w:lang w:val="es-ES_tradnl"/>
        </w:rPr>
      </w:pPr>
      <w:r w:rsidRPr="00BE7922">
        <w:rPr>
          <w:rFonts w:eastAsia="Calibri"/>
          <w:b/>
          <w:sz w:val="20"/>
          <w:szCs w:val="20"/>
          <w:lang w:val="es-ES_tradnl"/>
        </w:rPr>
        <w:t xml:space="preserve">VOTO CONCURRENTE DEL </w:t>
      </w:r>
    </w:p>
    <w:p w14:paraId="00FA4B0A" w14:textId="77777777" w:rsidR="00B370D2" w:rsidRPr="00BE7922" w:rsidRDefault="00B370D2" w:rsidP="00B370D2">
      <w:pPr>
        <w:jc w:val="center"/>
        <w:rPr>
          <w:rFonts w:eastAsia="Calibri"/>
          <w:b/>
          <w:sz w:val="20"/>
          <w:szCs w:val="20"/>
          <w:lang w:val="es-ES_tradnl"/>
        </w:rPr>
      </w:pPr>
      <w:r w:rsidRPr="00BE7922">
        <w:rPr>
          <w:rFonts w:eastAsia="Calibri"/>
          <w:b/>
          <w:sz w:val="20"/>
          <w:szCs w:val="20"/>
          <w:lang w:val="es-ES_tradnl"/>
        </w:rPr>
        <w:t xml:space="preserve">JUEZ HUMBERTO ANTONIO SIERRA PORTO </w:t>
      </w:r>
    </w:p>
    <w:p w14:paraId="1D1D8285" w14:textId="77777777" w:rsidR="00B370D2" w:rsidRPr="00BE7922" w:rsidRDefault="00B370D2" w:rsidP="00B370D2">
      <w:pPr>
        <w:jc w:val="center"/>
        <w:rPr>
          <w:rFonts w:eastAsia="Calibri"/>
          <w:b/>
          <w:sz w:val="20"/>
          <w:szCs w:val="20"/>
          <w:lang w:val="es-ES_tradnl"/>
        </w:rPr>
      </w:pPr>
    </w:p>
    <w:p w14:paraId="1024F187" w14:textId="77777777" w:rsidR="00B370D2" w:rsidRPr="00BE7922" w:rsidRDefault="00B370D2" w:rsidP="00B370D2">
      <w:pPr>
        <w:jc w:val="center"/>
        <w:rPr>
          <w:rFonts w:eastAsia="Calibri"/>
          <w:b/>
          <w:sz w:val="20"/>
          <w:szCs w:val="20"/>
          <w:lang w:val="es-ES_tradnl"/>
        </w:rPr>
      </w:pPr>
      <w:r w:rsidRPr="00BE7922">
        <w:rPr>
          <w:rFonts w:eastAsia="Calibri"/>
          <w:b/>
          <w:sz w:val="20"/>
          <w:szCs w:val="20"/>
          <w:lang w:val="es-ES_tradnl"/>
        </w:rPr>
        <w:t>A LA SENTENCIA DE 8 DE MARZO DE 2018</w:t>
      </w:r>
    </w:p>
    <w:p w14:paraId="74527269" w14:textId="77777777" w:rsidR="00B370D2" w:rsidRPr="00BE7922" w:rsidRDefault="00B370D2" w:rsidP="00BE7922">
      <w:pPr>
        <w:jc w:val="center"/>
        <w:rPr>
          <w:rFonts w:eastAsia="Calibri"/>
          <w:b/>
          <w:sz w:val="20"/>
          <w:szCs w:val="20"/>
          <w:lang w:val="es-ES_tradnl"/>
        </w:rPr>
      </w:pPr>
      <w:r w:rsidRPr="00BE7922">
        <w:rPr>
          <w:rFonts w:eastAsia="Calibri"/>
          <w:b/>
          <w:sz w:val="20"/>
          <w:szCs w:val="20"/>
          <w:lang w:val="es-ES_tradnl"/>
        </w:rPr>
        <w:t>DE LA CORTE INTERAMERICANA DE DERECHOS HUMANOS</w:t>
      </w:r>
    </w:p>
    <w:p w14:paraId="19FC2EB4" w14:textId="77777777" w:rsidR="00B370D2" w:rsidRPr="00BE7922" w:rsidRDefault="00B370D2" w:rsidP="00B370D2">
      <w:pPr>
        <w:jc w:val="center"/>
        <w:rPr>
          <w:rFonts w:eastAsia="Calibri"/>
          <w:b/>
          <w:sz w:val="20"/>
          <w:szCs w:val="20"/>
          <w:lang w:val="es-ES_tradnl"/>
        </w:rPr>
      </w:pPr>
    </w:p>
    <w:p w14:paraId="7A98778B" w14:textId="77777777" w:rsidR="00B370D2" w:rsidRDefault="00B370D2" w:rsidP="00BE7922">
      <w:pPr>
        <w:jc w:val="center"/>
        <w:rPr>
          <w:b/>
        </w:rPr>
      </w:pPr>
      <w:r w:rsidRPr="00BE7922">
        <w:rPr>
          <w:rFonts w:eastAsia="Calibri"/>
          <w:b/>
          <w:sz w:val="20"/>
          <w:szCs w:val="20"/>
          <w:lang w:val="es-ES_tradnl"/>
        </w:rPr>
        <w:t>EN EL CASO DE POBLETE VILCHES Y OTROS VS. CHILE</w:t>
      </w:r>
    </w:p>
    <w:p w14:paraId="462F0CA0" w14:textId="77777777" w:rsidR="00B370D2" w:rsidRPr="00BE7922" w:rsidRDefault="00B370D2" w:rsidP="00B370D2">
      <w:pPr>
        <w:rPr>
          <w:b/>
          <w:sz w:val="18"/>
        </w:rPr>
      </w:pPr>
    </w:p>
    <w:p w14:paraId="16043D01" w14:textId="77777777" w:rsidR="00B370D2" w:rsidRPr="00BE7922" w:rsidRDefault="00B370D2" w:rsidP="00BE7922">
      <w:pPr>
        <w:jc w:val="left"/>
        <w:rPr>
          <w:rFonts w:eastAsia="Calibri"/>
          <w:b/>
          <w:i/>
          <w:sz w:val="20"/>
          <w:szCs w:val="20"/>
          <w:lang w:val="es-ES_tradnl"/>
        </w:rPr>
      </w:pPr>
      <w:r w:rsidRPr="00BE7922">
        <w:rPr>
          <w:rFonts w:eastAsia="Calibri"/>
          <w:b/>
          <w:i/>
          <w:sz w:val="20"/>
          <w:szCs w:val="20"/>
          <w:lang w:val="es-ES_tradnl"/>
        </w:rPr>
        <w:t>I. Introducción</w:t>
      </w:r>
    </w:p>
    <w:p w14:paraId="3BA511E6" w14:textId="77777777" w:rsidR="00B370D2" w:rsidRPr="00BE7922" w:rsidRDefault="00B370D2" w:rsidP="00B370D2">
      <w:pPr>
        <w:rPr>
          <w:b/>
          <w:sz w:val="16"/>
        </w:rPr>
      </w:pPr>
    </w:p>
    <w:p w14:paraId="46AC89C8" w14:textId="77777777" w:rsidR="00B370D2" w:rsidRDefault="00B370D2" w:rsidP="00B370D2">
      <w:pPr>
        <w:pStyle w:val="ListParagraph"/>
        <w:numPr>
          <w:ilvl w:val="0"/>
          <w:numId w:val="33"/>
        </w:numPr>
        <w:ind w:left="0" w:firstLine="0"/>
        <w:rPr>
          <w:sz w:val="20"/>
          <w:szCs w:val="20"/>
        </w:rPr>
      </w:pPr>
      <w:r w:rsidRPr="009D7294">
        <w:rPr>
          <w:sz w:val="20"/>
          <w:szCs w:val="20"/>
        </w:rPr>
        <w:t xml:space="preserve">Con el acostumbrado </w:t>
      </w:r>
      <w:r w:rsidRPr="003552CE">
        <w:rPr>
          <w:sz w:val="20"/>
          <w:szCs w:val="20"/>
        </w:rPr>
        <w:t xml:space="preserve">respeto por las decisiones de </w:t>
      </w:r>
      <w:r>
        <w:rPr>
          <w:sz w:val="20"/>
          <w:szCs w:val="20"/>
        </w:rPr>
        <w:t>la</w:t>
      </w:r>
      <w:r w:rsidRPr="009D7294">
        <w:rPr>
          <w:sz w:val="20"/>
          <w:szCs w:val="20"/>
        </w:rPr>
        <w:t xml:space="preserve"> Corte</w:t>
      </w:r>
      <w:r>
        <w:rPr>
          <w:sz w:val="20"/>
          <w:szCs w:val="20"/>
        </w:rPr>
        <w:t xml:space="preserve"> Interamericana de Derechos Humanos (en adelante, también</w:t>
      </w:r>
      <w:r w:rsidRPr="003F45A4">
        <w:rPr>
          <w:sz w:val="20"/>
          <w:szCs w:val="20"/>
        </w:rPr>
        <w:t xml:space="preserve"> “la Corte” o “el Tribunal”), me permito formular el presente voto concurrente. El voto se centra en el análisis de fondo que realizó la Corte acerca de la responsabilidad internacional del Estado por la violación de los derechos a la salud, vida, integridad personal y acceso a la información. En concreto, explicaré las razones por las que me sumé al voto de la mayoría en la declaración de responsabilidad internacional por la violación al derecho a la salud</w:t>
      </w:r>
      <w:r>
        <w:rPr>
          <w:sz w:val="20"/>
          <w:szCs w:val="20"/>
        </w:rPr>
        <w:t xml:space="preserve"> (</w:t>
      </w:r>
      <w:r w:rsidRPr="00AF6286">
        <w:rPr>
          <w:i/>
          <w:sz w:val="20"/>
          <w:szCs w:val="20"/>
        </w:rPr>
        <w:t>supra</w:t>
      </w:r>
      <w:r>
        <w:rPr>
          <w:sz w:val="20"/>
          <w:szCs w:val="20"/>
        </w:rPr>
        <w:t xml:space="preserve">, </w:t>
      </w:r>
      <w:r w:rsidRPr="00AF6286">
        <w:rPr>
          <w:sz w:val="20"/>
          <w:szCs w:val="20"/>
        </w:rPr>
        <w:t>párr</w:t>
      </w:r>
      <w:r>
        <w:rPr>
          <w:sz w:val="20"/>
          <w:szCs w:val="20"/>
        </w:rPr>
        <w:t>. 143)</w:t>
      </w:r>
      <w:r w:rsidRPr="003F45A4">
        <w:rPr>
          <w:sz w:val="20"/>
          <w:szCs w:val="20"/>
        </w:rPr>
        <w:t xml:space="preserve">, y </w:t>
      </w:r>
      <w:r>
        <w:rPr>
          <w:sz w:val="20"/>
          <w:szCs w:val="20"/>
        </w:rPr>
        <w:t>realizaré</w:t>
      </w:r>
      <w:r w:rsidRPr="003F45A4">
        <w:rPr>
          <w:sz w:val="20"/>
          <w:szCs w:val="20"/>
        </w:rPr>
        <w:t xml:space="preserve"> algunas reflexiones acerca del análisis que la Corte hace sobre violaciones a los</w:t>
      </w:r>
      <w:r>
        <w:rPr>
          <w:sz w:val="20"/>
          <w:szCs w:val="20"/>
        </w:rPr>
        <w:t xml:space="preserve"> derechos económicos, sociales,</w:t>
      </w:r>
      <w:r w:rsidRPr="003F45A4">
        <w:rPr>
          <w:sz w:val="20"/>
          <w:szCs w:val="20"/>
        </w:rPr>
        <w:t xml:space="preserve"> culturales</w:t>
      </w:r>
      <w:r>
        <w:rPr>
          <w:sz w:val="20"/>
          <w:szCs w:val="20"/>
        </w:rPr>
        <w:t xml:space="preserve"> y ambientales</w:t>
      </w:r>
      <w:r w:rsidRPr="003F45A4">
        <w:rPr>
          <w:sz w:val="20"/>
          <w:szCs w:val="20"/>
        </w:rPr>
        <w:t xml:space="preserve"> (en adelante, también “DESC</w:t>
      </w:r>
      <w:r>
        <w:rPr>
          <w:sz w:val="20"/>
          <w:szCs w:val="20"/>
        </w:rPr>
        <w:t>A</w:t>
      </w:r>
      <w:r w:rsidRPr="003F45A4">
        <w:rPr>
          <w:sz w:val="20"/>
          <w:szCs w:val="20"/>
        </w:rPr>
        <w:t xml:space="preserve">”) sobre la base del artículo 26 de la Convención Americana sobre Derechos Humanos (en adelante, también “la Convención”). En ese sentido, advierto que mis reflexiones complementan lo ya expresado en mis votos parcialmente disidentes de los casos </w:t>
      </w:r>
      <w:r w:rsidRPr="003F45A4">
        <w:rPr>
          <w:i/>
          <w:sz w:val="20"/>
          <w:szCs w:val="20"/>
        </w:rPr>
        <w:t>Lagos del Campo Vs. Perú</w:t>
      </w:r>
      <w:r w:rsidRPr="005F6D97">
        <w:rPr>
          <w:rStyle w:val="FootnoteReference"/>
          <w:sz w:val="20"/>
          <w:szCs w:val="20"/>
        </w:rPr>
        <w:footnoteReference w:id="337"/>
      </w:r>
      <w:r w:rsidRPr="003F45A4">
        <w:rPr>
          <w:sz w:val="20"/>
          <w:szCs w:val="20"/>
        </w:rPr>
        <w:t xml:space="preserve">, </w:t>
      </w:r>
      <w:r>
        <w:rPr>
          <w:i/>
          <w:sz w:val="20"/>
          <w:szCs w:val="20"/>
        </w:rPr>
        <w:t xml:space="preserve">Trabajadores Cesados de </w:t>
      </w:r>
      <w:r w:rsidRPr="003F45A4">
        <w:rPr>
          <w:i/>
          <w:sz w:val="20"/>
          <w:szCs w:val="20"/>
        </w:rPr>
        <w:t>Petroperú y otros Vs. Perú</w:t>
      </w:r>
      <w:r>
        <w:rPr>
          <w:rStyle w:val="FootnoteReference"/>
          <w:i/>
          <w:sz w:val="20"/>
          <w:szCs w:val="20"/>
        </w:rPr>
        <w:footnoteReference w:id="338"/>
      </w:r>
      <w:r w:rsidRPr="003F45A4">
        <w:rPr>
          <w:sz w:val="20"/>
          <w:szCs w:val="20"/>
        </w:rPr>
        <w:t xml:space="preserve">, y </w:t>
      </w:r>
      <w:r w:rsidRPr="00154A93">
        <w:rPr>
          <w:i/>
          <w:sz w:val="20"/>
          <w:szCs w:val="20"/>
        </w:rPr>
        <w:t>San Miguel Sosa y otras Vs. Venezuela</w:t>
      </w:r>
      <w:r w:rsidRPr="00154A93">
        <w:rPr>
          <w:rStyle w:val="FootnoteReference"/>
          <w:i/>
          <w:sz w:val="20"/>
          <w:szCs w:val="20"/>
        </w:rPr>
        <w:footnoteReference w:id="339"/>
      </w:r>
      <w:r w:rsidRPr="00154A93">
        <w:rPr>
          <w:sz w:val="20"/>
          <w:szCs w:val="20"/>
        </w:rPr>
        <w:t>; así como</w:t>
      </w:r>
      <w:r>
        <w:rPr>
          <w:sz w:val="20"/>
          <w:szCs w:val="20"/>
        </w:rPr>
        <w:t xml:space="preserve"> </w:t>
      </w:r>
      <w:r w:rsidRPr="0082385B">
        <w:rPr>
          <w:sz w:val="20"/>
          <w:szCs w:val="20"/>
        </w:rPr>
        <w:t>en mi voto</w:t>
      </w:r>
      <w:r w:rsidRPr="003F45A4">
        <w:rPr>
          <w:sz w:val="20"/>
          <w:szCs w:val="20"/>
        </w:rPr>
        <w:t xml:space="preserve"> concurrente del caso </w:t>
      </w:r>
      <w:r w:rsidRPr="003F45A4">
        <w:rPr>
          <w:i/>
          <w:sz w:val="20"/>
          <w:szCs w:val="20"/>
        </w:rPr>
        <w:t xml:space="preserve">Gonzales </w:t>
      </w:r>
      <w:proofErr w:type="spellStart"/>
      <w:r w:rsidRPr="003F45A4">
        <w:rPr>
          <w:i/>
          <w:sz w:val="20"/>
          <w:szCs w:val="20"/>
        </w:rPr>
        <w:t>Lluy</w:t>
      </w:r>
      <w:proofErr w:type="spellEnd"/>
      <w:r w:rsidRPr="003F45A4">
        <w:rPr>
          <w:i/>
          <w:sz w:val="20"/>
          <w:szCs w:val="20"/>
        </w:rPr>
        <w:t xml:space="preserve"> y otros Vs. Ecuador</w:t>
      </w:r>
      <w:r w:rsidRPr="005F6D97">
        <w:rPr>
          <w:rStyle w:val="FootnoteReference"/>
          <w:sz w:val="20"/>
          <w:szCs w:val="20"/>
        </w:rPr>
        <w:footnoteReference w:id="340"/>
      </w:r>
      <w:r w:rsidRPr="003F45A4">
        <w:rPr>
          <w:sz w:val="20"/>
          <w:szCs w:val="20"/>
        </w:rPr>
        <w:t xml:space="preserve">. </w:t>
      </w:r>
    </w:p>
    <w:p w14:paraId="642EA6B4" w14:textId="77777777" w:rsidR="00B370D2" w:rsidRPr="00BE7922" w:rsidRDefault="00B370D2" w:rsidP="00B370D2">
      <w:pPr>
        <w:pStyle w:val="ListParagraph"/>
        <w:ind w:left="0"/>
        <w:rPr>
          <w:sz w:val="16"/>
          <w:szCs w:val="20"/>
        </w:rPr>
      </w:pPr>
    </w:p>
    <w:p w14:paraId="6CBE3A8E" w14:textId="77777777" w:rsidR="00B370D2" w:rsidRPr="00BE7922" w:rsidRDefault="00B370D2" w:rsidP="00B370D2">
      <w:pPr>
        <w:pStyle w:val="ListParagraph"/>
        <w:ind w:left="0"/>
        <w:rPr>
          <w:rFonts w:eastAsia="Cambria" w:cs="Cambria"/>
          <w:color w:val="000000"/>
          <w:sz w:val="20"/>
          <w:szCs w:val="20"/>
          <w:u w:color="000000"/>
          <w:lang w:eastAsia="es-ES"/>
        </w:rPr>
      </w:pPr>
      <w:r w:rsidRPr="00BE7922">
        <w:rPr>
          <w:rFonts w:eastAsia="Cambria" w:cs="Cambria"/>
          <w:b/>
          <w:i/>
          <w:color w:val="000000"/>
          <w:sz w:val="20"/>
          <w:szCs w:val="20"/>
          <w:u w:color="000000"/>
          <w:lang w:eastAsia="es-ES"/>
        </w:rPr>
        <w:t>II. Respecto a mi adhesión a la declaración de responsabilidad internacional por violación al derecho a la</w:t>
      </w:r>
      <w:r w:rsidRPr="00BE7922">
        <w:rPr>
          <w:rFonts w:eastAsia="Cambria" w:cs="Cambria"/>
          <w:color w:val="000000"/>
          <w:sz w:val="20"/>
          <w:szCs w:val="20"/>
          <w:u w:color="000000"/>
          <w:lang w:eastAsia="es-ES"/>
        </w:rPr>
        <w:t xml:space="preserve"> </w:t>
      </w:r>
      <w:r w:rsidRPr="00BE7922">
        <w:rPr>
          <w:rFonts w:eastAsia="Cambria" w:cs="Cambria"/>
          <w:b/>
          <w:i/>
          <w:color w:val="000000"/>
          <w:sz w:val="20"/>
          <w:szCs w:val="20"/>
          <w:u w:color="000000"/>
          <w:lang w:eastAsia="es-ES"/>
        </w:rPr>
        <w:t>salud</w:t>
      </w:r>
    </w:p>
    <w:p w14:paraId="58D93A64" w14:textId="77777777" w:rsidR="00B370D2" w:rsidRPr="0052514A" w:rsidRDefault="00B370D2" w:rsidP="00B370D2">
      <w:pPr>
        <w:pStyle w:val="ListParagraph"/>
        <w:ind w:left="0"/>
        <w:rPr>
          <w:sz w:val="20"/>
          <w:szCs w:val="20"/>
        </w:rPr>
      </w:pPr>
    </w:p>
    <w:p w14:paraId="20A2023F" w14:textId="77777777" w:rsidR="00B370D2" w:rsidRPr="00FF45E5" w:rsidRDefault="00B370D2" w:rsidP="00BE7922">
      <w:pPr>
        <w:pStyle w:val="ListParagraph"/>
        <w:numPr>
          <w:ilvl w:val="0"/>
          <w:numId w:val="33"/>
        </w:numPr>
        <w:ind w:left="0" w:firstLine="0"/>
        <w:rPr>
          <w:sz w:val="20"/>
          <w:szCs w:val="20"/>
        </w:rPr>
      </w:pPr>
      <w:r w:rsidRPr="00FF45E5">
        <w:rPr>
          <w:sz w:val="20"/>
          <w:szCs w:val="20"/>
        </w:rPr>
        <w:t xml:space="preserve">En </w:t>
      </w:r>
      <w:r>
        <w:rPr>
          <w:sz w:val="20"/>
          <w:szCs w:val="20"/>
        </w:rPr>
        <w:t>la presente</w:t>
      </w:r>
      <w:r w:rsidRPr="00FF45E5">
        <w:rPr>
          <w:sz w:val="20"/>
          <w:szCs w:val="20"/>
        </w:rPr>
        <w:t xml:space="preserve"> sentencia, la Corte concluyó, en esencia, (i) que los servicios de salud b</w:t>
      </w:r>
      <w:r>
        <w:rPr>
          <w:sz w:val="20"/>
          <w:szCs w:val="20"/>
        </w:rPr>
        <w:t>rindados al señor Poblete Vilche</w:t>
      </w:r>
      <w:r w:rsidRPr="00FF45E5">
        <w:rPr>
          <w:sz w:val="20"/>
          <w:szCs w:val="20"/>
        </w:rPr>
        <w:t xml:space="preserve">s no cumplieron con los estándares de disponibilidad, accesibilidad, calidad y aceptabilidad, lo que constituyó una violación a su derecho a la salud; (ii) que el Estado incumplió con su deber de obtener el consentimiento informado de los familiares de la víctima frente a la intervención quirúrgica practicada; y (iii) que el Estado violó su derecho a la vida y a la integridad personal, pues la falta de una adecuada atención médica derivó en un resultado </w:t>
      </w:r>
      <w:r w:rsidRPr="00FF45E5">
        <w:rPr>
          <w:sz w:val="20"/>
          <w:szCs w:val="20"/>
        </w:rPr>
        <w:lastRenderedPageBreak/>
        <w:t>dañoso y, en última instancia, en su muerte (</w:t>
      </w:r>
      <w:proofErr w:type="spellStart"/>
      <w:r w:rsidRPr="00FF45E5">
        <w:rPr>
          <w:sz w:val="20"/>
          <w:szCs w:val="20"/>
        </w:rPr>
        <w:t>párrs</w:t>
      </w:r>
      <w:proofErr w:type="spellEnd"/>
      <w:r w:rsidRPr="00FF45E5">
        <w:rPr>
          <w:sz w:val="20"/>
          <w:szCs w:val="20"/>
        </w:rPr>
        <w:t xml:space="preserve">. 174-175). Por lo tanto, el Tribunal consideró que el Estado chileno es responsable por la violación a los artículos 26, 4, 5, 13, 7 y 11 de la Convención Americana en relación con las obligaciones de no discriminación, previstas en el artículo 1.1 del mismo instrumento; </w:t>
      </w:r>
      <w:r w:rsidRPr="00D728B1">
        <w:rPr>
          <w:sz w:val="20"/>
          <w:szCs w:val="20"/>
        </w:rPr>
        <w:t>así como de la violación a los diversos numerales 26, 13, 7 y 11, en perjuicio de sus familiares (párr. 176).</w:t>
      </w:r>
    </w:p>
    <w:p w14:paraId="023CDE4B" w14:textId="77777777" w:rsidR="00B370D2" w:rsidRPr="00BE7922" w:rsidRDefault="00B370D2" w:rsidP="00B370D2">
      <w:pPr>
        <w:pStyle w:val="ListParagraph"/>
        <w:ind w:left="0"/>
        <w:rPr>
          <w:sz w:val="16"/>
          <w:szCs w:val="20"/>
        </w:rPr>
      </w:pPr>
    </w:p>
    <w:p w14:paraId="74288795" w14:textId="77777777" w:rsidR="00B370D2" w:rsidRDefault="00B370D2" w:rsidP="00BE7922">
      <w:pPr>
        <w:pStyle w:val="ListParagraph"/>
        <w:numPr>
          <w:ilvl w:val="0"/>
          <w:numId w:val="33"/>
        </w:numPr>
        <w:ind w:left="0" w:firstLine="0"/>
        <w:rPr>
          <w:sz w:val="20"/>
          <w:szCs w:val="20"/>
        </w:rPr>
      </w:pPr>
      <w:r>
        <w:rPr>
          <w:sz w:val="20"/>
          <w:szCs w:val="20"/>
        </w:rPr>
        <w:t>Si bien comparto el criterio sostenido por mis colegas Jueces y Jueza, lo cual quedó manifestado en mi adhesión a su posición en los Puntos Resolutivos de la sentencia (</w:t>
      </w:r>
      <w:r>
        <w:rPr>
          <w:i/>
          <w:sz w:val="20"/>
          <w:szCs w:val="20"/>
        </w:rPr>
        <w:t>supra</w:t>
      </w:r>
      <w:r>
        <w:rPr>
          <w:sz w:val="20"/>
          <w:szCs w:val="20"/>
        </w:rPr>
        <w:t>, Punto Resolutivo 2), es relevante aclarar que esto no significa un distanciamiento de lo ya sostenido en otros votos disidentes o concurrentes anteriores</w:t>
      </w:r>
      <w:r>
        <w:rPr>
          <w:rStyle w:val="FootnoteReference"/>
          <w:sz w:val="20"/>
          <w:szCs w:val="20"/>
        </w:rPr>
        <w:footnoteReference w:id="341"/>
      </w:r>
      <w:r>
        <w:rPr>
          <w:sz w:val="20"/>
          <w:szCs w:val="20"/>
        </w:rPr>
        <w:t xml:space="preserve">. Reitero que la </w:t>
      </w:r>
      <w:proofErr w:type="spellStart"/>
      <w:r>
        <w:rPr>
          <w:sz w:val="20"/>
          <w:szCs w:val="20"/>
        </w:rPr>
        <w:t>justiciabilidad</w:t>
      </w:r>
      <w:proofErr w:type="spellEnd"/>
      <w:r>
        <w:rPr>
          <w:sz w:val="20"/>
          <w:szCs w:val="20"/>
        </w:rPr>
        <w:t xml:space="preserve"> de los DESCA, a través de una aplicación directa del artículo 26 de la Convención, presenta al menos dos grandes falencias: </w:t>
      </w:r>
      <w:r w:rsidRPr="00D728B1">
        <w:rPr>
          <w:sz w:val="20"/>
          <w:szCs w:val="20"/>
        </w:rPr>
        <w:t>la primera</w:t>
      </w:r>
      <w:r>
        <w:rPr>
          <w:sz w:val="20"/>
          <w:szCs w:val="20"/>
        </w:rPr>
        <w:t>, que el mencionado artículo 26 no contiene propiamente un catálogo de derechos, sino que remite a la Carta de la Organización de Estados Americanos (en adelante, “la Carta de la OEA”), y que, a su vez, la Carta de la OEA tampoco contiene un catálogo de derechos claros y precisos que permita derivar de ellos obligaciones exigibles a los Estados por vía del sistema de peticiones individuales, y en todo caso reconoce derechos de naturaleza prestacional</w:t>
      </w:r>
      <w:r w:rsidRPr="001D195B">
        <w:rPr>
          <w:rStyle w:val="FootnoteReference"/>
          <w:sz w:val="20"/>
          <w:szCs w:val="20"/>
        </w:rPr>
        <w:footnoteReference w:id="342"/>
      </w:r>
      <w:r>
        <w:rPr>
          <w:sz w:val="20"/>
          <w:szCs w:val="20"/>
        </w:rPr>
        <w:t>. L</w:t>
      </w:r>
      <w:r w:rsidRPr="001D195B">
        <w:rPr>
          <w:sz w:val="20"/>
          <w:szCs w:val="20"/>
        </w:rPr>
        <w:t>a segunda,</w:t>
      </w:r>
      <w:r>
        <w:rPr>
          <w:sz w:val="20"/>
          <w:szCs w:val="20"/>
        </w:rPr>
        <w:t xml:space="preserve"> que el argumento utilizado en la Sentencia para justificar la competencia de la Corte ignora que los Estados acordaron, en el Protocolo de San Salvador</w:t>
      </w:r>
      <w:r>
        <w:rPr>
          <w:rStyle w:val="FootnoteReference"/>
          <w:sz w:val="20"/>
          <w:szCs w:val="20"/>
        </w:rPr>
        <w:footnoteReference w:id="343"/>
      </w:r>
      <w:r>
        <w:rPr>
          <w:sz w:val="20"/>
          <w:szCs w:val="20"/>
        </w:rPr>
        <w:t>, que la competencia de la Corte para conocer sobre violaciones a los DESC, a través del sistema de peticiones individuales, queda restringido a algunos aspectos del derecho a la libertad sindical y el derecho a la educación</w:t>
      </w:r>
      <w:r>
        <w:rPr>
          <w:rStyle w:val="FootnoteReference"/>
          <w:sz w:val="20"/>
          <w:szCs w:val="20"/>
        </w:rPr>
        <w:footnoteReference w:id="344"/>
      </w:r>
      <w:r>
        <w:rPr>
          <w:sz w:val="20"/>
          <w:szCs w:val="20"/>
        </w:rPr>
        <w:t>.</w:t>
      </w:r>
    </w:p>
    <w:p w14:paraId="51E66301" w14:textId="77777777" w:rsidR="00B370D2" w:rsidRPr="00BE7922" w:rsidRDefault="00B370D2" w:rsidP="00B370D2">
      <w:pPr>
        <w:rPr>
          <w:sz w:val="16"/>
        </w:rPr>
      </w:pPr>
    </w:p>
    <w:p w14:paraId="0E710225" w14:textId="017FB864" w:rsidR="00B370D2" w:rsidRDefault="00B370D2" w:rsidP="00B370D2">
      <w:pPr>
        <w:pStyle w:val="ListParagraph"/>
        <w:numPr>
          <w:ilvl w:val="0"/>
          <w:numId w:val="33"/>
        </w:numPr>
        <w:ind w:left="0" w:firstLine="0"/>
        <w:rPr>
          <w:sz w:val="20"/>
          <w:szCs w:val="20"/>
        </w:rPr>
      </w:pPr>
      <w:r>
        <w:rPr>
          <w:sz w:val="20"/>
          <w:szCs w:val="20"/>
        </w:rPr>
        <w:t xml:space="preserve">Sin perjuicio de lo anterior, no cabe duda que las violaciones a los derechos humanos del señor Poblete </w:t>
      </w:r>
      <w:proofErr w:type="gramStart"/>
      <w:r>
        <w:rPr>
          <w:sz w:val="20"/>
          <w:szCs w:val="20"/>
        </w:rPr>
        <w:t>Viches, declaradas</w:t>
      </w:r>
      <w:proofErr w:type="gramEnd"/>
      <w:r>
        <w:rPr>
          <w:sz w:val="20"/>
          <w:szCs w:val="20"/>
        </w:rPr>
        <w:t xml:space="preserve"> en esta sentencia, fueron resultado del deficiente tratamiento médico recibido, lo cual afectó su integridad personal y su vida. La Corte encontró que el Estado negó a la víctima un tratamiento médico de urgencia, no obstante existía un riesgo, por lo que concluyó que el Estado no habría adoptado las medidas necesarias para garantizar su derecho a la vida, en violación al artículo 4.1 de la Convención en relación con el artículo 26 y 1.1 del mismo instrumento (párr. 150). En un sentido similar, la Corte consideró que las distintas omisiones en que incurrió el personal médico del ho</w:t>
      </w:r>
      <w:bookmarkStart w:id="140" w:name="_GoBack"/>
      <w:bookmarkEnd w:id="140"/>
      <w:r>
        <w:rPr>
          <w:sz w:val="20"/>
          <w:szCs w:val="20"/>
        </w:rPr>
        <w:t>spital contribuyeron al deterioro de la salud del señor Poblete,</w:t>
      </w:r>
      <w:r w:rsidR="00BE7922">
        <w:rPr>
          <w:sz w:val="20"/>
          <w:szCs w:val="20"/>
        </w:rPr>
        <w:t xml:space="preserve"> </w:t>
      </w:r>
      <w:r>
        <w:rPr>
          <w:sz w:val="20"/>
          <w:szCs w:val="20"/>
        </w:rPr>
        <w:lastRenderedPageBreak/>
        <w:t xml:space="preserve">afectando así su integridad personal, en violación al artículo 5.1 de la Convención en relación con el artículo 26 y 1.1 del mismo instrumento. </w:t>
      </w:r>
    </w:p>
    <w:p w14:paraId="206C04AF" w14:textId="77777777" w:rsidR="00B370D2" w:rsidRPr="0050400F" w:rsidRDefault="00B370D2" w:rsidP="00B370D2"/>
    <w:p w14:paraId="6AFC6CBD" w14:textId="77777777" w:rsidR="00B370D2" w:rsidRDefault="00B370D2" w:rsidP="00B370D2">
      <w:pPr>
        <w:pStyle w:val="ListParagraph"/>
        <w:numPr>
          <w:ilvl w:val="0"/>
          <w:numId w:val="33"/>
        </w:numPr>
        <w:ind w:left="0" w:firstLine="0"/>
        <w:rPr>
          <w:sz w:val="20"/>
          <w:szCs w:val="20"/>
        </w:rPr>
      </w:pPr>
      <w:r>
        <w:rPr>
          <w:sz w:val="20"/>
          <w:szCs w:val="20"/>
        </w:rPr>
        <w:t>La Corte fue acertada en vincular su análisis de las violaciones a la vida y la integridad personal de la víctima a la luz de diversos aspectos prestacionales del derecho a la salud. En lo que respecta a este punto de análisis, la Corte siguió la tesis –en mi visión acertada- que había sostenido a lo largo de su jurisprudencia de analizar las violaciones en materia de DESCA por conexidad</w:t>
      </w:r>
      <w:r>
        <w:rPr>
          <w:rStyle w:val="FootnoteReference"/>
          <w:sz w:val="20"/>
          <w:szCs w:val="20"/>
        </w:rPr>
        <w:footnoteReference w:id="345"/>
      </w:r>
      <w:r>
        <w:rPr>
          <w:sz w:val="20"/>
          <w:szCs w:val="20"/>
        </w:rPr>
        <w:t xml:space="preserve">. El análisis de este caso comprobó la pertinencia de la aproximación de la Corte a este tipo de situaciones antes del caso </w:t>
      </w:r>
      <w:r>
        <w:rPr>
          <w:i/>
          <w:sz w:val="20"/>
          <w:szCs w:val="20"/>
        </w:rPr>
        <w:t>Lagos del Campo</w:t>
      </w:r>
      <w:r>
        <w:rPr>
          <w:sz w:val="20"/>
          <w:szCs w:val="20"/>
        </w:rPr>
        <w:t xml:space="preserve">. En efecto, como ya he mencionado en otras ocasiones, el análisis de los DESCA por conexidad permite definir las obligaciones en materia de derecho a la salud sin expandir las competencias de la Corte más allá de lo que correspondería a cualquier Tribunal, y lo que una lectura apegada </w:t>
      </w:r>
      <w:r w:rsidRPr="0052514A">
        <w:rPr>
          <w:sz w:val="20"/>
          <w:szCs w:val="20"/>
        </w:rPr>
        <w:t>a</w:t>
      </w:r>
      <w:r>
        <w:rPr>
          <w:sz w:val="20"/>
          <w:szCs w:val="20"/>
        </w:rPr>
        <w:t xml:space="preserve"> derecho </w:t>
      </w:r>
      <w:r w:rsidRPr="00FB29C8">
        <w:rPr>
          <w:sz w:val="20"/>
          <w:szCs w:val="20"/>
        </w:rPr>
        <w:t>en</w:t>
      </w:r>
      <w:r>
        <w:rPr>
          <w:sz w:val="20"/>
          <w:szCs w:val="20"/>
        </w:rPr>
        <w:t xml:space="preserve"> la Convención Americana, el Protocolo de San Salvador y el derecho internacional permiten.</w:t>
      </w:r>
    </w:p>
    <w:p w14:paraId="70E46D38" w14:textId="77777777" w:rsidR="00B370D2" w:rsidRPr="00910284" w:rsidRDefault="00B370D2" w:rsidP="00B370D2"/>
    <w:p w14:paraId="063EE007" w14:textId="77777777" w:rsidR="00B370D2" w:rsidRDefault="00B370D2" w:rsidP="00B370D2">
      <w:pPr>
        <w:pStyle w:val="ListParagraph"/>
        <w:numPr>
          <w:ilvl w:val="0"/>
          <w:numId w:val="33"/>
        </w:numPr>
        <w:ind w:left="0" w:firstLine="0"/>
        <w:rPr>
          <w:sz w:val="20"/>
          <w:szCs w:val="20"/>
        </w:rPr>
      </w:pPr>
      <w:r>
        <w:rPr>
          <w:sz w:val="20"/>
          <w:szCs w:val="20"/>
        </w:rPr>
        <w:t xml:space="preserve">Con esto no quiero decir que el análisis de este caso constituya un acierto en todos sus niveles. La sentencia incluye múltiples referencias expresas a la aproximación que la Corte ha realizado a partir del caso </w:t>
      </w:r>
      <w:r>
        <w:rPr>
          <w:i/>
          <w:sz w:val="20"/>
          <w:szCs w:val="20"/>
        </w:rPr>
        <w:t>Lagos del Campo</w:t>
      </w:r>
      <w:r>
        <w:rPr>
          <w:sz w:val="20"/>
          <w:szCs w:val="20"/>
        </w:rPr>
        <w:t>,</w:t>
      </w:r>
      <w:r>
        <w:rPr>
          <w:i/>
          <w:sz w:val="20"/>
          <w:szCs w:val="20"/>
        </w:rPr>
        <w:t xml:space="preserve"> </w:t>
      </w:r>
      <w:r>
        <w:rPr>
          <w:sz w:val="20"/>
          <w:szCs w:val="20"/>
        </w:rPr>
        <w:t xml:space="preserve">en lo que respecta a la posibilidad de declarar violaciones al artículo 26 de manera autónoma y por una violación “individual” (párr. 100-132), y declaró la responsabilidad internacional del Estado en esos términos (párr. 143). Pero si se lee con detalle la sentencia, es posible percibir que el análisis relacionado con la violación al derecho a la salud está íntimamente ligado a las afectaciones que el señor Poblete Vilches sufrió a su vida y a su integridad personal. De hecho, es bastante difícil, sino imposible, discernir dónde comienza y dónde termina el ilícito internacional respecto de cada uno de los derechos que se declaran violados. En ese sentido, es posible afirmar que las consideraciones relacionadas con las obligaciones del Estado en materia de salud que están contenidas en la sentencia cobran sentido práctico una vez que se reflejan en el análisis de los artículos 4.1 y 5.1 de la Convención. En mi consideración, resulta </w:t>
      </w:r>
      <w:r w:rsidRPr="00FB29C8">
        <w:rPr>
          <w:sz w:val="20"/>
          <w:szCs w:val="20"/>
        </w:rPr>
        <w:t>innecesario</w:t>
      </w:r>
      <w:r>
        <w:rPr>
          <w:sz w:val="20"/>
          <w:szCs w:val="20"/>
        </w:rPr>
        <w:t xml:space="preserve"> el análisis del artículo 26 entendido de manera autónoma, aunque tiene una enorme relevancia cuando se le considera en conexidad con el derecho a la vida y a la integridad personal. En el caso concreto, este análisis conlleva una duplicidad innecesaria en cuanto a la declaratoria de los derechos convencionales violados, lo que queda de manifiesto en la medida que las conductas y omisiones que se le imputan al Estado como vulneradoras de los derechos a la salud, la vida y la integridad personal son, en esencia, las mismas. </w:t>
      </w:r>
    </w:p>
    <w:p w14:paraId="35252890" w14:textId="77777777" w:rsidR="00B370D2" w:rsidRPr="0089740C" w:rsidRDefault="00B370D2" w:rsidP="00B370D2">
      <w:pPr>
        <w:pStyle w:val="ListParagraph"/>
        <w:rPr>
          <w:sz w:val="20"/>
          <w:szCs w:val="20"/>
        </w:rPr>
      </w:pPr>
    </w:p>
    <w:p w14:paraId="6D91E2BE" w14:textId="77777777" w:rsidR="00B370D2" w:rsidRDefault="00B370D2" w:rsidP="00B370D2">
      <w:pPr>
        <w:pStyle w:val="ListParagraph"/>
        <w:numPr>
          <w:ilvl w:val="0"/>
          <w:numId w:val="33"/>
        </w:numPr>
        <w:ind w:left="0" w:firstLine="0"/>
        <w:rPr>
          <w:sz w:val="20"/>
          <w:szCs w:val="20"/>
        </w:rPr>
      </w:pPr>
      <w:r>
        <w:rPr>
          <w:sz w:val="20"/>
          <w:szCs w:val="20"/>
        </w:rPr>
        <w:t xml:space="preserve">Por lo anterior, aclaro que mi voto a favor de la sentencia en el Punto Resolutivo 2 no debe entenderse como una aceptación de la tesis – en mi concepto </w:t>
      </w:r>
      <w:proofErr w:type="gramStart"/>
      <w:r>
        <w:rPr>
          <w:sz w:val="20"/>
          <w:szCs w:val="20"/>
        </w:rPr>
        <w:t>errada</w:t>
      </w:r>
      <w:proofErr w:type="gramEnd"/>
      <w:r>
        <w:rPr>
          <w:sz w:val="20"/>
          <w:szCs w:val="20"/>
        </w:rPr>
        <w:t xml:space="preserve"> - que la Corte ha sostenido recientemente sobre la posibilidad de declarar violaciones autónomas al artículo 26 de la Convención Americana. Por el contrario, se debe entender como un voto a favor de la responsabilidad internacional de Chile por la falta de atención médica del señor Poblete Vilches, lo cual derivó en la violación a sus derechos a la integridad personal y a su vida en relación con el derecho a la salud.</w:t>
      </w:r>
    </w:p>
    <w:p w14:paraId="10B48957" w14:textId="77777777" w:rsidR="00B370D2" w:rsidRDefault="00B370D2" w:rsidP="00B370D2">
      <w:pPr>
        <w:pStyle w:val="ListParagraph"/>
        <w:rPr>
          <w:sz w:val="20"/>
          <w:szCs w:val="20"/>
        </w:rPr>
      </w:pPr>
    </w:p>
    <w:p w14:paraId="79057AE3" w14:textId="77777777" w:rsidR="00B370D2" w:rsidRDefault="00B370D2" w:rsidP="00B370D2">
      <w:pPr>
        <w:pStyle w:val="ListParagraph"/>
        <w:rPr>
          <w:sz w:val="20"/>
          <w:szCs w:val="20"/>
        </w:rPr>
      </w:pPr>
    </w:p>
    <w:p w14:paraId="62483DB7" w14:textId="77777777" w:rsidR="00B370D2" w:rsidRPr="0089740C" w:rsidRDefault="00B370D2" w:rsidP="00B370D2">
      <w:pPr>
        <w:pStyle w:val="ListParagraph"/>
        <w:rPr>
          <w:sz w:val="20"/>
          <w:szCs w:val="20"/>
        </w:rPr>
      </w:pPr>
    </w:p>
    <w:p w14:paraId="08747ADD" w14:textId="77777777" w:rsidR="00B370D2" w:rsidRPr="00C0565D" w:rsidRDefault="00B370D2" w:rsidP="00B370D2">
      <w:pPr>
        <w:rPr>
          <w:b/>
          <w:i/>
        </w:rPr>
      </w:pPr>
      <w:r w:rsidRPr="00FB29C8">
        <w:rPr>
          <w:b/>
          <w:i/>
        </w:rPr>
        <w:t>III. Reflexiones sobre el análisis de la violación al derecho a la salud en el presente caso.</w:t>
      </w:r>
    </w:p>
    <w:p w14:paraId="779A1A8B" w14:textId="77777777" w:rsidR="00B370D2" w:rsidRDefault="00B370D2" w:rsidP="00B370D2">
      <w:pPr>
        <w:pStyle w:val="ListParagraph"/>
        <w:ind w:left="0"/>
        <w:rPr>
          <w:sz w:val="20"/>
          <w:szCs w:val="20"/>
        </w:rPr>
      </w:pPr>
    </w:p>
    <w:p w14:paraId="6DF9316B" w14:textId="77777777" w:rsidR="00B370D2" w:rsidRDefault="00B370D2" w:rsidP="00B370D2">
      <w:pPr>
        <w:pStyle w:val="ListParagraph"/>
        <w:numPr>
          <w:ilvl w:val="0"/>
          <w:numId w:val="33"/>
        </w:numPr>
        <w:ind w:left="0" w:firstLine="0"/>
        <w:rPr>
          <w:sz w:val="20"/>
          <w:szCs w:val="20"/>
        </w:rPr>
      </w:pPr>
      <w:r>
        <w:rPr>
          <w:sz w:val="20"/>
          <w:szCs w:val="20"/>
        </w:rPr>
        <w:t>Por otro lado, este caso también permite elaborar algunas reflexiones adicionales a las ya expuestas en otras ocasiones sobre la problemática aproximación que la Corte ha decidido adoptar en el análisis de la violación autónoma al artículo 26 de la Convención. Estas reflexiones deben ser leídas en relación con los argumentos ya expuestos en mis otros votos disidentes o concurrentes de casos recientes</w:t>
      </w:r>
      <w:r>
        <w:rPr>
          <w:rStyle w:val="FootnoteReference"/>
          <w:sz w:val="20"/>
          <w:szCs w:val="20"/>
        </w:rPr>
        <w:footnoteReference w:id="346"/>
      </w:r>
      <w:r>
        <w:rPr>
          <w:sz w:val="20"/>
          <w:szCs w:val="20"/>
        </w:rPr>
        <w:t>.</w:t>
      </w:r>
    </w:p>
    <w:p w14:paraId="0BE9B782" w14:textId="77777777" w:rsidR="00B370D2" w:rsidRDefault="00B370D2" w:rsidP="00B370D2">
      <w:pPr>
        <w:pStyle w:val="ListParagraph"/>
        <w:ind w:left="0"/>
        <w:rPr>
          <w:sz w:val="20"/>
          <w:szCs w:val="20"/>
        </w:rPr>
      </w:pPr>
    </w:p>
    <w:p w14:paraId="20319D6B" w14:textId="77777777" w:rsidR="00B370D2" w:rsidRDefault="00B370D2" w:rsidP="00B370D2">
      <w:pPr>
        <w:pStyle w:val="ListParagraph"/>
        <w:numPr>
          <w:ilvl w:val="0"/>
          <w:numId w:val="33"/>
        </w:numPr>
        <w:ind w:left="0" w:firstLine="0"/>
        <w:rPr>
          <w:sz w:val="20"/>
          <w:szCs w:val="20"/>
        </w:rPr>
      </w:pPr>
      <w:r>
        <w:rPr>
          <w:sz w:val="20"/>
          <w:szCs w:val="20"/>
        </w:rPr>
        <w:t xml:space="preserve">En primer lugar, y en relación con lo mencionado en el apartado anterior, cabe cuestionar el sentido práctico del actuar de la Corte al declarar la violación al artículo 26 de manera autónoma, cuando la afectación que se acreditó en este caso es a la integridad personal y a la vida del señor Poblete Vilches. El análisis parece sugerir que, cuando se produce una violación a la integridad personal o a la vida de una persona, como resultado de una deficiente atención médica, se produce una violación automática al derecho a la salud en su dimensión “individual” </w:t>
      </w:r>
      <w:r w:rsidRPr="000935F7">
        <w:rPr>
          <w:sz w:val="20"/>
          <w:szCs w:val="20"/>
        </w:rPr>
        <w:t>(</w:t>
      </w:r>
      <w:proofErr w:type="spellStart"/>
      <w:r w:rsidRPr="000935F7">
        <w:rPr>
          <w:sz w:val="20"/>
          <w:szCs w:val="20"/>
        </w:rPr>
        <w:t>párr</w:t>
      </w:r>
      <w:r w:rsidRPr="004C1688">
        <w:rPr>
          <w:sz w:val="20"/>
          <w:szCs w:val="20"/>
        </w:rPr>
        <w:t>s</w:t>
      </w:r>
      <w:proofErr w:type="spellEnd"/>
      <w:r w:rsidRPr="000935F7">
        <w:rPr>
          <w:sz w:val="20"/>
          <w:szCs w:val="20"/>
        </w:rPr>
        <w:t xml:space="preserve">. </w:t>
      </w:r>
      <w:r w:rsidRPr="004C1688">
        <w:rPr>
          <w:sz w:val="20"/>
          <w:szCs w:val="20"/>
        </w:rPr>
        <w:t>150 y 155</w:t>
      </w:r>
      <w:r w:rsidRPr="000935F7">
        <w:rPr>
          <w:sz w:val="20"/>
          <w:szCs w:val="20"/>
        </w:rPr>
        <w:t>);</w:t>
      </w:r>
      <w:r>
        <w:rPr>
          <w:sz w:val="20"/>
          <w:szCs w:val="20"/>
        </w:rPr>
        <w:t xml:space="preserve"> sin embargo, la sentencia no establece con claridad cuál es la afectación específica al derecho a la salud de la víctima en esa dimensión “individual”, sino que se centra en establecer las razones por las que el Estado incumplió con sus deberes y obligaciones en materia de prestación adecuada del servicio a la salud, y de ahí deriva que se afectó su salud </w:t>
      </w:r>
      <w:r w:rsidRPr="006039CC">
        <w:rPr>
          <w:sz w:val="20"/>
          <w:szCs w:val="20"/>
        </w:rPr>
        <w:t>(párr. 138).</w:t>
      </w:r>
      <w:r>
        <w:rPr>
          <w:sz w:val="20"/>
          <w:szCs w:val="20"/>
        </w:rPr>
        <w:t xml:space="preserve"> </w:t>
      </w:r>
      <w:r w:rsidRPr="00140F35">
        <w:rPr>
          <w:sz w:val="20"/>
          <w:szCs w:val="20"/>
        </w:rPr>
        <w:t xml:space="preserve">La Corte, de esta forma, asume una posición </w:t>
      </w:r>
      <w:proofErr w:type="spellStart"/>
      <w:r w:rsidRPr="00140F35">
        <w:rPr>
          <w:sz w:val="20"/>
          <w:szCs w:val="20"/>
        </w:rPr>
        <w:t>consecuencialista</w:t>
      </w:r>
      <w:proofErr w:type="spellEnd"/>
      <w:r w:rsidRPr="00140F35">
        <w:rPr>
          <w:sz w:val="20"/>
          <w:szCs w:val="20"/>
        </w:rPr>
        <w:t xml:space="preserve"> que funde –y confunde- la afectación a la integridad y la vida del señor Poblete Vilch</w:t>
      </w:r>
      <w:r>
        <w:rPr>
          <w:sz w:val="20"/>
          <w:szCs w:val="20"/>
        </w:rPr>
        <w:t>e</w:t>
      </w:r>
      <w:r w:rsidRPr="00140F35">
        <w:rPr>
          <w:sz w:val="20"/>
          <w:szCs w:val="20"/>
        </w:rPr>
        <w:t xml:space="preserve">s, con la violación a su derecho a la salud. Este es el mismo error conceptual en que la Corte incurrió en </w:t>
      </w:r>
      <w:r w:rsidRPr="00140F35">
        <w:rPr>
          <w:i/>
          <w:sz w:val="20"/>
          <w:szCs w:val="20"/>
        </w:rPr>
        <w:t>Lagos del Campo</w:t>
      </w:r>
      <w:r w:rsidRPr="00140F35">
        <w:rPr>
          <w:sz w:val="20"/>
          <w:szCs w:val="20"/>
        </w:rPr>
        <w:t xml:space="preserve">, </w:t>
      </w:r>
      <w:r w:rsidRPr="00140F35">
        <w:rPr>
          <w:i/>
          <w:sz w:val="20"/>
          <w:szCs w:val="20"/>
        </w:rPr>
        <w:t>Trabajadores Cesados de Petroperú y otros</w:t>
      </w:r>
      <w:r w:rsidRPr="00140F35">
        <w:rPr>
          <w:sz w:val="20"/>
          <w:szCs w:val="20"/>
        </w:rPr>
        <w:t xml:space="preserve">, y en </w:t>
      </w:r>
      <w:r w:rsidRPr="00140F35">
        <w:rPr>
          <w:i/>
          <w:sz w:val="20"/>
          <w:szCs w:val="20"/>
        </w:rPr>
        <w:t>San Miguel Sosa y otras.</w:t>
      </w:r>
      <w:r>
        <w:rPr>
          <w:sz w:val="20"/>
          <w:szCs w:val="20"/>
        </w:rPr>
        <w:t xml:space="preserve"> </w:t>
      </w:r>
    </w:p>
    <w:p w14:paraId="2A70C546" w14:textId="77777777" w:rsidR="00B370D2" w:rsidRDefault="00B370D2" w:rsidP="00B370D2">
      <w:pPr>
        <w:pStyle w:val="ListParagraph"/>
        <w:ind w:left="0"/>
        <w:rPr>
          <w:sz w:val="20"/>
          <w:szCs w:val="20"/>
        </w:rPr>
      </w:pPr>
    </w:p>
    <w:p w14:paraId="434CD922" w14:textId="77777777" w:rsidR="00B370D2" w:rsidRDefault="00B370D2" w:rsidP="00B370D2">
      <w:pPr>
        <w:pStyle w:val="ListParagraph"/>
        <w:numPr>
          <w:ilvl w:val="0"/>
          <w:numId w:val="33"/>
        </w:numPr>
        <w:ind w:left="0" w:firstLine="0"/>
        <w:rPr>
          <w:sz w:val="20"/>
          <w:szCs w:val="20"/>
        </w:rPr>
      </w:pPr>
      <w:r>
        <w:rPr>
          <w:sz w:val="20"/>
          <w:szCs w:val="20"/>
        </w:rPr>
        <w:t xml:space="preserve">Esta omisión conceptual, estimo, tiene un efecto directo en la seguridad jurídica de la cual también somos guardianes, pues resulta en la imposibilidad de realizar una adecuada subsunción de un hecho concreto respecto a una norma. De hecho, esta aproximación pareciera que subsume la norma respecto de un hecho. En ese sentido, cabe preguntar: ¿Cuál es, exactamente, el catálogo de DESCA protegidos por la Convención? ¿Dónde comienza y dónde termina dicho catálogo? Esta incertidumbre jurídica no solo afecta a los Estados, sino a las víctimas de violaciones de derechos fundamentales que busquen utilizar el sistema de peticiones individuales. Por ejemplo, cabe preguntarse, ¿respecto de cuál agravio se deberían agotan los recursos de la jurisdicción interna? ¿Uno que se configure en atención de la dimensión “individual”, o uno que se configure en la dimensión “colectiva”, pero que tenga efectos en lo particular? A mi manera de ver las cosas, el abordaje de los casos antes citados no tiene una respuesta a ninguna de las preguntas planteadas. Como Tribunal, estamos obligados a dar una respuesta que permita previsibilidad; de ello depende la confianza pública en la institucionalidad interamericana. </w:t>
      </w:r>
    </w:p>
    <w:p w14:paraId="7632CADC" w14:textId="77777777" w:rsidR="00B370D2" w:rsidRDefault="00B370D2" w:rsidP="00B370D2">
      <w:pPr>
        <w:pStyle w:val="ListParagraph"/>
        <w:ind w:left="0"/>
        <w:rPr>
          <w:sz w:val="20"/>
          <w:szCs w:val="20"/>
        </w:rPr>
      </w:pPr>
    </w:p>
    <w:p w14:paraId="159D4E23" w14:textId="77777777" w:rsidR="00B370D2" w:rsidRPr="007C14B2" w:rsidRDefault="00B370D2" w:rsidP="00B370D2">
      <w:pPr>
        <w:pStyle w:val="ListParagraph"/>
        <w:numPr>
          <w:ilvl w:val="0"/>
          <w:numId w:val="33"/>
        </w:numPr>
        <w:ind w:left="0" w:firstLine="0"/>
        <w:rPr>
          <w:sz w:val="20"/>
          <w:szCs w:val="20"/>
        </w:rPr>
      </w:pPr>
      <w:r>
        <w:rPr>
          <w:sz w:val="20"/>
          <w:szCs w:val="20"/>
        </w:rPr>
        <w:lastRenderedPageBreak/>
        <w:t xml:space="preserve">Estas reflexiones no son motivadas únicamente en el espíritu de generar un vigoroso debate de ideas, sino también por la auténtica preocupación de las consecuencias y el impacto que puedan tener nuestras decisiones. En el actual clima de inseguridad jurídica generado por el caso </w:t>
      </w:r>
      <w:r w:rsidRPr="00436FD5">
        <w:rPr>
          <w:i/>
          <w:sz w:val="20"/>
          <w:szCs w:val="20"/>
        </w:rPr>
        <w:t>Lagos del Campo</w:t>
      </w:r>
      <w:r>
        <w:rPr>
          <w:sz w:val="20"/>
          <w:szCs w:val="20"/>
        </w:rPr>
        <w:t xml:space="preserve">, se abre la posibilidad de una ola de peticiones individuales basadas en presuntas violaciones a DESCA que podrían agravar el problema de congestión procesal de la Comisión, lo cual redundaría precisamente en perjuicio de las personas que se pretendía proteger. Como Tribunal, tenemos la responsabilidad y la obligación de no desconocer esa realidad, ni muchas otras realidades en las que nuestras decisiones serán finalmente aplicadas. </w:t>
      </w:r>
    </w:p>
    <w:p w14:paraId="4ECB6410" w14:textId="77777777" w:rsidR="00B370D2" w:rsidRPr="00033A29" w:rsidRDefault="00B370D2" w:rsidP="00B370D2"/>
    <w:p w14:paraId="6BCAA15C" w14:textId="77777777" w:rsidR="00B370D2" w:rsidRDefault="00B370D2" w:rsidP="00B370D2">
      <w:pPr>
        <w:pStyle w:val="ListParagraph"/>
        <w:numPr>
          <w:ilvl w:val="0"/>
          <w:numId w:val="33"/>
        </w:numPr>
        <w:ind w:left="0" w:firstLine="0"/>
        <w:rPr>
          <w:sz w:val="20"/>
          <w:szCs w:val="20"/>
        </w:rPr>
      </w:pPr>
      <w:r>
        <w:rPr>
          <w:sz w:val="20"/>
          <w:szCs w:val="20"/>
        </w:rPr>
        <w:t xml:space="preserve">Además, este tipo de análisis hace parecer ociosa la declaración de responsabilidad internacional del Estado por violación al derecho a la salud, pues en realidad el bien afectado –y acreditado ante esta Corte– es la integridad personal y la vida del señor Poblete Vilches. Esto refuerza la prudencia de la tesis que sostiene que el derecho a la salud debe ser analizado, en su faceta “individual”, en relación con el derecho a la integridad personal o a la vida, y en su faceta “progresiva”, en relación con la suficiencia de los servicios de salud que el Estado provee. Enfocar el análisis de esta forma le permitiría a la Corte identificar, por un lado, cuándo es posible vincular las acciones del Estado en materia de prestación de servicios de salud, con la violación a la integridad personal o a la vida de una persona. Por otro lado, le permitiría evaluar cuándo la política pública en materia de DESCA en el Estado es </w:t>
      </w:r>
      <w:r>
        <w:rPr>
          <w:i/>
          <w:sz w:val="20"/>
          <w:szCs w:val="20"/>
        </w:rPr>
        <w:t xml:space="preserve">per se </w:t>
      </w:r>
      <w:r>
        <w:rPr>
          <w:sz w:val="20"/>
          <w:szCs w:val="20"/>
        </w:rPr>
        <w:t>violatoria de las obligaciones de progresividad establecidas en el artículo 26 de la Convención. En la primera hipótesis, el análisis se haría sobre la base del artículo 4 y/o 5 en relación con el artículo 26 y 1.1; y, en la segunda hipótesis, se haría directamente sobre la base del artículo 26 en relación con el artículo 1.1 de la Convención.</w:t>
      </w:r>
    </w:p>
    <w:p w14:paraId="579D47AC" w14:textId="77777777" w:rsidR="00B370D2" w:rsidRPr="008E70EC" w:rsidRDefault="00B370D2" w:rsidP="00B370D2"/>
    <w:p w14:paraId="47D37810" w14:textId="77777777" w:rsidR="00B370D2" w:rsidRDefault="00B370D2" w:rsidP="00B370D2">
      <w:pPr>
        <w:pStyle w:val="ListParagraph"/>
        <w:numPr>
          <w:ilvl w:val="0"/>
          <w:numId w:val="33"/>
        </w:numPr>
        <w:ind w:left="0" w:firstLine="0"/>
        <w:rPr>
          <w:sz w:val="20"/>
          <w:szCs w:val="20"/>
        </w:rPr>
      </w:pPr>
      <w:r>
        <w:rPr>
          <w:sz w:val="20"/>
          <w:szCs w:val="20"/>
        </w:rPr>
        <w:t>Una aproximación de esta naturaleza permitiría distinguir aquellos casos donde el Estado es responsable por la violación a un derecho individual como resultado de la deficiente atención médica en un hospital público, y aquellos donde los elementos prestacionales en materia de servicios de salud son en sí mismos violatorios del artículo 26 de la Convención. Por supuesto, entrar en el análisis de aspectos prestacionales requiere un esfuerzo metodológico y conceptual de enorme trascendencia, pero permitiría establecer cierta racionalidad y objetividad a la atribución de responsabilidad del Estado sobre la base del artículo 26. También permitiría establecer un nexo causal entre la declaración de violación al derecho a la salud y las medidas de reparación enfocadas en mejorar la política pública de un Estado. Sucede que, en este caso, la Corte evaluó la prestación de un servicio de salud en un hospital público, y de ahí deriva una violación “individual” al derecho de salud del señor Poblete Vilches sobre la base del artículo 26 de la Convención.</w:t>
      </w:r>
    </w:p>
    <w:p w14:paraId="16B1CAD7" w14:textId="77777777" w:rsidR="00B370D2" w:rsidRDefault="00B370D2" w:rsidP="00B370D2">
      <w:pPr>
        <w:pStyle w:val="ListParagraph"/>
        <w:ind w:left="0"/>
        <w:rPr>
          <w:sz w:val="20"/>
          <w:szCs w:val="20"/>
        </w:rPr>
      </w:pPr>
    </w:p>
    <w:p w14:paraId="3DBF6974" w14:textId="77777777" w:rsidR="00B370D2" w:rsidRPr="00474CD0" w:rsidRDefault="00B370D2" w:rsidP="00B370D2">
      <w:pPr>
        <w:pStyle w:val="ListParagraph"/>
        <w:numPr>
          <w:ilvl w:val="0"/>
          <w:numId w:val="33"/>
        </w:numPr>
        <w:ind w:left="0" w:firstLine="0"/>
        <w:rPr>
          <w:sz w:val="20"/>
          <w:szCs w:val="20"/>
        </w:rPr>
      </w:pPr>
      <w:r w:rsidRPr="00474CD0">
        <w:rPr>
          <w:sz w:val="20"/>
          <w:szCs w:val="20"/>
        </w:rPr>
        <w:t>Pero la metodología seguida por la Corte hace difícil –o imposible, en este caso– identificar el nexo causal entre las acciones y omisiones del Estado y la afectación al derecho a la salud del señor Poblete Vilches. Cierto, la Sentencia consideró una serie de actos que determinaron la violación del derecho a la salud</w:t>
      </w:r>
      <w:r w:rsidRPr="00474CD0">
        <w:rPr>
          <w:rStyle w:val="FootnoteReference"/>
          <w:sz w:val="20"/>
          <w:szCs w:val="20"/>
        </w:rPr>
        <w:footnoteReference w:id="347"/>
      </w:r>
      <w:r w:rsidRPr="00474CD0">
        <w:rPr>
          <w:sz w:val="20"/>
          <w:szCs w:val="20"/>
        </w:rPr>
        <w:t xml:space="preserve">. Sin embargo, no quedó claro cómo esos actos repercutieron en la salud de la víctima, y pareciera que </w:t>
      </w:r>
      <w:r w:rsidRPr="00474CD0">
        <w:rPr>
          <w:sz w:val="20"/>
          <w:szCs w:val="20"/>
        </w:rPr>
        <w:lastRenderedPageBreak/>
        <w:t>como existieron una serie de omisiones en la prestación del servicio, ello implicó una violación automática al derecho a la salud</w:t>
      </w:r>
      <w:r w:rsidRPr="00474CD0">
        <w:rPr>
          <w:sz w:val="20"/>
          <w:szCs w:val="20"/>
          <w:lang w:val="es-CL"/>
        </w:rPr>
        <w:t>. Quizás, para salvar este problema, habría sido necesario determinar con claridad en qué consiste el derecho a la salud en su faceta “individual”, y establecer con claridad cómo las acciones estatales vulneraron ese derecho. Pero incluso en ese supuesto, el Tribunal tendría que actuar como un legislador, pues el derecho a la salud es, tal y como está regulado en el artículo 26 de la Convención, un derecho prestacional, por lo que declarar a un Estado responsable por la violación a ese derecho porque una persona no tuvo acceso a un adecuado servicio médico, implicaría que de un hecho concreto se juzgue un sistema de prestación de servicios de salud.</w:t>
      </w:r>
    </w:p>
    <w:p w14:paraId="733D6EB0" w14:textId="77777777" w:rsidR="00B370D2" w:rsidRPr="00D41D14" w:rsidRDefault="00B370D2" w:rsidP="00B370D2">
      <w:pPr>
        <w:pStyle w:val="ListParagraph"/>
        <w:rPr>
          <w:sz w:val="20"/>
          <w:szCs w:val="20"/>
        </w:rPr>
      </w:pPr>
    </w:p>
    <w:p w14:paraId="16CC5731" w14:textId="77777777" w:rsidR="00B370D2" w:rsidRPr="00D355BE" w:rsidRDefault="00B370D2" w:rsidP="00B370D2">
      <w:pPr>
        <w:pStyle w:val="ListParagraph"/>
        <w:numPr>
          <w:ilvl w:val="0"/>
          <w:numId w:val="33"/>
        </w:numPr>
        <w:ind w:left="0" w:firstLine="0"/>
        <w:rPr>
          <w:sz w:val="20"/>
          <w:szCs w:val="20"/>
        </w:rPr>
      </w:pPr>
      <w:r w:rsidRPr="00D355BE">
        <w:rPr>
          <w:sz w:val="20"/>
          <w:szCs w:val="20"/>
        </w:rPr>
        <w:t>En segundo lugar, reitero mi desacuerdo con los alcances que la Sentencia da al principio de interdependencia e indivisibilidad en relación con su interpretación al artículo 26</w:t>
      </w:r>
      <w:r w:rsidRPr="00D355BE">
        <w:rPr>
          <w:rStyle w:val="CommentReference"/>
          <w:rFonts w:ascii="Calibri" w:eastAsia="Calibri" w:hAnsi="Calibri"/>
          <w:lang w:val="es-ES_tradnl"/>
        </w:rPr>
        <w:t xml:space="preserve">. </w:t>
      </w:r>
      <w:r w:rsidRPr="00D355BE">
        <w:rPr>
          <w:sz w:val="20"/>
          <w:szCs w:val="20"/>
        </w:rPr>
        <w:t xml:space="preserve">En efecto, dicho principio señala que el disfrute de un derecho depende para su existencia de la realización de otros, pero ello no implica que automáticamente se deban incorporar DESCA al contenido de la Convención. De similar manera, en relación al principio de indivisibilidad, es cierto que los derechos están intrínsecamente conectados y no deben ser vistos de manera aislada, pero la indivisibilidad de los derechos tampoco es suficiente para modificar la competencia de un tribunal, como lo proponen quienes pretenden una </w:t>
      </w:r>
      <w:proofErr w:type="spellStart"/>
      <w:r w:rsidRPr="00D355BE">
        <w:rPr>
          <w:sz w:val="20"/>
          <w:szCs w:val="20"/>
        </w:rPr>
        <w:t>justiciabilidad</w:t>
      </w:r>
      <w:proofErr w:type="spellEnd"/>
      <w:r w:rsidRPr="00D355BE">
        <w:rPr>
          <w:sz w:val="20"/>
          <w:szCs w:val="20"/>
        </w:rPr>
        <w:t xml:space="preserve"> directa por medio de la interpretación amplia del artículo 26 de la Convención</w:t>
      </w:r>
      <w:r w:rsidRPr="00D355BE">
        <w:rPr>
          <w:rStyle w:val="FootnoteReference"/>
          <w:sz w:val="20"/>
          <w:szCs w:val="20"/>
        </w:rPr>
        <w:footnoteReference w:id="348"/>
      </w:r>
      <w:r w:rsidRPr="00D355BE">
        <w:rPr>
          <w:sz w:val="20"/>
          <w:szCs w:val="20"/>
        </w:rPr>
        <w:t>. De hecho, los principios de indivisibilidad e interdependencia son congruentes con un análisis de los DESCA desde la perspectiva de la conexidad, pues su aplicación no implica una expansión ilimitada de las competencias de la Corte, pero sí permite un entendimiento más amplio de los derechos protegidos por la Convención.</w:t>
      </w:r>
    </w:p>
    <w:p w14:paraId="3839B304" w14:textId="77777777" w:rsidR="00B370D2" w:rsidRPr="00646DC4" w:rsidRDefault="00B370D2" w:rsidP="00B370D2">
      <w:pPr>
        <w:pStyle w:val="ListParagraph"/>
        <w:tabs>
          <w:tab w:val="left" w:pos="426"/>
          <w:tab w:val="left" w:pos="709"/>
        </w:tabs>
        <w:ind w:left="0"/>
        <w:contextualSpacing/>
        <w:rPr>
          <w:sz w:val="20"/>
          <w:szCs w:val="20"/>
        </w:rPr>
      </w:pPr>
    </w:p>
    <w:p w14:paraId="18956D7B" w14:textId="77777777" w:rsidR="00B370D2" w:rsidRDefault="00B370D2" w:rsidP="00B370D2">
      <w:pPr>
        <w:pStyle w:val="ListParagraph"/>
        <w:numPr>
          <w:ilvl w:val="0"/>
          <w:numId w:val="33"/>
        </w:numPr>
        <w:ind w:left="0" w:firstLine="0"/>
        <w:rPr>
          <w:sz w:val="20"/>
          <w:szCs w:val="20"/>
        </w:rPr>
      </w:pPr>
      <w:r>
        <w:rPr>
          <w:sz w:val="20"/>
          <w:szCs w:val="20"/>
        </w:rPr>
        <w:t xml:space="preserve">Por otro lado, la Sentencia afirma que “resulta claro interpretar que la Convención Americana incorporó en su catálogo de derechos protegidos los denominados derechos económicos, sociales, culturales y ambientales (DESCA), a través de una derivación de las normas reconocidas en la Carta de la Organización de los Estados Americanos (OEA), así como de las normas de interpretación previstas en el artículo 29 de la Convención; particularmente, que impide limitar o excluir el goce de los derechos establecidos en la Declaración Americana e inclusive reconocidos en materia interna” (párr. 103). A partir de esta interpretación, la Sentencia sugiere que los DESCA que pueden ser objeto de análisis a través del sistema de peticiones individuales son aquellos contenidos en la Carta de la OEA, aquellos reconocidos en la Declaración Americana, aquellos reconocidos en “materia interna”, y aquellos que se deriven del </w:t>
      </w:r>
      <w:r>
        <w:rPr>
          <w:i/>
          <w:sz w:val="20"/>
          <w:szCs w:val="20"/>
        </w:rPr>
        <w:t xml:space="preserve">corpus iuris </w:t>
      </w:r>
      <w:r>
        <w:rPr>
          <w:sz w:val="20"/>
          <w:szCs w:val="20"/>
        </w:rPr>
        <w:t>internacional y nacional en la materia.</w:t>
      </w:r>
    </w:p>
    <w:p w14:paraId="3795D709" w14:textId="77777777" w:rsidR="00B370D2" w:rsidRPr="00F70766" w:rsidRDefault="00B370D2" w:rsidP="00B370D2">
      <w:pPr>
        <w:pStyle w:val="ListParagraph"/>
        <w:rPr>
          <w:sz w:val="20"/>
          <w:szCs w:val="20"/>
        </w:rPr>
      </w:pPr>
    </w:p>
    <w:p w14:paraId="0A673576" w14:textId="77777777" w:rsidR="00B370D2" w:rsidRDefault="00B370D2" w:rsidP="00B370D2">
      <w:pPr>
        <w:pStyle w:val="ListParagraph"/>
        <w:numPr>
          <w:ilvl w:val="0"/>
          <w:numId w:val="33"/>
        </w:numPr>
        <w:ind w:left="0" w:firstLine="0"/>
        <w:rPr>
          <w:sz w:val="20"/>
          <w:szCs w:val="20"/>
        </w:rPr>
      </w:pPr>
      <w:r>
        <w:rPr>
          <w:sz w:val="20"/>
          <w:szCs w:val="20"/>
        </w:rPr>
        <w:t>Según esta aproximación, el artículo 26 es una especie de norma de remisión a toda la normativa nacional e internacional que se refiere a los DESCA, lo que potencialmente le reconocería a la Corte, en virtud de una lectura peculiar del artículo 29 de la Convención, la competencia para declarar violaciones a cualquier derecho previsto en cualquier instrumento nacional e internacional que lo contenga, siempre que se le pueda categorizar como un DESCA. Esta interpretación es tan ajena de las reglas de la Convención de Viena sobre el Derecho de los Tratados y de la Convención Americana</w:t>
      </w:r>
      <w:r>
        <w:rPr>
          <w:rStyle w:val="FootnoteReference"/>
          <w:sz w:val="20"/>
          <w:szCs w:val="20"/>
        </w:rPr>
        <w:footnoteReference w:id="349"/>
      </w:r>
      <w:r>
        <w:rPr>
          <w:sz w:val="20"/>
          <w:szCs w:val="20"/>
        </w:rPr>
        <w:t xml:space="preserve">, y tan distante del sistema de fuentes de derecho previsto por el derecho </w:t>
      </w:r>
      <w:r>
        <w:rPr>
          <w:sz w:val="20"/>
          <w:szCs w:val="20"/>
        </w:rPr>
        <w:lastRenderedPageBreak/>
        <w:t>internacional</w:t>
      </w:r>
      <w:r>
        <w:rPr>
          <w:rStyle w:val="FootnoteReference"/>
          <w:sz w:val="20"/>
          <w:szCs w:val="20"/>
        </w:rPr>
        <w:footnoteReference w:id="350"/>
      </w:r>
      <w:r>
        <w:rPr>
          <w:sz w:val="20"/>
          <w:szCs w:val="20"/>
        </w:rPr>
        <w:t>, que resulta un acto de creación normativa y de expansión de competencias como quizás nunca antes habría visto la comunidad internacional. Siguiendo esta lógica maximalista, sobre la base del artículo 29 de la Convención, la Corte tendría competencia para declarar la responsabilidad internacional del Estado cuando califique que ha violentado un DESCA reconocido en alguna norma de derecho nacional o internacional, sin mayores consideraciones de orden formal. En ese sentido, cabe recordarle a la mayoría que la Corte Interamericana es un tribunal internacional, no un tribunal constitucional, y que la Convención Americana es un tratado internacional, y no una constitución nacional.</w:t>
      </w:r>
    </w:p>
    <w:p w14:paraId="347AA465" w14:textId="77777777" w:rsidR="00B370D2" w:rsidRPr="00D261B1" w:rsidRDefault="00B370D2" w:rsidP="00B370D2"/>
    <w:p w14:paraId="600176D4" w14:textId="77777777" w:rsidR="00B370D2" w:rsidRDefault="00B370D2" w:rsidP="00B370D2">
      <w:pPr>
        <w:pStyle w:val="ListParagraph"/>
        <w:numPr>
          <w:ilvl w:val="0"/>
          <w:numId w:val="33"/>
        </w:numPr>
        <w:ind w:left="0" w:firstLine="0"/>
        <w:rPr>
          <w:sz w:val="20"/>
          <w:szCs w:val="20"/>
        </w:rPr>
      </w:pPr>
      <w:r>
        <w:rPr>
          <w:sz w:val="20"/>
          <w:szCs w:val="20"/>
        </w:rPr>
        <w:t>Respecto a lo anterior, aunque puedan parecer obvias, es fundamental recordar el significado de algunas normas básicas del derecho internacional. La primera norma es el artículo 26 de la Convención de Viena, el cual prevé la obligación de los Estados de cumplir de buena fe con las normas pactadas por ellos. Esto significa que las obligaciones internacionales dependen, en primer término, de su aceptación por parte de los Estados signatarios de un tratado, por lo que una norma que no ha sido aceptada por un Estado como fuente de una obligación internacional (como lo es una norma contenida en el derecho nacional de otro Estado, o una norma contenida en un tratado sobre el que la Corte no tiene competencia), no puede ser exigida en el plano internacional mediante el sistema de peticiones individuales del Sistema Interamericano. Es cierto que los tribunales internacionales tienen un papel en el desarrollo del derecho, pero este papel debe estar limitado de forma que la Corte no se transforme en un legislador irrestricto, como la posición asumida por la mayoría requiere en materia de DESCA.</w:t>
      </w:r>
    </w:p>
    <w:p w14:paraId="33388F70" w14:textId="77777777" w:rsidR="00B370D2" w:rsidRPr="009651F9" w:rsidRDefault="00B370D2" w:rsidP="00B370D2">
      <w:pPr>
        <w:pStyle w:val="ListParagraph"/>
        <w:rPr>
          <w:sz w:val="20"/>
          <w:szCs w:val="20"/>
        </w:rPr>
      </w:pPr>
    </w:p>
    <w:p w14:paraId="1BE38F29" w14:textId="77777777" w:rsidR="00B370D2" w:rsidRDefault="00B370D2" w:rsidP="00B370D2">
      <w:pPr>
        <w:pStyle w:val="ListParagraph"/>
        <w:numPr>
          <w:ilvl w:val="0"/>
          <w:numId w:val="33"/>
        </w:numPr>
        <w:ind w:left="0" w:firstLine="0"/>
        <w:rPr>
          <w:sz w:val="20"/>
          <w:szCs w:val="20"/>
        </w:rPr>
      </w:pPr>
      <w:r>
        <w:rPr>
          <w:sz w:val="20"/>
          <w:szCs w:val="20"/>
        </w:rPr>
        <w:t>La segunda norma es el artículo 29 de la Convención Americana, el cual prevé –</w:t>
      </w:r>
      <w:r>
        <w:rPr>
          <w:i/>
          <w:sz w:val="20"/>
          <w:szCs w:val="20"/>
        </w:rPr>
        <w:t xml:space="preserve">inter </w:t>
      </w:r>
      <w:proofErr w:type="spellStart"/>
      <w:r w:rsidRPr="00DC1327">
        <w:rPr>
          <w:i/>
          <w:sz w:val="20"/>
          <w:szCs w:val="20"/>
        </w:rPr>
        <w:t>alia</w:t>
      </w:r>
      <w:proofErr w:type="spellEnd"/>
      <w:r>
        <w:rPr>
          <w:sz w:val="20"/>
          <w:szCs w:val="20"/>
        </w:rPr>
        <w:t>– que ninguna disposición de la Convención puede ser interpretada en el sentido de:</w:t>
      </w:r>
    </w:p>
    <w:p w14:paraId="03F7D8B6" w14:textId="77777777" w:rsidR="00B370D2" w:rsidRPr="00DC1327" w:rsidRDefault="00B370D2" w:rsidP="00B370D2">
      <w:pPr>
        <w:pStyle w:val="ListParagraph"/>
        <w:rPr>
          <w:sz w:val="20"/>
          <w:szCs w:val="20"/>
        </w:rPr>
      </w:pPr>
    </w:p>
    <w:p w14:paraId="5641762A" w14:textId="77777777" w:rsidR="00B370D2" w:rsidRPr="00DC1327" w:rsidRDefault="00B370D2" w:rsidP="00B370D2">
      <w:pPr>
        <w:pStyle w:val="ListParagraph"/>
        <w:ind w:right="900"/>
        <w:rPr>
          <w:rFonts w:cs="Tahoma"/>
          <w:sz w:val="20"/>
          <w:szCs w:val="20"/>
        </w:rPr>
      </w:pPr>
      <w:r w:rsidRPr="00DC1327">
        <w:rPr>
          <w:rFonts w:cs="Tahoma"/>
          <w:sz w:val="20"/>
          <w:szCs w:val="20"/>
        </w:rPr>
        <w:t>b) limitar el goce y ejercicio de cualquier derecho o libertad que pueda estar reconocido de acuerdo con las leyes de cualquiera de los Estados Partes o de acuerdo con otra convención en que sea parte uno de dichos Estados;</w:t>
      </w:r>
    </w:p>
    <w:p w14:paraId="285EFE01" w14:textId="77777777" w:rsidR="00B370D2" w:rsidRPr="00DC1327" w:rsidRDefault="00B370D2" w:rsidP="00B370D2">
      <w:pPr>
        <w:pStyle w:val="ListParagraph"/>
        <w:ind w:right="900"/>
        <w:rPr>
          <w:sz w:val="20"/>
          <w:szCs w:val="20"/>
        </w:rPr>
      </w:pPr>
      <w:r w:rsidRPr="00DC1327">
        <w:rPr>
          <w:rFonts w:cs="Tahoma"/>
          <w:sz w:val="20"/>
          <w:szCs w:val="20"/>
        </w:rPr>
        <w:t>d) excluir o limitar el efecto que puedan producir la Declaración Americana de Derechos y Deberes del Hombre y otros actos internacionales de la misma naturaleza.</w:t>
      </w:r>
    </w:p>
    <w:p w14:paraId="5F43308C" w14:textId="77777777" w:rsidR="00B370D2" w:rsidRDefault="00B370D2" w:rsidP="00B370D2"/>
    <w:p w14:paraId="2FAA4FF0" w14:textId="77777777" w:rsidR="00B370D2" w:rsidRDefault="00B370D2" w:rsidP="00B370D2">
      <w:pPr>
        <w:pStyle w:val="ListParagraph"/>
        <w:numPr>
          <w:ilvl w:val="0"/>
          <w:numId w:val="33"/>
        </w:numPr>
        <w:ind w:left="0" w:firstLine="0"/>
      </w:pPr>
      <w:r>
        <w:rPr>
          <w:sz w:val="20"/>
          <w:szCs w:val="20"/>
        </w:rPr>
        <w:lastRenderedPageBreak/>
        <w:t>El artículo 29 de la Convención juega el importante papel de evitar que, de una interpretación de la Convención Americana, los Estados puedan limitar el goce o ejercicio de un derecho contenido en el derecho nacional o en el derecho internacional. Para la Corte Interamericana, esta norma ha servido para interpretar las cláusulas de la Convención a la luz de otros instrumentos nacionales e internacionales en materia de derechos humanos y de esta forma darles mayor contenido</w:t>
      </w:r>
      <w:r>
        <w:rPr>
          <w:rStyle w:val="FootnoteReference"/>
          <w:sz w:val="20"/>
          <w:szCs w:val="20"/>
        </w:rPr>
        <w:footnoteReference w:id="351"/>
      </w:r>
      <w:r>
        <w:rPr>
          <w:sz w:val="20"/>
          <w:szCs w:val="20"/>
        </w:rPr>
        <w:t xml:space="preserve">. Pero una cosa es utilizar el artículo 29 de la Convención para evitar que los Estados limiten derechos reconocidos en el ámbito nacional o en otros instrumentos internacionales al invocar la Convención, y que la Corte lo utilice como medio interpretativo para actualizar el contenido normativo de las cláusulas de la Convención, y otra muy distinta es utilizar el artículo 29 de la Convención como una especie de norma de remisión a otras normas de derecho nacional e internacional para así “afirmar” la competencia de la Corte para declarar violaciones de derechos previstos en instrumentos nacionales e internacionales sobre los que la Corte claramente carece de competencia. A todas luces, esa lectura es un abuso del principio </w:t>
      </w:r>
      <w:proofErr w:type="spellStart"/>
      <w:r w:rsidRPr="00CC1A0C">
        <w:rPr>
          <w:i/>
          <w:sz w:val="20"/>
          <w:szCs w:val="20"/>
        </w:rPr>
        <w:t>pro</w:t>
      </w:r>
      <w:proofErr w:type="spellEnd"/>
      <w:r w:rsidRPr="00CC1A0C">
        <w:rPr>
          <w:i/>
          <w:sz w:val="20"/>
          <w:szCs w:val="20"/>
        </w:rPr>
        <w:t xml:space="preserve"> persona</w:t>
      </w:r>
      <w:r>
        <w:rPr>
          <w:sz w:val="20"/>
          <w:szCs w:val="20"/>
        </w:rPr>
        <w:t xml:space="preserve"> y una violación al principio de seguridad jurídica que no le permitiría a los Estados prever el tipo de conducta que deben realizar en cumplimiento de sus obligaciones internacionales.</w:t>
      </w:r>
    </w:p>
    <w:p w14:paraId="33C9854D" w14:textId="77777777" w:rsidR="00B370D2" w:rsidRDefault="00B370D2" w:rsidP="00B370D2">
      <w:pPr>
        <w:pStyle w:val="ListParagraph"/>
        <w:ind w:left="0"/>
      </w:pPr>
    </w:p>
    <w:p w14:paraId="550BB004" w14:textId="77777777" w:rsidR="00B370D2" w:rsidRPr="007B7C21" w:rsidRDefault="00B370D2" w:rsidP="00B370D2">
      <w:pPr>
        <w:pStyle w:val="ListParagraph"/>
        <w:numPr>
          <w:ilvl w:val="0"/>
          <w:numId w:val="33"/>
        </w:numPr>
        <w:ind w:left="0" w:firstLine="0"/>
      </w:pPr>
      <w:r>
        <w:rPr>
          <w:sz w:val="20"/>
          <w:szCs w:val="20"/>
        </w:rPr>
        <w:t>Como complemento de lo anterior, es importante señalar que las normas de derechos humanos previstas en instrumentos como la Declaración Americana de Derechos Humanos, u otros actos de la misma naturaleza, sí tienen un valor normativo que es relevante para la identificación del contenido de las obligaciones internacionales previstas por la Convención</w:t>
      </w:r>
      <w:r>
        <w:rPr>
          <w:rStyle w:val="FootnoteReference"/>
          <w:sz w:val="20"/>
          <w:szCs w:val="20"/>
        </w:rPr>
        <w:footnoteReference w:id="352"/>
      </w:r>
      <w:r>
        <w:rPr>
          <w:sz w:val="20"/>
          <w:szCs w:val="20"/>
        </w:rPr>
        <w:t xml:space="preserve">. Pero esto no significa que estos instrumentos gocen de la misma obligatoriedad que un tratado internacional, y más bien hay que reconocerlos como normas de </w:t>
      </w:r>
      <w:proofErr w:type="spellStart"/>
      <w:r>
        <w:rPr>
          <w:i/>
          <w:sz w:val="20"/>
          <w:szCs w:val="20"/>
        </w:rPr>
        <w:t>soft</w:t>
      </w:r>
      <w:proofErr w:type="spellEnd"/>
      <w:r>
        <w:rPr>
          <w:i/>
          <w:sz w:val="20"/>
          <w:szCs w:val="20"/>
        </w:rPr>
        <w:t xml:space="preserve"> </w:t>
      </w:r>
      <w:proofErr w:type="spellStart"/>
      <w:r>
        <w:rPr>
          <w:i/>
          <w:sz w:val="20"/>
          <w:szCs w:val="20"/>
        </w:rPr>
        <w:t>law</w:t>
      </w:r>
      <w:proofErr w:type="spellEnd"/>
      <w:r>
        <w:rPr>
          <w:sz w:val="20"/>
          <w:szCs w:val="20"/>
        </w:rPr>
        <w:t>. Esto implica que su obligatoriedad dentro del sistema de fuentes de derecho internacional está “relativizado”, y que no constituye una fuente de derechos y obligaciones autónoma que puede dar lugar a la responsabilidad internacional del Estado por su incumplimiento. Esto es importante pues la Corte debe ser especialmente cuidadosa de no confundir las obligaciones que emanan para los Estados en virtud de cláusulas convencionales, que reconocen derechos y obligaciones de exigibilidad inmediata, y sobre las que la Corte tiene competencia, de aquellas normas o principios que sirven para la interpretación de dichas cláusulas convencionales.</w:t>
      </w:r>
    </w:p>
    <w:p w14:paraId="3C6C6983" w14:textId="77777777" w:rsidR="00B370D2" w:rsidRPr="007B7C21" w:rsidRDefault="00B370D2" w:rsidP="00B370D2">
      <w:pPr>
        <w:pStyle w:val="ListParagraph"/>
        <w:ind w:left="0"/>
      </w:pPr>
    </w:p>
    <w:p w14:paraId="26189B30" w14:textId="77777777" w:rsidR="00B370D2" w:rsidRDefault="00B370D2" w:rsidP="00B370D2">
      <w:pPr>
        <w:pStyle w:val="ListParagraph"/>
        <w:numPr>
          <w:ilvl w:val="0"/>
          <w:numId w:val="33"/>
        </w:numPr>
        <w:ind w:left="0" w:firstLine="0"/>
        <w:rPr>
          <w:sz w:val="20"/>
          <w:szCs w:val="20"/>
        </w:rPr>
      </w:pPr>
      <w:r w:rsidRPr="00861EE1">
        <w:rPr>
          <w:sz w:val="20"/>
          <w:szCs w:val="20"/>
        </w:rPr>
        <w:t xml:space="preserve">Como lo he expresado en otras ocasiones, es importante recordar que la utilización de normas externas a la Convención para su interpretación debe operar sobre una serie de presupuestos sobre el valor normativo que tienen tanto las normas y principios que son interpretados (por ejemplo, la Convención), como aquellas que se </w:t>
      </w:r>
      <w:r w:rsidRPr="00861EE1">
        <w:rPr>
          <w:sz w:val="20"/>
          <w:szCs w:val="20"/>
        </w:rPr>
        <w:lastRenderedPageBreak/>
        <w:t>utilizan como parámetros de interpretación (por ejemplo, la Declaración Americana</w:t>
      </w:r>
      <w:r>
        <w:rPr>
          <w:rStyle w:val="FootnoteReference"/>
          <w:sz w:val="20"/>
          <w:szCs w:val="20"/>
        </w:rPr>
        <w:footnoteReference w:id="353"/>
      </w:r>
      <w:r>
        <w:rPr>
          <w:sz w:val="20"/>
          <w:szCs w:val="20"/>
        </w:rPr>
        <w:t>)</w:t>
      </w:r>
      <w:r w:rsidRPr="00861EE1">
        <w:rPr>
          <w:sz w:val="20"/>
          <w:szCs w:val="20"/>
        </w:rPr>
        <w:t xml:space="preserve">. Es decir, la interpretación que hace la Corte no es –ni debe ser– absolutamente libre, sino que se debe realizar en el marco de lo previsto por reglas secundarias de derecho internacional que determinan </w:t>
      </w:r>
      <w:r>
        <w:rPr>
          <w:sz w:val="20"/>
          <w:szCs w:val="20"/>
        </w:rPr>
        <w:t>la obligatoriedad</w:t>
      </w:r>
      <w:r w:rsidRPr="00861EE1">
        <w:rPr>
          <w:sz w:val="20"/>
          <w:szCs w:val="20"/>
        </w:rPr>
        <w:t xml:space="preserve"> de las fuentes del derecho y la manera en que estas deben ser interpretadas (como lo es el artículo 38 del Estatuto de la </w:t>
      </w:r>
      <w:r>
        <w:rPr>
          <w:sz w:val="20"/>
          <w:szCs w:val="20"/>
        </w:rPr>
        <w:t>Corte Internacional de Justicia</w:t>
      </w:r>
      <w:r w:rsidRPr="00861EE1">
        <w:rPr>
          <w:sz w:val="20"/>
          <w:szCs w:val="20"/>
        </w:rPr>
        <w:t xml:space="preserve"> o la propia </w:t>
      </w:r>
      <w:r>
        <w:rPr>
          <w:sz w:val="20"/>
          <w:szCs w:val="20"/>
        </w:rPr>
        <w:t>Convención de Viena sobre el Derecho de los Tratados</w:t>
      </w:r>
      <w:r w:rsidRPr="00861EE1">
        <w:rPr>
          <w:sz w:val="20"/>
          <w:szCs w:val="20"/>
        </w:rPr>
        <w:t>). La Corte Interamericana es un tribunal internacional y, por tanto, es razonable asumir que se comporte como tal.</w:t>
      </w:r>
      <w:r>
        <w:rPr>
          <w:sz w:val="20"/>
          <w:szCs w:val="20"/>
        </w:rPr>
        <w:t xml:space="preserve"> Esta labor será especialmente relevante en la medida en que la Corte comience a “desarrollar” el contenido de los DESCA a la luz de la interpretación que ha seguido desde el caso </w:t>
      </w:r>
      <w:r>
        <w:rPr>
          <w:i/>
          <w:sz w:val="20"/>
          <w:szCs w:val="20"/>
        </w:rPr>
        <w:t>Lagos del Campo</w:t>
      </w:r>
      <w:r>
        <w:rPr>
          <w:sz w:val="20"/>
          <w:szCs w:val="20"/>
        </w:rPr>
        <w:t xml:space="preserve"> y con la que he manifestado mi desacuerdo.</w:t>
      </w:r>
    </w:p>
    <w:p w14:paraId="190636B0" w14:textId="77777777" w:rsidR="00B370D2" w:rsidRPr="001C66C8" w:rsidRDefault="00B370D2" w:rsidP="00B370D2"/>
    <w:p w14:paraId="1E6CC4E6" w14:textId="77777777" w:rsidR="00B370D2" w:rsidRDefault="00B370D2" w:rsidP="00B370D2"/>
    <w:p w14:paraId="4DCA5F8E" w14:textId="77777777" w:rsidR="00B370D2" w:rsidRDefault="00B370D2" w:rsidP="00B370D2">
      <w:pPr>
        <w:pStyle w:val="ListParagraph"/>
        <w:jc w:val="center"/>
        <w:rPr>
          <w:sz w:val="20"/>
          <w:szCs w:val="20"/>
          <w:lang w:val="es-ES"/>
        </w:rPr>
      </w:pPr>
    </w:p>
    <w:p w14:paraId="67C0A6AC" w14:textId="77777777" w:rsidR="00B370D2" w:rsidRDefault="00B370D2" w:rsidP="00B370D2">
      <w:pPr>
        <w:pStyle w:val="ListParagraph"/>
        <w:jc w:val="center"/>
        <w:rPr>
          <w:sz w:val="20"/>
          <w:szCs w:val="20"/>
          <w:lang w:val="es-ES"/>
        </w:rPr>
      </w:pPr>
    </w:p>
    <w:p w14:paraId="64C6F763" w14:textId="77777777" w:rsidR="00B370D2" w:rsidRDefault="00B370D2" w:rsidP="00B370D2">
      <w:pPr>
        <w:pStyle w:val="ListParagraph"/>
        <w:jc w:val="center"/>
        <w:rPr>
          <w:sz w:val="20"/>
          <w:szCs w:val="20"/>
          <w:lang w:val="es-ES"/>
        </w:rPr>
      </w:pPr>
    </w:p>
    <w:p w14:paraId="400D882D" w14:textId="77777777" w:rsidR="00B370D2" w:rsidRDefault="00B370D2" w:rsidP="00B370D2">
      <w:pPr>
        <w:pStyle w:val="ListParagraph"/>
        <w:jc w:val="center"/>
        <w:rPr>
          <w:sz w:val="20"/>
          <w:szCs w:val="20"/>
          <w:lang w:val="es-ES"/>
        </w:rPr>
      </w:pPr>
    </w:p>
    <w:p w14:paraId="622DFFCF" w14:textId="77777777" w:rsidR="00B370D2" w:rsidRPr="00B370D2" w:rsidRDefault="00B370D2" w:rsidP="00B370D2">
      <w:pPr>
        <w:pStyle w:val="ListParagraph"/>
        <w:jc w:val="center"/>
        <w:rPr>
          <w:sz w:val="16"/>
          <w:szCs w:val="20"/>
          <w:lang w:val="es-ES"/>
        </w:rPr>
      </w:pPr>
    </w:p>
    <w:p w14:paraId="19BBA3C2" w14:textId="77777777" w:rsidR="00B370D2" w:rsidRPr="00B370D2" w:rsidRDefault="00B370D2" w:rsidP="00B370D2">
      <w:pPr>
        <w:ind w:left="4248"/>
        <w:jc w:val="center"/>
        <w:rPr>
          <w:sz w:val="20"/>
        </w:rPr>
      </w:pPr>
      <w:r w:rsidRPr="00B370D2">
        <w:rPr>
          <w:sz w:val="20"/>
          <w:lang w:val="pt-BR"/>
        </w:rPr>
        <w:t>Humberto Antonio Sierra Porto</w:t>
      </w:r>
    </w:p>
    <w:p w14:paraId="4E86111C" w14:textId="77777777" w:rsidR="00B370D2" w:rsidRPr="00B370D2" w:rsidRDefault="00B370D2" w:rsidP="00B370D2">
      <w:pPr>
        <w:ind w:left="4248"/>
        <w:jc w:val="center"/>
        <w:rPr>
          <w:sz w:val="20"/>
        </w:rPr>
      </w:pPr>
      <w:r w:rsidRPr="00B370D2">
        <w:rPr>
          <w:sz w:val="20"/>
        </w:rPr>
        <w:t>Juez</w:t>
      </w:r>
    </w:p>
    <w:p w14:paraId="084B2B87" w14:textId="77777777" w:rsidR="00B370D2" w:rsidRPr="00DB0D75" w:rsidRDefault="00B370D2" w:rsidP="00B370D2">
      <w:pPr>
        <w:tabs>
          <w:tab w:val="left" w:pos="1440"/>
        </w:tabs>
        <w:jc w:val="center"/>
        <w:rPr>
          <w:highlight w:val="yellow"/>
        </w:rPr>
      </w:pPr>
    </w:p>
    <w:p w14:paraId="46D1910A" w14:textId="77777777" w:rsidR="00B370D2" w:rsidRPr="00DB0D75" w:rsidRDefault="00B370D2" w:rsidP="00B370D2">
      <w:pPr>
        <w:tabs>
          <w:tab w:val="left" w:pos="1440"/>
        </w:tabs>
        <w:rPr>
          <w:highlight w:val="yellow"/>
        </w:rPr>
      </w:pPr>
    </w:p>
    <w:p w14:paraId="70B612E8" w14:textId="77777777" w:rsidR="00B370D2" w:rsidRPr="00DB0D75" w:rsidRDefault="00B370D2" w:rsidP="00B370D2">
      <w:pPr>
        <w:tabs>
          <w:tab w:val="left" w:pos="1440"/>
        </w:tabs>
        <w:rPr>
          <w:highlight w:val="yellow"/>
        </w:rPr>
      </w:pPr>
    </w:p>
    <w:p w14:paraId="14004C2A" w14:textId="77777777" w:rsidR="00B370D2" w:rsidRPr="00DB0D75" w:rsidRDefault="00B370D2" w:rsidP="00B370D2">
      <w:pPr>
        <w:tabs>
          <w:tab w:val="left" w:pos="1440"/>
        </w:tabs>
        <w:rPr>
          <w:highlight w:val="yellow"/>
        </w:rPr>
      </w:pPr>
    </w:p>
    <w:p w14:paraId="6A76A0BA" w14:textId="77777777" w:rsidR="00B370D2" w:rsidRPr="00DB0D75" w:rsidRDefault="00B370D2" w:rsidP="00B370D2">
      <w:pPr>
        <w:tabs>
          <w:tab w:val="left" w:pos="1440"/>
        </w:tabs>
        <w:rPr>
          <w:highlight w:val="yellow"/>
        </w:rPr>
      </w:pPr>
    </w:p>
    <w:p w14:paraId="6400E59F" w14:textId="77777777" w:rsidR="00B370D2" w:rsidRPr="00DB0D75" w:rsidRDefault="00B370D2" w:rsidP="00B370D2">
      <w:pPr>
        <w:tabs>
          <w:tab w:val="left" w:pos="1440"/>
        </w:tabs>
        <w:rPr>
          <w:highlight w:val="yellow"/>
        </w:rPr>
      </w:pPr>
    </w:p>
    <w:p w14:paraId="1175EDBD" w14:textId="77777777" w:rsidR="00B370D2" w:rsidRPr="00DB0D75" w:rsidRDefault="00B370D2" w:rsidP="00B370D2">
      <w:pPr>
        <w:tabs>
          <w:tab w:val="left" w:pos="1440"/>
        </w:tabs>
        <w:rPr>
          <w:highlight w:val="yellow"/>
        </w:rPr>
      </w:pPr>
    </w:p>
    <w:p w14:paraId="742E317E" w14:textId="77777777" w:rsidR="00B370D2" w:rsidRPr="00DB0D75" w:rsidRDefault="00B370D2" w:rsidP="00B370D2">
      <w:pPr>
        <w:tabs>
          <w:tab w:val="left" w:pos="1440"/>
        </w:tabs>
        <w:rPr>
          <w:highlight w:val="yellow"/>
        </w:rPr>
      </w:pPr>
    </w:p>
    <w:p w14:paraId="2B2D93B4" w14:textId="77777777" w:rsidR="00B370D2" w:rsidRPr="00B370D2" w:rsidRDefault="00B370D2" w:rsidP="00B370D2">
      <w:pPr>
        <w:tabs>
          <w:tab w:val="left" w:pos="1440"/>
        </w:tabs>
        <w:rPr>
          <w:sz w:val="20"/>
          <w:szCs w:val="20"/>
        </w:rPr>
      </w:pPr>
      <w:r w:rsidRPr="00B370D2">
        <w:rPr>
          <w:sz w:val="20"/>
          <w:szCs w:val="20"/>
        </w:rPr>
        <w:t xml:space="preserve">        Emilia Segares Rodríguez</w:t>
      </w:r>
    </w:p>
    <w:p w14:paraId="0E882DA5" w14:textId="77777777" w:rsidR="00B370D2" w:rsidRPr="00B370D2" w:rsidRDefault="00B370D2" w:rsidP="00B370D2">
      <w:pPr>
        <w:tabs>
          <w:tab w:val="left" w:pos="1440"/>
        </w:tabs>
        <w:rPr>
          <w:sz w:val="20"/>
          <w:szCs w:val="20"/>
        </w:rPr>
      </w:pPr>
      <w:r w:rsidRPr="00B370D2">
        <w:rPr>
          <w:sz w:val="20"/>
          <w:szCs w:val="20"/>
        </w:rPr>
        <w:t xml:space="preserve">             Secretaria Adjunta</w:t>
      </w:r>
    </w:p>
    <w:p w14:paraId="479B5B02" w14:textId="77777777" w:rsidR="003C025E" w:rsidRPr="00840E52" w:rsidRDefault="003C025E" w:rsidP="00840E52">
      <w:pPr>
        <w:rPr>
          <w:sz w:val="20"/>
          <w:szCs w:val="20"/>
          <w:lang w:val="es-MX"/>
        </w:rPr>
      </w:pPr>
    </w:p>
    <w:sectPr w:rsidR="003C025E" w:rsidRPr="00840E52" w:rsidSect="00B370D2">
      <w:headerReference w:type="default" r:id="rId15"/>
      <w:footerReference w:type="default" r:id="rId16"/>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719BF" w14:textId="77777777" w:rsidR="003C025E" w:rsidRDefault="003C025E" w:rsidP="00085BDD">
      <w:r>
        <w:separator/>
      </w:r>
    </w:p>
  </w:endnote>
  <w:endnote w:type="continuationSeparator" w:id="0">
    <w:p w14:paraId="0E7A612B" w14:textId="77777777" w:rsidR="003C025E" w:rsidRDefault="003C025E" w:rsidP="00085BDD">
      <w:r>
        <w:continuationSeparator/>
      </w:r>
    </w:p>
  </w:endnote>
  <w:endnote w:type="continuationNotice" w:id="1">
    <w:p w14:paraId="600AECAF" w14:textId="77777777" w:rsidR="003C025E" w:rsidRDefault="003C0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4D"/>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D926" w14:textId="77777777" w:rsidR="003C025E" w:rsidRDefault="003C025E" w:rsidP="00B82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953E9" w14:textId="77777777" w:rsidR="003C025E" w:rsidRDefault="003C025E" w:rsidP="00B824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73CB" w14:textId="77777777" w:rsidR="00DD607A" w:rsidRDefault="00BE7922">
    <w:pPr>
      <w:pStyle w:val="Footer"/>
      <w:jc w:val="right"/>
    </w:pPr>
  </w:p>
  <w:p w14:paraId="34C320F7" w14:textId="77777777" w:rsidR="00DD607A" w:rsidRDefault="00BE7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CC3FB" w14:textId="77777777" w:rsidR="003C025E" w:rsidRDefault="003C025E" w:rsidP="00085BDD">
      <w:r>
        <w:separator/>
      </w:r>
    </w:p>
  </w:footnote>
  <w:footnote w:type="continuationSeparator" w:id="0">
    <w:p w14:paraId="529A2DDE" w14:textId="77777777" w:rsidR="003C025E" w:rsidRDefault="003C025E" w:rsidP="00085BDD">
      <w:r>
        <w:continuationSeparator/>
      </w:r>
    </w:p>
  </w:footnote>
  <w:footnote w:type="continuationNotice" w:id="1">
    <w:p w14:paraId="15895D5A" w14:textId="77777777" w:rsidR="003C025E" w:rsidRDefault="003C025E"/>
  </w:footnote>
  <w:footnote w:id="2">
    <w:p w14:paraId="308A7494" w14:textId="42D3ED80" w:rsidR="003C025E" w:rsidRPr="00AB1E03" w:rsidRDefault="003C025E" w:rsidP="00587043">
      <w:pPr>
        <w:pStyle w:val="FootnoteText"/>
        <w:rPr>
          <w:sz w:val="16"/>
          <w:szCs w:val="16"/>
        </w:rPr>
      </w:pPr>
      <w:r w:rsidRPr="00BB5B49">
        <w:rPr>
          <w:rStyle w:val="FootnoteReference"/>
          <w:szCs w:val="16"/>
        </w:rPr>
        <w:t>*</w:t>
      </w:r>
      <w:r w:rsidRPr="00BB5B49">
        <w:rPr>
          <w:szCs w:val="16"/>
        </w:rPr>
        <w:t xml:space="preserve"> </w:t>
      </w:r>
      <w:r w:rsidRPr="00BB5B49">
        <w:rPr>
          <w:szCs w:val="16"/>
        </w:rPr>
        <w:tab/>
      </w:r>
      <w:r w:rsidRPr="00AB1E03">
        <w:rPr>
          <w:sz w:val="16"/>
          <w:szCs w:val="16"/>
        </w:rPr>
        <w:t>De conformidad con el artículo 19.1 del Reglamento de la Corte Interamericana aplicable al presente caso, el Juez Eduardo Vio Grossi, de nacionalidad chilena, no participó en la deliberación de esta Sentencia. Por otra parte, el Juez Roberto F. Caldas, no participó en la deliberación y firma de la presente Sentencia por razones de fuer</w:t>
      </w:r>
      <w:r>
        <w:rPr>
          <w:sz w:val="16"/>
          <w:szCs w:val="16"/>
        </w:rPr>
        <w:t>za mayor aceptadas por el Pleno</w:t>
      </w:r>
      <w:r w:rsidRPr="00AB1E03">
        <w:rPr>
          <w:sz w:val="16"/>
          <w:szCs w:val="16"/>
        </w:rPr>
        <w:t>.</w:t>
      </w:r>
    </w:p>
  </w:footnote>
  <w:footnote w:id="3">
    <w:p w14:paraId="4AA71F64" w14:textId="77777777" w:rsidR="003C025E" w:rsidRPr="00BB5B49" w:rsidRDefault="003C025E" w:rsidP="00587043">
      <w:pPr>
        <w:pStyle w:val="FootnoteText"/>
        <w:rPr>
          <w:szCs w:val="16"/>
        </w:rPr>
      </w:pPr>
      <w:r w:rsidRPr="00AB1E03">
        <w:rPr>
          <w:rStyle w:val="FootnoteReference"/>
          <w:szCs w:val="16"/>
        </w:rPr>
        <w:t>**</w:t>
      </w:r>
      <w:r w:rsidRPr="00AB1E03">
        <w:rPr>
          <w:szCs w:val="16"/>
        </w:rPr>
        <w:t xml:space="preserve"> </w:t>
      </w:r>
      <w:r w:rsidRPr="00AB1E03">
        <w:rPr>
          <w:szCs w:val="16"/>
        </w:rPr>
        <w:tab/>
      </w:r>
      <w:r w:rsidRPr="00AB1E03">
        <w:rPr>
          <w:sz w:val="16"/>
          <w:szCs w:val="16"/>
        </w:rPr>
        <w:t>El Secretario Pablo Saavedra Alessandri se excusó de participar en el presente caso. La Corte aceptó la excusa presentada.</w:t>
      </w:r>
    </w:p>
  </w:footnote>
  <w:footnote w:id="4">
    <w:p w14:paraId="64D830B2" w14:textId="77777777" w:rsidR="003C025E" w:rsidRPr="00BB5B49" w:rsidRDefault="003C025E" w:rsidP="00587043">
      <w:pPr>
        <w:pStyle w:val="FootnoteText"/>
        <w:rPr>
          <w:szCs w:val="16"/>
        </w:rPr>
      </w:pPr>
    </w:p>
  </w:footnote>
  <w:footnote w:id="5">
    <w:p w14:paraId="3716CC65" w14:textId="77777777" w:rsidR="003C025E" w:rsidRPr="00431F9F" w:rsidRDefault="003C025E" w:rsidP="00383565">
      <w:pPr>
        <w:tabs>
          <w:tab w:val="left" w:pos="567"/>
        </w:tabs>
        <w:ind w:right="148"/>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 xml:space="preserve">En dicho informe, la Comisión decidió que la petición era admisible respecto de la presunta violación de los derechos </w:t>
      </w:r>
      <w:r>
        <w:rPr>
          <w:sz w:val="16"/>
          <w:szCs w:val="16"/>
        </w:rPr>
        <w:t xml:space="preserve">reconocidos en los artículos 4, 8, </w:t>
      </w:r>
      <w:r w:rsidRPr="00B1523A">
        <w:rPr>
          <w:sz w:val="16"/>
          <w:szCs w:val="16"/>
        </w:rPr>
        <w:t>24</w:t>
      </w:r>
      <w:r>
        <w:rPr>
          <w:sz w:val="16"/>
          <w:szCs w:val="16"/>
        </w:rPr>
        <w:t xml:space="preserve"> y 25</w:t>
      </w:r>
      <w:r w:rsidRPr="00431F9F">
        <w:rPr>
          <w:sz w:val="16"/>
          <w:szCs w:val="16"/>
        </w:rPr>
        <w:t xml:space="preserve"> de la Convención Americana, en relación con el artí</w:t>
      </w:r>
      <w:r>
        <w:rPr>
          <w:sz w:val="16"/>
          <w:szCs w:val="16"/>
        </w:rPr>
        <w:t>culo 1.1 del mismo instrumento. CIDH</w:t>
      </w:r>
      <w:r w:rsidRPr="00431F9F">
        <w:rPr>
          <w:i/>
          <w:sz w:val="16"/>
          <w:szCs w:val="16"/>
        </w:rPr>
        <w:t xml:space="preserve">. </w:t>
      </w:r>
      <w:r>
        <w:rPr>
          <w:rFonts w:cs="Verdana"/>
          <w:sz w:val="16"/>
          <w:szCs w:val="16"/>
        </w:rPr>
        <w:t>Informe de Admisibilidad No. 13/09</w:t>
      </w:r>
      <w:r w:rsidRPr="00431F9F">
        <w:rPr>
          <w:rFonts w:cs="Verdana"/>
          <w:sz w:val="16"/>
          <w:szCs w:val="16"/>
        </w:rPr>
        <w:t xml:space="preserve">, </w:t>
      </w:r>
      <w:r>
        <w:rPr>
          <w:rFonts w:cs="Verdana"/>
          <w:sz w:val="16"/>
          <w:szCs w:val="16"/>
        </w:rPr>
        <w:t xml:space="preserve">Petición 339-02. </w:t>
      </w:r>
      <w:r w:rsidRPr="00B1523A">
        <w:rPr>
          <w:rFonts w:cs="Verdana"/>
          <w:i/>
          <w:sz w:val="16"/>
          <w:szCs w:val="16"/>
        </w:rPr>
        <w:t>Caso Poblete Vilches y otros Vs. Chile</w:t>
      </w:r>
      <w:r w:rsidRPr="00431F9F">
        <w:rPr>
          <w:rFonts w:cs="Verdana"/>
          <w:sz w:val="16"/>
          <w:szCs w:val="16"/>
        </w:rPr>
        <w:t xml:space="preserve">, </w:t>
      </w:r>
      <w:r>
        <w:rPr>
          <w:rFonts w:cs="Verdana"/>
          <w:sz w:val="16"/>
          <w:szCs w:val="16"/>
        </w:rPr>
        <w:t>19</w:t>
      </w:r>
      <w:r w:rsidRPr="00431F9F">
        <w:rPr>
          <w:rFonts w:cs="Verdana"/>
          <w:sz w:val="16"/>
          <w:szCs w:val="16"/>
        </w:rPr>
        <w:t xml:space="preserve"> de</w:t>
      </w:r>
      <w:r>
        <w:rPr>
          <w:rFonts w:cs="Verdana"/>
          <w:sz w:val="16"/>
          <w:szCs w:val="16"/>
        </w:rPr>
        <w:t xml:space="preserve"> marzo de 2009</w:t>
      </w:r>
      <w:r w:rsidRPr="00431F9F">
        <w:rPr>
          <w:rFonts w:cs="Verdana"/>
          <w:sz w:val="16"/>
          <w:szCs w:val="16"/>
        </w:rPr>
        <w:t xml:space="preserve"> (expediente de trámite ante la Comisión, </w:t>
      </w:r>
      <w:r w:rsidRPr="004D7E7A">
        <w:rPr>
          <w:rFonts w:cs="Verdana"/>
          <w:sz w:val="16"/>
          <w:szCs w:val="16"/>
        </w:rPr>
        <w:t>tomo IV, folios 1310</w:t>
      </w:r>
      <w:r>
        <w:rPr>
          <w:rFonts w:cs="Verdana"/>
          <w:sz w:val="16"/>
          <w:szCs w:val="16"/>
        </w:rPr>
        <w:t>-1322</w:t>
      </w:r>
      <w:r w:rsidRPr="00431F9F">
        <w:rPr>
          <w:rFonts w:cs="Verdana"/>
          <w:sz w:val="16"/>
          <w:szCs w:val="16"/>
        </w:rPr>
        <w:t>).</w:t>
      </w:r>
    </w:p>
  </w:footnote>
  <w:footnote w:id="6">
    <w:p w14:paraId="00AC1C95" w14:textId="77777777" w:rsidR="003C025E" w:rsidRPr="000214BA" w:rsidRDefault="003C025E" w:rsidP="00383565">
      <w:pPr>
        <w:pStyle w:val="FootnoteText"/>
        <w:tabs>
          <w:tab w:val="left" w:pos="567"/>
        </w:tabs>
        <w:rPr>
          <w:sz w:val="16"/>
          <w:szCs w:val="16"/>
        </w:rPr>
      </w:pPr>
      <w:r w:rsidRPr="00431F9F">
        <w:rPr>
          <w:rStyle w:val="FootnoteReference"/>
          <w:sz w:val="16"/>
          <w:szCs w:val="16"/>
        </w:rPr>
        <w:footnoteRef/>
      </w:r>
      <w:r w:rsidRPr="00431F9F">
        <w:rPr>
          <w:sz w:val="16"/>
          <w:szCs w:val="16"/>
        </w:rPr>
        <w:t xml:space="preserve"> </w:t>
      </w:r>
      <w:r w:rsidRPr="00431F9F">
        <w:rPr>
          <w:sz w:val="16"/>
          <w:szCs w:val="16"/>
        </w:rPr>
        <w:tab/>
        <w:t>La Comisión designó, como sus delegados ante la Corte, a</w:t>
      </w:r>
      <w:r>
        <w:rPr>
          <w:sz w:val="16"/>
          <w:szCs w:val="16"/>
        </w:rPr>
        <w:t>l Comisionado</w:t>
      </w:r>
      <w:r w:rsidRPr="00431F9F">
        <w:rPr>
          <w:sz w:val="16"/>
          <w:szCs w:val="16"/>
        </w:rPr>
        <w:t xml:space="preserve"> </w:t>
      </w:r>
      <w:r>
        <w:rPr>
          <w:sz w:val="16"/>
          <w:szCs w:val="16"/>
        </w:rPr>
        <w:t>Enrique Gil Botero y</w:t>
      </w:r>
      <w:r w:rsidRPr="00431F9F">
        <w:rPr>
          <w:sz w:val="16"/>
          <w:szCs w:val="16"/>
        </w:rPr>
        <w:t xml:space="preserve"> al </w:t>
      </w:r>
      <w:r>
        <w:rPr>
          <w:sz w:val="16"/>
          <w:szCs w:val="16"/>
        </w:rPr>
        <w:t xml:space="preserve">Secretario Ejecutivo Paulo </w:t>
      </w:r>
      <w:proofErr w:type="spellStart"/>
      <w:r>
        <w:rPr>
          <w:sz w:val="16"/>
          <w:szCs w:val="16"/>
        </w:rPr>
        <w:t>Abrão</w:t>
      </w:r>
      <w:proofErr w:type="spellEnd"/>
      <w:r w:rsidRPr="00431F9F">
        <w:rPr>
          <w:sz w:val="16"/>
          <w:szCs w:val="16"/>
        </w:rPr>
        <w:t xml:space="preserve"> </w:t>
      </w:r>
      <w:r>
        <w:rPr>
          <w:sz w:val="16"/>
          <w:szCs w:val="16"/>
        </w:rPr>
        <w:t xml:space="preserve">y </w:t>
      </w:r>
      <w:r w:rsidRPr="00431F9F">
        <w:rPr>
          <w:sz w:val="16"/>
          <w:szCs w:val="16"/>
        </w:rPr>
        <w:t>desig</w:t>
      </w:r>
      <w:r>
        <w:rPr>
          <w:sz w:val="16"/>
          <w:szCs w:val="16"/>
        </w:rPr>
        <w:t>nó, como asesoras legales, a la señora</w:t>
      </w:r>
      <w:r w:rsidRPr="00431F9F">
        <w:rPr>
          <w:sz w:val="16"/>
          <w:szCs w:val="16"/>
        </w:rPr>
        <w:t xml:space="preserve"> Elizabeth </w:t>
      </w:r>
      <w:proofErr w:type="spellStart"/>
      <w:r w:rsidRPr="00431F9F">
        <w:rPr>
          <w:sz w:val="16"/>
          <w:szCs w:val="16"/>
        </w:rPr>
        <w:t>Abi-Mershed</w:t>
      </w:r>
      <w:proofErr w:type="spellEnd"/>
      <w:r w:rsidRPr="00431F9F">
        <w:rPr>
          <w:sz w:val="16"/>
          <w:szCs w:val="16"/>
        </w:rPr>
        <w:t xml:space="preserve">, </w:t>
      </w:r>
      <w:r>
        <w:rPr>
          <w:sz w:val="16"/>
          <w:szCs w:val="16"/>
        </w:rPr>
        <w:t xml:space="preserve">Secretaria Ejecutiva </w:t>
      </w:r>
      <w:r w:rsidRPr="000214BA">
        <w:rPr>
          <w:sz w:val="16"/>
          <w:szCs w:val="16"/>
        </w:rPr>
        <w:t>Adjunta y a la señora Silvia Serrano Guzmán, abogada de la Secretaría Ejecutiva.</w:t>
      </w:r>
    </w:p>
  </w:footnote>
  <w:footnote w:id="7">
    <w:p w14:paraId="65D12418" w14:textId="77777777" w:rsidR="003C025E" w:rsidRPr="000214BA" w:rsidRDefault="003C025E" w:rsidP="00383565">
      <w:pPr>
        <w:pStyle w:val="FootnoteText"/>
        <w:rPr>
          <w:sz w:val="16"/>
          <w:szCs w:val="16"/>
        </w:rPr>
      </w:pPr>
      <w:r w:rsidRPr="000214BA">
        <w:rPr>
          <w:rStyle w:val="FootnoteReference"/>
          <w:sz w:val="16"/>
          <w:szCs w:val="16"/>
        </w:rPr>
        <w:footnoteRef/>
      </w:r>
      <w:r w:rsidRPr="000214BA">
        <w:rPr>
          <w:sz w:val="16"/>
          <w:szCs w:val="16"/>
        </w:rPr>
        <w:t xml:space="preserve"> </w:t>
      </w:r>
      <w:r w:rsidRPr="000214BA">
        <w:rPr>
          <w:sz w:val="16"/>
          <w:szCs w:val="16"/>
        </w:rPr>
        <w:tab/>
      </w:r>
      <w:r w:rsidRPr="00062586">
        <w:rPr>
          <w:i/>
          <w:sz w:val="16"/>
          <w:szCs w:val="16"/>
          <w:lang w:val="es-ES"/>
        </w:rPr>
        <w:t>Cfr.</w:t>
      </w:r>
      <w:r w:rsidRPr="000214BA">
        <w:rPr>
          <w:sz w:val="16"/>
          <w:szCs w:val="16"/>
          <w:lang w:val="es-ES"/>
        </w:rPr>
        <w:t xml:space="preserve"> Caso </w:t>
      </w:r>
      <w:r w:rsidRPr="000214BA">
        <w:rPr>
          <w:i/>
          <w:sz w:val="16"/>
          <w:szCs w:val="16"/>
          <w:lang w:val="es-ES"/>
        </w:rPr>
        <w:t>Poblete Vilches y otros Vs. Chile.</w:t>
      </w:r>
      <w:r w:rsidRPr="000214BA">
        <w:rPr>
          <w:sz w:val="16"/>
          <w:szCs w:val="16"/>
          <w:lang w:val="es-ES"/>
        </w:rPr>
        <w:t xml:space="preserve"> Resolución del Presidente de la Corte Interamericana de 25 de noviembre de 2016. Disponible en: </w:t>
      </w:r>
      <w:hyperlink r:id="rId1" w:history="1">
        <w:r w:rsidRPr="000214BA">
          <w:rPr>
            <w:rStyle w:val="Hyperlink"/>
            <w:sz w:val="16"/>
            <w:szCs w:val="16"/>
          </w:rPr>
          <w:t>http://www.corteidh.or.cr/docs/asuntos/poblete_25_11_16.pdf</w:t>
        </w:r>
      </w:hyperlink>
      <w:r w:rsidRPr="000214BA">
        <w:rPr>
          <w:sz w:val="16"/>
          <w:szCs w:val="16"/>
        </w:rPr>
        <w:t xml:space="preserve"> </w:t>
      </w:r>
    </w:p>
  </w:footnote>
  <w:footnote w:id="8">
    <w:p w14:paraId="23628DC1" w14:textId="30302A17" w:rsidR="003C025E" w:rsidRPr="000214BA" w:rsidRDefault="003C025E" w:rsidP="00383565">
      <w:pPr>
        <w:pStyle w:val="FootnoteText"/>
        <w:tabs>
          <w:tab w:val="left" w:pos="567"/>
        </w:tabs>
        <w:rPr>
          <w:sz w:val="16"/>
          <w:szCs w:val="16"/>
        </w:rPr>
      </w:pPr>
      <w:r w:rsidRPr="000214BA">
        <w:rPr>
          <w:rStyle w:val="FootnoteReference"/>
          <w:sz w:val="16"/>
          <w:szCs w:val="16"/>
        </w:rPr>
        <w:footnoteRef/>
      </w:r>
      <w:r w:rsidRPr="000214BA">
        <w:rPr>
          <w:sz w:val="16"/>
          <w:szCs w:val="16"/>
        </w:rPr>
        <w:t xml:space="preserve"> </w:t>
      </w:r>
      <w:r w:rsidRPr="000214BA">
        <w:rPr>
          <w:sz w:val="16"/>
          <w:szCs w:val="16"/>
          <w:lang w:val="es-CR"/>
        </w:rPr>
        <w:tab/>
      </w:r>
      <w:r w:rsidRPr="000214BA">
        <w:rPr>
          <w:sz w:val="16"/>
          <w:szCs w:val="16"/>
        </w:rPr>
        <w:t>El Estado designó como Agentes del Estado Hernán Quezada Cabrera</w:t>
      </w:r>
      <w:r>
        <w:rPr>
          <w:sz w:val="16"/>
          <w:szCs w:val="16"/>
        </w:rPr>
        <w:t xml:space="preserve">, </w:t>
      </w:r>
      <w:r w:rsidRPr="000214BA">
        <w:rPr>
          <w:sz w:val="16"/>
          <w:szCs w:val="16"/>
        </w:rPr>
        <w:t xml:space="preserve">Óscar </w:t>
      </w:r>
      <w:proofErr w:type="spellStart"/>
      <w:r w:rsidRPr="000214BA">
        <w:rPr>
          <w:sz w:val="16"/>
          <w:szCs w:val="16"/>
        </w:rPr>
        <w:t>Alcamán</w:t>
      </w:r>
      <w:proofErr w:type="spellEnd"/>
      <w:r w:rsidRPr="000214BA">
        <w:rPr>
          <w:sz w:val="16"/>
          <w:szCs w:val="16"/>
        </w:rPr>
        <w:t xml:space="preserve"> </w:t>
      </w:r>
      <w:proofErr w:type="spellStart"/>
      <w:r w:rsidRPr="000214BA">
        <w:rPr>
          <w:sz w:val="16"/>
          <w:szCs w:val="16"/>
        </w:rPr>
        <w:t>Riffo</w:t>
      </w:r>
      <w:proofErr w:type="spellEnd"/>
      <w:r w:rsidRPr="000214BA">
        <w:rPr>
          <w:sz w:val="16"/>
          <w:szCs w:val="16"/>
        </w:rPr>
        <w:t xml:space="preserve"> y Diana </w:t>
      </w:r>
      <w:proofErr w:type="spellStart"/>
      <w:r w:rsidRPr="000214BA">
        <w:rPr>
          <w:sz w:val="16"/>
          <w:szCs w:val="16"/>
        </w:rPr>
        <w:t>Maquil</w:t>
      </w:r>
      <w:r>
        <w:rPr>
          <w:sz w:val="16"/>
          <w:szCs w:val="16"/>
        </w:rPr>
        <w:t>o</w:t>
      </w:r>
      <w:r w:rsidRPr="000214BA">
        <w:rPr>
          <w:sz w:val="16"/>
          <w:szCs w:val="16"/>
        </w:rPr>
        <w:t>n</w:t>
      </w:r>
      <w:proofErr w:type="spellEnd"/>
      <w:r w:rsidRPr="000214BA">
        <w:rPr>
          <w:sz w:val="16"/>
          <w:szCs w:val="16"/>
        </w:rPr>
        <w:t xml:space="preserve"> Tamayo, y como agentes alternas Beatriz Contreras e Isidora Rojas </w:t>
      </w:r>
      <w:proofErr w:type="spellStart"/>
      <w:r w:rsidRPr="000214BA">
        <w:rPr>
          <w:sz w:val="16"/>
          <w:szCs w:val="16"/>
        </w:rPr>
        <w:t>Fermandois</w:t>
      </w:r>
      <w:proofErr w:type="spellEnd"/>
      <w:r w:rsidRPr="000214BA">
        <w:rPr>
          <w:sz w:val="16"/>
          <w:szCs w:val="16"/>
        </w:rPr>
        <w:t>.</w:t>
      </w:r>
    </w:p>
  </w:footnote>
  <w:footnote w:id="9">
    <w:p w14:paraId="16E4ECAC" w14:textId="68BD87F8" w:rsidR="003C025E" w:rsidRPr="000214BA" w:rsidRDefault="003C025E" w:rsidP="00383565">
      <w:pPr>
        <w:pStyle w:val="FootnoteText"/>
        <w:tabs>
          <w:tab w:val="left" w:pos="567"/>
        </w:tabs>
        <w:rPr>
          <w:sz w:val="16"/>
          <w:szCs w:val="16"/>
          <w:lang w:val="es-ES"/>
        </w:rPr>
      </w:pPr>
      <w:r w:rsidRPr="00431F9F">
        <w:rPr>
          <w:rStyle w:val="FootnoteReference"/>
          <w:sz w:val="16"/>
          <w:szCs w:val="16"/>
        </w:rPr>
        <w:footnoteRef/>
      </w:r>
      <w:r w:rsidRPr="00431F9F">
        <w:rPr>
          <w:sz w:val="16"/>
          <w:szCs w:val="16"/>
        </w:rPr>
        <w:t xml:space="preserve"> </w:t>
      </w:r>
      <w:r w:rsidRPr="00431F9F">
        <w:rPr>
          <w:sz w:val="16"/>
          <w:szCs w:val="16"/>
        </w:rPr>
        <w:tab/>
      </w:r>
      <w:r w:rsidRPr="00062586">
        <w:rPr>
          <w:i/>
          <w:sz w:val="16"/>
          <w:szCs w:val="16"/>
          <w:lang w:val="es-ES"/>
        </w:rPr>
        <w:t>Cfr.</w:t>
      </w:r>
      <w:r w:rsidRPr="000214BA">
        <w:rPr>
          <w:sz w:val="16"/>
          <w:szCs w:val="16"/>
          <w:lang w:val="es-ES"/>
        </w:rPr>
        <w:t xml:space="preserve"> Caso </w:t>
      </w:r>
      <w:r w:rsidRPr="000214BA">
        <w:rPr>
          <w:i/>
          <w:sz w:val="16"/>
          <w:szCs w:val="16"/>
          <w:lang w:val="es-ES"/>
        </w:rPr>
        <w:t>Poblete Vilches y otros Vs. Chile.</w:t>
      </w:r>
      <w:r w:rsidRPr="000214BA">
        <w:rPr>
          <w:sz w:val="16"/>
          <w:szCs w:val="16"/>
          <w:lang w:val="es-ES"/>
        </w:rPr>
        <w:t xml:space="preserve"> Resolución del Presidente de la Corte Interamericana de 21 de septiembre de </w:t>
      </w:r>
      <w:r>
        <w:rPr>
          <w:sz w:val="16"/>
          <w:szCs w:val="16"/>
          <w:lang w:val="es-ES"/>
        </w:rPr>
        <w:t>2017</w:t>
      </w:r>
      <w:r w:rsidRPr="000214BA">
        <w:rPr>
          <w:sz w:val="16"/>
          <w:szCs w:val="16"/>
          <w:lang w:val="es-ES"/>
        </w:rPr>
        <w:t>. Disponible en:</w:t>
      </w:r>
      <w:r w:rsidRPr="000214BA">
        <w:rPr>
          <w:sz w:val="16"/>
          <w:szCs w:val="16"/>
        </w:rPr>
        <w:t xml:space="preserve"> </w:t>
      </w:r>
      <w:hyperlink r:id="rId2" w:history="1">
        <w:r w:rsidRPr="000214BA">
          <w:rPr>
            <w:rStyle w:val="Hyperlink"/>
            <w:sz w:val="16"/>
            <w:szCs w:val="16"/>
            <w:lang w:val="es-ES"/>
          </w:rPr>
          <w:t>http://www.corteidh.or.cr/docs/asuntos/poblete_21_09_17.pdf</w:t>
        </w:r>
      </w:hyperlink>
      <w:r w:rsidRPr="000214BA">
        <w:rPr>
          <w:sz w:val="16"/>
          <w:szCs w:val="16"/>
          <w:lang w:val="es-ES"/>
        </w:rPr>
        <w:t xml:space="preserve"> </w:t>
      </w:r>
    </w:p>
  </w:footnote>
  <w:footnote w:id="10">
    <w:p w14:paraId="675847DE" w14:textId="77777777" w:rsidR="003C025E" w:rsidRPr="000214BA" w:rsidRDefault="003C025E" w:rsidP="00383565">
      <w:pPr>
        <w:tabs>
          <w:tab w:val="left" w:pos="567"/>
        </w:tabs>
        <w:ind w:right="-6"/>
        <w:rPr>
          <w:sz w:val="16"/>
          <w:szCs w:val="16"/>
        </w:rPr>
      </w:pPr>
      <w:r w:rsidRPr="000214BA">
        <w:rPr>
          <w:rStyle w:val="FootnoteReference"/>
          <w:sz w:val="16"/>
          <w:szCs w:val="16"/>
        </w:rPr>
        <w:footnoteRef/>
      </w:r>
      <w:r w:rsidRPr="000214BA">
        <w:rPr>
          <w:sz w:val="16"/>
          <w:szCs w:val="16"/>
        </w:rPr>
        <w:t xml:space="preserve"> </w:t>
      </w:r>
      <w:r w:rsidRPr="000214BA">
        <w:rPr>
          <w:sz w:val="16"/>
          <w:szCs w:val="16"/>
        </w:rPr>
        <w:tab/>
      </w:r>
      <w:r w:rsidRPr="000214BA">
        <w:rPr>
          <w:sz w:val="16"/>
          <w:szCs w:val="16"/>
          <w:lang w:val="es-ES"/>
        </w:rPr>
        <w:t>A esta audiencia comparecieron: a) por la Comisión Interamericana:</w:t>
      </w:r>
      <w:r w:rsidRPr="000214BA">
        <w:rPr>
          <w:sz w:val="16"/>
          <w:szCs w:val="16"/>
          <w:lang w:val="es-ES" w:eastAsia="es-ES"/>
        </w:rPr>
        <w:t xml:space="preserve"> el Comisionado </w:t>
      </w:r>
      <w:r w:rsidRPr="000214BA">
        <w:rPr>
          <w:sz w:val="16"/>
          <w:szCs w:val="16"/>
        </w:rPr>
        <w:t>José de Jesús Orozco Henríquez</w:t>
      </w:r>
      <w:r w:rsidRPr="000214BA">
        <w:rPr>
          <w:sz w:val="16"/>
          <w:szCs w:val="16"/>
          <w:lang w:val="es-ES"/>
        </w:rPr>
        <w:t xml:space="preserve">, y las abogadas de la Secretaría Ejecutiva, Silvia Serrano Guzmán, y Selene Soto; b) por los representantes de la presunta víctima: las defensoras interamericanas, señora </w:t>
      </w:r>
      <w:proofErr w:type="spellStart"/>
      <w:r w:rsidRPr="000214BA">
        <w:rPr>
          <w:sz w:val="16"/>
          <w:szCs w:val="16"/>
          <w:lang w:val="es-ES"/>
        </w:rPr>
        <w:t>Rivana</w:t>
      </w:r>
      <w:proofErr w:type="spellEnd"/>
      <w:r w:rsidRPr="000214BA">
        <w:rPr>
          <w:sz w:val="16"/>
          <w:szCs w:val="16"/>
          <w:lang w:val="es-ES"/>
        </w:rPr>
        <w:t xml:space="preserve"> Barreto Ricarte de Olivera y Silvia Edith Martínez, y c) por el Estado de Chile: los agentes Hernán Quezada Cabrera, Oscar </w:t>
      </w:r>
      <w:proofErr w:type="spellStart"/>
      <w:r w:rsidRPr="000214BA">
        <w:rPr>
          <w:sz w:val="16"/>
          <w:szCs w:val="16"/>
          <w:lang w:val="es-ES"/>
        </w:rPr>
        <w:t>Alcamán</w:t>
      </w:r>
      <w:proofErr w:type="spellEnd"/>
      <w:r w:rsidRPr="000214BA">
        <w:rPr>
          <w:sz w:val="16"/>
          <w:szCs w:val="16"/>
          <w:lang w:val="es-ES"/>
        </w:rPr>
        <w:t xml:space="preserve"> </w:t>
      </w:r>
      <w:proofErr w:type="spellStart"/>
      <w:r w:rsidRPr="000214BA">
        <w:rPr>
          <w:sz w:val="16"/>
          <w:szCs w:val="16"/>
          <w:lang w:val="es-ES"/>
        </w:rPr>
        <w:t>Riffo</w:t>
      </w:r>
      <w:proofErr w:type="spellEnd"/>
      <w:r w:rsidRPr="000214BA">
        <w:rPr>
          <w:sz w:val="16"/>
          <w:szCs w:val="16"/>
          <w:lang w:val="es-ES"/>
        </w:rPr>
        <w:t xml:space="preserve"> y Diana </w:t>
      </w:r>
      <w:proofErr w:type="spellStart"/>
      <w:r w:rsidRPr="000214BA">
        <w:rPr>
          <w:sz w:val="16"/>
          <w:szCs w:val="16"/>
          <w:lang w:val="es-ES"/>
        </w:rPr>
        <w:t>Maquilón</w:t>
      </w:r>
      <w:proofErr w:type="spellEnd"/>
      <w:r w:rsidRPr="000214BA">
        <w:rPr>
          <w:sz w:val="16"/>
          <w:szCs w:val="16"/>
          <w:lang w:val="es-ES"/>
        </w:rPr>
        <w:t xml:space="preserve"> Tamayo; las agentes alternas Beatriz Contreras Reyes e Isidora Rojas </w:t>
      </w:r>
      <w:proofErr w:type="spellStart"/>
      <w:r w:rsidRPr="000214BA">
        <w:rPr>
          <w:sz w:val="16"/>
          <w:szCs w:val="16"/>
          <w:lang w:val="es-ES"/>
        </w:rPr>
        <w:t>Fermandois</w:t>
      </w:r>
      <w:proofErr w:type="spellEnd"/>
      <w:r w:rsidRPr="000214BA">
        <w:rPr>
          <w:sz w:val="16"/>
          <w:szCs w:val="16"/>
          <w:lang w:val="es-ES"/>
        </w:rPr>
        <w:t>; el representante de la Subsecretaría de Derechos Humanos, Juan Pablo Gómez y el representante del Poder Judicial, Jorge Sáenz Martin</w:t>
      </w:r>
      <w:r w:rsidRPr="000214BA">
        <w:rPr>
          <w:sz w:val="16"/>
          <w:szCs w:val="16"/>
          <w:lang w:val="es-CO" w:eastAsia="es-ES"/>
        </w:rPr>
        <w:t>.</w:t>
      </w:r>
    </w:p>
  </w:footnote>
  <w:footnote w:id="11">
    <w:p w14:paraId="40C9F121" w14:textId="56E936C4" w:rsidR="003C025E" w:rsidRPr="000214BA" w:rsidRDefault="003C025E" w:rsidP="00542AD4">
      <w:pPr>
        <w:pStyle w:val="FootnoteText"/>
        <w:rPr>
          <w:sz w:val="16"/>
          <w:szCs w:val="16"/>
          <w:lang w:val="es-CR"/>
        </w:rPr>
      </w:pPr>
      <w:r w:rsidRPr="000214BA">
        <w:rPr>
          <w:rStyle w:val="FootnoteReference"/>
          <w:rFonts w:eastAsia="Calibri"/>
          <w:sz w:val="16"/>
          <w:szCs w:val="16"/>
        </w:rPr>
        <w:footnoteRef/>
      </w:r>
      <w:r w:rsidRPr="000214BA">
        <w:rPr>
          <w:sz w:val="16"/>
          <w:szCs w:val="16"/>
        </w:rPr>
        <w:t xml:space="preserve"> </w:t>
      </w:r>
      <w:r w:rsidRPr="000214BA">
        <w:rPr>
          <w:sz w:val="16"/>
          <w:szCs w:val="16"/>
        </w:rPr>
        <w:tab/>
      </w:r>
      <w:r w:rsidRPr="00062586">
        <w:rPr>
          <w:i/>
          <w:iCs/>
          <w:sz w:val="16"/>
          <w:szCs w:val="16"/>
        </w:rPr>
        <w:t>Cfr.</w:t>
      </w:r>
      <w:r w:rsidRPr="000214BA">
        <w:rPr>
          <w:i/>
          <w:iCs/>
          <w:sz w:val="16"/>
          <w:szCs w:val="16"/>
        </w:rPr>
        <w:t xml:space="preserve"> </w:t>
      </w:r>
      <w:r w:rsidRPr="000214BA">
        <w:rPr>
          <w:i/>
          <w:sz w:val="16"/>
          <w:szCs w:val="16"/>
        </w:rPr>
        <w:t xml:space="preserve">Caso </w:t>
      </w:r>
      <w:r>
        <w:rPr>
          <w:i/>
          <w:sz w:val="16"/>
          <w:szCs w:val="16"/>
        </w:rPr>
        <w:t xml:space="preserve">Benavides Cevallos Vs. Ecuador. Fondo, Reparaciones y Costas. </w:t>
      </w:r>
      <w:r w:rsidRPr="00650617">
        <w:rPr>
          <w:sz w:val="16"/>
          <w:szCs w:val="16"/>
        </w:rPr>
        <w:t>Sentencia de 19 de junio de 1998. Serie C N</w:t>
      </w:r>
      <w:r w:rsidRPr="00650617">
        <w:rPr>
          <w:sz w:val="16"/>
          <w:szCs w:val="16"/>
          <w:lang w:val="es-EC"/>
        </w:rPr>
        <w:t>o. 38, párr. 57</w:t>
      </w:r>
      <w:r>
        <w:rPr>
          <w:sz w:val="16"/>
          <w:szCs w:val="16"/>
          <w:lang w:val="es-EC"/>
        </w:rPr>
        <w:t xml:space="preserve">, </w:t>
      </w:r>
      <w:r w:rsidRPr="000214BA">
        <w:rPr>
          <w:sz w:val="16"/>
          <w:szCs w:val="16"/>
        </w:rPr>
        <w:t>y</w:t>
      </w:r>
      <w:r w:rsidRPr="000214BA">
        <w:rPr>
          <w:i/>
          <w:sz w:val="16"/>
          <w:szCs w:val="16"/>
        </w:rPr>
        <w:t xml:space="preserve"> </w:t>
      </w:r>
      <w:r w:rsidRPr="000214BA">
        <w:rPr>
          <w:bCs/>
          <w:i/>
          <w:sz w:val="16"/>
          <w:szCs w:val="16"/>
          <w:lang w:val="es-CR"/>
        </w:rPr>
        <w:t xml:space="preserve">Caso </w:t>
      </w:r>
      <w:r>
        <w:rPr>
          <w:bCs/>
          <w:i/>
          <w:sz w:val="16"/>
          <w:szCs w:val="16"/>
          <w:lang w:val="es-CR"/>
        </w:rPr>
        <w:t xml:space="preserve">Vereda La Esperanza Vs. Colombia. Excepción Preliminar, Fondo, Reparaciones y Costas. </w:t>
      </w:r>
      <w:r w:rsidRPr="00650617">
        <w:rPr>
          <w:bCs/>
          <w:sz w:val="16"/>
          <w:szCs w:val="16"/>
          <w:lang w:val="es-CR"/>
        </w:rPr>
        <w:t>Sentencia de 31 de agosto de 2017. Serie C No. 341, párr. 21.</w:t>
      </w:r>
      <w:r>
        <w:rPr>
          <w:bCs/>
          <w:i/>
          <w:sz w:val="16"/>
          <w:szCs w:val="16"/>
          <w:lang w:val="es-CR"/>
        </w:rPr>
        <w:t xml:space="preserve"> </w:t>
      </w:r>
    </w:p>
  </w:footnote>
  <w:footnote w:id="12">
    <w:p w14:paraId="1E3464E5" w14:textId="20A421B5" w:rsidR="003C025E" w:rsidRPr="000214BA" w:rsidRDefault="003C025E" w:rsidP="00542AD4">
      <w:pPr>
        <w:pStyle w:val="FootnoteText"/>
        <w:rPr>
          <w:sz w:val="16"/>
          <w:szCs w:val="16"/>
          <w:lang w:val="es-CR"/>
        </w:rPr>
      </w:pPr>
      <w:r w:rsidRPr="000214BA">
        <w:rPr>
          <w:rStyle w:val="FootnoteReference"/>
          <w:rFonts w:eastAsia="Calibri"/>
          <w:sz w:val="16"/>
          <w:szCs w:val="16"/>
        </w:rPr>
        <w:footnoteRef/>
      </w:r>
      <w:r w:rsidRPr="000214BA">
        <w:rPr>
          <w:sz w:val="16"/>
          <w:szCs w:val="16"/>
        </w:rPr>
        <w:t xml:space="preserve"> </w:t>
      </w:r>
      <w:r w:rsidRPr="00062586">
        <w:rPr>
          <w:i/>
          <w:sz w:val="16"/>
          <w:szCs w:val="16"/>
          <w:lang w:val="es-CR"/>
        </w:rPr>
        <w:t>Cfr.</w:t>
      </w:r>
      <w:r w:rsidRPr="000214BA">
        <w:rPr>
          <w:sz w:val="16"/>
          <w:szCs w:val="16"/>
          <w:lang w:val="es-CR"/>
        </w:rPr>
        <w:t xml:space="preserve"> </w:t>
      </w:r>
      <w:r w:rsidRPr="000214BA">
        <w:rPr>
          <w:i/>
          <w:sz w:val="16"/>
          <w:szCs w:val="16"/>
          <w:lang w:val="es-CR"/>
        </w:rPr>
        <w:t>Caso Acevedo Jaramillo y otros Vs. Perú. Excepciones Preliminares, Fondo, Reparaciones y Costas</w:t>
      </w:r>
      <w:r w:rsidRPr="000214BA">
        <w:rPr>
          <w:sz w:val="16"/>
          <w:szCs w:val="16"/>
          <w:lang w:val="es-CR"/>
        </w:rPr>
        <w:t xml:space="preserve">. Sentencia de 7 de febrero de 2006. Serie C No. 144, parras. 176 a 180, y </w:t>
      </w:r>
      <w:r w:rsidRPr="009A7BFF">
        <w:rPr>
          <w:bCs/>
          <w:i/>
          <w:sz w:val="16"/>
          <w:szCs w:val="16"/>
          <w:lang w:val="es-CR"/>
        </w:rPr>
        <w:t xml:space="preserve">Caso Ortiz Hernández y otros Vs. Venezuela. Fondo, Reparaciones y Costas. </w:t>
      </w:r>
      <w:r w:rsidRPr="0059117C">
        <w:rPr>
          <w:bCs/>
          <w:sz w:val="16"/>
          <w:szCs w:val="16"/>
          <w:lang w:val="es-CR"/>
        </w:rPr>
        <w:t>Sentencia de 22 de agosto de 2017. Serie C No. 338</w:t>
      </w:r>
      <w:r>
        <w:rPr>
          <w:bCs/>
          <w:sz w:val="16"/>
          <w:szCs w:val="16"/>
          <w:lang w:val="es-CR"/>
        </w:rPr>
        <w:t xml:space="preserve">, párr. 34. </w:t>
      </w:r>
    </w:p>
  </w:footnote>
  <w:footnote w:id="13">
    <w:p w14:paraId="5B0F59DD" w14:textId="77777777" w:rsidR="003C025E" w:rsidRPr="000214BA" w:rsidRDefault="003C025E" w:rsidP="00C27894">
      <w:pPr>
        <w:pStyle w:val="FootnoteText"/>
        <w:tabs>
          <w:tab w:val="left" w:pos="567"/>
        </w:tabs>
        <w:rPr>
          <w:sz w:val="16"/>
          <w:szCs w:val="16"/>
        </w:rPr>
      </w:pPr>
      <w:r w:rsidRPr="000214BA">
        <w:rPr>
          <w:rStyle w:val="FootnoteReference"/>
          <w:rFonts w:eastAsia="Calibri"/>
          <w:sz w:val="16"/>
          <w:szCs w:val="16"/>
        </w:rPr>
        <w:footnoteRef/>
      </w:r>
      <w:r w:rsidRPr="000214BA">
        <w:rPr>
          <w:sz w:val="16"/>
          <w:szCs w:val="16"/>
        </w:rPr>
        <w:t xml:space="preserve"> </w:t>
      </w:r>
      <w:r w:rsidRPr="000214BA">
        <w:rPr>
          <w:sz w:val="16"/>
          <w:szCs w:val="16"/>
        </w:rPr>
        <w:tab/>
        <w:t>Artículo 62. Reconocimiento</w:t>
      </w:r>
      <w:r>
        <w:rPr>
          <w:sz w:val="16"/>
          <w:szCs w:val="16"/>
        </w:rPr>
        <w:t xml:space="preserve">. </w:t>
      </w:r>
      <w:r w:rsidRPr="000214BA">
        <w:rPr>
          <w:sz w:val="16"/>
          <w:szCs w:val="16"/>
        </w:rPr>
        <w:t>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14">
    <w:p w14:paraId="76F767B8" w14:textId="77777777" w:rsidR="003C025E" w:rsidRPr="000214BA" w:rsidRDefault="003C025E" w:rsidP="00C27894">
      <w:pPr>
        <w:pStyle w:val="FootnoteText"/>
        <w:tabs>
          <w:tab w:val="left" w:pos="567"/>
        </w:tabs>
        <w:rPr>
          <w:sz w:val="16"/>
          <w:szCs w:val="16"/>
        </w:rPr>
      </w:pPr>
      <w:r w:rsidRPr="000214BA">
        <w:rPr>
          <w:rStyle w:val="FootnoteReference"/>
          <w:rFonts w:eastAsia="Calibri"/>
          <w:sz w:val="16"/>
          <w:szCs w:val="16"/>
        </w:rPr>
        <w:footnoteRef/>
      </w:r>
      <w:r w:rsidRPr="000214BA">
        <w:rPr>
          <w:sz w:val="16"/>
          <w:szCs w:val="16"/>
        </w:rPr>
        <w:t xml:space="preserve"> </w:t>
      </w:r>
      <w:r w:rsidRPr="000214BA">
        <w:rPr>
          <w:sz w:val="16"/>
          <w:szCs w:val="16"/>
        </w:rPr>
        <w:tab/>
        <w:t>Artículo 64. Prosecución del examen del caso</w:t>
      </w:r>
      <w:r>
        <w:rPr>
          <w:sz w:val="16"/>
          <w:szCs w:val="16"/>
        </w:rPr>
        <w:t xml:space="preserve">. </w:t>
      </w:r>
      <w:r w:rsidRPr="000214BA">
        <w:rPr>
          <w:sz w:val="16"/>
          <w:szCs w:val="16"/>
        </w:rPr>
        <w:t xml:space="preserve">La Corte, teniendo en cuenta las responsabilidades que le incumben de proteger los derechos humanos, podrá decidir que prosiga el examen del caso, aun en presencia de los supuestos señalados en los artículos precedentes. </w:t>
      </w:r>
    </w:p>
  </w:footnote>
  <w:footnote w:id="15">
    <w:p w14:paraId="0C530864" w14:textId="50028992" w:rsidR="003C025E" w:rsidRPr="000214BA" w:rsidRDefault="003C025E" w:rsidP="00542AD4">
      <w:pPr>
        <w:tabs>
          <w:tab w:val="left" w:pos="567"/>
          <w:tab w:val="left" w:pos="709"/>
        </w:tabs>
        <w:rPr>
          <w:rFonts w:cs="Courier New"/>
          <w:noProof/>
          <w:sz w:val="16"/>
          <w:szCs w:val="16"/>
        </w:rPr>
      </w:pPr>
      <w:r w:rsidRPr="000214BA">
        <w:rPr>
          <w:rStyle w:val="FootnoteReference"/>
          <w:rFonts w:eastAsia="Calibri"/>
          <w:sz w:val="16"/>
          <w:szCs w:val="16"/>
        </w:rPr>
        <w:footnoteRef/>
      </w:r>
      <w:r w:rsidRPr="000214BA">
        <w:rPr>
          <w:sz w:val="16"/>
          <w:szCs w:val="16"/>
        </w:rPr>
        <w:t xml:space="preserve"> </w:t>
      </w:r>
      <w:r w:rsidRPr="000214BA">
        <w:rPr>
          <w:sz w:val="16"/>
          <w:szCs w:val="16"/>
        </w:rPr>
        <w:tab/>
      </w:r>
      <w:r w:rsidRPr="00062586">
        <w:rPr>
          <w:i/>
          <w:sz w:val="16"/>
          <w:szCs w:val="16"/>
          <w:lang w:val="es-AR"/>
        </w:rPr>
        <w:t>Cfr.</w:t>
      </w:r>
      <w:r w:rsidRPr="000214BA">
        <w:rPr>
          <w:b/>
          <w:i/>
          <w:sz w:val="16"/>
          <w:szCs w:val="16"/>
          <w:lang w:val="es-AR"/>
        </w:rPr>
        <w:t xml:space="preserve"> </w:t>
      </w:r>
      <w:r w:rsidRPr="000214BA">
        <w:rPr>
          <w:bCs/>
          <w:i/>
          <w:sz w:val="16"/>
          <w:szCs w:val="16"/>
          <w:lang w:val="es-AR"/>
        </w:rPr>
        <w:t xml:space="preserve">Caso </w:t>
      </w:r>
      <w:proofErr w:type="spellStart"/>
      <w:r w:rsidRPr="000214BA">
        <w:rPr>
          <w:bCs/>
          <w:i/>
          <w:sz w:val="16"/>
          <w:szCs w:val="16"/>
          <w:lang w:val="es-AR"/>
        </w:rPr>
        <w:t>Kimel</w:t>
      </w:r>
      <w:proofErr w:type="spellEnd"/>
      <w:r w:rsidRPr="000214BA">
        <w:rPr>
          <w:bCs/>
          <w:i/>
          <w:sz w:val="16"/>
          <w:szCs w:val="16"/>
          <w:lang w:val="es-AR"/>
        </w:rPr>
        <w:t xml:space="preserve"> Vs. Argentina. </w:t>
      </w:r>
      <w:r w:rsidRPr="000214BA">
        <w:rPr>
          <w:i/>
          <w:sz w:val="16"/>
          <w:szCs w:val="16"/>
          <w:lang w:val="es-AR"/>
        </w:rPr>
        <w:t>Fondo, Reparaciones y Costas.</w:t>
      </w:r>
      <w:r w:rsidRPr="000214BA">
        <w:rPr>
          <w:sz w:val="16"/>
          <w:szCs w:val="16"/>
          <w:lang w:val="es-AR"/>
        </w:rPr>
        <w:t xml:space="preserve"> Sentencia de 2 de mayo de 2008. Serie C No. 177, párr. 24, y </w:t>
      </w:r>
      <w:r w:rsidRPr="000214BA">
        <w:rPr>
          <w:rFonts w:cs="Courier New"/>
          <w:bCs/>
          <w:i/>
          <w:noProof/>
          <w:sz w:val="16"/>
          <w:szCs w:val="16"/>
        </w:rPr>
        <w:t xml:space="preserve">Caso </w:t>
      </w:r>
      <w:r>
        <w:rPr>
          <w:rFonts w:cs="Courier New"/>
          <w:bCs/>
          <w:i/>
          <w:noProof/>
          <w:sz w:val="16"/>
          <w:szCs w:val="16"/>
        </w:rPr>
        <w:t xml:space="preserve">Vereda La Esperanza </w:t>
      </w:r>
      <w:r>
        <w:rPr>
          <w:bCs/>
          <w:i/>
          <w:sz w:val="16"/>
          <w:szCs w:val="16"/>
        </w:rPr>
        <w:t>Vs. Colombia.</w:t>
      </w:r>
      <w:r>
        <w:rPr>
          <w:rFonts w:cs="Courier New"/>
          <w:bCs/>
          <w:i/>
          <w:noProof/>
          <w:sz w:val="16"/>
          <w:szCs w:val="16"/>
        </w:rPr>
        <w:t>, supra</w:t>
      </w:r>
      <w:r>
        <w:rPr>
          <w:rFonts w:cs="Courier New"/>
          <w:bCs/>
          <w:noProof/>
          <w:sz w:val="16"/>
          <w:szCs w:val="16"/>
        </w:rPr>
        <w:t>,</w:t>
      </w:r>
      <w:r w:rsidRPr="00650617">
        <w:rPr>
          <w:rFonts w:cs="Courier New"/>
          <w:bCs/>
          <w:noProof/>
          <w:sz w:val="16"/>
          <w:szCs w:val="16"/>
        </w:rPr>
        <w:t xml:space="preserve"> </w:t>
      </w:r>
      <w:r>
        <w:rPr>
          <w:rFonts w:cs="Courier New"/>
          <w:bCs/>
          <w:noProof/>
          <w:sz w:val="16"/>
          <w:szCs w:val="16"/>
        </w:rPr>
        <w:t xml:space="preserve">párr. </w:t>
      </w:r>
      <w:r w:rsidRPr="00650617">
        <w:rPr>
          <w:rFonts w:cs="Courier New"/>
          <w:bCs/>
          <w:noProof/>
          <w:sz w:val="16"/>
          <w:szCs w:val="16"/>
        </w:rPr>
        <w:t>21.</w:t>
      </w:r>
    </w:p>
  </w:footnote>
  <w:footnote w:id="16">
    <w:p w14:paraId="68759242" w14:textId="4BE6E281" w:rsidR="003C025E" w:rsidRPr="000214BA" w:rsidRDefault="003C025E" w:rsidP="00542AD4">
      <w:pPr>
        <w:tabs>
          <w:tab w:val="left" w:pos="567"/>
        </w:tabs>
        <w:rPr>
          <w:sz w:val="16"/>
          <w:szCs w:val="16"/>
          <w:lang w:val="es-AR"/>
        </w:rPr>
      </w:pPr>
      <w:r w:rsidRPr="000214BA">
        <w:rPr>
          <w:rStyle w:val="FootnoteReference"/>
          <w:rFonts w:eastAsia="Calibri"/>
          <w:sz w:val="16"/>
          <w:szCs w:val="16"/>
        </w:rPr>
        <w:footnoteRef/>
      </w:r>
      <w:r w:rsidRPr="000214BA">
        <w:rPr>
          <w:sz w:val="16"/>
          <w:szCs w:val="16"/>
        </w:rPr>
        <w:t xml:space="preserve"> </w:t>
      </w:r>
      <w:r w:rsidRPr="000214BA">
        <w:rPr>
          <w:sz w:val="16"/>
          <w:szCs w:val="16"/>
        </w:rPr>
        <w:tab/>
      </w:r>
      <w:r w:rsidRPr="00062586">
        <w:rPr>
          <w:i/>
          <w:sz w:val="16"/>
          <w:szCs w:val="16"/>
        </w:rPr>
        <w:t>Cfr.</w:t>
      </w:r>
      <w:r w:rsidRPr="000214BA">
        <w:rPr>
          <w:b/>
          <w:i/>
          <w:sz w:val="16"/>
          <w:szCs w:val="16"/>
        </w:rPr>
        <w:t xml:space="preserve"> </w:t>
      </w:r>
      <w:r w:rsidRPr="000214BA">
        <w:rPr>
          <w:bCs/>
          <w:i/>
          <w:sz w:val="16"/>
          <w:szCs w:val="16"/>
        </w:rPr>
        <w:t xml:space="preserve">Caso Manuel Cepeda Vargas Vs. </w:t>
      </w:r>
      <w:r w:rsidRPr="000214BA">
        <w:rPr>
          <w:bCs/>
          <w:i/>
          <w:sz w:val="16"/>
          <w:szCs w:val="16"/>
          <w:lang w:val="es-AR"/>
        </w:rPr>
        <w:t xml:space="preserve">Colombia. </w:t>
      </w:r>
      <w:r w:rsidRPr="000214BA">
        <w:rPr>
          <w:i/>
          <w:sz w:val="16"/>
          <w:szCs w:val="16"/>
          <w:lang w:val="es-AR"/>
        </w:rPr>
        <w:t>Excepciones Preliminares, Fondo, Reparaciones y Costas.</w:t>
      </w:r>
      <w:r w:rsidRPr="000214BA">
        <w:rPr>
          <w:sz w:val="16"/>
          <w:szCs w:val="16"/>
          <w:lang w:val="es-AR"/>
        </w:rPr>
        <w:t xml:space="preserve"> Sentencia de 26 de mayo de 2010. Serie C No. 213, párr. 17, y </w:t>
      </w:r>
      <w:r w:rsidRPr="000214BA">
        <w:rPr>
          <w:rFonts w:cs="Courier New"/>
          <w:bCs/>
          <w:i/>
          <w:noProof/>
          <w:sz w:val="16"/>
          <w:szCs w:val="16"/>
        </w:rPr>
        <w:t xml:space="preserve">Caso </w:t>
      </w:r>
      <w:r>
        <w:rPr>
          <w:rFonts w:cs="Courier New"/>
          <w:bCs/>
          <w:i/>
          <w:noProof/>
          <w:sz w:val="16"/>
          <w:szCs w:val="16"/>
        </w:rPr>
        <w:t xml:space="preserve">Vereda La Esperanza </w:t>
      </w:r>
      <w:r>
        <w:rPr>
          <w:bCs/>
          <w:i/>
          <w:sz w:val="16"/>
          <w:szCs w:val="16"/>
        </w:rPr>
        <w:t>Vs. Colombia</w:t>
      </w:r>
      <w:r w:rsidRPr="00E71B59">
        <w:rPr>
          <w:rFonts w:cs="Courier New"/>
          <w:bCs/>
          <w:noProof/>
          <w:sz w:val="16"/>
          <w:szCs w:val="16"/>
        </w:rPr>
        <w:t>,</w:t>
      </w:r>
      <w:r>
        <w:rPr>
          <w:rFonts w:cs="Courier New"/>
          <w:bCs/>
          <w:noProof/>
          <w:sz w:val="16"/>
          <w:szCs w:val="16"/>
        </w:rPr>
        <w:t xml:space="preserve"> </w:t>
      </w:r>
      <w:r w:rsidRPr="00650617">
        <w:rPr>
          <w:rFonts w:cs="Courier New"/>
          <w:bCs/>
          <w:i/>
          <w:noProof/>
          <w:sz w:val="16"/>
          <w:szCs w:val="16"/>
        </w:rPr>
        <w:t>supra</w:t>
      </w:r>
      <w:r>
        <w:rPr>
          <w:rFonts w:cs="Courier New"/>
          <w:bCs/>
          <w:noProof/>
          <w:sz w:val="16"/>
          <w:szCs w:val="16"/>
        </w:rPr>
        <w:t>,</w:t>
      </w:r>
      <w:r w:rsidRPr="00E71B59">
        <w:rPr>
          <w:rFonts w:cs="Courier New"/>
          <w:bCs/>
          <w:noProof/>
          <w:sz w:val="16"/>
          <w:szCs w:val="16"/>
        </w:rPr>
        <w:t xml:space="preserve"> párr.</w:t>
      </w:r>
      <w:r>
        <w:rPr>
          <w:rFonts w:cs="Courier New"/>
          <w:bCs/>
          <w:noProof/>
          <w:sz w:val="16"/>
          <w:szCs w:val="16"/>
        </w:rPr>
        <w:t xml:space="preserve"> 21.</w:t>
      </w:r>
      <w:r w:rsidRPr="00E71B59">
        <w:rPr>
          <w:rFonts w:cs="Courier New"/>
          <w:bCs/>
          <w:noProof/>
          <w:sz w:val="16"/>
          <w:szCs w:val="16"/>
        </w:rPr>
        <w:t xml:space="preserve"> </w:t>
      </w:r>
      <w:r w:rsidRPr="000214BA">
        <w:rPr>
          <w:rFonts w:cs="Courier New"/>
          <w:bCs/>
          <w:i/>
          <w:noProof/>
          <w:sz w:val="16"/>
          <w:szCs w:val="16"/>
        </w:rPr>
        <w:t xml:space="preserve"> </w:t>
      </w:r>
    </w:p>
  </w:footnote>
  <w:footnote w:id="17">
    <w:p w14:paraId="0178D515" w14:textId="77777777" w:rsidR="003C025E" w:rsidRPr="000214BA" w:rsidRDefault="003C025E" w:rsidP="00542AD4">
      <w:pPr>
        <w:pStyle w:val="FootnoteText"/>
        <w:tabs>
          <w:tab w:val="left" w:pos="567"/>
          <w:tab w:val="left" w:pos="709"/>
        </w:tabs>
        <w:rPr>
          <w:sz w:val="16"/>
          <w:szCs w:val="16"/>
        </w:rPr>
      </w:pPr>
      <w:r w:rsidRPr="000214BA">
        <w:rPr>
          <w:rStyle w:val="FootnoteReference"/>
          <w:rFonts w:eastAsia="Calibri"/>
          <w:sz w:val="16"/>
          <w:szCs w:val="16"/>
        </w:rPr>
        <w:footnoteRef/>
      </w:r>
      <w:r w:rsidRPr="000214BA">
        <w:rPr>
          <w:sz w:val="16"/>
          <w:szCs w:val="16"/>
        </w:rPr>
        <w:t xml:space="preserve"> </w:t>
      </w:r>
      <w:r w:rsidRPr="000214BA">
        <w:rPr>
          <w:sz w:val="16"/>
          <w:szCs w:val="16"/>
        </w:rPr>
        <w:tab/>
        <w:t>El artículo 62.3 de la Convención</w:t>
      </w:r>
      <w:r w:rsidRPr="000214BA">
        <w:rPr>
          <w:sz w:val="16"/>
          <w:szCs w:val="16"/>
          <w:lang w:val="es-CO"/>
        </w:rPr>
        <w:t xml:space="preserve"> establece: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18">
    <w:p w14:paraId="139337B6" w14:textId="738C5EE1" w:rsidR="003C025E" w:rsidRPr="000214BA" w:rsidRDefault="003C025E" w:rsidP="00542AD4">
      <w:pPr>
        <w:pStyle w:val="FootnoteText"/>
        <w:tabs>
          <w:tab w:val="left" w:pos="567"/>
          <w:tab w:val="left" w:pos="709"/>
        </w:tabs>
        <w:rPr>
          <w:sz w:val="16"/>
          <w:szCs w:val="16"/>
          <w:lang w:val="es-CO"/>
        </w:rPr>
      </w:pPr>
      <w:r w:rsidRPr="000214BA">
        <w:rPr>
          <w:rStyle w:val="FootnoteReference"/>
          <w:rFonts w:eastAsia="Calibri"/>
          <w:sz w:val="16"/>
          <w:szCs w:val="16"/>
        </w:rPr>
        <w:footnoteRef/>
      </w:r>
      <w:r w:rsidRPr="000214BA">
        <w:rPr>
          <w:sz w:val="16"/>
          <w:szCs w:val="16"/>
        </w:rPr>
        <w:t xml:space="preserve"> </w:t>
      </w:r>
      <w:r w:rsidRPr="000214BA">
        <w:rPr>
          <w:sz w:val="16"/>
          <w:szCs w:val="16"/>
        </w:rPr>
        <w:tab/>
        <w:t>El artículo 63.1 de la Convención</w:t>
      </w:r>
      <w:r>
        <w:rPr>
          <w:sz w:val="16"/>
          <w:szCs w:val="16"/>
        </w:rPr>
        <w:t>.</w:t>
      </w:r>
    </w:p>
  </w:footnote>
  <w:footnote w:id="19">
    <w:p w14:paraId="11CCF3A0" w14:textId="5D500335" w:rsidR="003C025E" w:rsidRPr="000214BA" w:rsidRDefault="003C025E" w:rsidP="00542AD4">
      <w:pPr>
        <w:tabs>
          <w:tab w:val="left" w:pos="567"/>
        </w:tabs>
        <w:rPr>
          <w:sz w:val="16"/>
          <w:szCs w:val="16"/>
          <w:lang w:bidi="en-US"/>
        </w:rPr>
      </w:pPr>
      <w:r w:rsidRPr="000214BA">
        <w:rPr>
          <w:rStyle w:val="FootnoteReference"/>
          <w:rFonts w:eastAsia="Calibri"/>
          <w:sz w:val="16"/>
          <w:szCs w:val="16"/>
        </w:rPr>
        <w:footnoteRef/>
      </w:r>
      <w:r w:rsidRPr="000214BA">
        <w:rPr>
          <w:sz w:val="16"/>
          <w:szCs w:val="16"/>
        </w:rPr>
        <w:tab/>
      </w:r>
      <w:r w:rsidRPr="00062586">
        <w:rPr>
          <w:i/>
          <w:sz w:val="16"/>
          <w:szCs w:val="16"/>
          <w:lang w:val="es-AR"/>
        </w:rPr>
        <w:t>Cfr.</w:t>
      </w:r>
      <w:r w:rsidRPr="000214BA">
        <w:rPr>
          <w:sz w:val="16"/>
          <w:szCs w:val="16"/>
          <w:lang w:val="es-AR"/>
        </w:rPr>
        <w:t xml:space="preserve"> </w:t>
      </w:r>
      <w:r w:rsidRPr="000214BA">
        <w:rPr>
          <w:rFonts w:cs="Verdana-Italic"/>
          <w:i/>
          <w:iCs/>
          <w:sz w:val="16"/>
          <w:szCs w:val="16"/>
          <w:lang w:val="es-AR" w:bidi="en-US"/>
        </w:rPr>
        <w:t xml:space="preserve">Caso Myrna </w:t>
      </w:r>
      <w:proofErr w:type="spellStart"/>
      <w:r w:rsidRPr="000214BA">
        <w:rPr>
          <w:rFonts w:cs="Verdana-Italic"/>
          <w:i/>
          <w:iCs/>
          <w:sz w:val="16"/>
          <w:szCs w:val="16"/>
          <w:lang w:val="es-AR" w:bidi="en-US"/>
        </w:rPr>
        <w:t>Mack</w:t>
      </w:r>
      <w:proofErr w:type="spellEnd"/>
      <w:r w:rsidRPr="000214BA">
        <w:rPr>
          <w:rFonts w:cs="Verdana-Italic"/>
          <w:i/>
          <w:iCs/>
          <w:sz w:val="16"/>
          <w:szCs w:val="16"/>
          <w:lang w:val="es-AR" w:bidi="en-US"/>
        </w:rPr>
        <w:t xml:space="preserve"> Chang Vs. Guatemala. </w:t>
      </w:r>
      <w:r w:rsidRPr="000214BA">
        <w:rPr>
          <w:sz w:val="16"/>
          <w:szCs w:val="16"/>
          <w:lang w:val="es-AR" w:bidi="en-US"/>
        </w:rPr>
        <w:t>Sentencia de 25 de noviembre de 2003. Serie C No. 101, párr</w:t>
      </w:r>
      <w:r w:rsidRPr="000214BA">
        <w:rPr>
          <w:rFonts w:cs="Verdana-Italic"/>
          <w:i/>
          <w:iCs/>
          <w:sz w:val="16"/>
          <w:szCs w:val="16"/>
          <w:lang w:val="es-AR" w:bidi="en-US"/>
        </w:rPr>
        <w:t xml:space="preserve">. </w:t>
      </w:r>
      <w:r w:rsidRPr="000214BA">
        <w:rPr>
          <w:sz w:val="16"/>
          <w:szCs w:val="16"/>
          <w:lang w:val="es-AR" w:bidi="en-US"/>
        </w:rPr>
        <w:t xml:space="preserve">105, y </w:t>
      </w:r>
      <w:r w:rsidRPr="000214BA">
        <w:rPr>
          <w:i/>
          <w:sz w:val="16"/>
          <w:szCs w:val="16"/>
          <w:lang w:val="es-AR"/>
        </w:rPr>
        <w:t xml:space="preserve">Caso </w:t>
      </w:r>
      <w:r>
        <w:rPr>
          <w:i/>
          <w:sz w:val="16"/>
          <w:szCs w:val="16"/>
          <w:lang w:val="es-AR"/>
        </w:rPr>
        <w:t>Ortiz Hernández y otros Vs. Venezuela, supra</w:t>
      </w:r>
      <w:r w:rsidRPr="00650617">
        <w:rPr>
          <w:sz w:val="16"/>
          <w:szCs w:val="16"/>
          <w:lang w:val="es-AR"/>
        </w:rPr>
        <w:t>, párr. 22.</w:t>
      </w:r>
    </w:p>
  </w:footnote>
  <w:footnote w:id="20">
    <w:p w14:paraId="7EAAEA12" w14:textId="4A10C45C" w:rsidR="003C025E" w:rsidRPr="00C133E5" w:rsidRDefault="003C025E" w:rsidP="00542AD4">
      <w:pPr>
        <w:pStyle w:val="FootnoteText"/>
        <w:rPr>
          <w:sz w:val="16"/>
          <w:szCs w:val="16"/>
          <w:lang w:val="es-CR"/>
        </w:rPr>
      </w:pPr>
      <w:r w:rsidRPr="000214BA">
        <w:rPr>
          <w:rStyle w:val="FootnoteReference"/>
          <w:sz w:val="16"/>
          <w:szCs w:val="16"/>
        </w:rPr>
        <w:footnoteRef/>
      </w:r>
      <w:r w:rsidRPr="000214BA">
        <w:rPr>
          <w:sz w:val="16"/>
          <w:szCs w:val="16"/>
        </w:rPr>
        <w:t xml:space="preserve"> </w:t>
      </w:r>
      <w:r>
        <w:rPr>
          <w:sz w:val="16"/>
          <w:szCs w:val="16"/>
        </w:rPr>
        <w:tab/>
      </w:r>
      <w:r w:rsidRPr="00C133E5">
        <w:rPr>
          <w:i/>
          <w:sz w:val="16"/>
          <w:szCs w:val="16"/>
        </w:rPr>
        <w:t xml:space="preserve">Cfr. Caso de la "Masacre de </w:t>
      </w:r>
      <w:proofErr w:type="spellStart"/>
      <w:r w:rsidRPr="00C133E5">
        <w:rPr>
          <w:i/>
          <w:sz w:val="16"/>
          <w:szCs w:val="16"/>
        </w:rPr>
        <w:t>Mapiripán</w:t>
      </w:r>
      <w:proofErr w:type="spellEnd"/>
      <w:r w:rsidRPr="00C133E5">
        <w:rPr>
          <w:i/>
          <w:sz w:val="16"/>
          <w:szCs w:val="16"/>
        </w:rPr>
        <w:t xml:space="preserve">" Vs. Colombia. </w:t>
      </w:r>
      <w:r w:rsidRPr="00F24D93">
        <w:rPr>
          <w:i/>
          <w:sz w:val="16"/>
          <w:szCs w:val="16"/>
        </w:rPr>
        <w:t>Fondo, Reparaciones y Costas.</w:t>
      </w:r>
      <w:r w:rsidRPr="00F24D93">
        <w:rPr>
          <w:sz w:val="16"/>
          <w:szCs w:val="16"/>
        </w:rPr>
        <w:t xml:space="preserve"> </w:t>
      </w:r>
      <w:r w:rsidRPr="00C133E5">
        <w:rPr>
          <w:sz w:val="16"/>
          <w:szCs w:val="16"/>
        </w:rPr>
        <w:t xml:space="preserve">Sentencia de 15 de septiembre de 2005. Serie C No. 134, párr. 69, y </w:t>
      </w:r>
      <w:r w:rsidRPr="00C133E5">
        <w:rPr>
          <w:rStyle w:val="Strong"/>
          <w:rFonts w:eastAsia="MS ????"/>
          <w:b w:val="0"/>
          <w:i/>
          <w:color w:val="000000"/>
          <w:sz w:val="16"/>
          <w:szCs w:val="16"/>
          <w:shd w:val="clear" w:color="auto" w:fill="FFFFFF"/>
        </w:rPr>
        <w:t>Caso Ortiz Hernández y otros Vs. Venezuela. supra</w:t>
      </w:r>
      <w:r w:rsidRPr="00C133E5">
        <w:rPr>
          <w:rStyle w:val="Strong"/>
          <w:rFonts w:eastAsia="MS ????"/>
          <w:b w:val="0"/>
          <w:color w:val="000000"/>
          <w:sz w:val="16"/>
          <w:szCs w:val="16"/>
          <w:shd w:val="clear" w:color="auto" w:fill="FFFFFF"/>
        </w:rPr>
        <w:t>, párr. 38.</w:t>
      </w:r>
    </w:p>
  </w:footnote>
  <w:footnote w:id="21">
    <w:p w14:paraId="7DE2ABC9" w14:textId="4DB0605F" w:rsidR="003C025E" w:rsidRPr="00453423" w:rsidRDefault="003C025E" w:rsidP="00542AD4">
      <w:pPr>
        <w:pStyle w:val="FootnoteText"/>
        <w:rPr>
          <w:sz w:val="16"/>
          <w:szCs w:val="16"/>
          <w:lang w:val="es-CR"/>
        </w:rPr>
      </w:pPr>
      <w:r w:rsidRPr="00C133E5">
        <w:rPr>
          <w:rStyle w:val="FootnoteReference"/>
          <w:sz w:val="16"/>
          <w:szCs w:val="16"/>
        </w:rPr>
        <w:footnoteRef/>
      </w:r>
      <w:r w:rsidRPr="00C133E5">
        <w:rPr>
          <w:sz w:val="16"/>
          <w:szCs w:val="16"/>
        </w:rPr>
        <w:t xml:space="preserve"> </w:t>
      </w:r>
      <w:r w:rsidRPr="00C133E5">
        <w:rPr>
          <w:sz w:val="16"/>
          <w:szCs w:val="16"/>
        </w:rPr>
        <w:tab/>
      </w:r>
      <w:r w:rsidRPr="00C133E5">
        <w:rPr>
          <w:i/>
          <w:sz w:val="16"/>
          <w:szCs w:val="16"/>
        </w:rPr>
        <w:t>Cfr. Caso de la Masacre de La Rochela Vs. Colombia. Fondo, Reparaciones y Costas. Sentencia de 11 de mayo de 2007. Serie C No. 163</w:t>
      </w:r>
      <w:r>
        <w:rPr>
          <w:sz w:val="16"/>
          <w:szCs w:val="16"/>
        </w:rPr>
        <w:t>, párr. 54, y</w:t>
      </w:r>
      <w:r w:rsidRPr="00C133E5">
        <w:rPr>
          <w:rStyle w:val="Strong"/>
          <w:rFonts w:eastAsia="MS ????"/>
          <w:b w:val="0"/>
          <w:i/>
          <w:color w:val="000000"/>
          <w:sz w:val="16"/>
          <w:szCs w:val="16"/>
          <w:shd w:val="clear" w:color="auto" w:fill="FFFFFF"/>
        </w:rPr>
        <w:t xml:space="preserve"> C</w:t>
      </w:r>
      <w:r w:rsidRPr="005E365A">
        <w:rPr>
          <w:rStyle w:val="Strong"/>
          <w:rFonts w:eastAsia="MS ????"/>
          <w:b w:val="0"/>
          <w:i/>
          <w:color w:val="000000"/>
          <w:sz w:val="16"/>
          <w:szCs w:val="16"/>
          <w:shd w:val="clear" w:color="auto" w:fill="FFFFFF"/>
        </w:rPr>
        <w:t>aso Ortiz Hernández y otros Vs. Venezuela. supra</w:t>
      </w:r>
      <w:r w:rsidRPr="005E365A">
        <w:rPr>
          <w:rStyle w:val="Strong"/>
          <w:rFonts w:eastAsia="MS ????"/>
          <w:b w:val="0"/>
          <w:color w:val="000000"/>
          <w:sz w:val="16"/>
          <w:szCs w:val="16"/>
          <w:shd w:val="clear" w:color="auto" w:fill="FFFFFF"/>
        </w:rPr>
        <w:t>, párr. 39.</w:t>
      </w:r>
    </w:p>
  </w:footnote>
  <w:footnote w:id="22">
    <w:p w14:paraId="3ADF8CF1" w14:textId="0ADCFC6F" w:rsidR="003C025E" w:rsidRPr="002A64C9" w:rsidRDefault="003C025E">
      <w:pPr>
        <w:pStyle w:val="FootnoteText"/>
        <w:rPr>
          <w:lang w:val="es-CR"/>
        </w:rPr>
      </w:pPr>
      <w:r w:rsidRPr="00C133E5">
        <w:rPr>
          <w:rStyle w:val="FootnoteReference"/>
          <w:rFonts w:eastAsia="Calibri"/>
          <w:sz w:val="16"/>
          <w:lang w:val="es-CR" w:eastAsia="es-CR"/>
        </w:rPr>
        <w:t>18</w:t>
      </w:r>
      <w:r>
        <w:rPr>
          <w:lang w:val="es-CR"/>
        </w:rPr>
        <w:tab/>
      </w:r>
      <w:r w:rsidRPr="002A64C9">
        <w:rPr>
          <w:sz w:val="16"/>
          <w:lang w:val="es-CR"/>
        </w:rPr>
        <w:t xml:space="preserve">Respecto de la Resolución de 14 de agosto de 2014, el Estado aclaró que dicha Resolución corresponde a la Resolución de 25 de agosto de 2014 en atención a un error de transcripción.  </w:t>
      </w:r>
    </w:p>
  </w:footnote>
  <w:footnote w:id="23">
    <w:p w14:paraId="7BE52E2F" w14:textId="4AA45F0A" w:rsidR="003C025E" w:rsidRPr="002E06CD" w:rsidRDefault="003C025E" w:rsidP="00383565">
      <w:pPr>
        <w:tabs>
          <w:tab w:val="left" w:pos="567"/>
        </w:tabs>
        <w:autoSpaceDE w:val="0"/>
        <w:autoSpaceDN w:val="0"/>
        <w:rPr>
          <w:sz w:val="16"/>
          <w:szCs w:val="16"/>
          <w:lang w:val="es-ES"/>
        </w:rPr>
      </w:pPr>
      <w:r w:rsidRPr="004D2BDB">
        <w:rPr>
          <w:rStyle w:val="FootnoteReference"/>
          <w:rFonts w:eastAsia="Calibri"/>
          <w:sz w:val="16"/>
          <w:szCs w:val="16"/>
        </w:rPr>
        <w:footnoteRef/>
      </w:r>
      <w:r w:rsidRPr="004D2BDB">
        <w:rPr>
          <w:sz w:val="16"/>
          <w:szCs w:val="16"/>
          <w:lang w:val="es-ES"/>
        </w:rPr>
        <w:tab/>
      </w:r>
      <w:r w:rsidRPr="00062586">
        <w:rPr>
          <w:i/>
          <w:sz w:val="16"/>
          <w:szCs w:val="16"/>
          <w:lang w:val="es-ES"/>
        </w:rPr>
        <w:t>Cfr.</w:t>
      </w:r>
      <w:r w:rsidRPr="005A39DD">
        <w:rPr>
          <w:sz w:val="16"/>
          <w:szCs w:val="16"/>
          <w:lang w:val="es-ES"/>
        </w:rPr>
        <w:t xml:space="preserve"> </w:t>
      </w:r>
      <w:r w:rsidRPr="008B0574">
        <w:rPr>
          <w:i/>
          <w:sz w:val="16"/>
          <w:szCs w:val="16"/>
          <w:lang w:val="es-ES"/>
        </w:rPr>
        <w:t>Caso Velásquez Rodríguez Vs. Honduras</w:t>
      </w:r>
      <w:r w:rsidRPr="008B0574">
        <w:rPr>
          <w:sz w:val="16"/>
          <w:szCs w:val="16"/>
          <w:lang w:val="es-ES"/>
        </w:rPr>
        <w:t xml:space="preserve">. </w:t>
      </w:r>
      <w:r w:rsidRPr="00132C26">
        <w:rPr>
          <w:i/>
          <w:sz w:val="16"/>
          <w:szCs w:val="16"/>
          <w:lang w:val="es-ES"/>
        </w:rPr>
        <w:t xml:space="preserve">Fondo, </w:t>
      </w:r>
      <w:r w:rsidRPr="00C133E5">
        <w:rPr>
          <w:sz w:val="16"/>
          <w:szCs w:val="16"/>
          <w:lang w:val="es-ES"/>
        </w:rPr>
        <w:t>Sentencia de 29 de julio de 1988. Serie C No. 4.</w:t>
      </w:r>
      <w:r w:rsidRPr="00AA7ACB">
        <w:rPr>
          <w:sz w:val="16"/>
          <w:szCs w:val="16"/>
          <w:lang w:val="es-ES"/>
        </w:rPr>
        <w:t xml:space="preserve"> párr. 140, y </w:t>
      </w:r>
      <w:r w:rsidRPr="00531D45">
        <w:rPr>
          <w:i/>
          <w:sz w:val="16"/>
          <w:szCs w:val="16"/>
          <w:lang w:val="es-ES"/>
        </w:rPr>
        <w:t>Caso</w:t>
      </w:r>
      <w:r>
        <w:rPr>
          <w:sz w:val="16"/>
          <w:szCs w:val="16"/>
          <w:lang w:val="es-ES"/>
        </w:rPr>
        <w:t xml:space="preserve"> </w:t>
      </w:r>
      <w:r>
        <w:rPr>
          <w:bCs/>
          <w:i/>
          <w:sz w:val="16"/>
          <w:szCs w:val="16"/>
        </w:rPr>
        <w:t xml:space="preserve">Trabajadores Cesados de Petroperú y otros Vs. Perú. Excepciones Preliminares, Fondo, Reparaciones y Costas. </w:t>
      </w:r>
      <w:r w:rsidRPr="00875847">
        <w:rPr>
          <w:bCs/>
          <w:sz w:val="16"/>
          <w:szCs w:val="16"/>
        </w:rPr>
        <w:t>Sentencia de 23 de noviembre de 2017. Serie C No. 344, párr. 74.</w:t>
      </w:r>
    </w:p>
  </w:footnote>
  <w:footnote w:id="24">
    <w:p w14:paraId="2229BE22" w14:textId="086D7F6D" w:rsidR="003C025E" w:rsidRPr="00C27894" w:rsidRDefault="003C025E" w:rsidP="00C56E9D">
      <w:pPr>
        <w:pStyle w:val="FootnoteText"/>
        <w:tabs>
          <w:tab w:val="left" w:pos="567"/>
        </w:tabs>
        <w:rPr>
          <w:sz w:val="16"/>
          <w:szCs w:val="16"/>
          <w:lang w:val="es-ES"/>
        </w:rPr>
      </w:pPr>
      <w:r w:rsidRPr="005C1E49">
        <w:rPr>
          <w:rStyle w:val="FootnoteReference"/>
          <w:rFonts w:eastAsia="Calibri"/>
          <w:sz w:val="16"/>
          <w:szCs w:val="16"/>
        </w:rPr>
        <w:footnoteRef/>
      </w:r>
      <w:r w:rsidRPr="00790FEF">
        <w:rPr>
          <w:sz w:val="16"/>
          <w:szCs w:val="16"/>
          <w:lang w:val="es-ES"/>
        </w:rPr>
        <w:t xml:space="preserve"> </w:t>
      </w:r>
      <w:r w:rsidRPr="00790FEF">
        <w:rPr>
          <w:sz w:val="16"/>
          <w:szCs w:val="16"/>
          <w:lang w:val="es-ES"/>
        </w:rPr>
        <w:tab/>
        <w:t>Los objetos de todas estas declaraciones se encuentran establecidos en la Resolución del Presidente de la Corte de 21 de septiembre de 201</w:t>
      </w:r>
      <w:r>
        <w:rPr>
          <w:sz w:val="16"/>
          <w:szCs w:val="16"/>
          <w:lang w:val="es-ES"/>
        </w:rPr>
        <w:t>7</w:t>
      </w:r>
      <w:r w:rsidRPr="00790FEF">
        <w:rPr>
          <w:sz w:val="16"/>
          <w:szCs w:val="16"/>
          <w:lang w:val="es-ES"/>
        </w:rPr>
        <w:t xml:space="preserve">, puntos resolutivos primero y quinto, la cual puede ser consultada en la página </w:t>
      </w:r>
      <w:r w:rsidRPr="00790FEF">
        <w:rPr>
          <w:i/>
          <w:sz w:val="16"/>
          <w:szCs w:val="16"/>
          <w:lang w:val="es-ES"/>
        </w:rPr>
        <w:t>web</w:t>
      </w:r>
      <w:r w:rsidRPr="00A767BE">
        <w:rPr>
          <w:sz w:val="16"/>
          <w:szCs w:val="16"/>
          <w:lang w:val="es-ES"/>
        </w:rPr>
        <w:t xml:space="preserve"> de la Corte en el siguiente enlace: </w:t>
      </w:r>
      <w:hyperlink r:id="rId3" w:history="1">
        <w:r w:rsidRPr="00C27894">
          <w:rPr>
            <w:rStyle w:val="Hyperlink"/>
            <w:sz w:val="16"/>
            <w:szCs w:val="16"/>
            <w:lang w:val="es-ES"/>
          </w:rPr>
          <w:t>http://www.corteidh.or.cr/docs/asuntos/poblete_21_09_17.pdf</w:t>
        </w:r>
      </w:hyperlink>
      <w:r w:rsidRPr="00C27894">
        <w:rPr>
          <w:sz w:val="16"/>
          <w:szCs w:val="16"/>
          <w:lang w:val="es-ES"/>
        </w:rPr>
        <w:t xml:space="preserve"> </w:t>
      </w:r>
    </w:p>
  </w:footnote>
  <w:footnote w:id="25">
    <w:p w14:paraId="366FD7F9" w14:textId="7743A260" w:rsidR="003C025E" w:rsidRPr="00C27894" w:rsidRDefault="003C025E" w:rsidP="00383565">
      <w:pPr>
        <w:pStyle w:val="FootnoteText"/>
        <w:tabs>
          <w:tab w:val="left" w:pos="567"/>
        </w:tabs>
        <w:rPr>
          <w:sz w:val="16"/>
          <w:szCs w:val="16"/>
          <w:lang w:val="es-ES"/>
        </w:rPr>
      </w:pPr>
      <w:r w:rsidRPr="00C27894">
        <w:rPr>
          <w:rStyle w:val="FootnoteReference"/>
          <w:rFonts w:eastAsia="Calibri"/>
          <w:sz w:val="16"/>
          <w:szCs w:val="16"/>
        </w:rPr>
        <w:footnoteRef/>
      </w:r>
      <w:r w:rsidRPr="00C27894">
        <w:rPr>
          <w:sz w:val="16"/>
          <w:szCs w:val="16"/>
          <w:lang w:val="es-ES"/>
        </w:rPr>
        <w:t xml:space="preserve"> </w:t>
      </w:r>
      <w:r w:rsidRPr="00C27894">
        <w:rPr>
          <w:sz w:val="16"/>
          <w:szCs w:val="16"/>
          <w:lang w:val="es-ES"/>
        </w:rPr>
        <w:tab/>
      </w:r>
      <w:r w:rsidRPr="00062586">
        <w:rPr>
          <w:i/>
          <w:sz w:val="16"/>
          <w:szCs w:val="16"/>
          <w:lang w:val="es-ES"/>
        </w:rPr>
        <w:t>Cfr.</w:t>
      </w:r>
      <w:r w:rsidRPr="00C27894">
        <w:rPr>
          <w:i/>
          <w:sz w:val="16"/>
          <w:szCs w:val="16"/>
          <w:lang w:val="es-ES"/>
        </w:rPr>
        <w:t xml:space="preserve"> </w:t>
      </w:r>
      <w:r w:rsidRPr="00C27894">
        <w:rPr>
          <w:rFonts w:cs="Verdana-Bold"/>
          <w:bCs/>
          <w:i/>
          <w:sz w:val="16"/>
          <w:szCs w:val="16"/>
          <w:lang w:bidi="en-US"/>
        </w:rPr>
        <w:t>Caso</w:t>
      </w:r>
      <w:r>
        <w:rPr>
          <w:rFonts w:cs="Verdana-Bold"/>
          <w:bCs/>
          <w:i/>
          <w:sz w:val="16"/>
          <w:szCs w:val="16"/>
          <w:lang w:bidi="en-US"/>
        </w:rPr>
        <w:t xml:space="preserve"> </w:t>
      </w:r>
      <w:proofErr w:type="spellStart"/>
      <w:r>
        <w:rPr>
          <w:rFonts w:cs="Verdana-Bold"/>
          <w:bCs/>
          <w:i/>
          <w:sz w:val="16"/>
          <w:szCs w:val="16"/>
          <w:lang w:bidi="en-US"/>
        </w:rPr>
        <w:t>Barbani</w:t>
      </w:r>
      <w:proofErr w:type="spellEnd"/>
      <w:r>
        <w:rPr>
          <w:rFonts w:cs="Verdana-Bold"/>
          <w:bCs/>
          <w:i/>
          <w:sz w:val="16"/>
          <w:szCs w:val="16"/>
          <w:lang w:bidi="en-US"/>
        </w:rPr>
        <w:t xml:space="preserve"> Duarte y otros Vs. Uruguay. Fondo, Reparaciones y Costas. </w:t>
      </w:r>
      <w:r w:rsidRPr="00875847">
        <w:rPr>
          <w:rFonts w:cs="Verdana-Bold"/>
          <w:bCs/>
          <w:sz w:val="16"/>
          <w:szCs w:val="16"/>
          <w:lang w:bidi="en-US"/>
        </w:rPr>
        <w:t>Sentencia de 13 de octubre de 2011. Serie C No. 234, párr.22,</w:t>
      </w:r>
      <w:r>
        <w:rPr>
          <w:rFonts w:cs="Verdana-Bold"/>
          <w:bCs/>
          <w:sz w:val="16"/>
          <w:szCs w:val="16"/>
          <w:lang w:bidi="en-US"/>
        </w:rPr>
        <w:t xml:space="preserve"> </w:t>
      </w:r>
      <w:r w:rsidRPr="00C27894">
        <w:rPr>
          <w:sz w:val="16"/>
          <w:szCs w:val="16"/>
          <w:lang w:val="es-ES"/>
        </w:rPr>
        <w:t xml:space="preserve">y </w:t>
      </w:r>
      <w:r w:rsidRPr="00C27894">
        <w:rPr>
          <w:bCs/>
          <w:i/>
          <w:sz w:val="16"/>
          <w:szCs w:val="16"/>
        </w:rPr>
        <w:t xml:space="preserve">Caso </w:t>
      </w:r>
      <w:r>
        <w:rPr>
          <w:bCs/>
          <w:i/>
          <w:sz w:val="16"/>
          <w:szCs w:val="16"/>
        </w:rPr>
        <w:t xml:space="preserve">Trabajadores Cesados de Petroperú, supra, </w:t>
      </w:r>
      <w:r w:rsidRPr="00875847">
        <w:rPr>
          <w:bCs/>
          <w:sz w:val="16"/>
          <w:szCs w:val="16"/>
        </w:rPr>
        <w:t>párr. 75.</w:t>
      </w:r>
    </w:p>
  </w:footnote>
  <w:footnote w:id="26">
    <w:p w14:paraId="7BBD3914" w14:textId="05C765B7" w:rsidR="003C025E" w:rsidRPr="005750AB" w:rsidRDefault="003C025E" w:rsidP="001C4462">
      <w:pPr>
        <w:pStyle w:val="FootnoteText"/>
        <w:rPr>
          <w:sz w:val="16"/>
          <w:szCs w:val="16"/>
        </w:rPr>
      </w:pPr>
      <w:r w:rsidRPr="00C27894">
        <w:rPr>
          <w:rStyle w:val="FootnoteReference"/>
          <w:rFonts w:eastAsia="Calibri"/>
          <w:sz w:val="16"/>
          <w:szCs w:val="16"/>
        </w:rPr>
        <w:footnoteRef/>
      </w:r>
      <w:r w:rsidRPr="00C27894">
        <w:rPr>
          <w:rStyle w:val="FootnoteReference"/>
          <w:rFonts w:eastAsia="Calibri"/>
          <w:sz w:val="16"/>
          <w:szCs w:val="16"/>
        </w:rPr>
        <w:t xml:space="preserve"> </w:t>
      </w:r>
      <w:r w:rsidRPr="00C27894">
        <w:rPr>
          <w:sz w:val="16"/>
          <w:szCs w:val="16"/>
        </w:rPr>
        <w:tab/>
      </w:r>
      <w:r w:rsidRPr="00062586">
        <w:rPr>
          <w:i/>
          <w:sz w:val="16"/>
          <w:szCs w:val="16"/>
          <w:lang w:val="es-ES"/>
        </w:rPr>
        <w:t>Cfr.</w:t>
      </w:r>
      <w:r w:rsidRPr="00C27894">
        <w:rPr>
          <w:sz w:val="16"/>
          <w:szCs w:val="16"/>
          <w:lang w:val="es-ES"/>
        </w:rPr>
        <w:t xml:space="preserve"> </w:t>
      </w:r>
      <w:r w:rsidRPr="00C27894">
        <w:rPr>
          <w:i/>
          <w:sz w:val="16"/>
          <w:szCs w:val="16"/>
          <w:lang w:val="es-ES"/>
        </w:rPr>
        <w:t>Caso Galindo Cárdenas y otros Vs. Perú</w:t>
      </w:r>
      <w:r>
        <w:rPr>
          <w:sz w:val="16"/>
          <w:szCs w:val="16"/>
          <w:lang w:val="es-ES"/>
        </w:rPr>
        <w:t xml:space="preserve">. </w:t>
      </w:r>
      <w:r w:rsidRPr="00875847">
        <w:rPr>
          <w:i/>
          <w:sz w:val="16"/>
          <w:szCs w:val="16"/>
          <w:lang w:val="es-ES"/>
        </w:rPr>
        <w:t>Excepciones Preliminares, Fondo, Reparaciones y Costas</w:t>
      </w:r>
      <w:r>
        <w:rPr>
          <w:sz w:val="16"/>
          <w:szCs w:val="16"/>
          <w:lang w:val="es-ES"/>
        </w:rPr>
        <w:t>. Sentencia de 2 de octubre de 2015. Serie C No. 301, párr. 70</w:t>
      </w:r>
      <w:r w:rsidRPr="00C27894">
        <w:rPr>
          <w:sz w:val="16"/>
          <w:szCs w:val="16"/>
          <w:lang w:val="es-ES"/>
        </w:rPr>
        <w:t xml:space="preserve">, y </w:t>
      </w:r>
      <w:r w:rsidRPr="00C27894">
        <w:rPr>
          <w:i/>
          <w:sz w:val="16"/>
          <w:szCs w:val="16"/>
          <w:lang w:val="es-ES"/>
        </w:rPr>
        <w:t>Caso</w:t>
      </w:r>
      <w:r>
        <w:rPr>
          <w:i/>
          <w:sz w:val="16"/>
          <w:szCs w:val="16"/>
          <w:lang w:val="es-ES"/>
        </w:rPr>
        <w:t xml:space="preserve"> </w:t>
      </w:r>
      <w:r>
        <w:rPr>
          <w:bCs/>
          <w:i/>
          <w:sz w:val="16"/>
          <w:szCs w:val="16"/>
        </w:rPr>
        <w:t xml:space="preserve">Trabajadores Cesados de Petroperú, supra, </w:t>
      </w:r>
      <w:r w:rsidRPr="00E71B59">
        <w:rPr>
          <w:bCs/>
          <w:sz w:val="16"/>
          <w:szCs w:val="16"/>
        </w:rPr>
        <w:t>párr. 75.</w:t>
      </w:r>
      <w:r w:rsidRPr="00C27894">
        <w:rPr>
          <w:i/>
          <w:sz w:val="16"/>
          <w:szCs w:val="16"/>
          <w:lang w:val="es-ES"/>
        </w:rPr>
        <w:t xml:space="preserve"> </w:t>
      </w:r>
    </w:p>
  </w:footnote>
  <w:footnote w:id="27">
    <w:p w14:paraId="2543BB5D" w14:textId="25B89347" w:rsidR="003C025E" w:rsidRPr="00453423" w:rsidRDefault="003C025E" w:rsidP="00383565">
      <w:pPr>
        <w:tabs>
          <w:tab w:val="left" w:pos="567"/>
        </w:tabs>
        <w:rPr>
          <w:i/>
          <w:sz w:val="16"/>
          <w:szCs w:val="16"/>
          <w:lang w:val="es-ES"/>
        </w:rPr>
      </w:pPr>
      <w:r w:rsidRPr="004D2BDB">
        <w:rPr>
          <w:rStyle w:val="FootnoteReference"/>
          <w:rFonts w:eastAsia="Calibri"/>
          <w:sz w:val="16"/>
          <w:szCs w:val="16"/>
        </w:rPr>
        <w:footnoteRef/>
      </w:r>
      <w:r w:rsidRPr="004D2BDB">
        <w:rPr>
          <w:sz w:val="16"/>
          <w:szCs w:val="16"/>
          <w:vertAlign w:val="superscript"/>
          <w:lang w:val="es-ES"/>
        </w:rPr>
        <w:t xml:space="preserve"> </w:t>
      </w:r>
      <w:r>
        <w:rPr>
          <w:sz w:val="16"/>
          <w:szCs w:val="16"/>
          <w:lang w:val="es-ES"/>
        </w:rPr>
        <w:tab/>
      </w:r>
      <w:r w:rsidRPr="00062586">
        <w:rPr>
          <w:i/>
          <w:sz w:val="16"/>
          <w:szCs w:val="16"/>
          <w:lang w:val="es-ES"/>
        </w:rPr>
        <w:t>Cfr.</w:t>
      </w:r>
      <w:r w:rsidRPr="005A39DD">
        <w:rPr>
          <w:bCs/>
          <w:i/>
          <w:sz w:val="16"/>
          <w:szCs w:val="16"/>
          <w:lang w:val="es-ES"/>
        </w:rPr>
        <w:t xml:space="preserve"> </w:t>
      </w:r>
      <w:r w:rsidRPr="008B0574">
        <w:rPr>
          <w:i/>
          <w:sz w:val="16"/>
          <w:szCs w:val="16"/>
          <w:lang w:val="es-ES"/>
        </w:rPr>
        <w:t xml:space="preserve">Caso de la “Panel Blanca” (Paniagua Morales y otros) Vs. Guatemala. Fondo. </w:t>
      </w:r>
      <w:r w:rsidRPr="008B0574">
        <w:rPr>
          <w:sz w:val="16"/>
          <w:szCs w:val="16"/>
          <w:lang w:val="es-ES"/>
        </w:rPr>
        <w:t xml:space="preserve">Sentencia de 8 de marzo de 1998. Serie C No. 37, </w:t>
      </w:r>
      <w:proofErr w:type="spellStart"/>
      <w:r w:rsidRPr="008B0574">
        <w:rPr>
          <w:sz w:val="16"/>
          <w:szCs w:val="16"/>
          <w:lang w:val="es-ES"/>
        </w:rPr>
        <w:t>párrs</w:t>
      </w:r>
      <w:proofErr w:type="spellEnd"/>
      <w:r w:rsidRPr="008B0574">
        <w:rPr>
          <w:sz w:val="16"/>
          <w:szCs w:val="16"/>
          <w:lang w:val="es-ES"/>
        </w:rPr>
        <w:t xml:space="preserve">. 69 a 76, y </w:t>
      </w:r>
      <w:r w:rsidRPr="00132C26">
        <w:rPr>
          <w:bCs/>
          <w:i/>
          <w:sz w:val="16"/>
          <w:szCs w:val="16"/>
        </w:rPr>
        <w:t xml:space="preserve">Caso </w:t>
      </w:r>
      <w:r>
        <w:rPr>
          <w:bCs/>
          <w:i/>
          <w:sz w:val="16"/>
          <w:szCs w:val="16"/>
        </w:rPr>
        <w:t xml:space="preserve">Trabajadores Cesados de Petroperú, supra, </w:t>
      </w:r>
      <w:r w:rsidRPr="00E71B59">
        <w:rPr>
          <w:bCs/>
          <w:sz w:val="16"/>
          <w:szCs w:val="16"/>
        </w:rPr>
        <w:t xml:space="preserve">párr. </w:t>
      </w:r>
      <w:r>
        <w:rPr>
          <w:bCs/>
          <w:sz w:val="16"/>
          <w:szCs w:val="16"/>
        </w:rPr>
        <w:t>79.</w:t>
      </w:r>
      <w:r w:rsidRPr="00132C26">
        <w:rPr>
          <w:bCs/>
          <w:i/>
          <w:sz w:val="16"/>
          <w:szCs w:val="16"/>
        </w:rPr>
        <w:t xml:space="preserve"> </w:t>
      </w:r>
    </w:p>
  </w:footnote>
  <w:footnote w:id="28">
    <w:p w14:paraId="3277A572" w14:textId="20D06768" w:rsidR="003C025E" w:rsidRPr="00453423" w:rsidRDefault="003C025E" w:rsidP="00383565">
      <w:pPr>
        <w:tabs>
          <w:tab w:val="left" w:pos="567"/>
        </w:tabs>
        <w:rPr>
          <w:sz w:val="16"/>
          <w:szCs w:val="16"/>
          <w:lang w:val="es-ES"/>
        </w:rPr>
      </w:pPr>
      <w:r w:rsidRPr="004D2BDB">
        <w:rPr>
          <w:rStyle w:val="FootnoteReference"/>
          <w:rFonts w:eastAsia="Calibri"/>
          <w:sz w:val="16"/>
          <w:szCs w:val="16"/>
        </w:rPr>
        <w:footnoteRef/>
      </w:r>
      <w:r w:rsidRPr="004D2BDB">
        <w:rPr>
          <w:sz w:val="16"/>
          <w:szCs w:val="16"/>
          <w:lang w:val="es-ES"/>
        </w:rPr>
        <w:t xml:space="preserve"> </w:t>
      </w:r>
      <w:r w:rsidRPr="004D2BDB">
        <w:rPr>
          <w:sz w:val="16"/>
          <w:szCs w:val="16"/>
          <w:lang w:val="es-ES"/>
        </w:rPr>
        <w:tab/>
      </w:r>
      <w:r w:rsidRPr="00062586">
        <w:rPr>
          <w:i/>
          <w:sz w:val="16"/>
          <w:szCs w:val="16"/>
          <w:lang w:val="es-ES"/>
        </w:rPr>
        <w:t>Cfr.</w:t>
      </w:r>
      <w:r w:rsidRPr="004D2BDB">
        <w:rPr>
          <w:i/>
          <w:sz w:val="16"/>
          <w:szCs w:val="16"/>
          <w:lang w:val="es-ES"/>
        </w:rPr>
        <w:t xml:space="preserve"> Caso Loayza Tam</w:t>
      </w:r>
      <w:r w:rsidRPr="00D315EA">
        <w:rPr>
          <w:i/>
          <w:sz w:val="16"/>
          <w:szCs w:val="16"/>
          <w:lang w:val="es-ES"/>
        </w:rPr>
        <w:t xml:space="preserve">ayo Vs. Perú. Fondo. </w:t>
      </w:r>
      <w:r w:rsidRPr="005A39DD">
        <w:rPr>
          <w:sz w:val="16"/>
          <w:szCs w:val="16"/>
          <w:lang w:val="es-ES"/>
        </w:rPr>
        <w:t>Sentencia de 17 de septiembr</w:t>
      </w:r>
      <w:r w:rsidRPr="008B0574">
        <w:rPr>
          <w:sz w:val="16"/>
          <w:szCs w:val="16"/>
          <w:lang w:val="es-ES"/>
        </w:rPr>
        <w:t xml:space="preserve">e de 1997. Serie C No. 33, párr. 43, y </w:t>
      </w:r>
      <w:r w:rsidRPr="00132C26">
        <w:rPr>
          <w:bCs/>
          <w:i/>
          <w:sz w:val="16"/>
          <w:szCs w:val="16"/>
        </w:rPr>
        <w:t xml:space="preserve">Caso </w:t>
      </w:r>
      <w:r>
        <w:rPr>
          <w:bCs/>
          <w:i/>
          <w:sz w:val="16"/>
          <w:szCs w:val="16"/>
        </w:rPr>
        <w:t xml:space="preserve">Lagos del Campo Vs. Perú. Excepciones Preliminares, Fondo, Reparaciones y Costas. </w:t>
      </w:r>
      <w:r w:rsidRPr="00875847">
        <w:rPr>
          <w:bCs/>
          <w:sz w:val="16"/>
          <w:szCs w:val="16"/>
        </w:rPr>
        <w:t>Sentencia de 31 de agosto de 2017. Serie C No. 340, párr. 35.</w:t>
      </w:r>
    </w:p>
  </w:footnote>
  <w:footnote w:id="29">
    <w:p w14:paraId="3312C4E8" w14:textId="23300662" w:rsidR="003C025E" w:rsidRPr="002E06CD" w:rsidRDefault="003C025E" w:rsidP="00E22B60">
      <w:pPr>
        <w:pStyle w:val="FootnoteText"/>
        <w:ind w:right="-360"/>
        <w:rPr>
          <w:sz w:val="16"/>
          <w:szCs w:val="16"/>
          <w:lang w:val="es-MX"/>
        </w:rPr>
      </w:pPr>
      <w:r w:rsidRPr="00453423">
        <w:rPr>
          <w:rStyle w:val="FootnoteReference"/>
          <w:rFonts w:eastAsia="MS Mincho"/>
          <w:sz w:val="16"/>
          <w:szCs w:val="16"/>
        </w:rPr>
        <w:footnoteRef/>
      </w:r>
      <w:r w:rsidRPr="00E279BB">
        <w:rPr>
          <w:sz w:val="16"/>
          <w:szCs w:val="16"/>
        </w:rPr>
        <w:t xml:space="preserve"> </w:t>
      </w:r>
      <w:r>
        <w:rPr>
          <w:sz w:val="16"/>
          <w:szCs w:val="16"/>
        </w:rPr>
        <w:t xml:space="preserve"> </w:t>
      </w:r>
      <w:r w:rsidRPr="00E279BB">
        <w:rPr>
          <w:sz w:val="16"/>
          <w:szCs w:val="16"/>
        </w:rPr>
        <w:t>Certificado de defunción de Vinicio Antonio Poblete Vilches emitido por el Servicio de Registro Civil e Identificación Chile el 9 de marzo de 2001 (expediente de prueba, anexo 1 del Informe de Fondo, f. 7)</w:t>
      </w:r>
      <w:r>
        <w:rPr>
          <w:sz w:val="16"/>
          <w:szCs w:val="16"/>
        </w:rPr>
        <w:t>.</w:t>
      </w:r>
    </w:p>
  </w:footnote>
  <w:footnote w:id="30">
    <w:p w14:paraId="7218BE7D" w14:textId="4A022C7F" w:rsidR="003C025E" w:rsidRPr="00BF56F2" w:rsidRDefault="003C025E" w:rsidP="00C133E5">
      <w:pPr>
        <w:pStyle w:val="BodyText"/>
        <w:spacing w:after="0"/>
        <w:ind w:right="-357"/>
        <w:rPr>
          <w:rFonts w:eastAsia="Calibri"/>
          <w:sz w:val="16"/>
          <w:szCs w:val="16"/>
          <w:lang w:val="es-MX"/>
        </w:rPr>
      </w:pPr>
      <w:r w:rsidRPr="005C1E49">
        <w:rPr>
          <w:rStyle w:val="FootnoteReference"/>
          <w:rFonts w:eastAsia="MS Mincho"/>
          <w:sz w:val="16"/>
          <w:szCs w:val="16"/>
        </w:rPr>
        <w:footnoteRef/>
      </w:r>
      <w:r w:rsidRPr="005C1E49">
        <w:rPr>
          <w:sz w:val="16"/>
          <w:szCs w:val="16"/>
          <w:lang w:val="es-HN"/>
        </w:rPr>
        <w:t xml:space="preserve"> </w:t>
      </w:r>
      <w:r>
        <w:rPr>
          <w:sz w:val="16"/>
          <w:szCs w:val="16"/>
          <w:lang w:val="es-HN"/>
        </w:rPr>
        <w:tab/>
      </w:r>
      <w:r w:rsidRPr="00062586">
        <w:rPr>
          <w:i/>
          <w:sz w:val="16"/>
          <w:szCs w:val="16"/>
          <w:lang w:val="es-HN"/>
        </w:rPr>
        <w:t>Cfr.</w:t>
      </w:r>
      <w:r w:rsidRPr="00304859">
        <w:rPr>
          <w:i/>
          <w:sz w:val="16"/>
          <w:szCs w:val="16"/>
          <w:lang w:val="es-HN"/>
        </w:rPr>
        <w:t xml:space="preserve"> </w:t>
      </w:r>
      <w:r w:rsidRPr="00C64243">
        <w:rPr>
          <w:rFonts w:eastAsia="Calibri"/>
          <w:sz w:val="16"/>
          <w:szCs w:val="16"/>
          <w:lang w:val="es-MX"/>
        </w:rPr>
        <w:t>Declaración rendida por Vinicio Marco Antonio Poblete Tapia ante la Corte en la audiencia pública del 19 de octubre de 2017 (Transcripción de audiencia pública sobre fondo, eventuales reparaciones y costas; 19 de octubre de 2017, pág. 96)</w:t>
      </w:r>
      <w:r w:rsidRPr="00C64243">
        <w:rPr>
          <w:sz w:val="16"/>
          <w:szCs w:val="16"/>
          <w:lang w:val="es-MX"/>
        </w:rPr>
        <w:t>,</w:t>
      </w:r>
      <w:r w:rsidRPr="006E1367">
        <w:rPr>
          <w:sz w:val="16"/>
          <w:szCs w:val="16"/>
        </w:rPr>
        <w:t xml:space="preserve"> </w:t>
      </w:r>
      <w:r>
        <w:rPr>
          <w:sz w:val="16"/>
          <w:szCs w:val="16"/>
        </w:rPr>
        <w:t xml:space="preserve">y </w:t>
      </w:r>
      <w:r w:rsidRPr="006E1367">
        <w:rPr>
          <w:sz w:val="16"/>
          <w:szCs w:val="16"/>
          <w:lang w:val="es-MX"/>
        </w:rPr>
        <w:t xml:space="preserve">Declaración rendida ante fedatario público por </w:t>
      </w:r>
      <w:proofErr w:type="spellStart"/>
      <w:r w:rsidRPr="006E1367">
        <w:rPr>
          <w:sz w:val="16"/>
          <w:szCs w:val="16"/>
          <w:lang w:val="es-MX"/>
        </w:rPr>
        <w:t>Cesia</w:t>
      </w:r>
      <w:proofErr w:type="spellEnd"/>
      <w:r w:rsidRPr="006E1367">
        <w:rPr>
          <w:sz w:val="16"/>
          <w:szCs w:val="16"/>
          <w:lang w:val="es-MX"/>
        </w:rPr>
        <w:t xml:space="preserve"> Leila Siria Poblete Tapia el 6 de octubre de 2017 (expediente de prueba, </w:t>
      </w:r>
      <w:r w:rsidRPr="00C64243">
        <w:rPr>
          <w:i/>
          <w:sz w:val="16"/>
          <w:szCs w:val="16"/>
          <w:lang w:val="es-MX"/>
        </w:rPr>
        <w:t>affidávits</w:t>
      </w:r>
      <w:r w:rsidRPr="006E1367">
        <w:rPr>
          <w:sz w:val="16"/>
          <w:szCs w:val="16"/>
          <w:lang w:val="es-MX"/>
        </w:rPr>
        <w:t>, f</w:t>
      </w:r>
      <w:r>
        <w:rPr>
          <w:sz w:val="16"/>
          <w:szCs w:val="16"/>
          <w:lang w:val="es-MX"/>
        </w:rPr>
        <w:t xml:space="preserve">. </w:t>
      </w:r>
      <w:r w:rsidRPr="006E1367">
        <w:rPr>
          <w:sz w:val="16"/>
          <w:szCs w:val="16"/>
          <w:lang w:val="es-MX"/>
        </w:rPr>
        <w:t>4462).</w:t>
      </w:r>
      <w:r>
        <w:rPr>
          <w:b/>
          <w:i/>
          <w:sz w:val="16"/>
          <w:szCs w:val="16"/>
          <w:lang w:val="es-MX"/>
        </w:rPr>
        <w:t xml:space="preserve"> </w:t>
      </w:r>
      <w:r>
        <w:rPr>
          <w:sz w:val="16"/>
          <w:szCs w:val="16"/>
          <w:lang w:val="es-MX"/>
        </w:rPr>
        <w:t>Por su parte, l</w:t>
      </w:r>
      <w:r w:rsidRPr="00C77484">
        <w:rPr>
          <w:sz w:val="16"/>
          <w:szCs w:val="16"/>
          <w:lang w:val="es-MX"/>
        </w:rPr>
        <w:t>a señora Blanca Tapia Encina falleció el 13 de enero de 2003 por estado séptico y cáncer de vesícula biliar con metástasis múltiple</w:t>
      </w:r>
      <w:r>
        <w:rPr>
          <w:sz w:val="16"/>
          <w:szCs w:val="16"/>
          <w:lang w:val="es-MX"/>
        </w:rPr>
        <w:t>s, mientras que e</w:t>
      </w:r>
      <w:r w:rsidRPr="00C77484">
        <w:rPr>
          <w:sz w:val="16"/>
          <w:szCs w:val="16"/>
          <w:lang w:val="es-MX"/>
        </w:rPr>
        <w:t>l señor Gonzalo Poblete Tapia presentaba daño cerebral y una invalidez física y falleció el 4 de diciembre de 2011.</w:t>
      </w:r>
      <w:r>
        <w:rPr>
          <w:sz w:val="16"/>
          <w:szCs w:val="16"/>
          <w:lang w:val="es-MX"/>
        </w:rPr>
        <w:t xml:space="preserve"> </w:t>
      </w:r>
      <w:r w:rsidRPr="00062586">
        <w:rPr>
          <w:i/>
          <w:sz w:val="16"/>
          <w:szCs w:val="16"/>
          <w:lang w:val="es-MX"/>
        </w:rPr>
        <w:t>Cfr.</w:t>
      </w:r>
      <w:r>
        <w:rPr>
          <w:i/>
          <w:sz w:val="16"/>
          <w:szCs w:val="16"/>
          <w:lang w:val="es-MX"/>
        </w:rPr>
        <w:t xml:space="preserve"> </w:t>
      </w:r>
      <w:r w:rsidRPr="00B11C14">
        <w:rPr>
          <w:sz w:val="16"/>
          <w:szCs w:val="16"/>
        </w:rPr>
        <w:t>Certificado de defunción de Blanca Margarita Tapia Encina emitido por el Servicio de Registro Civil e Identificación Chile del 14 de enero de 2003 (expediente de prueba, anexo 17 del Informe de Fondo, f. 126)</w:t>
      </w:r>
      <w:r>
        <w:rPr>
          <w:sz w:val="16"/>
          <w:szCs w:val="16"/>
        </w:rPr>
        <w:t xml:space="preserve">, y </w:t>
      </w:r>
      <w:r w:rsidRPr="00165FB4">
        <w:rPr>
          <w:sz w:val="16"/>
          <w:szCs w:val="16"/>
        </w:rPr>
        <w:t>Declaración del señor Vinicio Marco Antonio Poblete Tapia ante la Corte en la audiencia pú</w:t>
      </w:r>
      <w:r>
        <w:rPr>
          <w:sz w:val="16"/>
          <w:szCs w:val="16"/>
        </w:rPr>
        <w:t xml:space="preserve">blica del 19 de octubre de 2017, </w:t>
      </w:r>
      <w:r w:rsidRPr="00062586">
        <w:rPr>
          <w:i/>
          <w:sz w:val="16"/>
          <w:szCs w:val="16"/>
        </w:rPr>
        <w:t>supra</w:t>
      </w:r>
      <w:r w:rsidRPr="00165FB4">
        <w:rPr>
          <w:sz w:val="16"/>
          <w:szCs w:val="16"/>
        </w:rPr>
        <w:t>, pág</w:t>
      </w:r>
      <w:r>
        <w:rPr>
          <w:sz w:val="16"/>
          <w:szCs w:val="16"/>
        </w:rPr>
        <w:t>s</w:t>
      </w:r>
      <w:r w:rsidRPr="00165FB4">
        <w:rPr>
          <w:sz w:val="16"/>
          <w:szCs w:val="16"/>
        </w:rPr>
        <w:t xml:space="preserve">. </w:t>
      </w:r>
      <w:r>
        <w:rPr>
          <w:sz w:val="16"/>
          <w:szCs w:val="16"/>
        </w:rPr>
        <w:t>20 y 96, y</w:t>
      </w:r>
      <w:r w:rsidRPr="00165FB4">
        <w:rPr>
          <w:sz w:val="16"/>
          <w:szCs w:val="16"/>
        </w:rPr>
        <w:t xml:space="preserve"> Declaración rendida ante fedatario público por </w:t>
      </w:r>
      <w:proofErr w:type="spellStart"/>
      <w:r w:rsidRPr="00165FB4">
        <w:rPr>
          <w:sz w:val="16"/>
          <w:szCs w:val="16"/>
        </w:rPr>
        <w:t>Cesia</w:t>
      </w:r>
      <w:proofErr w:type="spellEnd"/>
      <w:r w:rsidRPr="00165FB4">
        <w:rPr>
          <w:sz w:val="16"/>
          <w:szCs w:val="16"/>
        </w:rPr>
        <w:t xml:space="preserve"> Leila Siria Poblete Tapia el 6 de octubre de 2017, </w:t>
      </w:r>
      <w:r w:rsidRPr="00062586">
        <w:rPr>
          <w:i/>
          <w:sz w:val="16"/>
          <w:szCs w:val="16"/>
        </w:rPr>
        <w:t>supra</w:t>
      </w:r>
      <w:r>
        <w:rPr>
          <w:sz w:val="16"/>
          <w:szCs w:val="16"/>
        </w:rPr>
        <w:t>, (expediente de prueba,</w:t>
      </w:r>
      <w:r>
        <w:rPr>
          <w:i/>
          <w:sz w:val="16"/>
          <w:szCs w:val="16"/>
        </w:rPr>
        <w:t xml:space="preserve"> </w:t>
      </w:r>
      <w:r w:rsidRPr="00165FB4">
        <w:rPr>
          <w:sz w:val="16"/>
          <w:szCs w:val="16"/>
        </w:rPr>
        <w:t>f</w:t>
      </w:r>
      <w:r>
        <w:rPr>
          <w:sz w:val="16"/>
          <w:szCs w:val="16"/>
        </w:rPr>
        <w:t>.</w:t>
      </w:r>
      <w:r w:rsidRPr="00165FB4">
        <w:rPr>
          <w:sz w:val="16"/>
          <w:szCs w:val="16"/>
        </w:rPr>
        <w:t xml:space="preserve"> 4467).</w:t>
      </w:r>
    </w:p>
  </w:footnote>
  <w:footnote w:id="31">
    <w:p w14:paraId="3A50A2D1" w14:textId="1EDEE40B" w:rsidR="003C025E" w:rsidRPr="008B0574" w:rsidRDefault="003C025E" w:rsidP="00C133E5">
      <w:pPr>
        <w:pStyle w:val="FootnoteText"/>
        <w:ind w:right="-357"/>
        <w:rPr>
          <w:sz w:val="16"/>
          <w:szCs w:val="16"/>
          <w:lang w:val="es-MX"/>
        </w:rPr>
      </w:pPr>
      <w:r w:rsidRPr="005A39DD">
        <w:rPr>
          <w:rStyle w:val="FootnoteReference"/>
          <w:rFonts w:eastAsia="MS Mincho"/>
          <w:sz w:val="16"/>
          <w:szCs w:val="16"/>
        </w:rPr>
        <w:footnoteRef/>
      </w:r>
      <w:r w:rsidRPr="008B0574">
        <w:rPr>
          <w:sz w:val="16"/>
          <w:szCs w:val="16"/>
        </w:rPr>
        <w:t xml:space="preserve"> </w:t>
      </w:r>
      <w:r w:rsidRPr="008B0574">
        <w:rPr>
          <w:sz w:val="16"/>
          <w:szCs w:val="16"/>
        </w:rPr>
        <w:tab/>
      </w:r>
      <w:r w:rsidRPr="00062586">
        <w:rPr>
          <w:i/>
          <w:sz w:val="16"/>
          <w:szCs w:val="16"/>
          <w:lang w:val="es-MX"/>
        </w:rPr>
        <w:t>Cfr.</w:t>
      </w:r>
      <w:r w:rsidRPr="00A4375A">
        <w:rPr>
          <w:i/>
          <w:sz w:val="16"/>
          <w:szCs w:val="16"/>
          <w:lang w:val="es-MX"/>
        </w:rPr>
        <w:t xml:space="preserve"> </w:t>
      </w:r>
      <w:r w:rsidRPr="00C64243">
        <w:rPr>
          <w:sz w:val="16"/>
          <w:szCs w:val="16"/>
          <w:lang w:val="es-MX"/>
        </w:rPr>
        <w:t xml:space="preserve">Declaración rendida por Vinicio Marco Antonio Poblete Tapia ante la Corte en la audiencia pública del 19 de octubre de 2017, </w:t>
      </w:r>
      <w:r w:rsidRPr="00062586">
        <w:rPr>
          <w:i/>
          <w:sz w:val="16"/>
          <w:szCs w:val="16"/>
          <w:lang w:val="es-MX"/>
        </w:rPr>
        <w:t>supra</w:t>
      </w:r>
      <w:r w:rsidRPr="00C64243">
        <w:rPr>
          <w:sz w:val="16"/>
          <w:szCs w:val="16"/>
          <w:lang w:val="es-MX"/>
        </w:rPr>
        <w:t>, pág</w:t>
      </w:r>
      <w:r>
        <w:rPr>
          <w:sz w:val="16"/>
          <w:szCs w:val="16"/>
          <w:lang w:val="es-MX"/>
        </w:rPr>
        <w:t>s</w:t>
      </w:r>
      <w:r w:rsidRPr="00C64243">
        <w:rPr>
          <w:sz w:val="16"/>
          <w:szCs w:val="16"/>
          <w:lang w:val="es-MX"/>
        </w:rPr>
        <w:t>. 4</w:t>
      </w:r>
      <w:r>
        <w:rPr>
          <w:sz w:val="16"/>
          <w:szCs w:val="16"/>
          <w:lang w:val="es-MX"/>
        </w:rPr>
        <w:t xml:space="preserve"> y 12</w:t>
      </w:r>
      <w:r w:rsidRPr="004420E7">
        <w:rPr>
          <w:i/>
          <w:sz w:val="16"/>
          <w:szCs w:val="16"/>
          <w:lang w:val="es-MX"/>
        </w:rPr>
        <w:t xml:space="preserve">, </w:t>
      </w:r>
      <w:r w:rsidRPr="00C64243">
        <w:rPr>
          <w:sz w:val="16"/>
          <w:szCs w:val="16"/>
          <w:lang w:val="es-MX"/>
        </w:rPr>
        <w:t xml:space="preserve">Declaración rendida ante fedatario público por </w:t>
      </w:r>
      <w:proofErr w:type="spellStart"/>
      <w:r w:rsidRPr="00C64243">
        <w:rPr>
          <w:sz w:val="16"/>
          <w:szCs w:val="16"/>
          <w:lang w:val="es-MX"/>
        </w:rPr>
        <w:t>Cesia</w:t>
      </w:r>
      <w:proofErr w:type="spellEnd"/>
      <w:r w:rsidRPr="00C64243">
        <w:rPr>
          <w:sz w:val="16"/>
          <w:szCs w:val="16"/>
          <w:lang w:val="es-MX"/>
        </w:rPr>
        <w:t xml:space="preserve"> Leila Siria Poblete Tapia el 6 de octubre de 2017</w:t>
      </w:r>
      <w:r w:rsidRPr="004420E7">
        <w:rPr>
          <w:i/>
          <w:sz w:val="16"/>
          <w:szCs w:val="16"/>
          <w:lang w:val="es-MX"/>
        </w:rPr>
        <w:t xml:space="preserve">, </w:t>
      </w:r>
      <w:r w:rsidRPr="00062586">
        <w:rPr>
          <w:i/>
          <w:sz w:val="16"/>
          <w:szCs w:val="16"/>
          <w:lang w:val="es-MX"/>
        </w:rPr>
        <w:t>supra</w:t>
      </w:r>
      <w:r w:rsidRPr="004420E7">
        <w:rPr>
          <w:i/>
          <w:sz w:val="16"/>
          <w:szCs w:val="16"/>
          <w:lang w:val="es-MX"/>
        </w:rPr>
        <w:t xml:space="preserve">, </w:t>
      </w:r>
      <w:r w:rsidRPr="00C64243">
        <w:rPr>
          <w:sz w:val="16"/>
          <w:szCs w:val="16"/>
          <w:lang w:val="es-MX"/>
        </w:rPr>
        <w:t xml:space="preserve">f. </w:t>
      </w:r>
      <w:r w:rsidRPr="005A39DD">
        <w:rPr>
          <w:sz w:val="16"/>
          <w:szCs w:val="16"/>
          <w:lang w:val="es-MX"/>
        </w:rPr>
        <w:t>4462</w:t>
      </w:r>
      <w:r>
        <w:rPr>
          <w:sz w:val="16"/>
          <w:szCs w:val="16"/>
          <w:lang w:val="es-MX"/>
        </w:rPr>
        <w:t>, y</w:t>
      </w:r>
      <w:r w:rsidRPr="005A39DD">
        <w:rPr>
          <w:sz w:val="16"/>
          <w:szCs w:val="16"/>
          <w:lang w:val="es-MX"/>
        </w:rPr>
        <w:t xml:space="preserve"> Declar</w:t>
      </w:r>
      <w:r w:rsidRPr="008B0574">
        <w:rPr>
          <w:sz w:val="16"/>
          <w:szCs w:val="16"/>
          <w:lang w:val="es-MX"/>
        </w:rPr>
        <w:t xml:space="preserve">ación rendida ante fedatario público por Alejandra Marcela Fuentes Poblete el 6 de octubre de 2017 (expediente de prueba, </w:t>
      </w:r>
      <w:r w:rsidRPr="00C64243">
        <w:rPr>
          <w:i/>
          <w:sz w:val="16"/>
          <w:szCs w:val="16"/>
          <w:lang w:val="es-MX"/>
        </w:rPr>
        <w:t>affidávits</w:t>
      </w:r>
      <w:r w:rsidRPr="008B0574">
        <w:rPr>
          <w:sz w:val="16"/>
          <w:szCs w:val="16"/>
          <w:lang w:val="es-MX"/>
        </w:rPr>
        <w:t>, f</w:t>
      </w:r>
      <w:r>
        <w:rPr>
          <w:sz w:val="16"/>
          <w:szCs w:val="16"/>
          <w:lang w:val="es-MX"/>
        </w:rPr>
        <w:t>.</w:t>
      </w:r>
      <w:r w:rsidRPr="008B0574">
        <w:rPr>
          <w:sz w:val="16"/>
          <w:szCs w:val="16"/>
          <w:lang w:val="es-MX"/>
        </w:rPr>
        <w:t xml:space="preserve"> 4470)</w:t>
      </w:r>
      <w:r>
        <w:rPr>
          <w:sz w:val="16"/>
          <w:szCs w:val="16"/>
          <w:lang w:val="es-MX"/>
        </w:rPr>
        <w:t>.</w:t>
      </w:r>
    </w:p>
  </w:footnote>
  <w:footnote w:id="32">
    <w:p w14:paraId="42830ADC" w14:textId="40716AF5" w:rsidR="003C025E" w:rsidRPr="00790FEF" w:rsidRDefault="003C025E" w:rsidP="00E22B60">
      <w:pPr>
        <w:pStyle w:val="FootnoteText"/>
        <w:ind w:right="-360"/>
        <w:rPr>
          <w:sz w:val="16"/>
          <w:szCs w:val="16"/>
        </w:rPr>
      </w:pPr>
      <w:r w:rsidRPr="00C64243">
        <w:rPr>
          <w:rStyle w:val="FootnoteReference"/>
          <w:rFonts w:eastAsia="MS Mincho"/>
          <w:sz w:val="16"/>
          <w:szCs w:val="16"/>
        </w:rPr>
        <w:footnoteRef/>
      </w:r>
      <w:r w:rsidRPr="00C64243">
        <w:rPr>
          <w:sz w:val="16"/>
          <w:szCs w:val="16"/>
        </w:rPr>
        <w:t xml:space="preserve"> </w:t>
      </w:r>
      <w:r w:rsidRPr="00132C26">
        <w:tab/>
      </w:r>
      <w:r>
        <w:t>“</w:t>
      </w:r>
      <w:r w:rsidRPr="00AA7ACB">
        <w:rPr>
          <w:rFonts w:eastAsia="Calibri"/>
          <w:sz w:val="16"/>
          <w:szCs w:val="16"/>
          <w:lang w:val="es-CR"/>
        </w:rPr>
        <w:t>[…] Paciente con anteceden</w:t>
      </w:r>
      <w:r w:rsidRPr="001B6272">
        <w:rPr>
          <w:rFonts w:eastAsia="Calibri"/>
          <w:sz w:val="16"/>
          <w:szCs w:val="16"/>
          <w:lang w:val="es-CR"/>
        </w:rPr>
        <w:t xml:space="preserve">tes de DM2 en tratamiento con </w:t>
      </w:r>
      <w:proofErr w:type="spellStart"/>
      <w:r w:rsidRPr="001B6272">
        <w:rPr>
          <w:rFonts w:eastAsia="Calibri"/>
          <w:sz w:val="16"/>
          <w:szCs w:val="16"/>
          <w:lang w:val="es-CR"/>
        </w:rPr>
        <w:t>glibenclamida</w:t>
      </w:r>
      <w:proofErr w:type="spellEnd"/>
      <w:r w:rsidRPr="001B6272">
        <w:rPr>
          <w:rFonts w:eastAsia="Calibri"/>
          <w:sz w:val="16"/>
          <w:szCs w:val="16"/>
          <w:lang w:val="es-CR"/>
        </w:rPr>
        <w:t xml:space="preserve"> 5mg </w:t>
      </w:r>
      <w:r>
        <w:rPr>
          <w:rFonts w:eastAsia="Calibri"/>
          <w:sz w:val="16"/>
          <w:szCs w:val="16"/>
          <w:lang w:val="es-CR"/>
        </w:rPr>
        <w:t xml:space="preserve">c/12 </w:t>
      </w:r>
      <w:r w:rsidRPr="001B6272">
        <w:rPr>
          <w:rFonts w:eastAsia="Calibri"/>
          <w:sz w:val="16"/>
          <w:szCs w:val="16"/>
          <w:lang w:val="es-CR"/>
        </w:rPr>
        <w:t xml:space="preserve">[ilegible] y arritmia cardíaca cuyo [ilegible] no conoce por lo que uso </w:t>
      </w:r>
      <w:proofErr w:type="spellStart"/>
      <w:r w:rsidRPr="001B6272">
        <w:rPr>
          <w:rFonts w:eastAsia="Calibri"/>
          <w:sz w:val="16"/>
          <w:szCs w:val="16"/>
          <w:lang w:val="es-CR"/>
        </w:rPr>
        <w:t>amiodarona</w:t>
      </w:r>
      <w:proofErr w:type="spellEnd"/>
      <w:r w:rsidRPr="001B6272">
        <w:rPr>
          <w:rFonts w:eastAsia="Calibri"/>
          <w:sz w:val="16"/>
          <w:szCs w:val="16"/>
          <w:lang w:val="es-CR"/>
        </w:rPr>
        <w:t xml:space="preserve"> 200 mg/d</w:t>
      </w:r>
      <w:r w:rsidRPr="00E279BB">
        <w:rPr>
          <w:rFonts w:eastAsia="Calibri" w:cs="Arial"/>
          <w:sz w:val="16"/>
          <w:szCs w:val="16"/>
          <w:lang w:val="es-CR"/>
        </w:rPr>
        <w:t xml:space="preserve">ía V.O. </w:t>
      </w:r>
      <w:r>
        <w:rPr>
          <w:rFonts w:eastAsia="Calibri" w:cs="Arial"/>
          <w:sz w:val="16"/>
          <w:szCs w:val="16"/>
          <w:lang w:val="es-CR"/>
        </w:rPr>
        <w:t>Ayer i</w:t>
      </w:r>
      <w:r w:rsidRPr="00E279BB">
        <w:rPr>
          <w:rFonts w:eastAsia="Calibri" w:cs="Arial"/>
          <w:sz w:val="16"/>
          <w:szCs w:val="16"/>
          <w:lang w:val="es-CR"/>
        </w:rPr>
        <w:t>nici</w:t>
      </w:r>
      <w:r>
        <w:rPr>
          <w:rFonts w:eastAsia="Calibri" w:cs="Arial"/>
          <w:sz w:val="16"/>
          <w:szCs w:val="16"/>
          <w:lang w:val="es-CR"/>
        </w:rPr>
        <w:t>ó</w:t>
      </w:r>
      <w:r w:rsidRPr="00E279BB">
        <w:rPr>
          <w:rFonts w:eastAsia="Calibri" w:cs="Arial"/>
          <w:sz w:val="16"/>
          <w:szCs w:val="16"/>
          <w:lang w:val="es-CR"/>
        </w:rPr>
        <w:t xml:space="preserve"> cuadro de dificultad respiratoria asociada a mayor compromiso del estado general […]</w:t>
      </w:r>
      <w:r>
        <w:rPr>
          <w:rFonts w:eastAsia="Calibri" w:cs="Arial"/>
          <w:sz w:val="16"/>
          <w:szCs w:val="16"/>
          <w:lang w:val="es-CR"/>
        </w:rPr>
        <w:t xml:space="preserve">. No se ha objetivado fiebre. </w:t>
      </w:r>
      <w:r w:rsidRPr="00E279BB">
        <w:rPr>
          <w:rFonts w:eastAsia="Calibri" w:cs="Arial"/>
          <w:sz w:val="16"/>
          <w:szCs w:val="16"/>
          <w:lang w:val="es-CR"/>
        </w:rPr>
        <w:t>Hoy empeoró hasta presentar disnea de reposo por lo que es traído al S.U.</w:t>
      </w:r>
      <w:r>
        <w:rPr>
          <w:rFonts w:eastAsia="Calibri" w:cs="Arial"/>
          <w:sz w:val="16"/>
          <w:szCs w:val="16"/>
          <w:lang w:val="es-CR"/>
        </w:rPr>
        <w:t>, en este se objetivó [ilegible</w:t>
      </w:r>
      <w:r w:rsidRPr="00E279BB">
        <w:rPr>
          <w:rFonts w:eastAsia="Calibri" w:cs="Arial"/>
          <w:sz w:val="16"/>
          <w:szCs w:val="16"/>
          <w:lang w:val="es-CR"/>
        </w:rPr>
        <w:t>] apremio respiratorio con taquicardia irregular entre 130-100x […]</w:t>
      </w:r>
      <w:r>
        <w:rPr>
          <w:rFonts w:eastAsia="Calibri" w:cs="Arial"/>
          <w:sz w:val="16"/>
          <w:szCs w:val="16"/>
          <w:lang w:val="es-CR"/>
        </w:rPr>
        <w:t>”</w:t>
      </w:r>
      <w:r w:rsidRPr="00E279BB">
        <w:rPr>
          <w:rFonts w:eastAsia="Calibri" w:cs="Arial"/>
          <w:sz w:val="16"/>
          <w:szCs w:val="16"/>
          <w:lang w:val="es-CR"/>
        </w:rPr>
        <w:t xml:space="preserve">. </w:t>
      </w:r>
      <w:r w:rsidRPr="002E06CD">
        <w:rPr>
          <w:rFonts w:eastAsia="Calibri"/>
          <w:sz w:val="16"/>
          <w:szCs w:val="16"/>
        </w:rPr>
        <w:t xml:space="preserve">Ficha </w:t>
      </w:r>
      <w:r>
        <w:rPr>
          <w:rFonts w:eastAsia="Calibri"/>
          <w:sz w:val="16"/>
          <w:szCs w:val="16"/>
        </w:rPr>
        <w:t>c</w:t>
      </w:r>
      <w:r w:rsidRPr="002E06CD">
        <w:rPr>
          <w:rFonts w:eastAsia="Calibri"/>
          <w:sz w:val="16"/>
          <w:szCs w:val="16"/>
        </w:rPr>
        <w:t>línica del señor Vinicio Poblete Vilches</w:t>
      </w:r>
      <w:r>
        <w:rPr>
          <w:rFonts w:eastAsia="Calibri"/>
          <w:sz w:val="16"/>
          <w:szCs w:val="16"/>
        </w:rPr>
        <w:t>. Documento</w:t>
      </w:r>
      <w:r w:rsidRPr="002E06CD">
        <w:rPr>
          <w:rFonts w:eastAsia="Calibri"/>
          <w:sz w:val="16"/>
          <w:szCs w:val="16"/>
        </w:rPr>
        <w:t xml:space="preserve"> </w:t>
      </w:r>
      <w:r>
        <w:rPr>
          <w:rFonts w:eastAsia="Calibri"/>
          <w:sz w:val="16"/>
          <w:szCs w:val="16"/>
        </w:rPr>
        <w:t>anexo al</w:t>
      </w:r>
      <w:r w:rsidRPr="002E06CD">
        <w:rPr>
          <w:rFonts w:eastAsia="Calibri"/>
          <w:sz w:val="16"/>
          <w:szCs w:val="16"/>
        </w:rPr>
        <w:t xml:space="preserve"> Oficio Reservado No. 026/0</w:t>
      </w:r>
      <w:r w:rsidRPr="00790FEF">
        <w:rPr>
          <w:rFonts w:eastAsia="Calibri"/>
          <w:sz w:val="16"/>
          <w:szCs w:val="16"/>
        </w:rPr>
        <w:t>9 del Director Servicio de Salud Metropolitano Sur Oriente, dirigido al Ministro de Salud, de 31 de agosto de 2009 (</w:t>
      </w:r>
      <w:r>
        <w:rPr>
          <w:rFonts w:eastAsia="Calibri"/>
          <w:sz w:val="16"/>
          <w:szCs w:val="16"/>
        </w:rPr>
        <w:t>e</w:t>
      </w:r>
      <w:r w:rsidRPr="00790FEF">
        <w:rPr>
          <w:rFonts w:eastAsia="Calibri"/>
          <w:sz w:val="16"/>
          <w:szCs w:val="16"/>
        </w:rPr>
        <w:t xml:space="preserve">xpediente de fondo, </w:t>
      </w:r>
      <w:r w:rsidRPr="00790FEF">
        <w:rPr>
          <w:sz w:val="16"/>
          <w:szCs w:val="16"/>
        </w:rPr>
        <w:t>f</w:t>
      </w:r>
      <w:r>
        <w:rPr>
          <w:sz w:val="16"/>
          <w:szCs w:val="16"/>
        </w:rPr>
        <w:t>.</w:t>
      </w:r>
      <w:r w:rsidRPr="00790FEF">
        <w:rPr>
          <w:sz w:val="16"/>
          <w:szCs w:val="16"/>
        </w:rPr>
        <w:t xml:space="preserve"> 1</w:t>
      </w:r>
      <w:r>
        <w:rPr>
          <w:sz w:val="16"/>
          <w:szCs w:val="16"/>
        </w:rPr>
        <w:t>130</w:t>
      </w:r>
      <w:r w:rsidRPr="00790FEF">
        <w:rPr>
          <w:sz w:val="16"/>
          <w:szCs w:val="16"/>
        </w:rPr>
        <w:t xml:space="preserve">). </w:t>
      </w:r>
    </w:p>
  </w:footnote>
  <w:footnote w:id="33">
    <w:p w14:paraId="38447915" w14:textId="44F1F2C6" w:rsidR="003C025E" w:rsidRPr="00C64243" w:rsidRDefault="003C025E" w:rsidP="00E22B60">
      <w:pPr>
        <w:ind w:right="-360"/>
        <w:rPr>
          <w:sz w:val="16"/>
          <w:szCs w:val="16"/>
        </w:rPr>
      </w:pPr>
      <w:r w:rsidRPr="00C64243">
        <w:rPr>
          <w:rStyle w:val="FootnoteReference"/>
          <w:sz w:val="16"/>
        </w:rPr>
        <w:footnoteRef/>
      </w:r>
      <w:r w:rsidRPr="00C64243">
        <w:rPr>
          <w:sz w:val="16"/>
        </w:rPr>
        <w:t xml:space="preserve"> </w:t>
      </w:r>
      <w:r w:rsidRPr="00C64243">
        <w:rPr>
          <w:sz w:val="16"/>
        </w:rPr>
        <w:tab/>
      </w:r>
      <w:r w:rsidRPr="00C64243">
        <w:rPr>
          <w:sz w:val="16"/>
          <w:szCs w:val="16"/>
        </w:rPr>
        <w:t xml:space="preserve">Auditoría Ministerial, Reservado No. </w:t>
      </w:r>
      <w:r w:rsidRPr="001378C6">
        <w:rPr>
          <w:sz w:val="16"/>
          <w:szCs w:val="16"/>
        </w:rPr>
        <w:t>0</w:t>
      </w:r>
      <w:r w:rsidRPr="00C64243">
        <w:rPr>
          <w:sz w:val="16"/>
          <w:szCs w:val="16"/>
        </w:rPr>
        <w:t xml:space="preserve">24, firmada por el Dr. Sergio Valenzuela </w:t>
      </w:r>
      <w:r w:rsidRPr="001378C6">
        <w:rPr>
          <w:sz w:val="16"/>
          <w:szCs w:val="16"/>
        </w:rPr>
        <w:t>Estévez</w:t>
      </w:r>
      <w:r w:rsidRPr="00C64243">
        <w:rPr>
          <w:sz w:val="16"/>
          <w:szCs w:val="16"/>
        </w:rPr>
        <w:t xml:space="preserve">, Jefe de </w:t>
      </w:r>
      <w:r>
        <w:rPr>
          <w:sz w:val="16"/>
          <w:szCs w:val="16"/>
        </w:rPr>
        <w:t>Depto. [</w:t>
      </w:r>
      <w:r w:rsidRPr="00C64243">
        <w:rPr>
          <w:i/>
          <w:sz w:val="16"/>
          <w:szCs w:val="16"/>
        </w:rPr>
        <w:t>sic</w:t>
      </w:r>
      <w:r>
        <w:rPr>
          <w:sz w:val="16"/>
          <w:szCs w:val="16"/>
        </w:rPr>
        <w:t xml:space="preserve">] </w:t>
      </w:r>
      <w:r w:rsidRPr="00C64243">
        <w:rPr>
          <w:sz w:val="16"/>
          <w:szCs w:val="16"/>
        </w:rPr>
        <w:t xml:space="preserve">Auditoría Servicio Salud </w:t>
      </w:r>
      <w:r w:rsidRPr="001378C6">
        <w:rPr>
          <w:sz w:val="16"/>
          <w:szCs w:val="16"/>
        </w:rPr>
        <w:t>O</w:t>
      </w:r>
      <w:r w:rsidRPr="00C64243">
        <w:rPr>
          <w:sz w:val="16"/>
          <w:szCs w:val="16"/>
        </w:rPr>
        <w:t xml:space="preserve">riente. Documento dentro de </w:t>
      </w:r>
      <w:r w:rsidRPr="00C64243">
        <w:rPr>
          <w:rFonts w:eastAsia="Calibri"/>
          <w:sz w:val="16"/>
          <w:szCs w:val="16"/>
        </w:rPr>
        <w:t xml:space="preserve">Oficio Reservado No. 026/09 del Director del Servicio Salud Metropolitano Sur Oriente, </w:t>
      </w:r>
      <w:r w:rsidRPr="00062586">
        <w:rPr>
          <w:rFonts w:eastAsia="Calibri"/>
          <w:i/>
          <w:sz w:val="16"/>
          <w:szCs w:val="16"/>
        </w:rPr>
        <w:t>supra</w:t>
      </w:r>
      <w:r w:rsidRPr="00C64243">
        <w:rPr>
          <w:rFonts w:eastAsia="Calibri"/>
          <w:sz w:val="16"/>
          <w:szCs w:val="16"/>
        </w:rPr>
        <w:t xml:space="preserve">, </w:t>
      </w:r>
      <w:r w:rsidRPr="001378C6">
        <w:rPr>
          <w:rFonts w:eastAsia="Calibri"/>
          <w:sz w:val="16"/>
          <w:szCs w:val="16"/>
        </w:rPr>
        <w:t xml:space="preserve">y </w:t>
      </w:r>
      <w:r w:rsidRPr="00C64243">
        <w:rPr>
          <w:rFonts w:eastAsia="Calibri"/>
          <w:sz w:val="16"/>
          <w:szCs w:val="16"/>
        </w:rPr>
        <w:t xml:space="preserve">que consta dentro del oficio Ordinal No. 0812 del Director </w:t>
      </w:r>
      <w:r w:rsidRPr="001378C6">
        <w:rPr>
          <w:rFonts w:eastAsia="Calibri"/>
          <w:sz w:val="16"/>
          <w:szCs w:val="16"/>
        </w:rPr>
        <w:t>[</w:t>
      </w:r>
      <w:r w:rsidRPr="00C64243">
        <w:rPr>
          <w:rFonts w:eastAsia="Calibri"/>
          <w:sz w:val="16"/>
          <w:szCs w:val="16"/>
        </w:rPr>
        <w:t>S</w:t>
      </w:r>
      <w:r w:rsidRPr="001378C6">
        <w:rPr>
          <w:rFonts w:eastAsia="Calibri"/>
          <w:sz w:val="16"/>
          <w:szCs w:val="16"/>
        </w:rPr>
        <w:t>]</w:t>
      </w:r>
      <w:r w:rsidRPr="00C64243">
        <w:rPr>
          <w:rFonts w:eastAsia="Calibri"/>
          <w:sz w:val="16"/>
          <w:szCs w:val="16"/>
        </w:rPr>
        <w:t xml:space="preserve"> Complejo Asistencia</w:t>
      </w:r>
      <w:r>
        <w:rPr>
          <w:rFonts w:eastAsia="Calibri"/>
          <w:sz w:val="16"/>
          <w:szCs w:val="16"/>
        </w:rPr>
        <w:t>l</w:t>
      </w:r>
      <w:r w:rsidRPr="00C64243">
        <w:rPr>
          <w:rFonts w:eastAsia="Calibri"/>
          <w:sz w:val="16"/>
          <w:szCs w:val="16"/>
        </w:rPr>
        <w:t xml:space="preserve"> Dr. Sotero del Río, dirigido a la Directora de Derechos Humanos del Ministerio de Relaciones Exteriores, de 19 de mayo de 2010</w:t>
      </w:r>
      <w:r>
        <w:rPr>
          <w:rFonts w:eastAsia="Calibri"/>
          <w:sz w:val="16"/>
          <w:szCs w:val="16"/>
        </w:rPr>
        <w:t xml:space="preserve"> (expediente de fondo </w:t>
      </w:r>
      <w:r w:rsidRPr="001378C6">
        <w:rPr>
          <w:sz w:val="16"/>
          <w:szCs w:val="16"/>
        </w:rPr>
        <w:t>f. 1108</w:t>
      </w:r>
      <w:r>
        <w:rPr>
          <w:sz w:val="16"/>
          <w:szCs w:val="16"/>
        </w:rPr>
        <w:t>)</w:t>
      </w:r>
      <w:r w:rsidRPr="00C64243">
        <w:rPr>
          <w:sz w:val="16"/>
          <w:szCs w:val="16"/>
        </w:rPr>
        <w:t>.</w:t>
      </w:r>
    </w:p>
  </w:footnote>
  <w:footnote w:id="34">
    <w:p w14:paraId="73A11141" w14:textId="2EBB7883" w:rsidR="003C025E" w:rsidRPr="001378C6" w:rsidRDefault="003C025E" w:rsidP="00E22B60">
      <w:pPr>
        <w:pStyle w:val="FootnoteText"/>
        <w:ind w:right="-360"/>
        <w:rPr>
          <w:sz w:val="16"/>
          <w:szCs w:val="16"/>
          <w:lang w:val="es-MX"/>
        </w:rPr>
      </w:pPr>
      <w:r w:rsidRPr="001378C6">
        <w:rPr>
          <w:rStyle w:val="FootnoteReference"/>
          <w:rFonts w:eastAsia="MS Mincho"/>
          <w:sz w:val="16"/>
          <w:szCs w:val="16"/>
        </w:rPr>
        <w:footnoteRef/>
      </w:r>
      <w:r w:rsidRPr="001378C6">
        <w:rPr>
          <w:sz w:val="16"/>
          <w:szCs w:val="16"/>
        </w:rPr>
        <w:t xml:space="preserve"> </w:t>
      </w:r>
      <w:r w:rsidRPr="001378C6">
        <w:rPr>
          <w:sz w:val="16"/>
          <w:szCs w:val="16"/>
        </w:rPr>
        <w:tab/>
      </w:r>
      <w:r w:rsidRPr="00062586">
        <w:rPr>
          <w:i/>
          <w:sz w:val="16"/>
          <w:szCs w:val="16"/>
        </w:rPr>
        <w:t>Cfr.</w:t>
      </w:r>
      <w:r w:rsidRPr="001378C6">
        <w:rPr>
          <w:i/>
          <w:sz w:val="16"/>
          <w:szCs w:val="16"/>
        </w:rPr>
        <w:t xml:space="preserve"> </w:t>
      </w:r>
      <w:r w:rsidRPr="001378C6">
        <w:rPr>
          <w:sz w:val="16"/>
          <w:szCs w:val="16"/>
        </w:rPr>
        <w:t xml:space="preserve">Declaración del señor Vinicio Marco Antonio Poblete Tapia </w:t>
      </w:r>
      <w:r w:rsidRPr="001378C6">
        <w:rPr>
          <w:sz w:val="16"/>
          <w:szCs w:val="16"/>
          <w:lang w:val="es-MX"/>
        </w:rPr>
        <w:t xml:space="preserve">ante la Corte en la audiencia pública del 19 de octubre de 2017, </w:t>
      </w:r>
      <w:r w:rsidRPr="00062586">
        <w:rPr>
          <w:i/>
          <w:sz w:val="16"/>
          <w:szCs w:val="16"/>
          <w:lang w:val="es-MX"/>
        </w:rPr>
        <w:t>supra</w:t>
      </w:r>
      <w:r w:rsidRPr="001378C6">
        <w:rPr>
          <w:sz w:val="16"/>
          <w:szCs w:val="16"/>
          <w:lang w:val="es-MX"/>
        </w:rPr>
        <w:t xml:space="preserve">, pág. 4, Declaración rendida ante fedatario público por </w:t>
      </w:r>
      <w:proofErr w:type="spellStart"/>
      <w:r w:rsidRPr="001378C6">
        <w:rPr>
          <w:sz w:val="16"/>
          <w:szCs w:val="16"/>
          <w:lang w:val="es-MX"/>
        </w:rPr>
        <w:t>Cesia</w:t>
      </w:r>
      <w:proofErr w:type="spellEnd"/>
      <w:r w:rsidRPr="001378C6">
        <w:rPr>
          <w:sz w:val="16"/>
          <w:szCs w:val="16"/>
          <w:lang w:val="es-MX"/>
        </w:rPr>
        <w:t xml:space="preserve"> Leila Siria Poblete Tapia el 6 de octubre de 2017, </w:t>
      </w:r>
      <w:r w:rsidRPr="00062586">
        <w:rPr>
          <w:i/>
          <w:sz w:val="16"/>
          <w:szCs w:val="16"/>
          <w:lang w:val="es-MX"/>
        </w:rPr>
        <w:t>supra</w:t>
      </w:r>
      <w:r w:rsidRPr="001378C6">
        <w:rPr>
          <w:sz w:val="16"/>
          <w:szCs w:val="16"/>
          <w:lang w:val="es-MX"/>
        </w:rPr>
        <w:t xml:space="preserve">, f. 4463, y Declaración rendida por Alejandra Marcela Fuentes Poblete ante el Primer Juzgado Civil el </w:t>
      </w:r>
      <w:r>
        <w:rPr>
          <w:sz w:val="16"/>
          <w:szCs w:val="16"/>
          <w:lang w:val="es-MX"/>
        </w:rPr>
        <w:t>15</w:t>
      </w:r>
      <w:r w:rsidRPr="001378C6">
        <w:rPr>
          <w:sz w:val="16"/>
          <w:szCs w:val="16"/>
          <w:lang w:val="es-MX"/>
        </w:rPr>
        <w:t xml:space="preserve"> de </w:t>
      </w:r>
      <w:r>
        <w:rPr>
          <w:sz w:val="16"/>
          <w:szCs w:val="16"/>
          <w:lang w:val="es-MX"/>
        </w:rPr>
        <w:t>junio</w:t>
      </w:r>
      <w:r w:rsidRPr="001378C6">
        <w:rPr>
          <w:sz w:val="16"/>
          <w:szCs w:val="16"/>
          <w:lang w:val="es-MX"/>
        </w:rPr>
        <w:t xml:space="preserve"> de 20</w:t>
      </w:r>
      <w:r>
        <w:rPr>
          <w:sz w:val="16"/>
          <w:szCs w:val="16"/>
          <w:lang w:val="es-MX"/>
        </w:rPr>
        <w:t>0</w:t>
      </w:r>
      <w:r w:rsidRPr="001378C6">
        <w:rPr>
          <w:sz w:val="16"/>
          <w:szCs w:val="16"/>
          <w:lang w:val="es-MX"/>
        </w:rPr>
        <w:t>7 (expediente de prueba, anexo 12 del Informe de Fondo, f. 110).</w:t>
      </w:r>
    </w:p>
  </w:footnote>
  <w:footnote w:id="35">
    <w:p w14:paraId="051FCEF2" w14:textId="77777777" w:rsidR="003C025E" w:rsidRPr="001378C6" w:rsidRDefault="003C025E" w:rsidP="00E22B60">
      <w:pPr>
        <w:pStyle w:val="FootnoteText"/>
        <w:ind w:right="-360"/>
        <w:rPr>
          <w:sz w:val="16"/>
          <w:szCs w:val="16"/>
        </w:rPr>
      </w:pPr>
      <w:r w:rsidRPr="001378C6">
        <w:rPr>
          <w:rStyle w:val="FootnoteReference"/>
          <w:rFonts w:eastAsia="MS Mincho"/>
          <w:sz w:val="16"/>
          <w:szCs w:val="16"/>
        </w:rPr>
        <w:footnoteRef/>
      </w:r>
      <w:r w:rsidRPr="001378C6">
        <w:rPr>
          <w:sz w:val="16"/>
          <w:szCs w:val="16"/>
        </w:rPr>
        <w:t xml:space="preserve"> </w:t>
      </w:r>
      <w:r w:rsidRPr="001378C6">
        <w:rPr>
          <w:sz w:val="16"/>
          <w:szCs w:val="16"/>
        </w:rPr>
        <w:tab/>
      </w:r>
      <w:r w:rsidRPr="00062586">
        <w:rPr>
          <w:i/>
          <w:sz w:val="16"/>
          <w:szCs w:val="16"/>
        </w:rPr>
        <w:t>Cfr.</w:t>
      </w:r>
      <w:r w:rsidRPr="001378C6">
        <w:rPr>
          <w:i/>
          <w:sz w:val="16"/>
          <w:szCs w:val="16"/>
        </w:rPr>
        <w:t xml:space="preserve"> </w:t>
      </w:r>
      <w:r w:rsidRPr="001378C6">
        <w:rPr>
          <w:sz w:val="16"/>
          <w:szCs w:val="16"/>
        </w:rPr>
        <w:t xml:space="preserve">Declaración del señor Vinicio Marco Antonio Poblete Tapia </w:t>
      </w:r>
      <w:r w:rsidRPr="001378C6">
        <w:rPr>
          <w:sz w:val="16"/>
          <w:szCs w:val="16"/>
          <w:lang w:val="es-MX"/>
        </w:rPr>
        <w:t xml:space="preserve">ante la Corte en la audiencia pública del 19 de octubre de 2017, </w:t>
      </w:r>
      <w:r w:rsidRPr="00062586">
        <w:rPr>
          <w:i/>
          <w:sz w:val="16"/>
          <w:szCs w:val="16"/>
          <w:lang w:val="es-MX"/>
        </w:rPr>
        <w:t>supra</w:t>
      </w:r>
      <w:r w:rsidRPr="001378C6">
        <w:rPr>
          <w:sz w:val="16"/>
          <w:szCs w:val="16"/>
          <w:lang w:val="es-MX"/>
        </w:rPr>
        <w:t xml:space="preserve">, págs. 13 y 14, y Declaración rendida ante fedatario público por </w:t>
      </w:r>
      <w:proofErr w:type="spellStart"/>
      <w:r w:rsidRPr="001378C6">
        <w:rPr>
          <w:sz w:val="16"/>
          <w:szCs w:val="16"/>
          <w:lang w:val="es-MX"/>
        </w:rPr>
        <w:t>Cesia</w:t>
      </w:r>
      <w:proofErr w:type="spellEnd"/>
      <w:r w:rsidRPr="001378C6">
        <w:rPr>
          <w:sz w:val="16"/>
          <w:szCs w:val="16"/>
          <w:lang w:val="es-MX"/>
        </w:rPr>
        <w:t xml:space="preserve"> Leila Siria Poblete Tapia el 6 de octubre de 2017, </w:t>
      </w:r>
      <w:r w:rsidRPr="00062586">
        <w:rPr>
          <w:i/>
          <w:sz w:val="16"/>
          <w:szCs w:val="16"/>
          <w:lang w:val="es-MX"/>
        </w:rPr>
        <w:t>supra</w:t>
      </w:r>
      <w:r w:rsidRPr="001378C6">
        <w:rPr>
          <w:i/>
          <w:sz w:val="16"/>
          <w:szCs w:val="16"/>
          <w:lang w:val="es-MX"/>
        </w:rPr>
        <w:t xml:space="preserve">, </w:t>
      </w:r>
      <w:r w:rsidRPr="001378C6">
        <w:rPr>
          <w:sz w:val="16"/>
          <w:szCs w:val="16"/>
          <w:lang w:val="es-MX"/>
        </w:rPr>
        <w:t xml:space="preserve">f. 4463. </w:t>
      </w:r>
    </w:p>
  </w:footnote>
  <w:footnote w:id="36">
    <w:p w14:paraId="0C721520" w14:textId="68937907" w:rsidR="003C025E" w:rsidRPr="00B1523A" w:rsidRDefault="003C025E">
      <w:pPr>
        <w:pStyle w:val="FootnoteText"/>
        <w:rPr>
          <w:rStyle w:val="FootnoteReference"/>
          <w:rFonts w:eastAsia="MS Mincho"/>
          <w:sz w:val="16"/>
          <w:szCs w:val="16"/>
        </w:rPr>
      </w:pPr>
      <w:r w:rsidRPr="00B1523A">
        <w:rPr>
          <w:rStyle w:val="FootnoteReference"/>
          <w:rFonts w:eastAsia="MS Mincho"/>
          <w:sz w:val="16"/>
          <w:szCs w:val="16"/>
        </w:rPr>
        <w:footnoteRef/>
      </w:r>
      <w:r w:rsidRPr="00B1523A">
        <w:rPr>
          <w:rStyle w:val="FootnoteReference"/>
          <w:rFonts w:eastAsia="MS Mincho"/>
          <w:sz w:val="16"/>
          <w:szCs w:val="16"/>
        </w:rPr>
        <w:t xml:space="preserve"> </w:t>
      </w:r>
      <w:r>
        <w:rPr>
          <w:rFonts w:eastAsia="MS Mincho"/>
          <w:sz w:val="16"/>
          <w:szCs w:val="16"/>
        </w:rPr>
        <w:tab/>
        <w:t xml:space="preserve">Declaración rendida ante fedatario público por </w:t>
      </w:r>
      <w:proofErr w:type="spellStart"/>
      <w:r>
        <w:rPr>
          <w:rFonts w:eastAsia="MS Mincho"/>
          <w:sz w:val="16"/>
          <w:szCs w:val="16"/>
        </w:rPr>
        <w:t>Cesia</w:t>
      </w:r>
      <w:proofErr w:type="spellEnd"/>
      <w:r>
        <w:rPr>
          <w:rFonts w:eastAsia="MS Mincho"/>
          <w:sz w:val="16"/>
          <w:szCs w:val="16"/>
        </w:rPr>
        <w:t xml:space="preserve"> Leila Siria Poblete el 6 de octubre de 2017, </w:t>
      </w:r>
      <w:r w:rsidRPr="00B1523A">
        <w:rPr>
          <w:rFonts w:eastAsia="MS Mincho"/>
          <w:i/>
          <w:sz w:val="16"/>
          <w:szCs w:val="16"/>
        </w:rPr>
        <w:t>supr</w:t>
      </w:r>
      <w:r>
        <w:rPr>
          <w:rFonts w:eastAsia="MS Mincho"/>
          <w:sz w:val="16"/>
          <w:szCs w:val="16"/>
        </w:rPr>
        <w:t xml:space="preserve">a, (expediente de prueba, f. 4464). </w:t>
      </w:r>
    </w:p>
  </w:footnote>
  <w:footnote w:id="37">
    <w:p w14:paraId="3052D5C8" w14:textId="7C96F3F5" w:rsidR="003C025E" w:rsidRPr="00DF0588" w:rsidRDefault="003C025E" w:rsidP="00E22B60">
      <w:pPr>
        <w:pStyle w:val="FootnoteText"/>
        <w:ind w:right="-360"/>
        <w:rPr>
          <w:sz w:val="16"/>
          <w:szCs w:val="16"/>
          <w:lang w:val="es-MX"/>
        </w:rPr>
      </w:pPr>
      <w:r w:rsidRPr="001378C6">
        <w:rPr>
          <w:rStyle w:val="FootnoteReference"/>
          <w:rFonts w:eastAsia="MS Mincho"/>
          <w:sz w:val="16"/>
          <w:szCs w:val="16"/>
        </w:rPr>
        <w:footnoteRef/>
      </w:r>
      <w:r w:rsidRPr="001378C6">
        <w:rPr>
          <w:sz w:val="16"/>
          <w:szCs w:val="16"/>
        </w:rPr>
        <w:t xml:space="preserve"> </w:t>
      </w:r>
      <w:r w:rsidRPr="001378C6">
        <w:rPr>
          <w:sz w:val="16"/>
          <w:szCs w:val="16"/>
        </w:rPr>
        <w:tab/>
      </w:r>
      <w:r w:rsidRPr="00062586">
        <w:rPr>
          <w:i/>
          <w:sz w:val="16"/>
          <w:szCs w:val="16"/>
        </w:rPr>
        <w:t>Cfr.</w:t>
      </w:r>
      <w:r w:rsidRPr="001378C6">
        <w:rPr>
          <w:i/>
          <w:sz w:val="16"/>
          <w:szCs w:val="16"/>
        </w:rPr>
        <w:t xml:space="preserve"> </w:t>
      </w:r>
      <w:r w:rsidRPr="001378C6">
        <w:rPr>
          <w:sz w:val="16"/>
          <w:szCs w:val="16"/>
        </w:rPr>
        <w:t xml:space="preserve">Declaración del señor Vinicio Marco Antonio Poblete Tapia </w:t>
      </w:r>
      <w:r w:rsidRPr="001378C6">
        <w:rPr>
          <w:sz w:val="16"/>
          <w:szCs w:val="16"/>
          <w:lang w:val="es-MX"/>
        </w:rPr>
        <w:t xml:space="preserve">ante la Corte en la audiencia pública del 19 de octubre de 2017, </w:t>
      </w:r>
      <w:r w:rsidRPr="00062586">
        <w:rPr>
          <w:i/>
          <w:sz w:val="16"/>
          <w:szCs w:val="16"/>
          <w:lang w:val="es-MX"/>
        </w:rPr>
        <w:t>supra</w:t>
      </w:r>
      <w:r w:rsidRPr="001378C6">
        <w:rPr>
          <w:sz w:val="16"/>
          <w:szCs w:val="16"/>
          <w:lang w:val="es-MX"/>
        </w:rPr>
        <w:t xml:space="preserve">, págs. 4 a 5, Declaración rendida ante fedatario público por </w:t>
      </w:r>
      <w:proofErr w:type="spellStart"/>
      <w:r w:rsidRPr="001378C6">
        <w:rPr>
          <w:sz w:val="16"/>
          <w:szCs w:val="16"/>
          <w:lang w:val="es-MX"/>
        </w:rPr>
        <w:t>Cesia</w:t>
      </w:r>
      <w:proofErr w:type="spellEnd"/>
      <w:r w:rsidRPr="001378C6">
        <w:rPr>
          <w:sz w:val="16"/>
          <w:szCs w:val="16"/>
          <w:lang w:val="es-MX"/>
        </w:rPr>
        <w:t xml:space="preserve"> Leila Siria Poblete Tapia el 6 de octubre de 2017, </w:t>
      </w:r>
      <w:r w:rsidRPr="00062586">
        <w:rPr>
          <w:i/>
          <w:sz w:val="16"/>
          <w:szCs w:val="16"/>
          <w:lang w:val="es-MX"/>
        </w:rPr>
        <w:t>supra</w:t>
      </w:r>
      <w:r w:rsidRPr="001378C6">
        <w:rPr>
          <w:i/>
          <w:sz w:val="16"/>
          <w:szCs w:val="16"/>
          <w:lang w:val="es-MX"/>
        </w:rPr>
        <w:t xml:space="preserve">, </w:t>
      </w:r>
      <w:r w:rsidRPr="001378C6">
        <w:rPr>
          <w:sz w:val="16"/>
          <w:szCs w:val="16"/>
          <w:lang w:val="es-MX"/>
        </w:rPr>
        <w:t>f. 4464</w:t>
      </w:r>
      <w:r>
        <w:rPr>
          <w:sz w:val="16"/>
          <w:szCs w:val="16"/>
          <w:lang w:val="es-MX"/>
        </w:rPr>
        <w:t>, Querella criminal presentad</w:t>
      </w:r>
      <w:r w:rsidRPr="002506B3">
        <w:rPr>
          <w:sz w:val="16"/>
          <w:szCs w:val="16"/>
          <w:lang w:val="es-MX"/>
        </w:rPr>
        <w:t xml:space="preserve">a Blanca Margarita Tapia Encina y </w:t>
      </w:r>
      <w:proofErr w:type="spellStart"/>
      <w:r w:rsidRPr="002506B3">
        <w:rPr>
          <w:sz w:val="16"/>
          <w:szCs w:val="16"/>
          <w:lang w:val="es-MX"/>
        </w:rPr>
        <w:t>Cesia</w:t>
      </w:r>
      <w:proofErr w:type="spellEnd"/>
      <w:r w:rsidRPr="002506B3">
        <w:rPr>
          <w:sz w:val="16"/>
          <w:szCs w:val="16"/>
          <w:lang w:val="es-MX"/>
        </w:rPr>
        <w:t xml:space="preserve"> Leila Poblete Tapia</w:t>
      </w:r>
      <w:r w:rsidRPr="00DF0588">
        <w:rPr>
          <w:sz w:val="16"/>
          <w:szCs w:val="16"/>
          <w:lang w:val="es-MX"/>
        </w:rPr>
        <w:t xml:space="preserve"> ante el Primer Juzgado Civil el 12 de noviembre de 2001 (expediente de prueba, a</w:t>
      </w:r>
      <w:r w:rsidRPr="00F40C93">
        <w:rPr>
          <w:sz w:val="16"/>
          <w:szCs w:val="16"/>
          <w:lang w:val="es-MX"/>
        </w:rPr>
        <w:t xml:space="preserve">nexo 6 al Informe de Fondo, f. </w:t>
      </w:r>
      <w:r w:rsidRPr="00A55BCE">
        <w:rPr>
          <w:sz w:val="16"/>
          <w:szCs w:val="16"/>
          <w:lang w:val="es-MX"/>
        </w:rPr>
        <w:t xml:space="preserve">29), y Declaración rendida ante fedatario público por Alejandra Marcela Fuentes Poblete el 6 de octubre de 2017, </w:t>
      </w:r>
      <w:r w:rsidRPr="00062586">
        <w:rPr>
          <w:i/>
          <w:sz w:val="16"/>
          <w:szCs w:val="16"/>
          <w:lang w:val="es-MX"/>
        </w:rPr>
        <w:t>supra</w:t>
      </w:r>
      <w:r>
        <w:rPr>
          <w:sz w:val="16"/>
          <w:szCs w:val="16"/>
          <w:lang w:val="es-MX"/>
        </w:rPr>
        <w:t xml:space="preserve"> (expediente de fondo,</w:t>
      </w:r>
      <w:r w:rsidRPr="002506B3">
        <w:rPr>
          <w:sz w:val="16"/>
          <w:szCs w:val="16"/>
          <w:lang w:val="es-MX"/>
        </w:rPr>
        <w:t xml:space="preserve"> f.</w:t>
      </w:r>
      <w:r w:rsidRPr="00DF0588">
        <w:rPr>
          <w:sz w:val="16"/>
          <w:szCs w:val="16"/>
          <w:lang w:val="es-MX"/>
        </w:rPr>
        <w:t xml:space="preserve"> 4471</w:t>
      </w:r>
      <w:r>
        <w:rPr>
          <w:sz w:val="16"/>
          <w:szCs w:val="16"/>
          <w:lang w:val="es-MX"/>
        </w:rPr>
        <w:t>)</w:t>
      </w:r>
      <w:r w:rsidRPr="00DF0588">
        <w:rPr>
          <w:sz w:val="16"/>
          <w:szCs w:val="16"/>
          <w:lang w:val="es-MX"/>
        </w:rPr>
        <w:t xml:space="preserve">. </w:t>
      </w:r>
    </w:p>
  </w:footnote>
  <w:footnote w:id="38">
    <w:p w14:paraId="58E4F824" w14:textId="4D9BFEA1" w:rsidR="003C025E" w:rsidRPr="00713D68" w:rsidRDefault="003C025E" w:rsidP="00E22B60">
      <w:pPr>
        <w:pStyle w:val="FootnoteText"/>
        <w:ind w:right="-360"/>
        <w:rPr>
          <w:sz w:val="16"/>
          <w:szCs w:val="16"/>
        </w:rPr>
      </w:pPr>
      <w:r w:rsidRPr="00C64243">
        <w:rPr>
          <w:rStyle w:val="FootnoteReference"/>
          <w:sz w:val="16"/>
          <w:szCs w:val="16"/>
        </w:rPr>
        <w:footnoteRef/>
      </w:r>
      <w:r w:rsidRPr="00C64243">
        <w:rPr>
          <w:sz w:val="16"/>
          <w:szCs w:val="16"/>
        </w:rPr>
        <w:t xml:space="preserve"> </w:t>
      </w:r>
      <w:r w:rsidRPr="002506B3">
        <w:rPr>
          <w:sz w:val="16"/>
          <w:szCs w:val="16"/>
        </w:rPr>
        <w:tab/>
      </w:r>
      <w:r w:rsidRPr="00B1523A">
        <w:rPr>
          <w:sz w:val="16"/>
          <w:szCs w:val="16"/>
        </w:rPr>
        <w:t>Respecto del alcance del estado de “inconsciencia”, “compromiso de consciencia” y/o “desorientación” que presentaba el señor Poblete Vilches previo a la intervención quirúrgica de referencia,</w:t>
      </w:r>
      <w:r w:rsidRPr="00C64243">
        <w:rPr>
          <w:rFonts w:ascii="Arial" w:hAnsi="Arial" w:cs="Arial"/>
          <w:sz w:val="24"/>
          <w:szCs w:val="24"/>
          <w:lang w:val="es-MX"/>
        </w:rPr>
        <w:t xml:space="preserve"> </w:t>
      </w:r>
      <w:r>
        <w:rPr>
          <w:i/>
          <w:sz w:val="16"/>
          <w:szCs w:val="16"/>
        </w:rPr>
        <w:t>C</w:t>
      </w:r>
      <w:r w:rsidRPr="00062586">
        <w:rPr>
          <w:i/>
          <w:sz w:val="16"/>
          <w:szCs w:val="16"/>
        </w:rPr>
        <w:t>fr.</w:t>
      </w:r>
      <w:r w:rsidRPr="00C64243">
        <w:rPr>
          <w:i/>
          <w:sz w:val="16"/>
          <w:szCs w:val="16"/>
        </w:rPr>
        <w:t xml:space="preserve"> </w:t>
      </w:r>
      <w:r w:rsidRPr="002506B3">
        <w:rPr>
          <w:sz w:val="16"/>
          <w:szCs w:val="16"/>
        </w:rPr>
        <w:t>Informe Médico de 19 de abril de 2006 suscrito por el Dr. Jorge</w:t>
      </w:r>
      <w:r w:rsidRPr="00DF0588">
        <w:rPr>
          <w:sz w:val="16"/>
          <w:szCs w:val="16"/>
        </w:rPr>
        <w:t xml:space="preserve"> Godoy Gallardo, Jefe de la Unidad de Paciente Crítico, sobre el ingreso del señor Vinicio Poblete Vilches al Hospital </w:t>
      </w:r>
      <w:proofErr w:type="spellStart"/>
      <w:r w:rsidRPr="00DF0588">
        <w:rPr>
          <w:sz w:val="16"/>
          <w:szCs w:val="16"/>
        </w:rPr>
        <w:t>Sótero</w:t>
      </w:r>
      <w:proofErr w:type="spellEnd"/>
      <w:r w:rsidRPr="00DF0588">
        <w:rPr>
          <w:sz w:val="16"/>
          <w:szCs w:val="16"/>
        </w:rPr>
        <w:t xml:space="preserve"> del Río el 17 de enero de </w:t>
      </w:r>
      <w:r w:rsidRPr="00F40C93">
        <w:rPr>
          <w:sz w:val="16"/>
          <w:szCs w:val="16"/>
        </w:rPr>
        <w:t xml:space="preserve">2001. </w:t>
      </w:r>
      <w:r w:rsidRPr="009324EB">
        <w:rPr>
          <w:sz w:val="16"/>
          <w:szCs w:val="16"/>
          <w:lang w:val="es-MX"/>
        </w:rPr>
        <w:t xml:space="preserve">Documento anexo al Oficio Reservado No. 026/09, </w:t>
      </w:r>
      <w:r w:rsidRPr="00062586">
        <w:rPr>
          <w:i/>
          <w:sz w:val="16"/>
          <w:szCs w:val="16"/>
          <w:lang w:val="es-MX"/>
        </w:rPr>
        <w:t>supra</w:t>
      </w:r>
      <w:r>
        <w:rPr>
          <w:i/>
          <w:sz w:val="16"/>
          <w:szCs w:val="16"/>
          <w:lang w:val="es-MX"/>
        </w:rPr>
        <w:t xml:space="preserve"> </w:t>
      </w:r>
      <w:r>
        <w:rPr>
          <w:sz w:val="16"/>
          <w:szCs w:val="16"/>
          <w:lang w:val="es-MX"/>
        </w:rPr>
        <w:t xml:space="preserve">(expediente de fondo, </w:t>
      </w:r>
      <w:r w:rsidRPr="009324EB">
        <w:rPr>
          <w:i/>
          <w:sz w:val="16"/>
          <w:szCs w:val="16"/>
          <w:lang w:val="es-MX"/>
        </w:rPr>
        <w:t xml:space="preserve"> </w:t>
      </w:r>
      <w:proofErr w:type="spellStart"/>
      <w:r w:rsidRPr="009324EB">
        <w:rPr>
          <w:sz w:val="16"/>
          <w:szCs w:val="16"/>
          <w:lang w:val="es-MX"/>
        </w:rPr>
        <w:t>ff</w:t>
      </w:r>
      <w:proofErr w:type="spellEnd"/>
      <w:r w:rsidRPr="009324EB">
        <w:rPr>
          <w:sz w:val="16"/>
          <w:szCs w:val="16"/>
          <w:lang w:val="es-MX"/>
        </w:rPr>
        <w:t xml:space="preserve">. 1110 a 1111). </w:t>
      </w:r>
      <w:r>
        <w:rPr>
          <w:sz w:val="16"/>
          <w:szCs w:val="16"/>
        </w:rPr>
        <w:t>Respecto del estado que presentaba el señor Poblete Vilches al momento de ser sometido a la referida intervención quirúrgica, e</w:t>
      </w:r>
      <w:r w:rsidRPr="00DF0588">
        <w:rPr>
          <w:sz w:val="16"/>
          <w:szCs w:val="16"/>
        </w:rPr>
        <w:t>n este se informa: “[...] Paciente de 76 años […]</w:t>
      </w:r>
      <w:r w:rsidRPr="009324EB">
        <w:rPr>
          <w:sz w:val="16"/>
          <w:szCs w:val="16"/>
        </w:rPr>
        <w:t xml:space="preserve">. Antecedente de: Diabetes Mellitus, Hipertensión arterial y arritmia cardíaca, que ingresa al Hospital por dificultad respiratoria […] Se conecta a ventilador mecánico hasta el día 20/01/01 […] Se traslada a Medicina el 22/01/01 en condiciones estables, </w:t>
      </w:r>
      <w:proofErr w:type="spellStart"/>
      <w:r w:rsidRPr="009324EB">
        <w:rPr>
          <w:sz w:val="16"/>
          <w:szCs w:val="16"/>
        </w:rPr>
        <w:t>vigil</w:t>
      </w:r>
      <w:proofErr w:type="spellEnd"/>
      <w:r w:rsidRPr="009324EB">
        <w:rPr>
          <w:sz w:val="16"/>
          <w:szCs w:val="16"/>
        </w:rPr>
        <w:t xml:space="preserve">, desorientado pero cooperador. En su estadía en Medicina se le efectúa un ecocardiograma que muestra un derrame pericárdico moderado. Se decide efectuar un drenaje quirúrgico de su derrame pericárdico para lo cual se pide consentimiento informado. El procedimiento se llevó a cabo el día 26/01 realizándose una </w:t>
      </w:r>
      <w:proofErr w:type="spellStart"/>
      <w:r w:rsidRPr="009324EB">
        <w:rPr>
          <w:sz w:val="16"/>
          <w:szCs w:val="16"/>
        </w:rPr>
        <w:t>video</w:t>
      </w:r>
      <w:r>
        <w:rPr>
          <w:sz w:val="16"/>
          <w:szCs w:val="16"/>
        </w:rPr>
        <w:t>toracoscipoa</w:t>
      </w:r>
      <w:proofErr w:type="spellEnd"/>
      <w:r w:rsidRPr="009324EB">
        <w:rPr>
          <w:sz w:val="16"/>
          <w:szCs w:val="16"/>
        </w:rPr>
        <w:t xml:space="preserve"> con ventana pericárdica […]”. </w:t>
      </w:r>
      <w:r>
        <w:rPr>
          <w:sz w:val="16"/>
          <w:szCs w:val="16"/>
        </w:rPr>
        <w:tab/>
      </w:r>
      <w:r w:rsidRPr="00062586">
        <w:rPr>
          <w:i/>
          <w:sz w:val="16"/>
          <w:szCs w:val="16"/>
          <w:lang w:val="es-HN"/>
        </w:rPr>
        <w:t>Cfr.</w:t>
      </w:r>
      <w:r w:rsidRPr="00073329">
        <w:rPr>
          <w:i/>
          <w:sz w:val="16"/>
          <w:szCs w:val="16"/>
          <w:lang w:val="es-HN"/>
        </w:rPr>
        <w:t xml:space="preserve"> </w:t>
      </w:r>
      <w:r w:rsidRPr="00073329">
        <w:rPr>
          <w:sz w:val="16"/>
          <w:szCs w:val="16"/>
          <w:lang w:val="es-MX"/>
        </w:rPr>
        <w:t xml:space="preserve">Declaración rendida por </w:t>
      </w:r>
      <w:r>
        <w:rPr>
          <w:sz w:val="16"/>
          <w:szCs w:val="16"/>
          <w:lang w:val="es-MX"/>
        </w:rPr>
        <w:t>Javier</w:t>
      </w:r>
      <w:r w:rsidRPr="002506B3">
        <w:rPr>
          <w:sz w:val="16"/>
          <w:szCs w:val="16"/>
          <w:lang w:val="es-MX"/>
        </w:rPr>
        <w:t xml:space="preserve"> Alejandro Santos</w:t>
      </w:r>
      <w:r w:rsidRPr="00DF0588">
        <w:rPr>
          <w:sz w:val="16"/>
          <w:szCs w:val="16"/>
          <w:lang w:val="es-MX"/>
        </w:rPr>
        <w:t xml:space="preserve"> ante la Corte en la audiencia pública del 19 de octubre de 2017 (Transcripción de audiencia pública sobre fondo, eventuales reparaciones y costas; 19 de octubre de 2017, págs. 50 a 51</w:t>
      </w:r>
      <w:r w:rsidRPr="00F40C93">
        <w:rPr>
          <w:sz w:val="16"/>
          <w:szCs w:val="16"/>
          <w:lang w:val="es-MX"/>
        </w:rPr>
        <w:t>).</w:t>
      </w:r>
      <w:r>
        <w:rPr>
          <w:sz w:val="16"/>
          <w:szCs w:val="16"/>
          <w:lang w:val="es-MX"/>
        </w:rPr>
        <w:t xml:space="preserve"> </w:t>
      </w:r>
    </w:p>
  </w:footnote>
  <w:footnote w:id="39">
    <w:p w14:paraId="63107556" w14:textId="185578C1" w:rsidR="003C025E" w:rsidRPr="00132C26" w:rsidRDefault="003C025E" w:rsidP="00E22B60">
      <w:pPr>
        <w:pStyle w:val="FootnoteText"/>
        <w:ind w:right="-360"/>
        <w:rPr>
          <w:sz w:val="16"/>
          <w:szCs w:val="16"/>
        </w:rPr>
      </w:pPr>
      <w:r w:rsidRPr="005A39DD">
        <w:rPr>
          <w:rStyle w:val="FootnoteReference"/>
          <w:rFonts w:eastAsia="MS Mincho"/>
          <w:sz w:val="16"/>
          <w:szCs w:val="16"/>
        </w:rPr>
        <w:footnoteRef/>
      </w:r>
      <w:r w:rsidRPr="008B0574">
        <w:rPr>
          <w:sz w:val="16"/>
          <w:szCs w:val="16"/>
        </w:rPr>
        <w:t xml:space="preserve"> </w:t>
      </w:r>
      <w:r w:rsidRPr="008B0574">
        <w:rPr>
          <w:sz w:val="16"/>
          <w:szCs w:val="16"/>
        </w:rPr>
        <w:tab/>
      </w:r>
      <w:r w:rsidRPr="008B0574">
        <w:rPr>
          <w:sz w:val="16"/>
          <w:szCs w:val="16"/>
          <w:lang w:val="es-MX"/>
        </w:rPr>
        <w:t>Ficha clínica de Vinicio Antonio Poblete Tapia (</w:t>
      </w:r>
      <w:r w:rsidRPr="008B0574">
        <w:rPr>
          <w:sz w:val="16"/>
          <w:szCs w:val="16"/>
        </w:rPr>
        <w:t>expediente de prueba, anex</w:t>
      </w:r>
      <w:r w:rsidRPr="00132C26">
        <w:rPr>
          <w:sz w:val="16"/>
          <w:szCs w:val="16"/>
        </w:rPr>
        <w:t>o 8 del Informe de Fondo, f. 79</w:t>
      </w:r>
      <w:r>
        <w:rPr>
          <w:sz w:val="16"/>
          <w:szCs w:val="16"/>
        </w:rPr>
        <w:t>).</w:t>
      </w:r>
    </w:p>
  </w:footnote>
  <w:footnote w:id="40">
    <w:p w14:paraId="0972528A" w14:textId="6FF56007" w:rsidR="003C025E" w:rsidRPr="00E279BB" w:rsidRDefault="003C025E" w:rsidP="00E22B60">
      <w:pPr>
        <w:pStyle w:val="FootnoteText"/>
        <w:ind w:right="-360"/>
        <w:rPr>
          <w:sz w:val="16"/>
          <w:szCs w:val="16"/>
          <w:lang w:val="es-MX"/>
        </w:rPr>
      </w:pPr>
      <w:r w:rsidRPr="00AA7ACB">
        <w:rPr>
          <w:rStyle w:val="FootnoteReference"/>
          <w:rFonts w:eastAsia="MS Mincho"/>
          <w:sz w:val="16"/>
          <w:szCs w:val="16"/>
        </w:rPr>
        <w:footnoteRef/>
      </w:r>
      <w:r w:rsidRPr="001B6272">
        <w:rPr>
          <w:sz w:val="16"/>
          <w:szCs w:val="16"/>
        </w:rPr>
        <w:t xml:space="preserve"> </w:t>
      </w:r>
      <w:r w:rsidRPr="001B6272">
        <w:rPr>
          <w:sz w:val="16"/>
          <w:szCs w:val="16"/>
        </w:rPr>
        <w:tab/>
      </w:r>
      <w:r w:rsidRPr="00453423">
        <w:rPr>
          <w:sz w:val="16"/>
          <w:szCs w:val="16"/>
          <w:lang w:val="es-MX"/>
        </w:rPr>
        <w:t xml:space="preserve">Informe Pericial Caligráfico Privado </w:t>
      </w:r>
      <w:r>
        <w:rPr>
          <w:sz w:val="16"/>
          <w:szCs w:val="16"/>
          <w:lang w:val="es-MX"/>
        </w:rPr>
        <w:t xml:space="preserve">firmado </w:t>
      </w:r>
      <w:r w:rsidRPr="00453423">
        <w:rPr>
          <w:sz w:val="16"/>
          <w:szCs w:val="16"/>
          <w:lang w:val="es-MX"/>
        </w:rPr>
        <w:t xml:space="preserve">por el perito </w:t>
      </w:r>
      <w:r>
        <w:rPr>
          <w:sz w:val="16"/>
          <w:szCs w:val="16"/>
          <w:lang w:val="es-MX"/>
        </w:rPr>
        <w:t xml:space="preserve">Caligráfico Público Nacional </w:t>
      </w:r>
      <w:r w:rsidRPr="00453423">
        <w:rPr>
          <w:sz w:val="16"/>
          <w:szCs w:val="16"/>
          <w:lang w:val="es-MX"/>
        </w:rPr>
        <w:t>José María Buitrago, de fecha 26 de diciembre de 2016 (</w:t>
      </w:r>
      <w:r w:rsidRPr="00E279BB">
        <w:rPr>
          <w:sz w:val="16"/>
          <w:szCs w:val="16"/>
        </w:rPr>
        <w:t>expediente de prueba, anexo 13 de</w:t>
      </w:r>
      <w:r>
        <w:rPr>
          <w:sz w:val="16"/>
          <w:szCs w:val="16"/>
        </w:rPr>
        <w:t>l escrito de solicitudes y argumentos</w:t>
      </w:r>
      <w:r w:rsidRPr="00E279BB">
        <w:rPr>
          <w:sz w:val="16"/>
          <w:szCs w:val="16"/>
        </w:rPr>
        <w:t>, f. 3225)</w:t>
      </w:r>
    </w:p>
  </w:footnote>
  <w:footnote w:id="41">
    <w:p w14:paraId="01D53A00" w14:textId="21D7BE41" w:rsidR="003C025E" w:rsidRPr="00C27894" w:rsidRDefault="003C025E" w:rsidP="00E22B60">
      <w:pPr>
        <w:pStyle w:val="FootnoteText"/>
        <w:ind w:right="-360"/>
        <w:rPr>
          <w:sz w:val="16"/>
          <w:szCs w:val="16"/>
          <w:lang w:val="es-CR"/>
        </w:rPr>
      </w:pPr>
      <w:r w:rsidRPr="00CA4E71">
        <w:rPr>
          <w:rStyle w:val="FootnoteReference"/>
          <w:rFonts w:eastAsia="MS Mincho"/>
          <w:sz w:val="16"/>
          <w:szCs w:val="16"/>
        </w:rPr>
        <w:footnoteRef/>
      </w:r>
      <w:r w:rsidRPr="00CA4E71">
        <w:rPr>
          <w:sz w:val="16"/>
          <w:szCs w:val="16"/>
        </w:rPr>
        <w:t xml:space="preserve"> </w:t>
      </w:r>
      <w:r w:rsidRPr="00CA4E71">
        <w:rPr>
          <w:sz w:val="16"/>
          <w:szCs w:val="16"/>
        </w:rPr>
        <w:tab/>
      </w:r>
      <w:r w:rsidRPr="004D2BDB">
        <w:rPr>
          <w:sz w:val="16"/>
          <w:szCs w:val="16"/>
        </w:rPr>
        <w:t xml:space="preserve">Al respecto, el Estado en su contestación reconoció que el supuesto consentimiento por parte de los familiares que se encuentra en el expediente médico </w:t>
      </w:r>
      <w:r>
        <w:rPr>
          <w:sz w:val="16"/>
          <w:szCs w:val="16"/>
        </w:rPr>
        <w:t xml:space="preserve">“[…] </w:t>
      </w:r>
      <w:r w:rsidRPr="00DB5AA5">
        <w:rPr>
          <w:sz w:val="16"/>
          <w:szCs w:val="16"/>
          <w:lang w:val="es-MX"/>
        </w:rPr>
        <w:t xml:space="preserve">plantea dudas sobre </w:t>
      </w:r>
      <w:r>
        <w:rPr>
          <w:sz w:val="16"/>
          <w:szCs w:val="16"/>
          <w:lang w:val="es-MX"/>
        </w:rPr>
        <w:t>l</w:t>
      </w:r>
      <w:r w:rsidRPr="00C64243">
        <w:rPr>
          <w:sz w:val="16"/>
          <w:szCs w:val="16"/>
          <w:lang w:val="es-MX"/>
        </w:rPr>
        <w:t>a manera en que fue obtenido y su autenticidad</w:t>
      </w:r>
      <w:r>
        <w:rPr>
          <w:sz w:val="16"/>
          <w:szCs w:val="16"/>
        </w:rPr>
        <w:t xml:space="preserve">” (expediente de fondo, </w:t>
      </w:r>
      <w:proofErr w:type="spellStart"/>
      <w:r w:rsidRPr="00CA4E71">
        <w:rPr>
          <w:sz w:val="16"/>
          <w:szCs w:val="16"/>
        </w:rPr>
        <w:t>f</w:t>
      </w:r>
      <w:r>
        <w:rPr>
          <w:sz w:val="16"/>
          <w:szCs w:val="16"/>
        </w:rPr>
        <w:t>f</w:t>
      </w:r>
      <w:proofErr w:type="spellEnd"/>
      <w:r w:rsidRPr="00CA4E71">
        <w:rPr>
          <w:sz w:val="16"/>
          <w:szCs w:val="16"/>
        </w:rPr>
        <w:t>. 380</w:t>
      </w:r>
      <w:r>
        <w:rPr>
          <w:sz w:val="16"/>
          <w:szCs w:val="16"/>
        </w:rPr>
        <w:t xml:space="preserve"> a 381)</w:t>
      </w:r>
      <w:r w:rsidRPr="00CA4E71">
        <w:rPr>
          <w:sz w:val="16"/>
          <w:szCs w:val="16"/>
        </w:rPr>
        <w:t>.</w:t>
      </w:r>
    </w:p>
  </w:footnote>
  <w:footnote w:id="42">
    <w:p w14:paraId="6C1EB883" w14:textId="5317B8D2" w:rsidR="003C025E" w:rsidRPr="00C64243" w:rsidRDefault="003C025E" w:rsidP="00E22B60">
      <w:pPr>
        <w:pStyle w:val="FootnoteText"/>
        <w:ind w:right="-360"/>
        <w:rPr>
          <w:sz w:val="16"/>
          <w:szCs w:val="16"/>
        </w:rPr>
      </w:pPr>
      <w:r w:rsidRPr="00C64243">
        <w:rPr>
          <w:rStyle w:val="FootnoteReference"/>
          <w:sz w:val="16"/>
          <w:szCs w:val="16"/>
        </w:rPr>
        <w:footnoteRef/>
      </w:r>
      <w:r w:rsidRPr="00C64243">
        <w:rPr>
          <w:sz w:val="16"/>
          <w:szCs w:val="16"/>
        </w:rPr>
        <w:t xml:space="preserve"> </w:t>
      </w:r>
      <w:r>
        <w:rPr>
          <w:sz w:val="16"/>
          <w:szCs w:val="16"/>
        </w:rPr>
        <w:tab/>
      </w:r>
      <w:r w:rsidRPr="00062586">
        <w:rPr>
          <w:i/>
          <w:sz w:val="16"/>
          <w:szCs w:val="16"/>
        </w:rPr>
        <w:t>Cfr.</w:t>
      </w:r>
      <w:r>
        <w:rPr>
          <w:i/>
          <w:sz w:val="16"/>
          <w:szCs w:val="16"/>
        </w:rPr>
        <w:t xml:space="preserve"> </w:t>
      </w:r>
      <w:r w:rsidRPr="00C64243">
        <w:rPr>
          <w:sz w:val="16"/>
          <w:szCs w:val="16"/>
          <w:lang w:val="es-MX"/>
        </w:rPr>
        <w:t xml:space="preserve">Declaración del señor Vinicio Marco Antonio Poblete Tapia ante la Corte en la audiencia pública del 19 de octubre de 2017, </w:t>
      </w:r>
      <w:r w:rsidRPr="00062586">
        <w:rPr>
          <w:i/>
          <w:sz w:val="16"/>
          <w:szCs w:val="16"/>
          <w:lang w:val="es-MX"/>
        </w:rPr>
        <w:t>supra</w:t>
      </w:r>
      <w:r w:rsidRPr="00C64243">
        <w:rPr>
          <w:sz w:val="16"/>
          <w:szCs w:val="16"/>
          <w:lang w:val="es-MX"/>
        </w:rPr>
        <w:t>, pág</w:t>
      </w:r>
      <w:r>
        <w:rPr>
          <w:sz w:val="16"/>
          <w:szCs w:val="16"/>
          <w:lang w:val="es-MX"/>
        </w:rPr>
        <w:t>s</w:t>
      </w:r>
      <w:r w:rsidRPr="00C64243">
        <w:rPr>
          <w:sz w:val="16"/>
          <w:szCs w:val="16"/>
          <w:lang w:val="es-MX"/>
        </w:rPr>
        <w:t xml:space="preserve">. </w:t>
      </w:r>
      <w:r>
        <w:rPr>
          <w:sz w:val="16"/>
          <w:szCs w:val="16"/>
          <w:lang w:val="es-MX"/>
        </w:rPr>
        <w:t>5 y 14</w:t>
      </w:r>
      <w:r w:rsidRPr="008E0564">
        <w:rPr>
          <w:i/>
          <w:sz w:val="16"/>
          <w:szCs w:val="16"/>
          <w:lang w:val="es-MX"/>
        </w:rPr>
        <w:t>,</w:t>
      </w:r>
      <w:r>
        <w:rPr>
          <w:i/>
          <w:sz w:val="16"/>
          <w:szCs w:val="16"/>
          <w:lang w:val="es-MX"/>
        </w:rPr>
        <w:t xml:space="preserve"> </w:t>
      </w:r>
      <w:r w:rsidRPr="00104155">
        <w:rPr>
          <w:sz w:val="16"/>
          <w:szCs w:val="16"/>
          <w:lang w:val="es-MX"/>
        </w:rPr>
        <w:t xml:space="preserve">Declaración rendida ante fedatario público por </w:t>
      </w:r>
      <w:proofErr w:type="spellStart"/>
      <w:r w:rsidRPr="00104155">
        <w:rPr>
          <w:sz w:val="16"/>
          <w:szCs w:val="16"/>
          <w:lang w:val="es-MX"/>
        </w:rPr>
        <w:t>Cesia</w:t>
      </w:r>
      <w:proofErr w:type="spellEnd"/>
      <w:r w:rsidRPr="00104155">
        <w:rPr>
          <w:sz w:val="16"/>
          <w:szCs w:val="16"/>
          <w:lang w:val="es-MX"/>
        </w:rPr>
        <w:t xml:space="preserve"> Leila Siria Poblete Tapia el 6 de octubre de 2017, </w:t>
      </w:r>
      <w:r w:rsidRPr="00062586">
        <w:rPr>
          <w:i/>
          <w:sz w:val="16"/>
          <w:szCs w:val="16"/>
          <w:lang w:val="es-MX"/>
        </w:rPr>
        <w:t>supra</w:t>
      </w:r>
      <w:r w:rsidRPr="00104155">
        <w:rPr>
          <w:i/>
          <w:sz w:val="16"/>
          <w:szCs w:val="16"/>
          <w:lang w:val="es-MX"/>
        </w:rPr>
        <w:t>,</w:t>
      </w:r>
      <w:r>
        <w:rPr>
          <w:sz w:val="16"/>
          <w:szCs w:val="16"/>
          <w:lang w:val="es-MX"/>
        </w:rPr>
        <w:t xml:space="preserve"> (expediente de prueba,  </w:t>
      </w:r>
      <w:proofErr w:type="spellStart"/>
      <w:r w:rsidRPr="00104155">
        <w:rPr>
          <w:sz w:val="16"/>
          <w:szCs w:val="16"/>
          <w:lang w:val="es-MX"/>
        </w:rPr>
        <w:t>ff</w:t>
      </w:r>
      <w:proofErr w:type="spellEnd"/>
      <w:r w:rsidRPr="00104155">
        <w:rPr>
          <w:sz w:val="16"/>
          <w:szCs w:val="16"/>
          <w:lang w:val="es-MX"/>
        </w:rPr>
        <w:t>. 4464 a 4465</w:t>
      </w:r>
      <w:r>
        <w:rPr>
          <w:sz w:val="16"/>
          <w:szCs w:val="16"/>
          <w:lang w:val="es-MX"/>
        </w:rPr>
        <w:t>)</w:t>
      </w:r>
      <w:r w:rsidRPr="00104155">
        <w:rPr>
          <w:sz w:val="16"/>
          <w:szCs w:val="16"/>
          <w:lang w:val="es-MX"/>
        </w:rPr>
        <w:t>,</w:t>
      </w:r>
      <w:r>
        <w:rPr>
          <w:sz w:val="16"/>
          <w:szCs w:val="16"/>
          <w:lang w:val="es-MX"/>
        </w:rPr>
        <w:t xml:space="preserve"> y </w:t>
      </w:r>
      <w:r w:rsidRPr="008E0564">
        <w:rPr>
          <w:sz w:val="16"/>
          <w:szCs w:val="16"/>
          <w:lang w:val="es-MX"/>
        </w:rPr>
        <w:t xml:space="preserve">Declaración rendida ante fedatario público por Alejandra Marcela Fuentes Poblete el 6 de octubre de 2017, </w:t>
      </w:r>
      <w:r>
        <w:rPr>
          <w:sz w:val="16"/>
          <w:szCs w:val="16"/>
          <w:lang w:val="es-MX"/>
        </w:rPr>
        <w:t xml:space="preserve">(expediente de prueba </w:t>
      </w:r>
      <w:proofErr w:type="spellStart"/>
      <w:r w:rsidRPr="008E0564">
        <w:rPr>
          <w:sz w:val="16"/>
          <w:szCs w:val="16"/>
          <w:lang w:val="es-MX"/>
        </w:rPr>
        <w:t>f</w:t>
      </w:r>
      <w:r>
        <w:rPr>
          <w:sz w:val="16"/>
          <w:szCs w:val="16"/>
          <w:lang w:val="es-MX"/>
        </w:rPr>
        <w:t>f</w:t>
      </w:r>
      <w:proofErr w:type="spellEnd"/>
      <w:r>
        <w:rPr>
          <w:sz w:val="16"/>
          <w:szCs w:val="16"/>
          <w:lang w:val="es-MX"/>
        </w:rPr>
        <w:t xml:space="preserve">. 4471 a 4472). </w:t>
      </w:r>
    </w:p>
  </w:footnote>
  <w:footnote w:id="43">
    <w:p w14:paraId="7199615D" w14:textId="501A4181" w:rsidR="003C025E" w:rsidRPr="00C27894" w:rsidRDefault="003C025E" w:rsidP="00E22B60">
      <w:pPr>
        <w:pStyle w:val="FootnoteText"/>
        <w:ind w:right="-360"/>
        <w:rPr>
          <w:sz w:val="16"/>
          <w:szCs w:val="16"/>
          <w:lang w:val="es-MX"/>
        </w:rPr>
      </w:pPr>
      <w:r w:rsidRPr="00C27894">
        <w:rPr>
          <w:rStyle w:val="FootnoteReference"/>
          <w:rFonts w:eastAsia="MS Mincho"/>
          <w:sz w:val="16"/>
          <w:szCs w:val="16"/>
        </w:rPr>
        <w:footnoteRef/>
      </w:r>
      <w:r w:rsidRPr="00C27894">
        <w:rPr>
          <w:sz w:val="16"/>
          <w:szCs w:val="16"/>
        </w:rPr>
        <w:t xml:space="preserve"> </w:t>
      </w:r>
      <w:r w:rsidRPr="00C27894">
        <w:rPr>
          <w:sz w:val="16"/>
          <w:szCs w:val="16"/>
        </w:rPr>
        <w:tab/>
      </w:r>
      <w:r w:rsidRPr="00062586">
        <w:rPr>
          <w:i/>
          <w:sz w:val="16"/>
          <w:szCs w:val="16"/>
        </w:rPr>
        <w:t>Cfr.</w:t>
      </w:r>
      <w:r>
        <w:rPr>
          <w:i/>
          <w:sz w:val="16"/>
          <w:szCs w:val="16"/>
        </w:rPr>
        <w:t xml:space="preserve"> </w:t>
      </w:r>
      <w:r w:rsidRPr="00C64243">
        <w:rPr>
          <w:sz w:val="16"/>
          <w:szCs w:val="16"/>
          <w:lang w:val="es-MX"/>
        </w:rPr>
        <w:t>Declaración del señor Vinicio Marco Antonio Poblete Tapia ante la Corte en la audiencia pública del 19 de octubre de 2017,</w:t>
      </w:r>
      <w:r w:rsidRPr="002704AA">
        <w:rPr>
          <w:i/>
          <w:sz w:val="16"/>
          <w:szCs w:val="16"/>
          <w:lang w:val="es-MX"/>
        </w:rPr>
        <w:t xml:space="preserve"> </w:t>
      </w:r>
      <w:r w:rsidRPr="00062586">
        <w:rPr>
          <w:i/>
          <w:sz w:val="16"/>
          <w:szCs w:val="16"/>
          <w:lang w:val="es-MX"/>
        </w:rPr>
        <w:t>supra</w:t>
      </w:r>
      <w:r w:rsidRPr="002704AA">
        <w:rPr>
          <w:i/>
          <w:sz w:val="16"/>
          <w:szCs w:val="16"/>
          <w:lang w:val="es-MX"/>
        </w:rPr>
        <w:t xml:space="preserve">, </w:t>
      </w:r>
      <w:r w:rsidRPr="00C64243">
        <w:rPr>
          <w:sz w:val="16"/>
          <w:szCs w:val="16"/>
          <w:lang w:val="es-MX"/>
        </w:rPr>
        <w:t>pág</w:t>
      </w:r>
      <w:r>
        <w:rPr>
          <w:sz w:val="16"/>
          <w:szCs w:val="16"/>
          <w:lang w:val="es-MX"/>
        </w:rPr>
        <w:t>s</w:t>
      </w:r>
      <w:r w:rsidRPr="002704AA">
        <w:rPr>
          <w:sz w:val="16"/>
          <w:szCs w:val="16"/>
          <w:lang w:val="es-MX"/>
        </w:rPr>
        <w:t xml:space="preserve">. </w:t>
      </w:r>
      <w:r>
        <w:rPr>
          <w:sz w:val="16"/>
          <w:szCs w:val="16"/>
          <w:lang w:val="es-MX"/>
        </w:rPr>
        <w:t>5, 8 y 14</w:t>
      </w:r>
      <w:r w:rsidRPr="00C64243">
        <w:rPr>
          <w:sz w:val="16"/>
          <w:szCs w:val="16"/>
          <w:lang w:val="es-MX"/>
        </w:rPr>
        <w:t>,</w:t>
      </w:r>
      <w:r w:rsidRPr="002704AA">
        <w:rPr>
          <w:i/>
          <w:sz w:val="16"/>
          <w:szCs w:val="16"/>
          <w:lang w:val="es-MX"/>
        </w:rPr>
        <w:t xml:space="preserve"> </w:t>
      </w:r>
      <w:r w:rsidRPr="00C27894">
        <w:rPr>
          <w:sz w:val="16"/>
          <w:szCs w:val="16"/>
          <w:lang w:val="es-MX"/>
        </w:rPr>
        <w:t xml:space="preserve">Declaración rendida ante fedatario público por </w:t>
      </w:r>
      <w:proofErr w:type="spellStart"/>
      <w:r w:rsidRPr="00C27894">
        <w:rPr>
          <w:sz w:val="16"/>
          <w:szCs w:val="16"/>
          <w:lang w:val="es-MX"/>
        </w:rPr>
        <w:t>Cesia</w:t>
      </w:r>
      <w:proofErr w:type="spellEnd"/>
      <w:r w:rsidRPr="00C27894">
        <w:rPr>
          <w:sz w:val="16"/>
          <w:szCs w:val="16"/>
          <w:lang w:val="es-MX"/>
        </w:rPr>
        <w:t xml:space="preserve"> Leila Siria Poblete Tapia el 6 de octubre de 2017,</w:t>
      </w:r>
      <w:r>
        <w:rPr>
          <w:sz w:val="16"/>
          <w:szCs w:val="16"/>
          <w:lang w:val="es-MX"/>
        </w:rPr>
        <w:t xml:space="preserve"> </w:t>
      </w:r>
      <w:r w:rsidRPr="00062586">
        <w:rPr>
          <w:i/>
          <w:sz w:val="16"/>
          <w:szCs w:val="16"/>
          <w:lang w:val="es-MX"/>
        </w:rPr>
        <w:t>supra</w:t>
      </w:r>
      <w:r>
        <w:rPr>
          <w:i/>
          <w:sz w:val="16"/>
          <w:szCs w:val="16"/>
          <w:lang w:val="es-MX"/>
        </w:rPr>
        <w:t>,</w:t>
      </w:r>
      <w:r>
        <w:rPr>
          <w:sz w:val="16"/>
          <w:szCs w:val="16"/>
          <w:lang w:val="es-MX"/>
        </w:rPr>
        <w:t xml:space="preserve"> (expediente de prueba,</w:t>
      </w:r>
      <w:r w:rsidRPr="00C27894">
        <w:rPr>
          <w:sz w:val="16"/>
          <w:szCs w:val="16"/>
          <w:lang w:val="es-MX"/>
        </w:rPr>
        <w:t xml:space="preserve"> f</w:t>
      </w:r>
      <w:r>
        <w:rPr>
          <w:sz w:val="16"/>
          <w:szCs w:val="16"/>
          <w:lang w:val="es-MX"/>
        </w:rPr>
        <w:t xml:space="preserve">. </w:t>
      </w:r>
      <w:r w:rsidRPr="00C27894">
        <w:rPr>
          <w:sz w:val="16"/>
          <w:szCs w:val="16"/>
          <w:lang w:val="es-MX"/>
        </w:rPr>
        <w:t>4465</w:t>
      </w:r>
      <w:r>
        <w:rPr>
          <w:sz w:val="16"/>
          <w:szCs w:val="16"/>
          <w:lang w:val="es-MX"/>
        </w:rPr>
        <w:t>),</w:t>
      </w:r>
      <w:r w:rsidRPr="00C27894">
        <w:rPr>
          <w:sz w:val="16"/>
          <w:szCs w:val="16"/>
          <w:lang w:val="es-MX"/>
        </w:rPr>
        <w:t xml:space="preserve"> </w:t>
      </w:r>
      <w:r>
        <w:rPr>
          <w:sz w:val="16"/>
          <w:szCs w:val="16"/>
          <w:lang w:val="es-MX"/>
        </w:rPr>
        <w:t xml:space="preserve">y </w:t>
      </w:r>
      <w:r w:rsidRPr="00C27894">
        <w:rPr>
          <w:sz w:val="16"/>
          <w:szCs w:val="16"/>
          <w:lang w:val="es-MX"/>
        </w:rPr>
        <w:t>Declaración rendida ante fedatario público por Alejandra Marcela Fuentes Poblete el 6 de octubre de 2017</w:t>
      </w:r>
      <w:r>
        <w:rPr>
          <w:sz w:val="16"/>
          <w:szCs w:val="16"/>
          <w:lang w:val="es-MX"/>
        </w:rPr>
        <w:t xml:space="preserve">, </w:t>
      </w:r>
      <w:r w:rsidRPr="00062586">
        <w:rPr>
          <w:i/>
          <w:sz w:val="16"/>
          <w:szCs w:val="16"/>
          <w:lang w:val="es-MX"/>
        </w:rPr>
        <w:t>supra</w:t>
      </w:r>
      <w:r w:rsidRPr="00C27894">
        <w:rPr>
          <w:sz w:val="16"/>
          <w:szCs w:val="16"/>
          <w:lang w:val="es-MX"/>
        </w:rPr>
        <w:t xml:space="preserve">, </w:t>
      </w:r>
      <w:r>
        <w:rPr>
          <w:sz w:val="16"/>
          <w:szCs w:val="16"/>
          <w:lang w:val="es-MX"/>
        </w:rPr>
        <w:t xml:space="preserve">(expediente de prueba </w:t>
      </w:r>
      <w:r w:rsidRPr="00C27894">
        <w:rPr>
          <w:sz w:val="16"/>
          <w:szCs w:val="16"/>
          <w:lang w:val="es-MX"/>
        </w:rPr>
        <w:t>f</w:t>
      </w:r>
      <w:r>
        <w:rPr>
          <w:sz w:val="16"/>
          <w:szCs w:val="16"/>
          <w:lang w:val="es-MX"/>
        </w:rPr>
        <w:t>.</w:t>
      </w:r>
      <w:r w:rsidRPr="00C27894">
        <w:rPr>
          <w:sz w:val="16"/>
          <w:szCs w:val="16"/>
          <w:lang w:val="es-MX"/>
        </w:rPr>
        <w:t xml:space="preserve"> 4472</w:t>
      </w:r>
      <w:r>
        <w:rPr>
          <w:sz w:val="16"/>
          <w:szCs w:val="16"/>
          <w:lang w:val="es-MX"/>
        </w:rPr>
        <w:t>).</w:t>
      </w:r>
    </w:p>
  </w:footnote>
  <w:footnote w:id="44">
    <w:p w14:paraId="24393395" w14:textId="77777777" w:rsidR="003C025E" w:rsidRPr="00C27894" w:rsidRDefault="003C025E" w:rsidP="00E22B60">
      <w:pPr>
        <w:pStyle w:val="FootnoteText"/>
        <w:ind w:right="-360"/>
        <w:rPr>
          <w:sz w:val="16"/>
          <w:szCs w:val="16"/>
          <w:lang w:val="es-MX"/>
        </w:rPr>
      </w:pPr>
      <w:r w:rsidRPr="00C27894">
        <w:rPr>
          <w:rStyle w:val="FootnoteReference"/>
          <w:rFonts w:eastAsia="MS Mincho"/>
          <w:sz w:val="16"/>
          <w:szCs w:val="16"/>
        </w:rPr>
        <w:footnoteRef/>
      </w:r>
      <w:r w:rsidRPr="00C27894">
        <w:rPr>
          <w:sz w:val="16"/>
          <w:szCs w:val="16"/>
        </w:rPr>
        <w:t xml:space="preserve"> </w:t>
      </w:r>
      <w:r w:rsidRPr="00C27894">
        <w:rPr>
          <w:sz w:val="16"/>
          <w:szCs w:val="16"/>
        </w:rPr>
        <w:tab/>
      </w:r>
      <w:r w:rsidRPr="00062586">
        <w:rPr>
          <w:i/>
          <w:sz w:val="16"/>
          <w:szCs w:val="16"/>
        </w:rPr>
        <w:t>Cfr.</w:t>
      </w:r>
      <w:r>
        <w:rPr>
          <w:i/>
          <w:sz w:val="16"/>
          <w:szCs w:val="16"/>
        </w:rPr>
        <w:t xml:space="preserve"> </w:t>
      </w:r>
      <w:r w:rsidRPr="00C64243">
        <w:rPr>
          <w:sz w:val="16"/>
          <w:szCs w:val="16"/>
          <w:lang w:val="es-MX"/>
        </w:rPr>
        <w:t>Declaración del señor Vinicio Marco Antonio Poblete Tapia ante la Corte en la audiencia pública del 19 de octubre de 2017,</w:t>
      </w:r>
      <w:r w:rsidRPr="00557399">
        <w:rPr>
          <w:i/>
          <w:sz w:val="16"/>
          <w:szCs w:val="16"/>
          <w:lang w:val="es-MX"/>
        </w:rPr>
        <w:t xml:space="preserve"> </w:t>
      </w:r>
      <w:r w:rsidRPr="00062586">
        <w:rPr>
          <w:i/>
          <w:sz w:val="16"/>
          <w:szCs w:val="16"/>
          <w:lang w:val="es-MX"/>
        </w:rPr>
        <w:t>supra</w:t>
      </w:r>
      <w:r w:rsidRPr="00557399">
        <w:rPr>
          <w:i/>
          <w:sz w:val="16"/>
          <w:szCs w:val="16"/>
          <w:lang w:val="es-MX"/>
        </w:rPr>
        <w:t xml:space="preserve">, </w:t>
      </w:r>
      <w:r w:rsidRPr="00C64243">
        <w:rPr>
          <w:sz w:val="16"/>
          <w:szCs w:val="16"/>
          <w:lang w:val="es-MX"/>
        </w:rPr>
        <w:t>págs.</w:t>
      </w:r>
      <w:r>
        <w:rPr>
          <w:sz w:val="16"/>
          <w:szCs w:val="16"/>
          <w:lang w:val="es-MX"/>
        </w:rPr>
        <w:t xml:space="preserve"> 2 y </w:t>
      </w:r>
      <w:r w:rsidRPr="00C64243">
        <w:rPr>
          <w:sz w:val="16"/>
          <w:szCs w:val="16"/>
          <w:lang w:val="es-MX"/>
        </w:rPr>
        <w:t>5,</w:t>
      </w:r>
      <w:r w:rsidRPr="00557399">
        <w:rPr>
          <w:i/>
          <w:sz w:val="16"/>
          <w:szCs w:val="16"/>
          <w:lang w:val="es-MX"/>
        </w:rPr>
        <w:t xml:space="preserve"> </w:t>
      </w:r>
      <w:r w:rsidRPr="00C27894">
        <w:rPr>
          <w:sz w:val="16"/>
          <w:szCs w:val="16"/>
          <w:lang w:val="es-MX"/>
        </w:rPr>
        <w:t xml:space="preserve">Declaración rendida ante fedatario público por </w:t>
      </w:r>
      <w:proofErr w:type="spellStart"/>
      <w:r w:rsidRPr="00C27894">
        <w:rPr>
          <w:sz w:val="16"/>
          <w:szCs w:val="16"/>
          <w:lang w:val="es-MX"/>
        </w:rPr>
        <w:t>Cesia</w:t>
      </w:r>
      <w:proofErr w:type="spellEnd"/>
      <w:r w:rsidRPr="00C27894">
        <w:rPr>
          <w:sz w:val="16"/>
          <w:szCs w:val="16"/>
          <w:lang w:val="es-MX"/>
        </w:rPr>
        <w:t xml:space="preserve"> Leila Siria Poblete Tapia el 6 de octubre de 2017,</w:t>
      </w:r>
      <w:r>
        <w:rPr>
          <w:sz w:val="16"/>
          <w:szCs w:val="16"/>
          <w:lang w:val="es-MX"/>
        </w:rPr>
        <w:t xml:space="preserve"> </w:t>
      </w:r>
      <w:r w:rsidRPr="00062586">
        <w:rPr>
          <w:i/>
          <w:sz w:val="16"/>
          <w:szCs w:val="16"/>
          <w:lang w:val="es-MX"/>
        </w:rPr>
        <w:t>supra</w:t>
      </w:r>
      <w:r>
        <w:rPr>
          <w:i/>
          <w:sz w:val="16"/>
          <w:szCs w:val="16"/>
          <w:lang w:val="es-MX"/>
        </w:rPr>
        <w:t xml:space="preserve">, </w:t>
      </w:r>
      <w:r w:rsidRPr="00C27894">
        <w:rPr>
          <w:sz w:val="16"/>
          <w:szCs w:val="16"/>
          <w:lang w:val="es-MX"/>
        </w:rPr>
        <w:t>f</w:t>
      </w:r>
      <w:r>
        <w:rPr>
          <w:sz w:val="16"/>
          <w:szCs w:val="16"/>
          <w:lang w:val="es-MX"/>
        </w:rPr>
        <w:t>.</w:t>
      </w:r>
      <w:r w:rsidRPr="00C27894">
        <w:rPr>
          <w:sz w:val="16"/>
          <w:szCs w:val="16"/>
          <w:lang w:val="es-MX"/>
        </w:rPr>
        <w:t xml:space="preserve"> 4465</w:t>
      </w:r>
      <w:r>
        <w:rPr>
          <w:sz w:val="16"/>
          <w:szCs w:val="16"/>
          <w:lang w:val="es-MX"/>
        </w:rPr>
        <w:t xml:space="preserve">, </w:t>
      </w:r>
      <w:r w:rsidRPr="004E669C">
        <w:rPr>
          <w:sz w:val="16"/>
          <w:szCs w:val="16"/>
          <w:lang w:val="es-MX"/>
        </w:rPr>
        <w:t xml:space="preserve">y Declaración rendida ante fedatario público por Alejandra Marcela Fuentes Poblete el 6 de octubre de 2017, </w:t>
      </w:r>
      <w:r w:rsidRPr="00062586">
        <w:rPr>
          <w:i/>
          <w:sz w:val="16"/>
          <w:szCs w:val="16"/>
          <w:lang w:val="es-MX"/>
        </w:rPr>
        <w:t>supra</w:t>
      </w:r>
      <w:r w:rsidRPr="004E669C">
        <w:rPr>
          <w:sz w:val="16"/>
          <w:szCs w:val="16"/>
          <w:lang w:val="es-MX"/>
        </w:rPr>
        <w:t>, f.</w:t>
      </w:r>
      <w:r>
        <w:rPr>
          <w:sz w:val="16"/>
          <w:szCs w:val="16"/>
          <w:lang w:val="es-MX"/>
        </w:rPr>
        <w:t xml:space="preserve"> 4471</w:t>
      </w:r>
      <w:r w:rsidRPr="004E669C">
        <w:rPr>
          <w:sz w:val="16"/>
          <w:szCs w:val="16"/>
          <w:lang w:val="es-MX"/>
        </w:rPr>
        <w:t>.</w:t>
      </w:r>
    </w:p>
  </w:footnote>
  <w:footnote w:id="45">
    <w:p w14:paraId="417CAC47" w14:textId="1A4FDD50" w:rsidR="003C025E" w:rsidRPr="000214BA" w:rsidRDefault="003C025E" w:rsidP="00E22B60">
      <w:pPr>
        <w:pStyle w:val="FootnoteText"/>
        <w:ind w:right="-360"/>
        <w:rPr>
          <w:sz w:val="16"/>
          <w:szCs w:val="16"/>
          <w:lang w:val="es-MX"/>
        </w:rPr>
      </w:pPr>
      <w:r w:rsidRPr="00C27894">
        <w:rPr>
          <w:rStyle w:val="FootnoteReference"/>
          <w:rFonts w:eastAsia="MS Mincho"/>
          <w:sz w:val="16"/>
          <w:szCs w:val="16"/>
        </w:rPr>
        <w:footnoteRef/>
      </w:r>
      <w:r w:rsidRPr="00C27894">
        <w:rPr>
          <w:sz w:val="16"/>
          <w:szCs w:val="16"/>
        </w:rPr>
        <w:t xml:space="preserve"> </w:t>
      </w:r>
      <w:r w:rsidRPr="00C27894">
        <w:rPr>
          <w:sz w:val="16"/>
          <w:szCs w:val="16"/>
        </w:rPr>
        <w:tab/>
      </w:r>
      <w:r w:rsidRPr="00C27894">
        <w:rPr>
          <w:sz w:val="16"/>
          <w:szCs w:val="16"/>
          <w:lang w:val="es-MX"/>
        </w:rPr>
        <w:t xml:space="preserve">Declaración rendida ante fedatario público por Sandra Castillo </w:t>
      </w:r>
      <w:proofErr w:type="spellStart"/>
      <w:r w:rsidRPr="00C27894">
        <w:rPr>
          <w:sz w:val="16"/>
          <w:szCs w:val="16"/>
          <w:lang w:val="es-MX"/>
        </w:rPr>
        <w:t>Mont</w:t>
      </w:r>
      <w:r>
        <w:rPr>
          <w:sz w:val="16"/>
          <w:szCs w:val="16"/>
          <w:lang w:val="es-MX"/>
        </w:rPr>
        <w:t>ú</w:t>
      </w:r>
      <w:r w:rsidRPr="00C27894">
        <w:rPr>
          <w:sz w:val="16"/>
          <w:szCs w:val="16"/>
          <w:lang w:val="es-MX"/>
        </w:rPr>
        <w:t>far</w:t>
      </w:r>
      <w:proofErr w:type="spellEnd"/>
      <w:r w:rsidRPr="00C27894">
        <w:rPr>
          <w:sz w:val="16"/>
          <w:szCs w:val="16"/>
          <w:lang w:val="es-MX"/>
        </w:rPr>
        <w:t xml:space="preserve"> el 11 de octubre de 2017, </w:t>
      </w:r>
      <w:r w:rsidRPr="00062586">
        <w:rPr>
          <w:i/>
          <w:sz w:val="16"/>
          <w:szCs w:val="16"/>
          <w:lang w:val="es-MX"/>
        </w:rPr>
        <w:t>supra</w:t>
      </w:r>
      <w:r>
        <w:rPr>
          <w:i/>
          <w:sz w:val="16"/>
          <w:szCs w:val="16"/>
          <w:lang w:val="es-MX"/>
        </w:rPr>
        <w:t>,</w:t>
      </w:r>
      <w:r>
        <w:rPr>
          <w:sz w:val="16"/>
          <w:szCs w:val="16"/>
          <w:lang w:val="es-MX"/>
        </w:rPr>
        <w:t xml:space="preserve"> (expediente de prueba,</w:t>
      </w:r>
      <w:r>
        <w:rPr>
          <w:i/>
          <w:sz w:val="16"/>
          <w:szCs w:val="16"/>
          <w:lang w:val="es-MX"/>
        </w:rPr>
        <w:t xml:space="preserve"> </w:t>
      </w:r>
      <w:r w:rsidRPr="00C27894">
        <w:rPr>
          <w:sz w:val="16"/>
          <w:szCs w:val="16"/>
          <w:lang w:val="es-MX"/>
        </w:rPr>
        <w:t>f</w:t>
      </w:r>
      <w:r>
        <w:rPr>
          <w:sz w:val="16"/>
          <w:szCs w:val="16"/>
          <w:lang w:val="es-MX"/>
        </w:rPr>
        <w:t>.</w:t>
      </w:r>
      <w:r w:rsidRPr="00C27894">
        <w:rPr>
          <w:sz w:val="16"/>
          <w:szCs w:val="16"/>
          <w:lang w:val="es-MX"/>
        </w:rPr>
        <w:t xml:space="preserve"> 4475</w:t>
      </w:r>
      <w:r>
        <w:rPr>
          <w:sz w:val="16"/>
          <w:szCs w:val="16"/>
          <w:lang w:val="es-MX"/>
        </w:rPr>
        <w:t xml:space="preserve">). </w:t>
      </w:r>
      <w:r w:rsidRPr="00062586">
        <w:rPr>
          <w:i/>
          <w:sz w:val="16"/>
          <w:szCs w:val="16"/>
        </w:rPr>
        <w:t>Cfr.</w:t>
      </w:r>
      <w:r>
        <w:rPr>
          <w:i/>
          <w:sz w:val="16"/>
          <w:szCs w:val="16"/>
        </w:rPr>
        <w:t xml:space="preserve"> </w:t>
      </w:r>
      <w:r w:rsidRPr="00C27894">
        <w:rPr>
          <w:sz w:val="16"/>
          <w:szCs w:val="16"/>
        </w:rPr>
        <w:t xml:space="preserve">Declaración del señor Vinicio Marco Antonio Poblete Tapia </w:t>
      </w:r>
      <w:r w:rsidRPr="00C27894">
        <w:rPr>
          <w:sz w:val="16"/>
          <w:szCs w:val="16"/>
          <w:lang w:val="es-MX"/>
        </w:rPr>
        <w:t>ante la Corte en la audiencia pública del 19 de octubre de 2017</w:t>
      </w:r>
      <w:r>
        <w:rPr>
          <w:sz w:val="16"/>
          <w:szCs w:val="16"/>
          <w:lang w:val="es-MX"/>
        </w:rPr>
        <w:t>,</w:t>
      </w:r>
      <w:r w:rsidRPr="00C27894">
        <w:rPr>
          <w:sz w:val="16"/>
          <w:szCs w:val="16"/>
          <w:lang w:val="es-MX"/>
        </w:rPr>
        <w:t xml:space="preserve"> </w:t>
      </w:r>
      <w:r w:rsidRPr="00062586">
        <w:rPr>
          <w:i/>
          <w:sz w:val="16"/>
          <w:szCs w:val="16"/>
          <w:lang w:val="es-MX"/>
        </w:rPr>
        <w:t>supra</w:t>
      </w:r>
      <w:r w:rsidRPr="00C27894">
        <w:rPr>
          <w:sz w:val="16"/>
          <w:szCs w:val="16"/>
          <w:lang w:val="es-MX"/>
        </w:rPr>
        <w:t>, pág. 1</w:t>
      </w:r>
      <w:r>
        <w:rPr>
          <w:sz w:val="16"/>
          <w:szCs w:val="16"/>
          <w:lang w:val="es-MX"/>
        </w:rPr>
        <w:t>6, y De</w:t>
      </w:r>
      <w:r w:rsidRPr="004D2BDB">
        <w:rPr>
          <w:sz w:val="16"/>
          <w:szCs w:val="16"/>
          <w:lang w:val="es-MX"/>
        </w:rPr>
        <w:t>claración rendida ante fedatario público por Alejandra Marcela Fuentes Poblete el 6 de octubre de 2017</w:t>
      </w:r>
      <w:r>
        <w:rPr>
          <w:sz w:val="16"/>
          <w:szCs w:val="16"/>
          <w:lang w:val="es-MX"/>
        </w:rPr>
        <w:t xml:space="preserve">, </w:t>
      </w:r>
      <w:r w:rsidRPr="00062586">
        <w:rPr>
          <w:i/>
          <w:sz w:val="16"/>
          <w:szCs w:val="16"/>
          <w:lang w:val="es-MX"/>
        </w:rPr>
        <w:t>supra</w:t>
      </w:r>
      <w:r>
        <w:rPr>
          <w:sz w:val="16"/>
          <w:szCs w:val="16"/>
          <w:lang w:val="es-MX"/>
        </w:rPr>
        <w:t>, (expediente de prueba, f</w:t>
      </w:r>
      <w:r w:rsidRPr="004D2BDB">
        <w:rPr>
          <w:sz w:val="16"/>
          <w:szCs w:val="16"/>
          <w:lang w:val="es-MX"/>
        </w:rPr>
        <w:t>.</w:t>
      </w:r>
      <w:r>
        <w:rPr>
          <w:sz w:val="16"/>
          <w:szCs w:val="16"/>
          <w:lang w:val="es-MX"/>
        </w:rPr>
        <w:t xml:space="preserve"> 4472).</w:t>
      </w:r>
    </w:p>
  </w:footnote>
  <w:footnote w:id="46">
    <w:p w14:paraId="66E9EEC4" w14:textId="25F9E034" w:rsidR="003C025E" w:rsidRPr="004D2BDB"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sidRPr="000214BA">
        <w:rPr>
          <w:sz w:val="16"/>
          <w:szCs w:val="16"/>
          <w:lang w:val="es-MX"/>
        </w:rPr>
        <w:t xml:space="preserve">Declaración rendida ante </w:t>
      </w:r>
      <w:r w:rsidRPr="004D2BDB">
        <w:rPr>
          <w:sz w:val="16"/>
          <w:szCs w:val="16"/>
          <w:lang w:val="es-MX"/>
        </w:rPr>
        <w:t xml:space="preserve">fedatario público por </w:t>
      </w:r>
      <w:proofErr w:type="spellStart"/>
      <w:r w:rsidRPr="004D2BDB">
        <w:rPr>
          <w:sz w:val="16"/>
          <w:szCs w:val="16"/>
          <w:lang w:val="es-MX"/>
        </w:rPr>
        <w:t>Cesia</w:t>
      </w:r>
      <w:proofErr w:type="spellEnd"/>
      <w:r w:rsidRPr="004D2BDB">
        <w:rPr>
          <w:sz w:val="16"/>
          <w:szCs w:val="16"/>
          <w:lang w:val="es-MX"/>
        </w:rPr>
        <w:t xml:space="preserve"> Leila Siria Poblete Tapia el 6 de octubre de 2017 (expediente de prueba, affidávits, folio 4466)</w:t>
      </w:r>
      <w:r>
        <w:rPr>
          <w:sz w:val="16"/>
          <w:szCs w:val="16"/>
          <w:lang w:val="es-MX"/>
        </w:rPr>
        <w:t>.</w:t>
      </w:r>
      <w:r w:rsidRPr="004D2BDB">
        <w:rPr>
          <w:sz w:val="16"/>
          <w:szCs w:val="16"/>
          <w:lang w:val="es-MX"/>
        </w:rPr>
        <w:t xml:space="preserve"> </w:t>
      </w:r>
    </w:p>
  </w:footnote>
  <w:footnote w:id="47">
    <w:p w14:paraId="54D22CEC" w14:textId="7E1AE422" w:rsidR="003C025E" w:rsidRPr="001D69BA" w:rsidRDefault="003C025E" w:rsidP="00E22B60">
      <w:pPr>
        <w:pStyle w:val="FootnoteText"/>
        <w:ind w:right="-360"/>
        <w:rPr>
          <w:i/>
          <w:sz w:val="16"/>
          <w:szCs w:val="16"/>
        </w:rPr>
      </w:pPr>
      <w:r w:rsidRPr="006E4030">
        <w:rPr>
          <w:rStyle w:val="FootnoteReference"/>
          <w:rFonts w:eastAsia="MS Mincho"/>
          <w:sz w:val="16"/>
          <w:szCs w:val="16"/>
        </w:rPr>
        <w:footnoteRef/>
      </w:r>
      <w:r w:rsidRPr="006E4030">
        <w:rPr>
          <w:sz w:val="16"/>
          <w:szCs w:val="16"/>
        </w:rPr>
        <w:t xml:space="preserve"> </w:t>
      </w:r>
      <w:r w:rsidRPr="006E4030">
        <w:rPr>
          <w:sz w:val="16"/>
          <w:szCs w:val="16"/>
        </w:rPr>
        <w:tab/>
      </w:r>
      <w:r w:rsidRPr="008A6348">
        <w:rPr>
          <w:sz w:val="16"/>
          <w:szCs w:val="16"/>
          <w:lang w:val="es-MX"/>
        </w:rPr>
        <w:t xml:space="preserve">Ficha clínica del señor Vinicio Poblete Vilches de 6 de febrero de 2001 (expediente de prueba, f. 815). </w:t>
      </w:r>
    </w:p>
  </w:footnote>
  <w:footnote w:id="48">
    <w:p w14:paraId="1E123E5E" w14:textId="18686456" w:rsidR="003C025E" w:rsidRPr="004D2BDB" w:rsidRDefault="003C025E" w:rsidP="00E22B60">
      <w:pPr>
        <w:pStyle w:val="FootnoteText"/>
        <w:ind w:right="-360"/>
        <w:rPr>
          <w:sz w:val="16"/>
          <w:szCs w:val="16"/>
          <w:lang w:val="es-MX"/>
        </w:rPr>
      </w:pPr>
      <w:r w:rsidRPr="00E279BB">
        <w:rPr>
          <w:rStyle w:val="FootnoteReference"/>
          <w:rFonts w:eastAsia="MS Mincho"/>
          <w:sz w:val="16"/>
          <w:szCs w:val="16"/>
        </w:rPr>
        <w:footnoteRef/>
      </w:r>
      <w:r w:rsidRPr="002E06CD">
        <w:rPr>
          <w:sz w:val="16"/>
          <w:szCs w:val="16"/>
        </w:rPr>
        <w:t xml:space="preserve"> </w:t>
      </w:r>
      <w:r>
        <w:rPr>
          <w:sz w:val="16"/>
          <w:szCs w:val="16"/>
        </w:rPr>
        <w:tab/>
      </w:r>
      <w:r w:rsidRPr="00062586">
        <w:rPr>
          <w:i/>
          <w:sz w:val="16"/>
          <w:szCs w:val="16"/>
        </w:rPr>
        <w:t>Cfr.</w:t>
      </w:r>
      <w:r>
        <w:rPr>
          <w:i/>
          <w:sz w:val="16"/>
          <w:szCs w:val="16"/>
        </w:rPr>
        <w:t xml:space="preserve"> </w:t>
      </w:r>
      <w:r w:rsidRPr="00C27894">
        <w:rPr>
          <w:sz w:val="16"/>
          <w:szCs w:val="16"/>
        </w:rPr>
        <w:t xml:space="preserve">Declaración del señor Vinicio Marco Antonio Poblete Tapia </w:t>
      </w:r>
      <w:r w:rsidRPr="00C27894">
        <w:rPr>
          <w:sz w:val="16"/>
          <w:szCs w:val="16"/>
          <w:lang w:val="es-MX"/>
        </w:rPr>
        <w:t>ante la Corte en la audiencia pública del 19 de octubre de 2017</w:t>
      </w:r>
      <w:r>
        <w:rPr>
          <w:sz w:val="16"/>
          <w:szCs w:val="16"/>
          <w:lang w:val="es-MX"/>
        </w:rPr>
        <w:t xml:space="preserve">, </w:t>
      </w:r>
      <w:r w:rsidRPr="00062586">
        <w:rPr>
          <w:i/>
          <w:sz w:val="16"/>
          <w:szCs w:val="16"/>
          <w:lang w:val="es-MX"/>
        </w:rPr>
        <w:t>supra</w:t>
      </w:r>
      <w:r w:rsidRPr="00C27894">
        <w:rPr>
          <w:sz w:val="16"/>
          <w:szCs w:val="16"/>
          <w:lang w:val="es-MX"/>
        </w:rPr>
        <w:t xml:space="preserve">, </w:t>
      </w:r>
      <w:r>
        <w:rPr>
          <w:sz w:val="16"/>
          <w:szCs w:val="16"/>
          <w:lang w:val="es-MX"/>
        </w:rPr>
        <w:t xml:space="preserve">pág. 5, y </w:t>
      </w:r>
      <w:r w:rsidRPr="006A6E1B">
        <w:rPr>
          <w:sz w:val="16"/>
          <w:szCs w:val="16"/>
          <w:lang w:val="es-MX"/>
        </w:rPr>
        <w:t xml:space="preserve">Declaración rendida ante fedatario público por </w:t>
      </w:r>
      <w:proofErr w:type="spellStart"/>
      <w:r w:rsidRPr="006A6E1B">
        <w:rPr>
          <w:sz w:val="16"/>
          <w:szCs w:val="16"/>
          <w:lang w:val="es-MX"/>
        </w:rPr>
        <w:t>Cesia</w:t>
      </w:r>
      <w:proofErr w:type="spellEnd"/>
      <w:r w:rsidRPr="006A6E1B">
        <w:rPr>
          <w:sz w:val="16"/>
          <w:szCs w:val="16"/>
          <w:lang w:val="es-MX"/>
        </w:rPr>
        <w:t xml:space="preserve"> Leila Siria Poblet</w:t>
      </w:r>
      <w:r>
        <w:rPr>
          <w:sz w:val="16"/>
          <w:szCs w:val="16"/>
          <w:lang w:val="es-MX"/>
        </w:rPr>
        <w:t xml:space="preserve">e Tapia el 6 de octubre de </w:t>
      </w:r>
      <w:r w:rsidRPr="006A6E1B">
        <w:rPr>
          <w:sz w:val="16"/>
          <w:szCs w:val="16"/>
          <w:lang w:val="es-MX"/>
        </w:rPr>
        <w:t>2017</w:t>
      </w:r>
      <w:r w:rsidRPr="00C64243">
        <w:rPr>
          <w:sz w:val="16"/>
          <w:szCs w:val="16"/>
          <w:lang w:val="es-MX"/>
        </w:rPr>
        <w:t>,</w:t>
      </w:r>
      <w:r>
        <w:rPr>
          <w:i/>
          <w:sz w:val="16"/>
          <w:szCs w:val="16"/>
          <w:lang w:val="es-MX"/>
        </w:rPr>
        <w:t xml:space="preserve"> </w:t>
      </w:r>
      <w:r w:rsidRPr="00062586">
        <w:rPr>
          <w:i/>
          <w:sz w:val="16"/>
          <w:szCs w:val="16"/>
          <w:lang w:val="es-MX"/>
        </w:rPr>
        <w:t>supra</w:t>
      </w:r>
      <w:r>
        <w:rPr>
          <w:i/>
          <w:sz w:val="16"/>
          <w:szCs w:val="16"/>
          <w:lang w:val="es-MX"/>
        </w:rPr>
        <w:t xml:space="preserve">, </w:t>
      </w:r>
      <w:r>
        <w:rPr>
          <w:sz w:val="16"/>
          <w:szCs w:val="16"/>
          <w:lang w:val="es-MX"/>
        </w:rPr>
        <w:t xml:space="preserve">f. </w:t>
      </w:r>
      <w:r w:rsidRPr="006A6E1B">
        <w:rPr>
          <w:sz w:val="16"/>
          <w:szCs w:val="16"/>
          <w:lang w:val="es-MX"/>
        </w:rPr>
        <w:t>4466</w:t>
      </w:r>
      <w:r w:rsidRPr="00C27894">
        <w:rPr>
          <w:sz w:val="16"/>
          <w:szCs w:val="16"/>
          <w:lang w:val="es-MX"/>
        </w:rPr>
        <w:t xml:space="preserve">.   </w:t>
      </w:r>
    </w:p>
  </w:footnote>
  <w:footnote w:id="49">
    <w:p w14:paraId="3CEF4D74" w14:textId="77777777" w:rsidR="003C025E" w:rsidRPr="00E6421C" w:rsidRDefault="003C025E" w:rsidP="00E22B60">
      <w:pPr>
        <w:pStyle w:val="FootnoteText"/>
        <w:ind w:right="-360"/>
        <w:rPr>
          <w:sz w:val="16"/>
          <w:szCs w:val="16"/>
          <w:lang w:val="es-MX"/>
        </w:rPr>
      </w:pPr>
      <w:r w:rsidRPr="00630070">
        <w:rPr>
          <w:rStyle w:val="FootnoteReference"/>
          <w:rFonts w:eastAsia="MS Mincho"/>
          <w:sz w:val="16"/>
          <w:szCs w:val="16"/>
        </w:rPr>
        <w:footnoteRef/>
      </w:r>
      <w:r w:rsidRPr="00E5581F">
        <w:rPr>
          <w:sz w:val="16"/>
          <w:szCs w:val="16"/>
        </w:rPr>
        <w:t xml:space="preserve"> </w:t>
      </w:r>
      <w:r w:rsidRPr="00E5581F">
        <w:rPr>
          <w:sz w:val="16"/>
          <w:szCs w:val="16"/>
        </w:rPr>
        <w:tab/>
      </w:r>
      <w:r w:rsidRPr="007F23C5">
        <w:rPr>
          <w:sz w:val="16"/>
          <w:szCs w:val="16"/>
          <w:lang w:val="es-MX"/>
        </w:rPr>
        <w:t>Declaración de Vinicio Marco Antonio Poblete Tapia de 6 de abril de 2006 ante el Primer Juzgado Penal (</w:t>
      </w:r>
      <w:r w:rsidRPr="00BD41AE">
        <w:rPr>
          <w:sz w:val="16"/>
          <w:szCs w:val="16"/>
          <w:lang w:val="es-MX"/>
        </w:rPr>
        <w:t>expediente de prueba, anexo 4 del Informe de Fondo, f. 570</w:t>
      </w:r>
      <w:r>
        <w:rPr>
          <w:sz w:val="16"/>
          <w:szCs w:val="16"/>
          <w:lang w:val="es-MX"/>
        </w:rPr>
        <w:t>).</w:t>
      </w:r>
    </w:p>
  </w:footnote>
  <w:footnote w:id="50">
    <w:p w14:paraId="437B228C" w14:textId="5D9817B9" w:rsidR="003C025E" w:rsidRPr="00BF56F2" w:rsidRDefault="003C025E" w:rsidP="00E22B60">
      <w:pPr>
        <w:pStyle w:val="FootnoteText"/>
        <w:ind w:right="-360"/>
        <w:rPr>
          <w:sz w:val="16"/>
          <w:szCs w:val="16"/>
          <w:lang w:val="es-MX"/>
        </w:rPr>
      </w:pPr>
      <w:r w:rsidRPr="00E6421C">
        <w:rPr>
          <w:rStyle w:val="FootnoteReference"/>
          <w:rFonts w:eastAsia="MS Mincho"/>
          <w:sz w:val="16"/>
          <w:szCs w:val="16"/>
        </w:rPr>
        <w:footnoteRef/>
      </w:r>
      <w:r w:rsidRPr="00E6421C">
        <w:rPr>
          <w:sz w:val="16"/>
          <w:szCs w:val="16"/>
        </w:rPr>
        <w:t xml:space="preserve"> </w:t>
      </w:r>
      <w:r w:rsidRPr="00E6421C">
        <w:rPr>
          <w:sz w:val="16"/>
          <w:szCs w:val="16"/>
        </w:rPr>
        <w:tab/>
      </w:r>
      <w:r w:rsidRPr="00062586">
        <w:rPr>
          <w:i/>
          <w:sz w:val="16"/>
          <w:szCs w:val="16"/>
        </w:rPr>
        <w:t>Cfr.</w:t>
      </w:r>
      <w:r>
        <w:rPr>
          <w:sz w:val="16"/>
          <w:szCs w:val="16"/>
        </w:rPr>
        <w:t xml:space="preserve"> </w:t>
      </w:r>
      <w:r w:rsidRPr="00E6421C">
        <w:rPr>
          <w:sz w:val="16"/>
          <w:szCs w:val="16"/>
          <w:lang w:val="es-MX"/>
        </w:rPr>
        <w:t xml:space="preserve">Declaración rendida ante fedatario público por </w:t>
      </w:r>
      <w:proofErr w:type="spellStart"/>
      <w:r w:rsidRPr="00E6421C">
        <w:rPr>
          <w:sz w:val="16"/>
          <w:szCs w:val="16"/>
          <w:lang w:val="es-MX"/>
        </w:rPr>
        <w:t>Cesia</w:t>
      </w:r>
      <w:proofErr w:type="spellEnd"/>
      <w:r w:rsidRPr="00E6421C">
        <w:rPr>
          <w:sz w:val="16"/>
          <w:szCs w:val="16"/>
          <w:lang w:val="es-MX"/>
        </w:rPr>
        <w:t xml:space="preserve"> Leila Siria Poblete Tapia el 6 de octubre de 2017</w:t>
      </w:r>
      <w:r>
        <w:rPr>
          <w:sz w:val="16"/>
          <w:szCs w:val="16"/>
          <w:lang w:val="es-MX"/>
        </w:rPr>
        <w:t xml:space="preserve">, </w:t>
      </w:r>
      <w:r w:rsidRPr="00062586">
        <w:rPr>
          <w:i/>
          <w:sz w:val="16"/>
          <w:szCs w:val="16"/>
          <w:lang w:val="es-MX"/>
        </w:rPr>
        <w:t>supra</w:t>
      </w:r>
      <w:r>
        <w:rPr>
          <w:i/>
          <w:sz w:val="16"/>
          <w:szCs w:val="16"/>
          <w:lang w:val="es-MX"/>
        </w:rPr>
        <w:t>,</w:t>
      </w:r>
      <w:r w:rsidRPr="00E6421C">
        <w:rPr>
          <w:sz w:val="16"/>
          <w:szCs w:val="16"/>
          <w:lang w:val="es-MX"/>
        </w:rPr>
        <w:t xml:space="preserve"> </w:t>
      </w:r>
      <w:r>
        <w:rPr>
          <w:sz w:val="16"/>
          <w:szCs w:val="16"/>
          <w:lang w:val="es-MX"/>
        </w:rPr>
        <w:t xml:space="preserve">(expediente de prueba, </w:t>
      </w:r>
      <w:r w:rsidRPr="00E6421C">
        <w:rPr>
          <w:sz w:val="16"/>
          <w:szCs w:val="16"/>
          <w:lang w:val="es-MX"/>
        </w:rPr>
        <w:t>f</w:t>
      </w:r>
      <w:r>
        <w:rPr>
          <w:sz w:val="16"/>
          <w:szCs w:val="16"/>
          <w:lang w:val="es-MX"/>
        </w:rPr>
        <w:t>.</w:t>
      </w:r>
      <w:r w:rsidRPr="00E6421C">
        <w:rPr>
          <w:sz w:val="16"/>
          <w:szCs w:val="16"/>
          <w:lang w:val="es-MX"/>
        </w:rPr>
        <w:t xml:space="preserve"> 4466</w:t>
      </w:r>
      <w:r>
        <w:rPr>
          <w:sz w:val="16"/>
          <w:szCs w:val="16"/>
          <w:lang w:val="es-MX"/>
        </w:rPr>
        <w:t>).</w:t>
      </w:r>
      <w:r w:rsidRPr="00E6421C">
        <w:rPr>
          <w:sz w:val="16"/>
          <w:szCs w:val="16"/>
          <w:lang w:val="es-MX"/>
        </w:rPr>
        <w:t xml:space="preserve"> </w:t>
      </w:r>
    </w:p>
  </w:footnote>
  <w:footnote w:id="51">
    <w:p w14:paraId="65E932AB" w14:textId="77777777" w:rsidR="003C025E" w:rsidRPr="001C4FBC" w:rsidRDefault="003C025E" w:rsidP="00E22B60">
      <w:pPr>
        <w:pStyle w:val="FootnoteText"/>
        <w:ind w:right="-360"/>
        <w:rPr>
          <w:sz w:val="16"/>
          <w:szCs w:val="16"/>
        </w:rPr>
      </w:pPr>
      <w:r w:rsidRPr="001C4FBC">
        <w:rPr>
          <w:rStyle w:val="FootnoteReference"/>
          <w:rFonts w:eastAsia="MS Mincho"/>
          <w:sz w:val="16"/>
          <w:szCs w:val="16"/>
        </w:rPr>
        <w:footnoteRef/>
      </w:r>
      <w:r w:rsidRPr="001C4FBC">
        <w:rPr>
          <w:sz w:val="16"/>
          <w:szCs w:val="16"/>
        </w:rPr>
        <w:t xml:space="preserve"> </w:t>
      </w:r>
      <w:r w:rsidRPr="001C4FBC">
        <w:rPr>
          <w:sz w:val="16"/>
          <w:szCs w:val="16"/>
        </w:rPr>
        <w:tab/>
      </w:r>
      <w:r w:rsidRPr="00062586">
        <w:rPr>
          <w:i/>
          <w:sz w:val="16"/>
          <w:szCs w:val="16"/>
        </w:rPr>
        <w:t>Cfr.</w:t>
      </w:r>
      <w:r w:rsidRPr="00C64243">
        <w:rPr>
          <w:i/>
          <w:sz w:val="16"/>
          <w:szCs w:val="16"/>
        </w:rPr>
        <w:t xml:space="preserve"> </w:t>
      </w:r>
      <w:r w:rsidRPr="001C4FBC">
        <w:rPr>
          <w:sz w:val="16"/>
          <w:szCs w:val="16"/>
          <w:lang w:val="es-MX"/>
        </w:rPr>
        <w:t xml:space="preserve">Declaración rendida ante fedatario público por </w:t>
      </w:r>
      <w:proofErr w:type="spellStart"/>
      <w:r w:rsidRPr="001C4FBC">
        <w:rPr>
          <w:sz w:val="16"/>
          <w:szCs w:val="16"/>
          <w:lang w:val="es-MX"/>
        </w:rPr>
        <w:t>Cesia</w:t>
      </w:r>
      <w:proofErr w:type="spellEnd"/>
      <w:r w:rsidRPr="001C4FBC">
        <w:rPr>
          <w:sz w:val="16"/>
          <w:szCs w:val="16"/>
          <w:lang w:val="es-MX"/>
        </w:rPr>
        <w:t xml:space="preserve"> Leila Siria Poblete Tapia el 6 de octubre de 2017</w:t>
      </w:r>
      <w:r>
        <w:rPr>
          <w:sz w:val="16"/>
          <w:szCs w:val="16"/>
          <w:lang w:val="es-MX"/>
        </w:rPr>
        <w:t xml:space="preserve">, </w:t>
      </w:r>
      <w:r w:rsidRPr="00062586">
        <w:rPr>
          <w:i/>
          <w:sz w:val="16"/>
          <w:szCs w:val="16"/>
          <w:lang w:val="es-MX"/>
        </w:rPr>
        <w:t>supra</w:t>
      </w:r>
      <w:r>
        <w:rPr>
          <w:sz w:val="16"/>
          <w:szCs w:val="16"/>
          <w:lang w:val="es-MX"/>
        </w:rPr>
        <w:t xml:space="preserve">, </w:t>
      </w:r>
      <w:r w:rsidRPr="001C4FBC">
        <w:rPr>
          <w:sz w:val="16"/>
          <w:szCs w:val="16"/>
          <w:lang w:val="es-MX"/>
        </w:rPr>
        <w:t>f</w:t>
      </w:r>
      <w:r>
        <w:rPr>
          <w:sz w:val="16"/>
          <w:szCs w:val="16"/>
          <w:lang w:val="es-MX"/>
        </w:rPr>
        <w:t>.</w:t>
      </w:r>
      <w:r w:rsidRPr="001C4FBC">
        <w:rPr>
          <w:sz w:val="16"/>
          <w:szCs w:val="16"/>
          <w:lang w:val="es-MX"/>
        </w:rPr>
        <w:t xml:space="preserve"> 4466</w:t>
      </w:r>
      <w:r>
        <w:rPr>
          <w:sz w:val="16"/>
          <w:szCs w:val="16"/>
          <w:lang w:val="es-MX"/>
        </w:rPr>
        <w:t xml:space="preserve">, y </w:t>
      </w:r>
      <w:r w:rsidRPr="00850A22">
        <w:rPr>
          <w:sz w:val="16"/>
          <w:szCs w:val="16"/>
          <w:lang w:val="es-MX"/>
        </w:rPr>
        <w:t>Declaración del señor Vinicio Marco Antonio Poblete Tapia ante la Corte en la audiencia pública del 19 de octubre de 2017,</w:t>
      </w:r>
      <w:r w:rsidRPr="00850A22">
        <w:rPr>
          <w:i/>
          <w:sz w:val="16"/>
          <w:szCs w:val="16"/>
          <w:lang w:val="es-MX"/>
        </w:rPr>
        <w:t xml:space="preserve"> </w:t>
      </w:r>
      <w:r w:rsidRPr="00062586">
        <w:rPr>
          <w:i/>
          <w:sz w:val="16"/>
          <w:szCs w:val="16"/>
          <w:lang w:val="es-MX"/>
        </w:rPr>
        <w:t>supra</w:t>
      </w:r>
      <w:r w:rsidRPr="00850A22">
        <w:rPr>
          <w:i/>
          <w:sz w:val="16"/>
          <w:szCs w:val="16"/>
          <w:lang w:val="es-MX"/>
        </w:rPr>
        <w:t xml:space="preserve">, </w:t>
      </w:r>
      <w:r w:rsidRPr="00850A22">
        <w:rPr>
          <w:sz w:val="16"/>
          <w:szCs w:val="16"/>
          <w:lang w:val="es-MX"/>
        </w:rPr>
        <w:t>pág. 5</w:t>
      </w:r>
      <w:r w:rsidRPr="001C4FBC">
        <w:rPr>
          <w:sz w:val="16"/>
          <w:szCs w:val="16"/>
          <w:lang w:val="es-MX"/>
        </w:rPr>
        <w:t>.</w:t>
      </w:r>
    </w:p>
  </w:footnote>
  <w:footnote w:id="52">
    <w:p w14:paraId="3E49B3D8" w14:textId="77777777" w:rsidR="003C025E" w:rsidRPr="00E14B0B" w:rsidRDefault="003C025E" w:rsidP="00E22B60">
      <w:pPr>
        <w:pStyle w:val="FootnoteText"/>
        <w:ind w:right="-360"/>
        <w:rPr>
          <w:sz w:val="16"/>
          <w:szCs w:val="16"/>
        </w:rPr>
      </w:pPr>
      <w:r w:rsidRPr="001C4FBC">
        <w:rPr>
          <w:rStyle w:val="FootnoteReference"/>
          <w:rFonts w:eastAsia="MS Mincho"/>
          <w:sz w:val="16"/>
          <w:szCs w:val="16"/>
        </w:rPr>
        <w:footnoteRef/>
      </w:r>
      <w:r w:rsidRPr="001C4FBC">
        <w:rPr>
          <w:sz w:val="16"/>
          <w:szCs w:val="16"/>
        </w:rPr>
        <w:t xml:space="preserve"> </w:t>
      </w:r>
      <w:r w:rsidRPr="001C4FBC">
        <w:rPr>
          <w:sz w:val="16"/>
          <w:szCs w:val="16"/>
        </w:rPr>
        <w:tab/>
      </w:r>
      <w:r w:rsidRPr="00E14B0B">
        <w:rPr>
          <w:sz w:val="16"/>
          <w:szCs w:val="16"/>
          <w:lang w:val="es-MX"/>
        </w:rPr>
        <w:t xml:space="preserve">Declaración rendida ante fedatario público por </w:t>
      </w:r>
      <w:proofErr w:type="spellStart"/>
      <w:r w:rsidRPr="00E14B0B">
        <w:rPr>
          <w:sz w:val="16"/>
          <w:szCs w:val="16"/>
          <w:lang w:val="es-MX"/>
        </w:rPr>
        <w:t>Cesia</w:t>
      </w:r>
      <w:proofErr w:type="spellEnd"/>
      <w:r w:rsidRPr="00E14B0B">
        <w:rPr>
          <w:sz w:val="16"/>
          <w:szCs w:val="16"/>
          <w:lang w:val="es-MX"/>
        </w:rPr>
        <w:t xml:space="preserve"> Leila Siria Poblete Tapia el 6 de octubre de 2017, </w:t>
      </w:r>
      <w:r w:rsidRPr="00062586">
        <w:rPr>
          <w:i/>
          <w:sz w:val="16"/>
          <w:szCs w:val="16"/>
          <w:lang w:val="es-MX"/>
        </w:rPr>
        <w:t>supra</w:t>
      </w:r>
      <w:r w:rsidRPr="00E14B0B">
        <w:rPr>
          <w:sz w:val="16"/>
          <w:szCs w:val="16"/>
          <w:lang w:val="es-MX"/>
        </w:rPr>
        <w:t xml:space="preserve">, </w:t>
      </w:r>
      <w:proofErr w:type="spellStart"/>
      <w:r w:rsidRPr="00E14B0B">
        <w:rPr>
          <w:sz w:val="16"/>
          <w:szCs w:val="16"/>
          <w:lang w:val="es-MX"/>
        </w:rPr>
        <w:t>ff</w:t>
      </w:r>
      <w:proofErr w:type="spellEnd"/>
      <w:r w:rsidRPr="00E14B0B">
        <w:rPr>
          <w:sz w:val="16"/>
          <w:szCs w:val="16"/>
          <w:lang w:val="es-MX"/>
        </w:rPr>
        <w:t xml:space="preserve">. 4466 y 4467. </w:t>
      </w:r>
      <w:r w:rsidRPr="00062586">
        <w:rPr>
          <w:i/>
          <w:sz w:val="16"/>
          <w:szCs w:val="16"/>
          <w:lang w:val="es-MX"/>
        </w:rPr>
        <w:t>Cfr.</w:t>
      </w:r>
      <w:r w:rsidRPr="00E14B0B">
        <w:rPr>
          <w:sz w:val="16"/>
          <w:szCs w:val="16"/>
          <w:lang w:val="es-MX"/>
        </w:rPr>
        <w:t xml:space="preserve"> Declaración del señor Vinicio Marco Antonio Poblete Tapia ante la Corte en la audiencia pública del 19 de octubre de 2017,</w:t>
      </w:r>
      <w:r w:rsidRPr="00E14B0B">
        <w:rPr>
          <w:i/>
          <w:sz w:val="16"/>
          <w:szCs w:val="16"/>
          <w:lang w:val="es-MX"/>
        </w:rPr>
        <w:t xml:space="preserve"> </w:t>
      </w:r>
      <w:r w:rsidRPr="00062586">
        <w:rPr>
          <w:i/>
          <w:sz w:val="16"/>
          <w:szCs w:val="16"/>
          <w:lang w:val="es-MX"/>
        </w:rPr>
        <w:t>supra</w:t>
      </w:r>
      <w:r w:rsidRPr="00E14B0B">
        <w:rPr>
          <w:i/>
          <w:sz w:val="16"/>
          <w:szCs w:val="16"/>
          <w:lang w:val="es-MX"/>
        </w:rPr>
        <w:t xml:space="preserve">, </w:t>
      </w:r>
      <w:r w:rsidRPr="00E14B0B">
        <w:rPr>
          <w:sz w:val="16"/>
          <w:szCs w:val="16"/>
          <w:lang w:val="es-MX"/>
        </w:rPr>
        <w:t>pág. 5.</w:t>
      </w:r>
    </w:p>
  </w:footnote>
  <w:footnote w:id="53">
    <w:p w14:paraId="2C854AA0" w14:textId="77777777" w:rsidR="003C025E" w:rsidRPr="00E14B0B" w:rsidRDefault="003C025E" w:rsidP="00E22B60">
      <w:pPr>
        <w:pStyle w:val="FootnoteText"/>
        <w:ind w:right="-360"/>
        <w:rPr>
          <w:sz w:val="16"/>
          <w:szCs w:val="16"/>
          <w:lang w:val="es-MX"/>
        </w:rPr>
      </w:pPr>
      <w:r w:rsidRPr="00E14B0B">
        <w:rPr>
          <w:rStyle w:val="FootnoteReference"/>
          <w:rFonts w:eastAsia="MS Mincho"/>
          <w:sz w:val="16"/>
          <w:szCs w:val="16"/>
        </w:rPr>
        <w:footnoteRef/>
      </w:r>
      <w:r w:rsidRPr="00E14B0B">
        <w:rPr>
          <w:sz w:val="16"/>
          <w:szCs w:val="16"/>
        </w:rPr>
        <w:t xml:space="preserve"> </w:t>
      </w:r>
      <w:r w:rsidRPr="00E14B0B">
        <w:rPr>
          <w:sz w:val="16"/>
          <w:szCs w:val="16"/>
        </w:rPr>
        <w:tab/>
      </w:r>
      <w:r w:rsidRPr="00062586">
        <w:rPr>
          <w:i/>
          <w:sz w:val="16"/>
          <w:szCs w:val="16"/>
        </w:rPr>
        <w:t>Cfr.</w:t>
      </w:r>
      <w:r w:rsidRPr="00E14B0B">
        <w:rPr>
          <w:i/>
          <w:sz w:val="16"/>
          <w:szCs w:val="16"/>
        </w:rPr>
        <w:t xml:space="preserve"> </w:t>
      </w:r>
      <w:r w:rsidRPr="00E14B0B">
        <w:rPr>
          <w:sz w:val="16"/>
          <w:szCs w:val="16"/>
          <w:lang w:val="es-MX"/>
        </w:rPr>
        <w:t xml:space="preserve">Declaración rendida ante fedatario público por </w:t>
      </w:r>
      <w:proofErr w:type="spellStart"/>
      <w:r w:rsidRPr="00E14B0B">
        <w:rPr>
          <w:sz w:val="16"/>
          <w:szCs w:val="16"/>
          <w:lang w:val="es-MX"/>
        </w:rPr>
        <w:t>Cesia</w:t>
      </w:r>
      <w:proofErr w:type="spellEnd"/>
      <w:r w:rsidRPr="00E14B0B">
        <w:rPr>
          <w:sz w:val="16"/>
          <w:szCs w:val="16"/>
          <w:lang w:val="es-MX"/>
        </w:rPr>
        <w:t xml:space="preserve"> Leila Siria Poblete Tapia el 6 de octubre de 2017, </w:t>
      </w:r>
      <w:proofErr w:type="spellStart"/>
      <w:r w:rsidRPr="00E14B0B">
        <w:rPr>
          <w:sz w:val="16"/>
          <w:szCs w:val="16"/>
          <w:lang w:val="es-MX"/>
        </w:rPr>
        <w:t>ff</w:t>
      </w:r>
      <w:proofErr w:type="spellEnd"/>
      <w:r w:rsidRPr="00E14B0B">
        <w:rPr>
          <w:sz w:val="16"/>
          <w:szCs w:val="16"/>
          <w:lang w:val="es-MX"/>
        </w:rPr>
        <w:t>. 4466 y 4467</w:t>
      </w:r>
      <w:r>
        <w:rPr>
          <w:sz w:val="16"/>
          <w:szCs w:val="16"/>
          <w:lang w:val="es-MX"/>
        </w:rPr>
        <w:t xml:space="preserve">. </w:t>
      </w:r>
      <w:proofErr w:type="spellStart"/>
      <w:r w:rsidRPr="00C64243">
        <w:rPr>
          <w:i/>
          <w:sz w:val="16"/>
          <w:szCs w:val="16"/>
          <w:lang w:val="es-MX"/>
        </w:rPr>
        <w:t>Cfr</w:t>
      </w:r>
      <w:proofErr w:type="spellEnd"/>
      <w:r w:rsidRPr="00E14B0B">
        <w:rPr>
          <w:sz w:val="16"/>
          <w:szCs w:val="16"/>
          <w:lang w:val="es-MX"/>
        </w:rPr>
        <w:t xml:space="preserve"> </w:t>
      </w:r>
      <w:r w:rsidRPr="00E14B0B">
        <w:rPr>
          <w:sz w:val="16"/>
          <w:szCs w:val="16"/>
        </w:rPr>
        <w:t xml:space="preserve">Declaración del señor Vinicio Marco Antonio Poblete Tapia </w:t>
      </w:r>
      <w:r w:rsidRPr="00E14B0B">
        <w:rPr>
          <w:sz w:val="16"/>
          <w:szCs w:val="16"/>
          <w:lang w:val="es-MX"/>
        </w:rPr>
        <w:t>ante la Corte en la audiencia pública del 19 de octubre de 2017, pág. 5.</w:t>
      </w:r>
    </w:p>
  </w:footnote>
  <w:footnote w:id="54">
    <w:p w14:paraId="108C97D9" w14:textId="237B4A1B" w:rsidR="003C025E" w:rsidRPr="00E14B0B" w:rsidRDefault="003C025E" w:rsidP="00E22B60">
      <w:pPr>
        <w:pStyle w:val="FootnoteText"/>
        <w:ind w:right="-360"/>
        <w:rPr>
          <w:sz w:val="16"/>
          <w:szCs w:val="16"/>
          <w:lang w:val="es-MX"/>
        </w:rPr>
      </w:pPr>
      <w:r w:rsidRPr="00E14B0B">
        <w:rPr>
          <w:rStyle w:val="FootnoteReference"/>
          <w:rFonts w:eastAsia="MS Mincho"/>
          <w:sz w:val="16"/>
          <w:szCs w:val="16"/>
        </w:rPr>
        <w:footnoteRef/>
      </w:r>
      <w:r w:rsidRPr="00E14B0B">
        <w:rPr>
          <w:sz w:val="16"/>
          <w:szCs w:val="16"/>
        </w:rPr>
        <w:t xml:space="preserve"> </w:t>
      </w:r>
      <w:r w:rsidRPr="00E14B0B">
        <w:rPr>
          <w:sz w:val="16"/>
          <w:szCs w:val="16"/>
        </w:rPr>
        <w:tab/>
      </w:r>
      <w:r w:rsidRPr="00E14B0B">
        <w:rPr>
          <w:sz w:val="16"/>
          <w:szCs w:val="16"/>
          <w:lang w:val="es-MX"/>
        </w:rPr>
        <w:t xml:space="preserve">Ficha clínica del señor Vinicio Poblete Vilches. Documento anexo al Oficio Reservado No. 026/09, </w:t>
      </w:r>
      <w:r w:rsidRPr="00062586">
        <w:rPr>
          <w:i/>
          <w:sz w:val="16"/>
          <w:szCs w:val="16"/>
          <w:lang w:val="es-MX"/>
        </w:rPr>
        <w:t>supra</w:t>
      </w:r>
      <w:r w:rsidRPr="00E14B0B">
        <w:rPr>
          <w:i/>
          <w:sz w:val="16"/>
          <w:szCs w:val="16"/>
          <w:lang w:val="es-MX"/>
        </w:rPr>
        <w:t>,</w:t>
      </w:r>
      <w:r>
        <w:rPr>
          <w:i/>
          <w:sz w:val="16"/>
          <w:szCs w:val="16"/>
          <w:lang w:val="es-MX"/>
        </w:rPr>
        <w:t xml:space="preserve"> </w:t>
      </w:r>
      <w:r>
        <w:rPr>
          <w:sz w:val="16"/>
          <w:szCs w:val="16"/>
          <w:lang w:val="es-MX"/>
        </w:rPr>
        <w:t>(expediente de fondo,</w:t>
      </w:r>
      <w:r w:rsidRPr="00E14B0B">
        <w:rPr>
          <w:i/>
          <w:sz w:val="16"/>
          <w:szCs w:val="16"/>
          <w:lang w:val="es-MX"/>
        </w:rPr>
        <w:t xml:space="preserve"> </w:t>
      </w:r>
      <w:r w:rsidRPr="00E14B0B">
        <w:rPr>
          <w:sz w:val="16"/>
          <w:szCs w:val="16"/>
          <w:lang w:val="es-MX"/>
        </w:rPr>
        <w:t>f. 1313</w:t>
      </w:r>
      <w:r>
        <w:rPr>
          <w:sz w:val="16"/>
          <w:szCs w:val="16"/>
          <w:lang w:val="es-MX"/>
        </w:rPr>
        <w:t>)</w:t>
      </w:r>
      <w:r w:rsidRPr="00E14B0B">
        <w:rPr>
          <w:sz w:val="16"/>
          <w:szCs w:val="16"/>
          <w:lang w:val="es-MX"/>
        </w:rPr>
        <w:t xml:space="preserve">. </w:t>
      </w:r>
    </w:p>
  </w:footnote>
  <w:footnote w:id="55">
    <w:p w14:paraId="7CAA0A63" w14:textId="6B901C54" w:rsidR="003C025E" w:rsidRPr="001C4FBC" w:rsidRDefault="003C025E" w:rsidP="00E22B60">
      <w:pPr>
        <w:pStyle w:val="FootnoteText"/>
        <w:ind w:right="-360"/>
      </w:pPr>
      <w:r w:rsidRPr="00C64243">
        <w:rPr>
          <w:rStyle w:val="FootnoteReference"/>
          <w:rFonts w:eastAsia="MS Mincho"/>
          <w:sz w:val="16"/>
          <w:szCs w:val="16"/>
        </w:rPr>
        <w:footnoteRef/>
      </w:r>
      <w:r w:rsidRPr="00C64243">
        <w:rPr>
          <w:sz w:val="16"/>
          <w:szCs w:val="16"/>
        </w:rPr>
        <w:t xml:space="preserve"> </w:t>
      </w:r>
      <w:r w:rsidRPr="00C64243">
        <w:rPr>
          <w:sz w:val="16"/>
          <w:szCs w:val="16"/>
        </w:rPr>
        <w:tab/>
      </w:r>
      <w:r w:rsidRPr="00E14B0B">
        <w:rPr>
          <w:sz w:val="16"/>
          <w:szCs w:val="16"/>
        </w:rPr>
        <w:t>Oficio ordinario No. [ilegible]</w:t>
      </w:r>
      <w:r>
        <w:rPr>
          <w:sz w:val="16"/>
          <w:szCs w:val="16"/>
        </w:rPr>
        <w:t xml:space="preserve"> de Dr. Fernando </w:t>
      </w:r>
      <w:proofErr w:type="spellStart"/>
      <w:r>
        <w:rPr>
          <w:sz w:val="16"/>
          <w:szCs w:val="16"/>
        </w:rPr>
        <w:t>Betanza</w:t>
      </w:r>
      <w:proofErr w:type="spellEnd"/>
      <w:r>
        <w:rPr>
          <w:sz w:val="16"/>
          <w:szCs w:val="16"/>
        </w:rPr>
        <w:t xml:space="preserve"> Vallejos, Director, Complejo Asistencial Dr. Sotero del Río</w:t>
      </w:r>
      <w:r w:rsidRPr="00E14B0B">
        <w:rPr>
          <w:sz w:val="16"/>
          <w:szCs w:val="16"/>
        </w:rPr>
        <w:t>, que “[e]</w:t>
      </w:r>
      <w:proofErr w:type="spellStart"/>
      <w:r w:rsidRPr="00E14B0B">
        <w:rPr>
          <w:sz w:val="16"/>
          <w:szCs w:val="16"/>
        </w:rPr>
        <w:t>nvía</w:t>
      </w:r>
      <w:proofErr w:type="spellEnd"/>
      <w:r w:rsidRPr="00E14B0B">
        <w:rPr>
          <w:sz w:val="16"/>
          <w:szCs w:val="16"/>
        </w:rPr>
        <w:t xml:space="preserve"> antecedentes de atención médica, caso. D. Vinicio Poblete Vilches” [</w:t>
      </w:r>
      <w:r w:rsidRPr="00C64243">
        <w:rPr>
          <w:i/>
          <w:sz w:val="16"/>
          <w:szCs w:val="16"/>
        </w:rPr>
        <w:t>sic</w:t>
      </w:r>
      <w:r w:rsidRPr="00E14B0B">
        <w:rPr>
          <w:sz w:val="16"/>
          <w:szCs w:val="16"/>
        </w:rPr>
        <w:t xml:space="preserve">].  Dirigido al Ministerio de Salud del Gobierno de Chile por el Director del Complejo Asistencial Dr. </w:t>
      </w:r>
      <w:proofErr w:type="spellStart"/>
      <w:r w:rsidRPr="00E14B0B">
        <w:rPr>
          <w:sz w:val="16"/>
          <w:szCs w:val="16"/>
        </w:rPr>
        <w:t>Sótero</w:t>
      </w:r>
      <w:proofErr w:type="spellEnd"/>
      <w:r w:rsidRPr="00E14B0B">
        <w:rPr>
          <w:sz w:val="16"/>
          <w:szCs w:val="16"/>
        </w:rPr>
        <w:t xml:space="preserve"> del Río. </w:t>
      </w:r>
      <w:r>
        <w:rPr>
          <w:sz w:val="16"/>
          <w:szCs w:val="16"/>
        </w:rPr>
        <w:t>1 de septiembre de 2009</w:t>
      </w:r>
      <w:r w:rsidRPr="00E14B0B">
        <w:rPr>
          <w:sz w:val="16"/>
          <w:szCs w:val="16"/>
        </w:rPr>
        <w:t xml:space="preserve"> (expediente de fondo, </w:t>
      </w:r>
      <w:proofErr w:type="spellStart"/>
      <w:r w:rsidRPr="00E14B0B">
        <w:rPr>
          <w:sz w:val="16"/>
          <w:szCs w:val="16"/>
        </w:rPr>
        <w:t>ff</w:t>
      </w:r>
      <w:proofErr w:type="spellEnd"/>
      <w:r w:rsidRPr="00E14B0B">
        <w:rPr>
          <w:sz w:val="16"/>
          <w:szCs w:val="16"/>
        </w:rPr>
        <w:t xml:space="preserve">. 1119 y 1120). </w:t>
      </w:r>
    </w:p>
  </w:footnote>
  <w:footnote w:id="56">
    <w:p w14:paraId="225D7EC3" w14:textId="77777777"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sidRPr="000214BA">
        <w:rPr>
          <w:sz w:val="16"/>
          <w:szCs w:val="16"/>
        </w:rPr>
        <w:t>Pericia médico legal No. 140-2005 emitid</w:t>
      </w:r>
      <w:r>
        <w:rPr>
          <w:sz w:val="16"/>
          <w:szCs w:val="16"/>
        </w:rPr>
        <w:t>a</w:t>
      </w:r>
      <w:r w:rsidRPr="000214BA">
        <w:rPr>
          <w:sz w:val="16"/>
          <w:szCs w:val="16"/>
        </w:rPr>
        <w:t xml:space="preserve"> por el Servicio Médico Legal del Gobierno de Chile el 8 de junio de 2006 (expediente de prueba, anexo 48 del Informe de Fondo, f. 205).</w:t>
      </w:r>
    </w:p>
  </w:footnote>
  <w:footnote w:id="57">
    <w:p w14:paraId="77D4CFFC" w14:textId="77777777"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sidRPr="000214BA">
        <w:rPr>
          <w:sz w:val="16"/>
          <w:szCs w:val="16"/>
        </w:rPr>
        <w:t>Certificado de defunción de Vinicio Antonio Poblete Vilches emitido por el Servicio de Registro Civil e Identificación Chile el 9 de marzo de 2001 (expediente de prueba, anexo 1 del Informe de Fondo, f. 7).</w:t>
      </w:r>
    </w:p>
  </w:footnote>
  <w:footnote w:id="58">
    <w:p w14:paraId="3A3BEBE3" w14:textId="764EB839" w:rsidR="003C025E" w:rsidRPr="004D2BDB"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4D2BDB">
        <w:rPr>
          <w:sz w:val="16"/>
          <w:szCs w:val="16"/>
          <w:lang w:val="es-MX"/>
        </w:rPr>
        <w:t xml:space="preserve">Declaración rendida ante fedatario público por </w:t>
      </w:r>
      <w:proofErr w:type="spellStart"/>
      <w:r w:rsidRPr="004D2BDB">
        <w:rPr>
          <w:sz w:val="16"/>
          <w:szCs w:val="16"/>
          <w:lang w:val="es-MX"/>
        </w:rPr>
        <w:t>Cesia</w:t>
      </w:r>
      <w:proofErr w:type="spellEnd"/>
      <w:r w:rsidRPr="004D2BDB">
        <w:rPr>
          <w:sz w:val="16"/>
          <w:szCs w:val="16"/>
          <w:lang w:val="es-MX"/>
        </w:rPr>
        <w:t xml:space="preserve"> Leila Siria Poblete Tapia el 6 de octubre de 2017,</w:t>
      </w:r>
      <w:r>
        <w:rPr>
          <w:sz w:val="16"/>
          <w:szCs w:val="16"/>
          <w:lang w:val="es-MX"/>
        </w:rPr>
        <w:t xml:space="preserve"> </w:t>
      </w:r>
      <w:r w:rsidRPr="00062586">
        <w:rPr>
          <w:i/>
          <w:sz w:val="16"/>
          <w:szCs w:val="16"/>
          <w:lang w:val="es-MX"/>
        </w:rPr>
        <w:t>supra</w:t>
      </w:r>
      <w:r>
        <w:rPr>
          <w:i/>
          <w:sz w:val="16"/>
          <w:szCs w:val="16"/>
          <w:lang w:val="es-MX"/>
        </w:rPr>
        <w:t xml:space="preserve">, </w:t>
      </w:r>
      <w:r>
        <w:rPr>
          <w:sz w:val="16"/>
          <w:szCs w:val="16"/>
          <w:lang w:val="es-MX"/>
        </w:rPr>
        <w:t xml:space="preserve">(expediente de prueba, </w:t>
      </w:r>
      <w:r w:rsidRPr="004D2BDB">
        <w:rPr>
          <w:sz w:val="16"/>
          <w:szCs w:val="16"/>
          <w:lang w:val="es-MX"/>
        </w:rPr>
        <w:t xml:space="preserve"> f</w:t>
      </w:r>
      <w:r>
        <w:rPr>
          <w:sz w:val="16"/>
          <w:szCs w:val="16"/>
          <w:lang w:val="es-MX"/>
        </w:rPr>
        <w:t>.</w:t>
      </w:r>
      <w:r w:rsidRPr="004D2BDB">
        <w:rPr>
          <w:sz w:val="16"/>
          <w:szCs w:val="16"/>
          <w:lang w:val="es-MX"/>
        </w:rPr>
        <w:t xml:space="preserve"> 4467</w:t>
      </w:r>
      <w:r>
        <w:rPr>
          <w:sz w:val="16"/>
          <w:szCs w:val="16"/>
          <w:lang w:val="es-MX"/>
        </w:rPr>
        <w:t>), y</w:t>
      </w:r>
      <w:r w:rsidRPr="004D2BDB">
        <w:rPr>
          <w:sz w:val="16"/>
          <w:szCs w:val="16"/>
          <w:lang w:val="es-MX"/>
        </w:rPr>
        <w:t xml:space="preserve"> </w:t>
      </w:r>
      <w:r w:rsidRPr="00C27894">
        <w:rPr>
          <w:sz w:val="16"/>
          <w:szCs w:val="16"/>
        </w:rPr>
        <w:t xml:space="preserve">Declaración del señor Vinicio Marco Antonio Poblete Tapia </w:t>
      </w:r>
      <w:r w:rsidRPr="00C27894">
        <w:rPr>
          <w:sz w:val="16"/>
          <w:szCs w:val="16"/>
          <w:lang w:val="es-MX"/>
        </w:rPr>
        <w:t xml:space="preserve">ante la Corte en la audiencia pública el 19 de octubre de 2017, </w:t>
      </w:r>
      <w:r w:rsidRPr="00062586">
        <w:rPr>
          <w:i/>
          <w:sz w:val="16"/>
          <w:szCs w:val="16"/>
          <w:lang w:val="es-MX"/>
        </w:rPr>
        <w:t>supra</w:t>
      </w:r>
      <w:r>
        <w:rPr>
          <w:i/>
          <w:sz w:val="16"/>
          <w:szCs w:val="16"/>
          <w:lang w:val="es-MX"/>
        </w:rPr>
        <w:t xml:space="preserve">, </w:t>
      </w:r>
      <w:r w:rsidRPr="00C27894">
        <w:rPr>
          <w:sz w:val="16"/>
          <w:szCs w:val="16"/>
          <w:lang w:val="es-MX"/>
        </w:rPr>
        <w:t xml:space="preserve">pág. </w:t>
      </w:r>
      <w:r>
        <w:rPr>
          <w:sz w:val="16"/>
          <w:szCs w:val="16"/>
          <w:lang w:val="es-MX"/>
        </w:rPr>
        <w:t>5</w:t>
      </w:r>
      <w:r w:rsidRPr="00C27894">
        <w:rPr>
          <w:sz w:val="16"/>
          <w:szCs w:val="16"/>
          <w:lang w:val="es-MX"/>
        </w:rPr>
        <w:t xml:space="preserve">.  </w:t>
      </w:r>
    </w:p>
  </w:footnote>
  <w:footnote w:id="59">
    <w:p w14:paraId="27D5282D" w14:textId="129BBD7A" w:rsidR="003C025E" w:rsidRPr="00C27894" w:rsidRDefault="003C025E" w:rsidP="00E22B60">
      <w:pPr>
        <w:pStyle w:val="FootnoteText"/>
        <w:ind w:right="-360"/>
        <w:rPr>
          <w:sz w:val="16"/>
          <w:szCs w:val="16"/>
          <w:lang w:val="es-MX"/>
        </w:rPr>
      </w:pPr>
      <w:r w:rsidRPr="004D2BDB">
        <w:rPr>
          <w:rStyle w:val="FootnoteReference"/>
          <w:rFonts w:eastAsia="MS Mincho"/>
          <w:sz w:val="16"/>
          <w:szCs w:val="16"/>
        </w:rPr>
        <w:footnoteRef/>
      </w:r>
      <w:r w:rsidRPr="00D315EA">
        <w:rPr>
          <w:sz w:val="16"/>
          <w:szCs w:val="16"/>
        </w:rPr>
        <w:t xml:space="preserve"> </w:t>
      </w:r>
      <w:r w:rsidRPr="00D315EA">
        <w:rPr>
          <w:sz w:val="16"/>
          <w:szCs w:val="16"/>
        </w:rPr>
        <w:tab/>
      </w:r>
      <w:r w:rsidRPr="00062586">
        <w:rPr>
          <w:i/>
          <w:sz w:val="16"/>
          <w:szCs w:val="16"/>
        </w:rPr>
        <w:t>Cfr.</w:t>
      </w:r>
      <w:r>
        <w:rPr>
          <w:i/>
          <w:sz w:val="16"/>
          <w:szCs w:val="16"/>
        </w:rPr>
        <w:t xml:space="preserve"> </w:t>
      </w:r>
      <w:r w:rsidRPr="00D315EA">
        <w:rPr>
          <w:sz w:val="16"/>
          <w:szCs w:val="16"/>
        </w:rPr>
        <w:t xml:space="preserve">Declaración del señor Vinicio Marco Antonio Poblete </w:t>
      </w:r>
      <w:r>
        <w:rPr>
          <w:sz w:val="16"/>
          <w:szCs w:val="16"/>
        </w:rPr>
        <w:t xml:space="preserve">Tapia </w:t>
      </w:r>
      <w:r w:rsidRPr="00D315EA">
        <w:rPr>
          <w:sz w:val="16"/>
          <w:szCs w:val="16"/>
        </w:rPr>
        <w:t xml:space="preserve">ante el Primer Juzgado </w:t>
      </w:r>
      <w:r>
        <w:rPr>
          <w:sz w:val="16"/>
          <w:szCs w:val="16"/>
        </w:rPr>
        <w:t>Civil</w:t>
      </w:r>
      <w:r w:rsidRPr="00D315EA">
        <w:rPr>
          <w:sz w:val="16"/>
          <w:szCs w:val="16"/>
        </w:rPr>
        <w:t xml:space="preserve"> de </w:t>
      </w:r>
      <w:r w:rsidRPr="005A39DD">
        <w:rPr>
          <w:sz w:val="16"/>
          <w:szCs w:val="16"/>
        </w:rPr>
        <w:t>Puente Alto el 6 de abril de 2006</w:t>
      </w:r>
      <w:r>
        <w:rPr>
          <w:sz w:val="16"/>
          <w:szCs w:val="16"/>
        </w:rPr>
        <w:t xml:space="preserve">, </w:t>
      </w:r>
      <w:r w:rsidRPr="00062586">
        <w:rPr>
          <w:i/>
          <w:sz w:val="16"/>
          <w:szCs w:val="16"/>
        </w:rPr>
        <w:t>supra</w:t>
      </w:r>
      <w:r>
        <w:rPr>
          <w:i/>
          <w:sz w:val="16"/>
          <w:szCs w:val="16"/>
        </w:rPr>
        <w:t xml:space="preserve">, </w:t>
      </w:r>
      <w:r>
        <w:rPr>
          <w:sz w:val="16"/>
          <w:szCs w:val="16"/>
        </w:rPr>
        <w:t>f. 570</w:t>
      </w:r>
      <w:r w:rsidRPr="008B0574">
        <w:rPr>
          <w:sz w:val="16"/>
          <w:szCs w:val="16"/>
        </w:rPr>
        <w:t>.</w:t>
      </w:r>
    </w:p>
  </w:footnote>
  <w:footnote w:id="60">
    <w:p w14:paraId="37730F7B" w14:textId="28EC32DE" w:rsidR="003C025E" w:rsidRPr="004D2BDB" w:rsidRDefault="003C025E" w:rsidP="00E22B60">
      <w:pPr>
        <w:pStyle w:val="FootnoteText"/>
        <w:ind w:right="-360"/>
        <w:rPr>
          <w:sz w:val="16"/>
          <w:szCs w:val="16"/>
          <w:lang w:val="es-MX"/>
        </w:rPr>
      </w:pPr>
      <w:r w:rsidRPr="004D2BDB">
        <w:rPr>
          <w:rStyle w:val="FootnoteReference"/>
          <w:rFonts w:eastAsia="MS Mincho"/>
          <w:sz w:val="16"/>
          <w:szCs w:val="16"/>
        </w:rPr>
        <w:footnoteRef/>
      </w:r>
      <w:r w:rsidRPr="004D2BDB">
        <w:rPr>
          <w:sz w:val="16"/>
          <w:szCs w:val="16"/>
        </w:rPr>
        <w:t xml:space="preserve"> </w:t>
      </w:r>
      <w:r w:rsidRPr="004D2BDB">
        <w:rPr>
          <w:sz w:val="16"/>
          <w:szCs w:val="16"/>
        </w:rPr>
        <w:tab/>
      </w:r>
      <w:r w:rsidRPr="00062586">
        <w:rPr>
          <w:i/>
          <w:sz w:val="16"/>
          <w:szCs w:val="16"/>
        </w:rPr>
        <w:t>Cfr.</w:t>
      </w:r>
      <w:r>
        <w:rPr>
          <w:i/>
          <w:sz w:val="16"/>
          <w:szCs w:val="16"/>
        </w:rPr>
        <w:t xml:space="preserve"> </w:t>
      </w:r>
      <w:r w:rsidRPr="00D315EA">
        <w:rPr>
          <w:sz w:val="16"/>
          <w:szCs w:val="16"/>
          <w:lang w:val="es-MX"/>
        </w:rPr>
        <w:t xml:space="preserve">Declaración rendida ante fedatario público por </w:t>
      </w:r>
      <w:proofErr w:type="spellStart"/>
      <w:r w:rsidRPr="00D315EA">
        <w:rPr>
          <w:sz w:val="16"/>
          <w:szCs w:val="16"/>
          <w:lang w:val="es-MX"/>
        </w:rPr>
        <w:t>Cesia</w:t>
      </w:r>
      <w:proofErr w:type="spellEnd"/>
      <w:r w:rsidRPr="00D315EA">
        <w:rPr>
          <w:sz w:val="16"/>
          <w:szCs w:val="16"/>
          <w:lang w:val="es-MX"/>
        </w:rPr>
        <w:t xml:space="preserve"> Leila Siria Poblete Tapia el 6 de octubre de 2017</w:t>
      </w:r>
      <w:r>
        <w:rPr>
          <w:sz w:val="16"/>
          <w:szCs w:val="16"/>
          <w:lang w:val="es-MX"/>
        </w:rPr>
        <w:t xml:space="preserve">, </w:t>
      </w:r>
      <w:r w:rsidRPr="00062586">
        <w:rPr>
          <w:i/>
          <w:sz w:val="16"/>
          <w:szCs w:val="16"/>
          <w:lang w:val="es-MX"/>
        </w:rPr>
        <w:t>supra</w:t>
      </w:r>
      <w:r>
        <w:rPr>
          <w:i/>
          <w:sz w:val="16"/>
          <w:szCs w:val="16"/>
          <w:lang w:val="es-MX"/>
        </w:rPr>
        <w:t xml:space="preserve">, </w:t>
      </w:r>
      <w:r w:rsidRPr="00D315EA">
        <w:rPr>
          <w:sz w:val="16"/>
          <w:szCs w:val="16"/>
          <w:lang w:val="es-MX"/>
        </w:rPr>
        <w:t>f</w:t>
      </w:r>
      <w:r>
        <w:rPr>
          <w:sz w:val="16"/>
          <w:szCs w:val="16"/>
          <w:lang w:val="es-MX"/>
        </w:rPr>
        <w:t>.</w:t>
      </w:r>
      <w:r w:rsidRPr="00D315EA">
        <w:rPr>
          <w:sz w:val="16"/>
          <w:szCs w:val="16"/>
          <w:lang w:val="es-MX"/>
        </w:rPr>
        <w:t xml:space="preserve"> 4467</w:t>
      </w:r>
      <w:r>
        <w:rPr>
          <w:sz w:val="16"/>
          <w:szCs w:val="16"/>
          <w:lang w:val="es-MX"/>
        </w:rPr>
        <w:t xml:space="preserve">, </w:t>
      </w:r>
      <w:r w:rsidRPr="0073554F">
        <w:rPr>
          <w:sz w:val="16"/>
          <w:szCs w:val="16"/>
          <w:lang w:val="es-MX"/>
        </w:rPr>
        <w:t xml:space="preserve">Declaración del señor Vinicio Marco Antonio Poblete Tapia ante el Primer Juzgado </w:t>
      </w:r>
      <w:r>
        <w:rPr>
          <w:sz w:val="16"/>
          <w:szCs w:val="16"/>
          <w:lang w:val="es-MX"/>
        </w:rPr>
        <w:t>Civi</w:t>
      </w:r>
      <w:r w:rsidRPr="0073554F">
        <w:rPr>
          <w:sz w:val="16"/>
          <w:szCs w:val="16"/>
          <w:lang w:val="es-MX"/>
        </w:rPr>
        <w:t xml:space="preserve">l de Puente Alto el 6 de abril de 2006, </w:t>
      </w:r>
      <w:r w:rsidRPr="00062586">
        <w:rPr>
          <w:i/>
          <w:sz w:val="16"/>
          <w:szCs w:val="16"/>
          <w:lang w:val="es-MX"/>
        </w:rPr>
        <w:t>supra</w:t>
      </w:r>
      <w:proofErr w:type="gramStart"/>
      <w:r w:rsidRPr="0073554F">
        <w:rPr>
          <w:i/>
          <w:sz w:val="16"/>
          <w:szCs w:val="16"/>
          <w:lang w:val="es-MX"/>
        </w:rPr>
        <w:t>,</w:t>
      </w:r>
      <w:r>
        <w:rPr>
          <w:sz w:val="16"/>
          <w:szCs w:val="16"/>
          <w:lang w:val="es-MX"/>
        </w:rPr>
        <w:t>(</w:t>
      </w:r>
      <w:proofErr w:type="gramEnd"/>
      <w:r>
        <w:rPr>
          <w:sz w:val="16"/>
          <w:szCs w:val="16"/>
          <w:lang w:val="es-MX"/>
        </w:rPr>
        <w:t>expediente de prueba,</w:t>
      </w:r>
      <w:r>
        <w:rPr>
          <w:i/>
          <w:sz w:val="16"/>
          <w:szCs w:val="16"/>
          <w:lang w:val="es-MX"/>
        </w:rPr>
        <w:t xml:space="preserve"> </w:t>
      </w:r>
      <w:r w:rsidRPr="0073554F">
        <w:rPr>
          <w:sz w:val="16"/>
          <w:szCs w:val="16"/>
          <w:lang w:val="es-MX"/>
        </w:rPr>
        <w:t>f. 570</w:t>
      </w:r>
      <w:r>
        <w:rPr>
          <w:sz w:val="16"/>
          <w:szCs w:val="16"/>
          <w:lang w:val="es-MX"/>
        </w:rPr>
        <w:t xml:space="preserve">), y </w:t>
      </w:r>
      <w:r w:rsidRPr="00C27894">
        <w:rPr>
          <w:sz w:val="16"/>
          <w:szCs w:val="16"/>
        </w:rPr>
        <w:t xml:space="preserve">Declaración del señor Vinicio Marco Antonio Poblete Tapia </w:t>
      </w:r>
      <w:r w:rsidRPr="00C27894">
        <w:rPr>
          <w:sz w:val="16"/>
          <w:szCs w:val="16"/>
          <w:lang w:val="es-MX"/>
        </w:rPr>
        <w:t>ante la Corte en la audiencia pública el 19 de octubre de 2017</w:t>
      </w:r>
      <w:r>
        <w:rPr>
          <w:sz w:val="16"/>
          <w:szCs w:val="16"/>
          <w:lang w:val="es-MX"/>
        </w:rPr>
        <w:t xml:space="preserve">, </w:t>
      </w:r>
      <w:r w:rsidRPr="00062586">
        <w:rPr>
          <w:i/>
          <w:sz w:val="16"/>
          <w:szCs w:val="16"/>
          <w:lang w:val="es-MX"/>
        </w:rPr>
        <w:t>supra</w:t>
      </w:r>
      <w:r w:rsidRPr="00C27894">
        <w:rPr>
          <w:sz w:val="16"/>
          <w:szCs w:val="16"/>
          <w:lang w:val="es-MX"/>
        </w:rPr>
        <w:t>, pág. 17.</w:t>
      </w:r>
    </w:p>
  </w:footnote>
  <w:footnote w:id="61">
    <w:p w14:paraId="54259FF3" w14:textId="086844E5" w:rsidR="003C025E" w:rsidRPr="000214BA" w:rsidRDefault="003C025E" w:rsidP="00E22B60">
      <w:pPr>
        <w:pStyle w:val="FootnoteText"/>
        <w:ind w:right="-360"/>
        <w:rPr>
          <w:sz w:val="16"/>
          <w:szCs w:val="16"/>
          <w:lang w:val="es-MX"/>
        </w:rPr>
      </w:pPr>
      <w:r w:rsidRPr="00630070">
        <w:rPr>
          <w:rStyle w:val="FootnoteReference"/>
          <w:rFonts w:eastAsia="MS Mincho"/>
          <w:sz w:val="16"/>
          <w:szCs w:val="16"/>
        </w:rPr>
        <w:footnoteRef/>
      </w:r>
      <w:r w:rsidRPr="00E5581F">
        <w:rPr>
          <w:sz w:val="16"/>
          <w:szCs w:val="16"/>
        </w:rPr>
        <w:t xml:space="preserve"> </w:t>
      </w:r>
      <w:r w:rsidRPr="00E5581F">
        <w:rPr>
          <w:sz w:val="16"/>
          <w:szCs w:val="16"/>
        </w:rPr>
        <w:tab/>
      </w:r>
      <w:r w:rsidRPr="00062586">
        <w:rPr>
          <w:i/>
          <w:sz w:val="16"/>
          <w:szCs w:val="16"/>
        </w:rPr>
        <w:t>Cfr.</w:t>
      </w:r>
      <w:r>
        <w:rPr>
          <w:i/>
          <w:sz w:val="16"/>
          <w:szCs w:val="16"/>
        </w:rPr>
        <w:t xml:space="preserve"> </w:t>
      </w:r>
      <w:r w:rsidRPr="00E6421C">
        <w:rPr>
          <w:sz w:val="16"/>
          <w:szCs w:val="16"/>
          <w:lang w:val="es-MX"/>
        </w:rPr>
        <w:t xml:space="preserve">Declaración rendida ante fedatario público por </w:t>
      </w:r>
      <w:proofErr w:type="spellStart"/>
      <w:r w:rsidRPr="00E6421C">
        <w:rPr>
          <w:sz w:val="16"/>
          <w:szCs w:val="16"/>
          <w:lang w:val="es-MX"/>
        </w:rPr>
        <w:t>Cesia</w:t>
      </w:r>
      <w:proofErr w:type="spellEnd"/>
      <w:r w:rsidRPr="00E6421C">
        <w:rPr>
          <w:sz w:val="16"/>
          <w:szCs w:val="16"/>
          <w:lang w:val="es-MX"/>
        </w:rPr>
        <w:t xml:space="preserve"> Leila Siria Poblete Tapia el 6 de octubre de 201</w:t>
      </w:r>
      <w:r>
        <w:rPr>
          <w:sz w:val="16"/>
          <w:szCs w:val="16"/>
          <w:lang w:val="es-MX"/>
        </w:rPr>
        <w:t>7</w:t>
      </w:r>
      <w:r w:rsidRPr="00E6421C">
        <w:rPr>
          <w:sz w:val="16"/>
          <w:szCs w:val="16"/>
          <w:lang w:val="es-MX"/>
        </w:rPr>
        <w:t xml:space="preserve">, </w:t>
      </w:r>
      <w:r w:rsidRPr="00062586">
        <w:rPr>
          <w:i/>
          <w:sz w:val="16"/>
          <w:szCs w:val="16"/>
          <w:lang w:val="es-MX"/>
        </w:rPr>
        <w:t>supra</w:t>
      </w:r>
      <w:proofErr w:type="gramStart"/>
      <w:r>
        <w:rPr>
          <w:i/>
          <w:sz w:val="16"/>
          <w:szCs w:val="16"/>
          <w:lang w:val="es-MX"/>
        </w:rPr>
        <w:t>,</w:t>
      </w:r>
      <w:r>
        <w:rPr>
          <w:sz w:val="16"/>
          <w:szCs w:val="16"/>
          <w:lang w:val="es-MX"/>
        </w:rPr>
        <w:t>(</w:t>
      </w:r>
      <w:proofErr w:type="gramEnd"/>
      <w:r>
        <w:rPr>
          <w:sz w:val="16"/>
          <w:szCs w:val="16"/>
          <w:lang w:val="es-MX"/>
        </w:rPr>
        <w:t xml:space="preserve">expediente de prueba, </w:t>
      </w:r>
      <w:r w:rsidRPr="00E6421C">
        <w:rPr>
          <w:sz w:val="16"/>
          <w:szCs w:val="16"/>
          <w:lang w:val="es-MX"/>
        </w:rPr>
        <w:t>f</w:t>
      </w:r>
      <w:r>
        <w:rPr>
          <w:sz w:val="16"/>
          <w:szCs w:val="16"/>
          <w:lang w:val="es-MX"/>
        </w:rPr>
        <w:t>.</w:t>
      </w:r>
      <w:r w:rsidRPr="00E6421C">
        <w:rPr>
          <w:sz w:val="16"/>
          <w:szCs w:val="16"/>
          <w:lang w:val="es-MX"/>
        </w:rPr>
        <w:t xml:space="preserve"> 4467</w:t>
      </w:r>
      <w:r>
        <w:rPr>
          <w:sz w:val="16"/>
          <w:szCs w:val="16"/>
          <w:lang w:val="es-MX"/>
        </w:rPr>
        <w:t>),</w:t>
      </w:r>
      <w:r w:rsidRPr="00E6421C">
        <w:rPr>
          <w:sz w:val="16"/>
          <w:szCs w:val="16"/>
          <w:lang w:val="es-MX"/>
        </w:rPr>
        <w:t xml:space="preserve"> y Declaración rendida ante fedatario público por Alejandra Marcela Fuentes Poblete el 6 de octubre de 2017</w:t>
      </w:r>
      <w:r w:rsidRPr="000214BA">
        <w:rPr>
          <w:sz w:val="16"/>
          <w:szCs w:val="16"/>
          <w:lang w:val="es-MX"/>
        </w:rPr>
        <w:t xml:space="preserve">, </w:t>
      </w:r>
      <w:r w:rsidRPr="00062586">
        <w:rPr>
          <w:i/>
          <w:sz w:val="16"/>
          <w:szCs w:val="16"/>
          <w:lang w:val="es-MX"/>
        </w:rPr>
        <w:t>supra</w:t>
      </w:r>
      <w:r>
        <w:rPr>
          <w:i/>
          <w:sz w:val="16"/>
          <w:szCs w:val="16"/>
          <w:lang w:val="es-MX"/>
        </w:rPr>
        <w:t xml:space="preserve">, </w:t>
      </w:r>
      <w:r>
        <w:rPr>
          <w:sz w:val="16"/>
          <w:szCs w:val="16"/>
          <w:lang w:val="es-MX"/>
        </w:rPr>
        <w:t>(expediente de prueba,</w:t>
      </w:r>
      <w:r>
        <w:rPr>
          <w:i/>
          <w:sz w:val="16"/>
          <w:szCs w:val="16"/>
          <w:lang w:val="es-MX"/>
        </w:rPr>
        <w:t xml:space="preserve"> </w:t>
      </w:r>
      <w:r w:rsidRPr="000214BA">
        <w:rPr>
          <w:sz w:val="16"/>
          <w:szCs w:val="16"/>
          <w:lang w:val="es-MX"/>
        </w:rPr>
        <w:t>f</w:t>
      </w:r>
      <w:r>
        <w:rPr>
          <w:sz w:val="16"/>
          <w:szCs w:val="16"/>
          <w:lang w:val="es-MX"/>
        </w:rPr>
        <w:t>.</w:t>
      </w:r>
      <w:r w:rsidRPr="000214BA">
        <w:rPr>
          <w:sz w:val="16"/>
          <w:szCs w:val="16"/>
          <w:lang w:val="es-MX"/>
        </w:rPr>
        <w:t xml:space="preserve"> 4472</w:t>
      </w:r>
      <w:r>
        <w:rPr>
          <w:sz w:val="16"/>
          <w:szCs w:val="16"/>
          <w:lang w:val="es-MX"/>
        </w:rPr>
        <w:t>)</w:t>
      </w:r>
      <w:r w:rsidRPr="000214BA">
        <w:rPr>
          <w:sz w:val="16"/>
          <w:szCs w:val="16"/>
          <w:lang w:val="es-MX"/>
        </w:rPr>
        <w:t>.</w:t>
      </w:r>
    </w:p>
  </w:footnote>
  <w:footnote w:id="62">
    <w:p w14:paraId="427604F2" w14:textId="57B2B03E"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lang w:val="es-MX"/>
        </w:rPr>
        <w:t xml:space="preserve">Declaración rendida ante fedatario público por </w:t>
      </w:r>
      <w:proofErr w:type="spellStart"/>
      <w:r w:rsidRPr="000214BA">
        <w:rPr>
          <w:sz w:val="16"/>
          <w:szCs w:val="16"/>
          <w:lang w:val="es-MX"/>
        </w:rPr>
        <w:t>Cesia</w:t>
      </w:r>
      <w:proofErr w:type="spellEnd"/>
      <w:r w:rsidRPr="000214BA">
        <w:rPr>
          <w:sz w:val="16"/>
          <w:szCs w:val="16"/>
          <w:lang w:val="es-MX"/>
        </w:rPr>
        <w:t xml:space="preserve"> Leila Siria Poblete Tapia el 6 de octubre de 2017</w:t>
      </w:r>
      <w:r>
        <w:rPr>
          <w:i/>
          <w:sz w:val="16"/>
          <w:szCs w:val="16"/>
          <w:lang w:val="es-MX"/>
        </w:rPr>
        <w:t xml:space="preserve"> </w:t>
      </w:r>
      <w:r>
        <w:rPr>
          <w:sz w:val="16"/>
          <w:szCs w:val="16"/>
          <w:lang w:val="es-MX"/>
        </w:rPr>
        <w:t>(expediente de prueba, affidávits de los representantes,</w:t>
      </w:r>
      <w:r>
        <w:rPr>
          <w:i/>
          <w:sz w:val="16"/>
          <w:szCs w:val="16"/>
          <w:lang w:val="es-MX"/>
        </w:rPr>
        <w:t xml:space="preserve"> </w:t>
      </w:r>
      <w:r w:rsidRPr="000214BA">
        <w:rPr>
          <w:sz w:val="16"/>
          <w:szCs w:val="16"/>
          <w:lang w:val="es-MX"/>
        </w:rPr>
        <w:t>f</w:t>
      </w:r>
      <w:r>
        <w:rPr>
          <w:sz w:val="16"/>
          <w:szCs w:val="16"/>
          <w:lang w:val="es-MX"/>
        </w:rPr>
        <w:t>.</w:t>
      </w:r>
      <w:r w:rsidRPr="000214BA">
        <w:rPr>
          <w:sz w:val="16"/>
          <w:szCs w:val="16"/>
          <w:lang w:val="es-MX"/>
        </w:rPr>
        <w:t xml:space="preserve"> 4467</w:t>
      </w:r>
      <w:r>
        <w:rPr>
          <w:sz w:val="16"/>
          <w:szCs w:val="16"/>
          <w:lang w:val="es-MX"/>
        </w:rPr>
        <w:t xml:space="preserve">), </w:t>
      </w:r>
      <w:r w:rsidRPr="000214BA">
        <w:rPr>
          <w:sz w:val="16"/>
          <w:szCs w:val="16"/>
          <w:lang w:val="es-MX"/>
        </w:rPr>
        <w:t xml:space="preserve">y Querella criminal </w:t>
      </w:r>
      <w:r>
        <w:rPr>
          <w:sz w:val="16"/>
          <w:szCs w:val="16"/>
          <w:lang w:val="es-MX"/>
        </w:rPr>
        <w:t>presentada</w:t>
      </w:r>
      <w:r w:rsidRPr="000214BA">
        <w:rPr>
          <w:sz w:val="16"/>
          <w:szCs w:val="16"/>
          <w:lang w:val="es-MX"/>
        </w:rPr>
        <w:t xml:space="preserve"> por Blanca Tapia Encina y </w:t>
      </w:r>
      <w:proofErr w:type="spellStart"/>
      <w:r w:rsidRPr="000214BA">
        <w:rPr>
          <w:sz w:val="16"/>
          <w:szCs w:val="16"/>
          <w:lang w:val="es-MX"/>
        </w:rPr>
        <w:t>Cesia</w:t>
      </w:r>
      <w:proofErr w:type="spellEnd"/>
      <w:r w:rsidRPr="000214BA">
        <w:rPr>
          <w:sz w:val="16"/>
          <w:szCs w:val="16"/>
          <w:lang w:val="es-MX"/>
        </w:rPr>
        <w:t xml:space="preserve"> </w:t>
      </w:r>
      <w:r>
        <w:rPr>
          <w:sz w:val="16"/>
          <w:szCs w:val="16"/>
          <w:lang w:val="es-MX"/>
        </w:rPr>
        <w:t xml:space="preserve">Leila </w:t>
      </w:r>
      <w:r w:rsidRPr="000214BA">
        <w:rPr>
          <w:sz w:val="16"/>
          <w:szCs w:val="16"/>
          <w:lang w:val="es-MX"/>
        </w:rPr>
        <w:t>Poblete Tapia ante el Primer Juzgado Civil de Puente Alto el 12 de noviembre de 2001</w:t>
      </w:r>
      <w:r>
        <w:rPr>
          <w:sz w:val="16"/>
          <w:szCs w:val="16"/>
        </w:rPr>
        <w:t xml:space="preserve"> (expediente de prueba,</w:t>
      </w:r>
      <w:r w:rsidRPr="000214BA">
        <w:rPr>
          <w:sz w:val="16"/>
          <w:szCs w:val="16"/>
        </w:rPr>
        <w:t xml:space="preserve"> </w:t>
      </w:r>
      <w:r>
        <w:rPr>
          <w:sz w:val="16"/>
          <w:szCs w:val="16"/>
        </w:rPr>
        <w:t>anexo 6 del Informe de Fondo,</w:t>
      </w:r>
      <w:r w:rsidRPr="000214BA">
        <w:rPr>
          <w:sz w:val="16"/>
          <w:szCs w:val="16"/>
        </w:rPr>
        <w:t xml:space="preserve"> </w:t>
      </w:r>
      <w:r>
        <w:rPr>
          <w:sz w:val="16"/>
          <w:szCs w:val="16"/>
        </w:rPr>
        <w:t xml:space="preserve">f. </w:t>
      </w:r>
      <w:r w:rsidRPr="000214BA">
        <w:rPr>
          <w:sz w:val="16"/>
          <w:szCs w:val="16"/>
        </w:rPr>
        <w:t>27</w:t>
      </w:r>
      <w:r>
        <w:rPr>
          <w:sz w:val="16"/>
          <w:szCs w:val="16"/>
        </w:rPr>
        <w:t>)</w:t>
      </w:r>
      <w:r w:rsidRPr="000214BA">
        <w:rPr>
          <w:sz w:val="16"/>
          <w:szCs w:val="16"/>
        </w:rPr>
        <w:t>.</w:t>
      </w:r>
    </w:p>
  </w:footnote>
  <w:footnote w:id="63">
    <w:p w14:paraId="44A87F52" w14:textId="35DD2537"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lang w:val="es-MX"/>
        </w:rPr>
        <w:t xml:space="preserve">Querella criminal </w:t>
      </w:r>
      <w:r>
        <w:rPr>
          <w:sz w:val="16"/>
          <w:szCs w:val="16"/>
          <w:lang w:val="es-MX"/>
        </w:rPr>
        <w:t>presentada</w:t>
      </w:r>
      <w:r w:rsidRPr="000214BA">
        <w:rPr>
          <w:sz w:val="16"/>
          <w:szCs w:val="16"/>
          <w:lang w:val="es-MX"/>
        </w:rPr>
        <w:t xml:space="preserve"> por Blanca Tapia Encina y </w:t>
      </w:r>
      <w:proofErr w:type="spellStart"/>
      <w:r w:rsidRPr="000214BA">
        <w:rPr>
          <w:sz w:val="16"/>
          <w:szCs w:val="16"/>
          <w:lang w:val="es-MX"/>
        </w:rPr>
        <w:t>Cesia</w:t>
      </w:r>
      <w:proofErr w:type="spellEnd"/>
      <w:r w:rsidRPr="000214BA">
        <w:rPr>
          <w:sz w:val="16"/>
          <w:szCs w:val="16"/>
          <w:lang w:val="es-MX"/>
        </w:rPr>
        <w:t xml:space="preserve"> Poblete Tapia ante el Primer Juzgado Civil de Puente Alto el 12 de noviembre de 2001</w:t>
      </w:r>
      <w:r>
        <w:rPr>
          <w:i/>
          <w:sz w:val="16"/>
          <w:szCs w:val="16"/>
        </w:rPr>
        <w:t xml:space="preserve"> </w:t>
      </w:r>
      <w:r>
        <w:rPr>
          <w:sz w:val="16"/>
          <w:szCs w:val="16"/>
        </w:rPr>
        <w:t>(expediente de prueba,</w:t>
      </w:r>
      <w:r w:rsidRPr="000214BA">
        <w:rPr>
          <w:sz w:val="16"/>
          <w:szCs w:val="16"/>
        </w:rPr>
        <w:t xml:space="preserve"> </w:t>
      </w:r>
      <w:r>
        <w:rPr>
          <w:sz w:val="16"/>
          <w:szCs w:val="16"/>
        </w:rPr>
        <w:t xml:space="preserve">anexo 6 del Informe de Fondo, </w:t>
      </w:r>
      <w:r w:rsidRPr="000214BA">
        <w:rPr>
          <w:sz w:val="16"/>
          <w:szCs w:val="16"/>
        </w:rPr>
        <w:t>f. 28</w:t>
      </w:r>
      <w:r>
        <w:rPr>
          <w:sz w:val="16"/>
          <w:szCs w:val="16"/>
        </w:rPr>
        <w:t>).</w:t>
      </w:r>
    </w:p>
  </w:footnote>
  <w:footnote w:id="64">
    <w:p w14:paraId="0F294A9A" w14:textId="126C1D69" w:rsidR="003C025E" w:rsidRPr="00C64243"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lang w:val="es-MX"/>
        </w:rPr>
        <w:t xml:space="preserve">Querella criminal interpuesta por Blanca Tapia Encina y </w:t>
      </w:r>
      <w:proofErr w:type="spellStart"/>
      <w:r w:rsidRPr="000214BA">
        <w:rPr>
          <w:sz w:val="16"/>
          <w:szCs w:val="16"/>
          <w:lang w:val="es-MX"/>
        </w:rPr>
        <w:t>Cesia</w:t>
      </w:r>
      <w:proofErr w:type="spellEnd"/>
      <w:r w:rsidRPr="000214BA">
        <w:rPr>
          <w:sz w:val="16"/>
          <w:szCs w:val="16"/>
          <w:lang w:val="es-MX"/>
        </w:rPr>
        <w:t xml:space="preserve"> Poblete Tapia ante el Primer Juzgado Civil de Puente Alto el 12 de noviembre de 2001</w:t>
      </w:r>
      <w:r>
        <w:rPr>
          <w:sz w:val="16"/>
          <w:szCs w:val="16"/>
        </w:rPr>
        <w:t xml:space="preserve"> (expediente de prueba,</w:t>
      </w:r>
      <w:r w:rsidRPr="000214BA">
        <w:rPr>
          <w:sz w:val="16"/>
          <w:szCs w:val="16"/>
        </w:rPr>
        <w:t xml:space="preserve"> </w:t>
      </w:r>
      <w:r>
        <w:rPr>
          <w:sz w:val="16"/>
          <w:szCs w:val="16"/>
        </w:rPr>
        <w:t>anexo 6 del Informe de Fondo,</w:t>
      </w:r>
      <w:r w:rsidRPr="000214BA">
        <w:rPr>
          <w:sz w:val="16"/>
          <w:szCs w:val="16"/>
        </w:rPr>
        <w:t xml:space="preserve"> </w:t>
      </w:r>
      <w:proofErr w:type="spellStart"/>
      <w:r>
        <w:rPr>
          <w:sz w:val="16"/>
          <w:szCs w:val="16"/>
        </w:rPr>
        <w:t>f</w:t>
      </w:r>
      <w:r w:rsidRPr="000214BA">
        <w:rPr>
          <w:sz w:val="16"/>
          <w:szCs w:val="16"/>
        </w:rPr>
        <w:t>f</w:t>
      </w:r>
      <w:proofErr w:type="spellEnd"/>
      <w:r w:rsidRPr="000214BA">
        <w:rPr>
          <w:sz w:val="16"/>
          <w:szCs w:val="16"/>
        </w:rPr>
        <w:t>. 32 a 34</w:t>
      </w:r>
      <w:r>
        <w:rPr>
          <w:sz w:val="16"/>
          <w:szCs w:val="16"/>
        </w:rPr>
        <w:t>)</w:t>
      </w:r>
      <w:r w:rsidRPr="000214BA">
        <w:rPr>
          <w:sz w:val="16"/>
          <w:szCs w:val="16"/>
        </w:rPr>
        <w:t>.</w:t>
      </w:r>
    </w:p>
  </w:footnote>
  <w:footnote w:id="65">
    <w:p w14:paraId="3E1FB94E" w14:textId="61F4789D"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Resolución del Primer Juzgado Civil de Puente Alto de 12 de noviembre de 2001 (expediente de prueba, anexo 18 del Informe de Fondo, f. 128).</w:t>
      </w:r>
    </w:p>
  </w:footnote>
  <w:footnote w:id="66">
    <w:p w14:paraId="6214CA7D" w14:textId="421FDC11"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Resolución del Tercer Juzgado del Crimen el 23 de noviembre de 2001 (expediente de prueba, anexo 19 del Informe de Fondo, f. 130).</w:t>
      </w:r>
    </w:p>
  </w:footnote>
  <w:footnote w:id="67">
    <w:p w14:paraId="52A8FF7E" w14:textId="5B4A5D41"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Resolución del Primer Juzgado Civil de Puente Alto el 11 de diciembre de 2001 (expediente de prueba, anexo 20 del Informe de Fondo, f. 132).</w:t>
      </w:r>
    </w:p>
  </w:footnote>
  <w:footnote w:id="68">
    <w:p w14:paraId="385E55B2" w14:textId="1AAE17F2"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Resolución del Primer Juzgado Civil de Puente Alto el 11 de diciembre de 2001</w:t>
      </w:r>
      <w:r>
        <w:rPr>
          <w:sz w:val="16"/>
          <w:szCs w:val="16"/>
        </w:rPr>
        <w:t xml:space="preserve"> (expediente de prueba, anexo 20 del Informe de Fondo,</w:t>
      </w:r>
      <w:r>
        <w:rPr>
          <w:i/>
          <w:sz w:val="16"/>
          <w:szCs w:val="16"/>
        </w:rPr>
        <w:t xml:space="preserve"> </w:t>
      </w:r>
      <w:r w:rsidRPr="000214BA">
        <w:rPr>
          <w:sz w:val="16"/>
          <w:szCs w:val="16"/>
        </w:rPr>
        <w:t>f. 132)</w:t>
      </w:r>
      <w:r>
        <w:rPr>
          <w:sz w:val="16"/>
          <w:szCs w:val="16"/>
        </w:rPr>
        <w:t>,</w:t>
      </w:r>
      <w:r w:rsidRPr="000214BA">
        <w:rPr>
          <w:sz w:val="16"/>
          <w:szCs w:val="16"/>
        </w:rPr>
        <w:t xml:space="preserve"> y Resolución del Primer Juzgado Civil de Puente Alto el 24 de diciembre de 2001 (expediente de prueba, anexo 21 del Informe de Fondo, f. 134).</w:t>
      </w:r>
    </w:p>
  </w:footnote>
  <w:footnote w:id="69">
    <w:p w14:paraId="160A6E1A" w14:textId="66B6F417"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Resolución de la Corte de Apelaciones de San Miguel el 6 de febrero de 2002 (expediente de prueba, anexo 22 del Informe de Fondo, f. 136).</w:t>
      </w:r>
    </w:p>
  </w:footnote>
  <w:footnote w:id="70">
    <w:p w14:paraId="292E8628" w14:textId="13BF1151" w:rsidR="003C025E" w:rsidRPr="00DF0588"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 xml:space="preserve">Auto del Primer Juzgado Civil de Puente Alto el 13 de febrero de 2002 (expediente de prueba, anexo 23 del </w:t>
      </w:r>
      <w:r w:rsidRPr="00E82A22">
        <w:rPr>
          <w:sz w:val="16"/>
          <w:szCs w:val="16"/>
        </w:rPr>
        <w:t>Informe de Fondo, f. 138)</w:t>
      </w:r>
      <w:r>
        <w:rPr>
          <w:sz w:val="16"/>
          <w:szCs w:val="16"/>
        </w:rPr>
        <w:t>.</w:t>
      </w:r>
      <w:r w:rsidRPr="00E82A22">
        <w:rPr>
          <w:sz w:val="16"/>
          <w:szCs w:val="16"/>
        </w:rPr>
        <w:t xml:space="preserve"> </w:t>
      </w:r>
      <w:r w:rsidRPr="00C64243">
        <w:rPr>
          <w:sz w:val="16"/>
          <w:szCs w:val="16"/>
        </w:rPr>
        <w:t xml:space="preserve">Nota: el Auto incluye la orden de investigar por la Brigada de Homicidios, </w:t>
      </w:r>
      <w:r>
        <w:rPr>
          <w:sz w:val="16"/>
          <w:szCs w:val="16"/>
        </w:rPr>
        <w:t xml:space="preserve">bajo el </w:t>
      </w:r>
      <w:r w:rsidRPr="00C64243">
        <w:rPr>
          <w:sz w:val="16"/>
          <w:szCs w:val="16"/>
        </w:rPr>
        <w:t>Rol con el No. 75821-M</w:t>
      </w:r>
      <w:r>
        <w:rPr>
          <w:sz w:val="16"/>
          <w:szCs w:val="16"/>
        </w:rPr>
        <w:t>.</w:t>
      </w:r>
    </w:p>
  </w:footnote>
  <w:footnote w:id="71">
    <w:p w14:paraId="6F617EA7" w14:textId="11D41D12" w:rsidR="003C025E" w:rsidRPr="00AB1E03" w:rsidRDefault="003C025E" w:rsidP="00713D68">
      <w:pPr>
        <w:pStyle w:val="FootnoteText"/>
        <w:ind w:right="-319"/>
        <w:rPr>
          <w:sz w:val="16"/>
          <w:szCs w:val="16"/>
        </w:rPr>
      </w:pPr>
      <w:r w:rsidRPr="00AB1E03">
        <w:rPr>
          <w:rStyle w:val="FootnoteReference"/>
          <w:sz w:val="16"/>
          <w:szCs w:val="16"/>
        </w:rPr>
        <w:footnoteRef/>
      </w:r>
      <w:r w:rsidRPr="00AB1E03">
        <w:rPr>
          <w:sz w:val="16"/>
          <w:szCs w:val="16"/>
        </w:rPr>
        <w:t xml:space="preserve"> </w:t>
      </w:r>
      <w:r w:rsidRPr="00AB1E03">
        <w:rPr>
          <w:sz w:val="16"/>
          <w:szCs w:val="16"/>
        </w:rPr>
        <w:tab/>
      </w:r>
      <w:r>
        <w:rPr>
          <w:i/>
          <w:sz w:val="16"/>
          <w:szCs w:val="16"/>
        </w:rPr>
        <w:t xml:space="preserve">Cfr. </w:t>
      </w:r>
      <w:r w:rsidRPr="00B1523A">
        <w:rPr>
          <w:sz w:val="16"/>
        </w:rPr>
        <w:t>Auto del Primer Juzgado Civil de Puente Alto el 13 de febrero de 2002 (exp</w:t>
      </w:r>
      <w:r>
        <w:rPr>
          <w:sz w:val="16"/>
        </w:rPr>
        <w:t xml:space="preserve">ediente de prueba, anexo 23 del </w:t>
      </w:r>
      <w:r w:rsidRPr="00B1523A">
        <w:rPr>
          <w:sz w:val="16"/>
        </w:rPr>
        <w:t>Informe de Fondo, f. 138).</w:t>
      </w:r>
    </w:p>
  </w:footnote>
  <w:footnote w:id="72">
    <w:p w14:paraId="78DD7489" w14:textId="62F4E1CE" w:rsidR="003C025E" w:rsidRPr="00383565" w:rsidRDefault="003C025E" w:rsidP="00E22B60">
      <w:pPr>
        <w:pStyle w:val="FootnoteText"/>
        <w:ind w:right="-360"/>
        <w:rPr>
          <w:sz w:val="16"/>
          <w:szCs w:val="16"/>
        </w:rPr>
      </w:pPr>
      <w:r w:rsidRPr="00383565">
        <w:rPr>
          <w:rStyle w:val="FootnoteReference"/>
          <w:rFonts w:eastAsia="MS Mincho"/>
          <w:sz w:val="16"/>
          <w:szCs w:val="16"/>
        </w:rPr>
        <w:footnoteRef/>
      </w:r>
      <w:r w:rsidRPr="00383565">
        <w:rPr>
          <w:sz w:val="16"/>
          <w:szCs w:val="16"/>
        </w:rPr>
        <w:t xml:space="preserve"> </w:t>
      </w:r>
      <w:r w:rsidRPr="00383565">
        <w:rPr>
          <w:sz w:val="16"/>
          <w:szCs w:val="16"/>
        </w:rPr>
        <w:tab/>
      </w:r>
      <w:r>
        <w:rPr>
          <w:i/>
          <w:sz w:val="16"/>
          <w:szCs w:val="16"/>
        </w:rPr>
        <w:t xml:space="preserve">Cfr. </w:t>
      </w:r>
      <w:r w:rsidRPr="00383565">
        <w:rPr>
          <w:sz w:val="16"/>
          <w:szCs w:val="16"/>
        </w:rPr>
        <w:t xml:space="preserve">Autos del Primer Juzgado Civil de Puente Alto el 16 de octubre de 2002 y 14 de noviembre de 2002 (expediente de prueba, anexo 24 del Informe de Fondo, </w:t>
      </w:r>
      <w:proofErr w:type="spellStart"/>
      <w:r w:rsidRPr="00383565">
        <w:rPr>
          <w:sz w:val="16"/>
          <w:szCs w:val="16"/>
        </w:rPr>
        <w:t>f</w:t>
      </w:r>
      <w:r>
        <w:rPr>
          <w:sz w:val="16"/>
          <w:szCs w:val="16"/>
        </w:rPr>
        <w:t>f</w:t>
      </w:r>
      <w:proofErr w:type="spellEnd"/>
      <w:r w:rsidRPr="00383565">
        <w:rPr>
          <w:sz w:val="16"/>
          <w:szCs w:val="16"/>
        </w:rPr>
        <w:t>. 140</w:t>
      </w:r>
      <w:r>
        <w:rPr>
          <w:sz w:val="16"/>
          <w:szCs w:val="16"/>
        </w:rPr>
        <w:t xml:space="preserve"> a </w:t>
      </w:r>
      <w:r w:rsidRPr="00383565">
        <w:rPr>
          <w:sz w:val="16"/>
          <w:szCs w:val="16"/>
        </w:rPr>
        <w:t>142).</w:t>
      </w:r>
    </w:p>
  </w:footnote>
  <w:footnote w:id="73">
    <w:p w14:paraId="62CC9AF6" w14:textId="606EE166" w:rsidR="003C025E" w:rsidRPr="000214BA" w:rsidRDefault="003C025E" w:rsidP="00E22B60">
      <w:pPr>
        <w:pStyle w:val="FootnoteText"/>
        <w:ind w:right="-360"/>
        <w:rPr>
          <w:sz w:val="16"/>
          <w:szCs w:val="16"/>
        </w:rPr>
      </w:pPr>
      <w:r w:rsidRPr="00383565">
        <w:rPr>
          <w:rStyle w:val="FootnoteReference"/>
          <w:rFonts w:eastAsia="MS Mincho"/>
          <w:sz w:val="16"/>
          <w:szCs w:val="16"/>
        </w:rPr>
        <w:footnoteRef/>
      </w:r>
      <w:r w:rsidRPr="00E82A22">
        <w:rPr>
          <w:sz w:val="16"/>
          <w:szCs w:val="16"/>
        </w:rPr>
        <w:t xml:space="preserve"> </w:t>
      </w:r>
      <w:r w:rsidRPr="00383565">
        <w:rPr>
          <w:sz w:val="16"/>
          <w:szCs w:val="16"/>
        </w:rPr>
        <w:tab/>
      </w:r>
      <w:r>
        <w:rPr>
          <w:i/>
          <w:sz w:val="16"/>
          <w:szCs w:val="16"/>
        </w:rPr>
        <w:t xml:space="preserve">Cfr. </w:t>
      </w:r>
      <w:r>
        <w:rPr>
          <w:sz w:val="16"/>
          <w:szCs w:val="16"/>
        </w:rPr>
        <w:t xml:space="preserve">Informe de 5 de abril de 2003 del Médico Asesor Criminalista, Dr. José </w:t>
      </w:r>
      <w:proofErr w:type="spellStart"/>
      <w:r>
        <w:rPr>
          <w:sz w:val="16"/>
          <w:szCs w:val="16"/>
        </w:rPr>
        <w:t>Belleti</w:t>
      </w:r>
      <w:proofErr w:type="spellEnd"/>
      <w:r>
        <w:rPr>
          <w:sz w:val="16"/>
          <w:szCs w:val="16"/>
        </w:rPr>
        <w:t xml:space="preserve"> Barrera, de la Brigada de Homicidios Metropolitana de la Policía de Investigaciones de Chile (expediente de prueba, expediente de trámite ante la CIDH, </w:t>
      </w:r>
      <w:proofErr w:type="spellStart"/>
      <w:r>
        <w:rPr>
          <w:sz w:val="16"/>
          <w:szCs w:val="16"/>
        </w:rPr>
        <w:t>ff</w:t>
      </w:r>
      <w:proofErr w:type="spellEnd"/>
      <w:r>
        <w:rPr>
          <w:sz w:val="16"/>
          <w:szCs w:val="16"/>
        </w:rPr>
        <w:t>. 2405 a 2408).</w:t>
      </w:r>
    </w:p>
  </w:footnote>
  <w:footnote w:id="74">
    <w:p w14:paraId="5E61BE7C" w14:textId="18C9DF86"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 xml:space="preserve">Declaración ante el Primer Juzgado Civil de Puente Alto </w:t>
      </w:r>
      <w:r>
        <w:rPr>
          <w:sz w:val="16"/>
          <w:szCs w:val="16"/>
        </w:rPr>
        <w:t>de</w:t>
      </w:r>
      <w:r w:rsidRPr="000214BA">
        <w:rPr>
          <w:sz w:val="16"/>
          <w:szCs w:val="16"/>
        </w:rPr>
        <w:t xml:space="preserve"> Ximena del Pilar Echeverría </w:t>
      </w:r>
      <w:proofErr w:type="spellStart"/>
      <w:r w:rsidRPr="000214BA">
        <w:rPr>
          <w:sz w:val="16"/>
          <w:szCs w:val="16"/>
        </w:rPr>
        <w:t>Pe</w:t>
      </w:r>
      <w:r>
        <w:rPr>
          <w:sz w:val="16"/>
          <w:szCs w:val="16"/>
        </w:rPr>
        <w:t>z</w:t>
      </w:r>
      <w:r w:rsidRPr="000214BA">
        <w:rPr>
          <w:sz w:val="16"/>
          <w:szCs w:val="16"/>
        </w:rPr>
        <w:t>oa</w:t>
      </w:r>
      <w:proofErr w:type="spellEnd"/>
      <w:r w:rsidRPr="000214BA">
        <w:rPr>
          <w:sz w:val="16"/>
          <w:szCs w:val="16"/>
        </w:rPr>
        <w:t xml:space="preserve"> el 13 de mayo de 2003 (expediente de prueba, anexo 27 del Informe de Fondo, f. 157).</w:t>
      </w:r>
    </w:p>
  </w:footnote>
  <w:footnote w:id="75">
    <w:p w14:paraId="66D58332" w14:textId="1390C683"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 xml:space="preserve">Declaración ante el Primer Juzgado Civil de Puente Alto por Humberto Reinaldo </w:t>
      </w:r>
      <w:proofErr w:type="spellStart"/>
      <w:r w:rsidRPr="000214BA">
        <w:rPr>
          <w:sz w:val="16"/>
          <w:szCs w:val="16"/>
        </w:rPr>
        <w:t>Montecinos</w:t>
      </w:r>
      <w:proofErr w:type="spellEnd"/>
      <w:r w:rsidRPr="000214BA">
        <w:rPr>
          <w:sz w:val="16"/>
          <w:szCs w:val="16"/>
        </w:rPr>
        <w:t xml:space="preserve"> </w:t>
      </w:r>
      <w:proofErr w:type="spellStart"/>
      <w:r w:rsidRPr="000214BA">
        <w:rPr>
          <w:sz w:val="16"/>
          <w:szCs w:val="16"/>
        </w:rPr>
        <w:t>Salucci</w:t>
      </w:r>
      <w:proofErr w:type="spellEnd"/>
      <w:r w:rsidRPr="000214BA">
        <w:rPr>
          <w:sz w:val="16"/>
          <w:szCs w:val="16"/>
        </w:rPr>
        <w:t xml:space="preserve"> el 20 de mayo de 2003 (expediente de prueba, anexo 28 del Informe de Fondo, f. 159).</w:t>
      </w:r>
    </w:p>
  </w:footnote>
  <w:footnote w:id="76">
    <w:p w14:paraId="28170170" w14:textId="341C5739"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Declaración ante el Primer Juzgado Civil de Puente Alto por Sandra Zoraida Castillo Montufar el 3 de diciembre de 2003 (expediente de prueba, anexo 10 del Informe de Fondo, f. 104).</w:t>
      </w:r>
    </w:p>
  </w:footnote>
  <w:footnote w:id="77">
    <w:p w14:paraId="159EEB39" w14:textId="23D9662C"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Auto del Primer Juzgado Civil de Puente Alto el 28 de febrero de 2004 (expediente de prueba, anexo 30 del Informe de Fondo, f. 163)</w:t>
      </w:r>
      <w:r>
        <w:rPr>
          <w:sz w:val="16"/>
          <w:szCs w:val="16"/>
        </w:rPr>
        <w:t>;</w:t>
      </w:r>
      <w:r w:rsidRPr="000214BA">
        <w:rPr>
          <w:sz w:val="16"/>
          <w:szCs w:val="16"/>
        </w:rPr>
        <w:t xml:space="preserve"> Oficio No. 261 del Primer Juzgado Civil de Puente Alto el 28 de febrero de 2004 (expediente de prueba, anexo 31 del Informe de Fondo, f. 165)</w:t>
      </w:r>
      <w:r>
        <w:rPr>
          <w:sz w:val="16"/>
          <w:szCs w:val="16"/>
        </w:rPr>
        <w:t>,</w:t>
      </w:r>
      <w:r w:rsidRPr="000214BA">
        <w:rPr>
          <w:sz w:val="16"/>
          <w:szCs w:val="16"/>
        </w:rPr>
        <w:t xml:space="preserve"> Auto del Primer Juzgado Civil de Puente Alto el 20 de diciembre de 2004 (expediente de prueba, anexo 32 del Informe de Fondo, f. 167)</w:t>
      </w:r>
      <w:r>
        <w:rPr>
          <w:sz w:val="16"/>
          <w:szCs w:val="16"/>
        </w:rPr>
        <w:t>,</w:t>
      </w:r>
      <w:r w:rsidRPr="000214BA">
        <w:rPr>
          <w:sz w:val="16"/>
          <w:szCs w:val="16"/>
        </w:rPr>
        <w:t xml:space="preserve"> </w:t>
      </w:r>
      <w:r>
        <w:rPr>
          <w:sz w:val="16"/>
          <w:szCs w:val="16"/>
        </w:rPr>
        <w:t>y</w:t>
      </w:r>
      <w:r w:rsidRPr="000214BA">
        <w:rPr>
          <w:sz w:val="16"/>
          <w:szCs w:val="16"/>
        </w:rPr>
        <w:t xml:space="preserve"> Orden de </w:t>
      </w:r>
      <w:r>
        <w:rPr>
          <w:sz w:val="16"/>
          <w:szCs w:val="16"/>
        </w:rPr>
        <w:t>aprehensión</w:t>
      </w:r>
      <w:r w:rsidRPr="000214BA">
        <w:rPr>
          <w:sz w:val="16"/>
          <w:szCs w:val="16"/>
        </w:rPr>
        <w:t xml:space="preserve"> del Primer Juzgado Civil de Puente Alto el 31 de octubre de 2005 (expediente de prueba,</w:t>
      </w:r>
      <w:r>
        <w:rPr>
          <w:sz w:val="16"/>
          <w:szCs w:val="16"/>
        </w:rPr>
        <w:t xml:space="preserve"> anexo</w:t>
      </w:r>
      <w:r w:rsidRPr="000214BA">
        <w:rPr>
          <w:sz w:val="16"/>
          <w:szCs w:val="16"/>
        </w:rPr>
        <w:t xml:space="preserve"> 34 del Informe de Fondo, f. 169</w:t>
      </w:r>
      <w:r>
        <w:rPr>
          <w:sz w:val="16"/>
          <w:szCs w:val="16"/>
        </w:rPr>
        <w:t>)</w:t>
      </w:r>
      <w:r w:rsidRPr="000214BA">
        <w:rPr>
          <w:sz w:val="16"/>
          <w:szCs w:val="16"/>
        </w:rPr>
        <w:t xml:space="preserve">. </w:t>
      </w:r>
    </w:p>
  </w:footnote>
  <w:footnote w:id="78">
    <w:p w14:paraId="0CB2B2C4" w14:textId="3E242E75"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 xml:space="preserve">Orden de arresto del </w:t>
      </w:r>
      <w:r w:rsidRPr="0030094B">
        <w:rPr>
          <w:sz w:val="16"/>
          <w:szCs w:val="16"/>
          <w:lang w:val="es-CR"/>
        </w:rPr>
        <w:t>Décimo Noveno</w:t>
      </w:r>
      <w:r w:rsidRPr="000214BA">
        <w:rPr>
          <w:sz w:val="16"/>
          <w:szCs w:val="16"/>
        </w:rPr>
        <w:t xml:space="preserve"> Juzgado del Crimen del 06 de abril de 2004 (expediente de prueba, </w:t>
      </w:r>
      <w:r>
        <w:rPr>
          <w:sz w:val="16"/>
          <w:szCs w:val="16"/>
        </w:rPr>
        <w:t xml:space="preserve">anexo </w:t>
      </w:r>
      <w:r w:rsidRPr="000214BA">
        <w:rPr>
          <w:sz w:val="16"/>
          <w:szCs w:val="16"/>
        </w:rPr>
        <w:t>35 del Informe de Fondo, f. 171).</w:t>
      </w:r>
    </w:p>
  </w:footnote>
  <w:footnote w:id="79">
    <w:p w14:paraId="3E80C080" w14:textId="12834487"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 xml:space="preserve">Orden de arresto del </w:t>
      </w:r>
      <w:r w:rsidRPr="0030094B">
        <w:rPr>
          <w:sz w:val="16"/>
          <w:szCs w:val="16"/>
          <w:lang w:val="es-CR"/>
        </w:rPr>
        <w:t>Décimo Noveno</w:t>
      </w:r>
      <w:r w:rsidRPr="000214BA">
        <w:rPr>
          <w:sz w:val="16"/>
          <w:szCs w:val="16"/>
        </w:rPr>
        <w:t xml:space="preserve"> Juzgado del Crimen del 08 de enero del 2005 (expediente de prueba, </w:t>
      </w:r>
      <w:r>
        <w:rPr>
          <w:sz w:val="16"/>
          <w:szCs w:val="16"/>
        </w:rPr>
        <w:t xml:space="preserve">anexo </w:t>
      </w:r>
      <w:r w:rsidRPr="000214BA">
        <w:rPr>
          <w:sz w:val="16"/>
          <w:szCs w:val="16"/>
        </w:rPr>
        <w:t>3</w:t>
      </w:r>
      <w:r>
        <w:rPr>
          <w:sz w:val="16"/>
          <w:szCs w:val="16"/>
        </w:rPr>
        <w:t>6</w:t>
      </w:r>
      <w:r w:rsidRPr="000214BA">
        <w:rPr>
          <w:sz w:val="16"/>
          <w:szCs w:val="16"/>
        </w:rPr>
        <w:t xml:space="preserve"> del Informe de Fondo, f. 173).</w:t>
      </w:r>
    </w:p>
  </w:footnote>
  <w:footnote w:id="80">
    <w:p w14:paraId="6C65CA49" w14:textId="50E8AD15"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Auto del Primer Juzgado Civil de Puente Alto el 06 de febrero de 2006 (expediente de prueba, anexo 37 del Informe de Fondo, f. 17</w:t>
      </w:r>
      <w:r>
        <w:rPr>
          <w:sz w:val="16"/>
          <w:szCs w:val="16"/>
        </w:rPr>
        <w:t>6</w:t>
      </w:r>
      <w:r w:rsidRPr="000214BA">
        <w:rPr>
          <w:sz w:val="16"/>
          <w:szCs w:val="16"/>
        </w:rPr>
        <w:t>).</w:t>
      </w:r>
    </w:p>
  </w:footnote>
  <w:footnote w:id="81">
    <w:p w14:paraId="180E3FEB" w14:textId="337BAAE2"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sidRPr="00C64243">
        <w:rPr>
          <w:i/>
          <w:sz w:val="16"/>
          <w:szCs w:val="16"/>
        </w:rPr>
        <w:t xml:space="preserve"> </w:t>
      </w:r>
      <w:r w:rsidRPr="000214BA">
        <w:rPr>
          <w:sz w:val="16"/>
          <w:szCs w:val="16"/>
          <w:lang w:val="es-MX"/>
        </w:rPr>
        <w:t xml:space="preserve">Auto del Primer Juzgado Civil de Puente Alto el 23 de mayo de 2007 </w:t>
      </w:r>
      <w:r w:rsidRPr="000214BA">
        <w:rPr>
          <w:sz w:val="16"/>
          <w:szCs w:val="16"/>
        </w:rPr>
        <w:t>(expediente de prueba, anexo 61 del Informe de Fondo, f. 239).</w:t>
      </w:r>
    </w:p>
  </w:footnote>
  <w:footnote w:id="82">
    <w:p w14:paraId="75B6D556" w14:textId="2A577CCA"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rPr>
        <w:t xml:space="preserve">Oficio No. 1363 del Primer Juzgado Civil de Puente Alto </w:t>
      </w:r>
      <w:r>
        <w:rPr>
          <w:sz w:val="16"/>
          <w:szCs w:val="16"/>
        </w:rPr>
        <w:t>de</w:t>
      </w:r>
      <w:r w:rsidRPr="000214BA">
        <w:rPr>
          <w:sz w:val="16"/>
          <w:szCs w:val="16"/>
        </w:rPr>
        <w:t xml:space="preserve"> 19 de </w:t>
      </w:r>
      <w:r>
        <w:rPr>
          <w:sz w:val="16"/>
          <w:szCs w:val="16"/>
        </w:rPr>
        <w:t>j</w:t>
      </w:r>
      <w:r w:rsidRPr="000214BA">
        <w:rPr>
          <w:sz w:val="16"/>
          <w:szCs w:val="16"/>
        </w:rPr>
        <w:t>ulio de 2005 (expediente de prueba, anexo 38 del Informe de Fondo, f. 178).</w:t>
      </w:r>
    </w:p>
  </w:footnote>
  <w:footnote w:id="83">
    <w:p w14:paraId="02234293" w14:textId="645D5364"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lang w:val="es-MX"/>
        </w:rPr>
        <w:t xml:space="preserve">Auto del Primer Juzgado Civil de Puente Alto el 15 de septiembre de 2005 </w:t>
      </w:r>
      <w:r w:rsidRPr="000214BA">
        <w:rPr>
          <w:sz w:val="16"/>
          <w:szCs w:val="16"/>
        </w:rPr>
        <w:t>(expediente de prueba, anexo 40 del Informe de Fondo, f. 182).</w:t>
      </w:r>
    </w:p>
  </w:footnote>
  <w:footnote w:id="84">
    <w:p w14:paraId="1DBDBE52" w14:textId="36C06973"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Oficio No.</w:t>
      </w:r>
      <w:r>
        <w:rPr>
          <w:sz w:val="16"/>
          <w:szCs w:val="16"/>
        </w:rPr>
        <w:t xml:space="preserve"> </w:t>
      </w:r>
      <w:r w:rsidRPr="000214BA">
        <w:rPr>
          <w:sz w:val="16"/>
          <w:szCs w:val="16"/>
        </w:rPr>
        <w:t>2809-05 del Primer Juzgado Civil de Puente Alto el 7 de diciembre de 2005 (expediente de prueba, anexo 41 del Informe de Fondo, f. 184).</w:t>
      </w:r>
    </w:p>
  </w:footnote>
  <w:footnote w:id="85">
    <w:p w14:paraId="133B1D1F" w14:textId="57EB2C37"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sidRPr="00C64243">
        <w:rPr>
          <w:i/>
          <w:sz w:val="16"/>
          <w:szCs w:val="16"/>
        </w:rPr>
        <w:t xml:space="preserve"> </w:t>
      </w:r>
      <w:r w:rsidRPr="000214BA">
        <w:rPr>
          <w:sz w:val="16"/>
          <w:szCs w:val="16"/>
        </w:rPr>
        <w:t xml:space="preserve">Querella </w:t>
      </w:r>
      <w:r>
        <w:rPr>
          <w:sz w:val="16"/>
          <w:szCs w:val="16"/>
        </w:rPr>
        <w:t>presentada</w:t>
      </w:r>
      <w:r w:rsidRPr="000214BA">
        <w:rPr>
          <w:sz w:val="16"/>
          <w:szCs w:val="16"/>
        </w:rPr>
        <w:t xml:space="preserve"> por Vinicio Marco Antonio Poblete Tapia ante el Primer Juzgado Civil de Puente Alto el 7 de octubre de 2005 (expediente de prueba, anexo 7 del Informe de Fondo, </w:t>
      </w:r>
      <w:proofErr w:type="spellStart"/>
      <w:r w:rsidRPr="000214BA">
        <w:rPr>
          <w:sz w:val="16"/>
          <w:szCs w:val="16"/>
        </w:rPr>
        <w:t>f</w:t>
      </w:r>
      <w:r>
        <w:rPr>
          <w:sz w:val="16"/>
          <w:szCs w:val="16"/>
        </w:rPr>
        <w:t>f</w:t>
      </w:r>
      <w:proofErr w:type="spellEnd"/>
      <w:r w:rsidRPr="000214BA">
        <w:rPr>
          <w:sz w:val="16"/>
          <w:szCs w:val="16"/>
        </w:rPr>
        <w:t>. 42</w:t>
      </w:r>
      <w:r>
        <w:rPr>
          <w:sz w:val="16"/>
          <w:szCs w:val="16"/>
        </w:rPr>
        <w:t xml:space="preserve"> y </w:t>
      </w:r>
      <w:r w:rsidRPr="000214BA">
        <w:rPr>
          <w:sz w:val="16"/>
          <w:szCs w:val="16"/>
        </w:rPr>
        <w:t>43)</w:t>
      </w:r>
      <w:r>
        <w:rPr>
          <w:sz w:val="16"/>
          <w:szCs w:val="16"/>
        </w:rPr>
        <w:t xml:space="preserve">; </w:t>
      </w:r>
      <w:r w:rsidRPr="009B51E6">
        <w:rPr>
          <w:bCs/>
          <w:sz w:val="16"/>
          <w:szCs w:val="16"/>
          <w:lang w:val="es-MX"/>
        </w:rPr>
        <w:t>Auto del Primer Juzgado Civil de Puente Alto el 7 de octubre de 2005</w:t>
      </w:r>
      <w:r w:rsidRPr="009B51E6">
        <w:rPr>
          <w:rFonts w:asciiTheme="minorHAnsi" w:eastAsia="Batang" w:hAnsiTheme="minorHAnsi" w:cs="Arial"/>
          <w:bCs/>
          <w:i/>
          <w:sz w:val="16"/>
          <w:szCs w:val="16"/>
          <w:lang w:val="es-MX" w:eastAsia="ko-KR"/>
        </w:rPr>
        <w:t xml:space="preserve"> </w:t>
      </w:r>
      <w:r w:rsidRPr="009B51E6">
        <w:rPr>
          <w:bCs/>
          <w:sz w:val="16"/>
          <w:szCs w:val="16"/>
          <w:lang w:val="es-MX"/>
        </w:rPr>
        <w:t xml:space="preserve">(expediente de prueba, anexo </w:t>
      </w:r>
      <w:r>
        <w:rPr>
          <w:bCs/>
          <w:sz w:val="16"/>
          <w:szCs w:val="16"/>
          <w:lang w:val="es-MX"/>
        </w:rPr>
        <w:t>7</w:t>
      </w:r>
      <w:r w:rsidRPr="009B51E6">
        <w:rPr>
          <w:bCs/>
          <w:sz w:val="16"/>
          <w:szCs w:val="16"/>
          <w:lang w:val="es-MX"/>
        </w:rPr>
        <w:t xml:space="preserve"> del Informe de Fondo, f. 44), y Oficio No.</w:t>
      </w:r>
      <w:r>
        <w:rPr>
          <w:bCs/>
          <w:sz w:val="16"/>
          <w:szCs w:val="16"/>
          <w:lang w:val="es-MX"/>
        </w:rPr>
        <w:t xml:space="preserve"> </w:t>
      </w:r>
      <w:r w:rsidRPr="009B51E6">
        <w:rPr>
          <w:bCs/>
          <w:sz w:val="16"/>
          <w:szCs w:val="16"/>
          <w:lang w:val="es-MX"/>
        </w:rPr>
        <w:t>2809-05 del Primer Juzgado Civil de Puente Alto el 7 de diciembre de 2005</w:t>
      </w:r>
      <w:r>
        <w:rPr>
          <w:bCs/>
          <w:sz w:val="16"/>
          <w:szCs w:val="16"/>
          <w:lang w:val="es-MX"/>
        </w:rPr>
        <w:t>(expediente de prueba, anexo 41 del Informe de Fondo,</w:t>
      </w:r>
      <w:r w:rsidRPr="009B51E6">
        <w:rPr>
          <w:bCs/>
          <w:i/>
          <w:sz w:val="16"/>
          <w:szCs w:val="16"/>
          <w:lang w:val="es-MX"/>
        </w:rPr>
        <w:t xml:space="preserve"> </w:t>
      </w:r>
      <w:r w:rsidRPr="009B51E6">
        <w:rPr>
          <w:bCs/>
          <w:sz w:val="16"/>
          <w:szCs w:val="16"/>
          <w:lang w:val="es-MX"/>
        </w:rPr>
        <w:t>f. 184</w:t>
      </w:r>
      <w:r>
        <w:rPr>
          <w:bCs/>
          <w:sz w:val="16"/>
          <w:szCs w:val="16"/>
          <w:lang w:val="es-MX"/>
        </w:rPr>
        <w:t>)</w:t>
      </w:r>
      <w:r w:rsidRPr="009B51E6">
        <w:rPr>
          <w:bCs/>
          <w:i/>
          <w:sz w:val="16"/>
          <w:szCs w:val="16"/>
          <w:lang w:val="es-MX"/>
        </w:rPr>
        <w:t>.</w:t>
      </w:r>
    </w:p>
  </w:footnote>
  <w:footnote w:id="86">
    <w:p w14:paraId="5DD8E3C2" w14:textId="79D8AF39"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rPr>
        <w:t>Declaración ante el Primer Juzgado Civil de Puente Alto por Marcelo Adán Garrido</w:t>
      </w:r>
      <w:r>
        <w:rPr>
          <w:sz w:val="16"/>
          <w:szCs w:val="16"/>
        </w:rPr>
        <w:t xml:space="preserve"> Salvo</w:t>
      </w:r>
      <w:r w:rsidRPr="000214BA">
        <w:rPr>
          <w:sz w:val="16"/>
          <w:szCs w:val="16"/>
        </w:rPr>
        <w:t xml:space="preserve"> el 3 de marzo de 2006 (expediente de prueba, anexo 2 del Informe de Fondo, f. 9)</w:t>
      </w:r>
      <w:r>
        <w:rPr>
          <w:sz w:val="16"/>
          <w:szCs w:val="16"/>
        </w:rPr>
        <w:t>;</w:t>
      </w:r>
      <w:r w:rsidRPr="000214BA">
        <w:rPr>
          <w:sz w:val="16"/>
          <w:szCs w:val="16"/>
        </w:rPr>
        <w:t xml:space="preserve"> Declaración ante el Primer Juzgado Civil de Puente Alto por María Carolina Chacón Fernández el 7 de </w:t>
      </w:r>
      <w:r>
        <w:rPr>
          <w:sz w:val="16"/>
          <w:szCs w:val="16"/>
        </w:rPr>
        <w:t xml:space="preserve">marzo </w:t>
      </w:r>
      <w:r w:rsidRPr="000214BA">
        <w:rPr>
          <w:sz w:val="16"/>
          <w:szCs w:val="16"/>
        </w:rPr>
        <w:t>de 200</w:t>
      </w:r>
      <w:r>
        <w:rPr>
          <w:sz w:val="16"/>
          <w:szCs w:val="16"/>
        </w:rPr>
        <w:t>6</w:t>
      </w:r>
      <w:r w:rsidRPr="000214BA">
        <w:rPr>
          <w:sz w:val="16"/>
          <w:szCs w:val="16"/>
        </w:rPr>
        <w:t xml:space="preserve"> (expediente de prueba, anexo 42 del Informe de Fondo, f. 186)</w:t>
      </w:r>
      <w:r>
        <w:rPr>
          <w:sz w:val="16"/>
          <w:szCs w:val="16"/>
        </w:rPr>
        <w:t>;</w:t>
      </w:r>
      <w:r w:rsidRPr="000214BA">
        <w:rPr>
          <w:sz w:val="16"/>
          <w:szCs w:val="16"/>
          <w:lang w:val="es-MX"/>
        </w:rPr>
        <w:t xml:space="preserve"> Declaración ante el Primer Juzgado Penal por Vinicio Marco Antonio Poblete el 6 de abril de 2006 </w:t>
      </w:r>
      <w:r w:rsidRPr="000214BA">
        <w:rPr>
          <w:sz w:val="16"/>
          <w:szCs w:val="16"/>
        </w:rPr>
        <w:t xml:space="preserve">(expediente de prueba, anexo 4 del Informe de Fondo, </w:t>
      </w:r>
      <w:proofErr w:type="spellStart"/>
      <w:r w:rsidRPr="000214BA">
        <w:rPr>
          <w:sz w:val="16"/>
          <w:szCs w:val="16"/>
        </w:rPr>
        <w:t>f</w:t>
      </w:r>
      <w:r>
        <w:rPr>
          <w:sz w:val="16"/>
          <w:szCs w:val="16"/>
        </w:rPr>
        <w:t>f</w:t>
      </w:r>
      <w:proofErr w:type="spellEnd"/>
      <w:r w:rsidRPr="000214BA">
        <w:rPr>
          <w:sz w:val="16"/>
          <w:szCs w:val="16"/>
        </w:rPr>
        <w:t xml:space="preserve">. </w:t>
      </w:r>
      <w:r>
        <w:rPr>
          <w:sz w:val="16"/>
          <w:szCs w:val="16"/>
        </w:rPr>
        <w:t xml:space="preserve">17 a </w:t>
      </w:r>
      <w:r w:rsidRPr="000214BA">
        <w:rPr>
          <w:sz w:val="16"/>
          <w:szCs w:val="16"/>
        </w:rPr>
        <w:t>2</w:t>
      </w:r>
      <w:r>
        <w:rPr>
          <w:sz w:val="16"/>
          <w:szCs w:val="16"/>
        </w:rPr>
        <w:t>2</w:t>
      </w:r>
      <w:r w:rsidRPr="000214BA">
        <w:rPr>
          <w:sz w:val="16"/>
          <w:szCs w:val="16"/>
        </w:rPr>
        <w:t>)</w:t>
      </w:r>
      <w:r>
        <w:rPr>
          <w:sz w:val="16"/>
          <w:szCs w:val="16"/>
        </w:rPr>
        <w:t>;</w:t>
      </w:r>
      <w:r w:rsidRPr="000214BA">
        <w:rPr>
          <w:sz w:val="16"/>
          <w:szCs w:val="16"/>
        </w:rPr>
        <w:t xml:space="preserve"> Declaración ante el Primer Juzgado Civil de Puente Alto por </w:t>
      </w:r>
      <w:proofErr w:type="spellStart"/>
      <w:r w:rsidRPr="000214BA">
        <w:rPr>
          <w:sz w:val="16"/>
          <w:szCs w:val="16"/>
        </w:rPr>
        <w:t>Cesia</w:t>
      </w:r>
      <w:proofErr w:type="spellEnd"/>
      <w:r w:rsidRPr="000214BA">
        <w:rPr>
          <w:sz w:val="16"/>
          <w:szCs w:val="16"/>
        </w:rPr>
        <w:t xml:space="preserve"> Le</w:t>
      </w:r>
      <w:r>
        <w:rPr>
          <w:sz w:val="16"/>
          <w:szCs w:val="16"/>
        </w:rPr>
        <w:t>i</w:t>
      </w:r>
      <w:r w:rsidRPr="000214BA">
        <w:rPr>
          <w:sz w:val="16"/>
          <w:szCs w:val="16"/>
        </w:rPr>
        <w:t>la Siria Poblete Tapia el 14 de septiembre de 2006 (expediente de prueba, anexo 3 del Informe de Fondo, f. 11)</w:t>
      </w:r>
      <w:r>
        <w:rPr>
          <w:sz w:val="16"/>
          <w:szCs w:val="16"/>
        </w:rPr>
        <w:t>;</w:t>
      </w:r>
      <w:r w:rsidRPr="000214BA">
        <w:rPr>
          <w:sz w:val="16"/>
          <w:szCs w:val="16"/>
        </w:rPr>
        <w:t xml:space="preserve"> Declaración ante el Primer Juzgado Civil de Puente Alto por Lili Marlene Rojas Hernández el 18 de octubre de 2006 (expediente de prueba, anexo 53 del Informe de Fondo, f. 220)</w:t>
      </w:r>
      <w:r>
        <w:rPr>
          <w:sz w:val="16"/>
          <w:szCs w:val="16"/>
        </w:rPr>
        <w:t>;</w:t>
      </w:r>
      <w:r w:rsidRPr="000214BA">
        <w:rPr>
          <w:sz w:val="16"/>
          <w:szCs w:val="16"/>
        </w:rPr>
        <w:t xml:space="preserve"> Declaración ante el Primer Juzgado Civil de Puente Alto por Jorge Alejandro Fuentes Poblete el 12 de junio de 2007 (expediente de prueba, anexo 5 del Informe de Fondo, </w:t>
      </w:r>
      <w:proofErr w:type="spellStart"/>
      <w:r>
        <w:rPr>
          <w:sz w:val="16"/>
          <w:szCs w:val="16"/>
        </w:rPr>
        <w:t>f</w:t>
      </w:r>
      <w:r w:rsidRPr="000214BA">
        <w:rPr>
          <w:sz w:val="16"/>
          <w:szCs w:val="16"/>
        </w:rPr>
        <w:t>f</w:t>
      </w:r>
      <w:proofErr w:type="spellEnd"/>
      <w:r w:rsidRPr="000214BA">
        <w:rPr>
          <w:sz w:val="16"/>
          <w:szCs w:val="16"/>
        </w:rPr>
        <w:t>. 24</w:t>
      </w:r>
      <w:r>
        <w:rPr>
          <w:sz w:val="16"/>
          <w:szCs w:val="16"/>
        </w:rPr>
        <w:t xml:space="preserve"> y 25</w:t>
      </w:r>
      <w:r w:rsidRPr="000214BA">
        <w:rPr>
          <w:sz w:val="16"/>
          <w:szCs w:val="16"/>
        </w:rPr>
        <w:t xml:space="preserve">), </w:t>
      </w:r>
      <w:r>
        <w:rPr>
          <w:sz w:val="16"/>
          <w:szCs w:val="16"/>
        </w:rPr>
        <w:t>y</w:t>
      </w:r>
      <w:r w:rsidRPr="000214BA">
        <w:rPr>
          <w:sz w:val="16"/>
          <w:szCs w:val="16"/>
        </w:rPr>
        <w:t xml:space="preserve"> Declaración ante el Primer Juzgado Civil de Puente Alto por Alejandra Marcela Fuentes Poblete el 15 de junio de 2007 (expediente de prueba, anexo 12 del Informe de Fondo, </w:t>
      </w:r>
      <w:proofErr w:type="spellStart"/>
      <w:r w:rsidRPr="000214BA">
        <w:rPr>
          <w:sz w:val="16"/>
          <w:szCs w:val="16"/>
        </w:rPr>
        <w:t>f</w:t>
      </w:r>
      <w:r>
        <w:rPr>
          <w:sz w:val="16"/>
          <w:szCs w:val="16"/>
        </w:rPr>
        <w:t>f</w:t>
      </w:r>
      <w:proofErr w:type="spellEnd"/>
      <w:r w:rsidRPr="000214BA">
        <w:rPr>
          <w:sz w:val="16"/>
          <w:szCs w:val="16"/>
        </w:rPr>
        <w:t>. 110</w:t>
      </w:r>
      <w:r>
        <w:rPr>
          <w:sz w:val="16"/>
          <w:szCs w:val="16"/>
        </w:rPr>
        <w:t xml:space="preserve"> y 111</w:t>
      </w:r>
      <w:r w:rsidRPr="000214BA">
        <w:rPr>
          <w:sz w:val="16"/>
          <w:szCs w:val="16"/>
        </w:rPr>
        <w:t>).</w:t>
      </w:r>
    </w:p>
  </w:footnote>
  <w:footnote w:id="87">
    <w:p w14:paraId="64A67DD7" w14:textId="58355803"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sidRPr="00C64243">
        <w:rPr>
          <w:i/>
          <w:sz w:val="16"/>
          <w:szCs w:val="16"/>
        </w:rPr>
        <w:t xml:space="preserve"> </w:t>
      </w:r>
      <w:r w:rsidRPr="000214BA">
        <w:rPr>
          <w:sz w:val="16"/>
          <w:szCs w:val="16"/>
        </w:rPr>
        <w:t xml:space="preserve">Escrito de representación de Vinicio Poblete Tapia </w:t>
      </w:r>
      <w:r>
        <w:rPr>
          <w:sz w:val="16"/>
          <w:szCs w:val="16"/>
        </w:rPr>
        <w:t>promovido</w:t>
      </w:r>
      <w:r w:rsidRPr="000214BA">
        <w:rPr>
          <w:sz w:val="16"/>
          <w:szCs w:val="16"/>
        </w:rPr>
        <w:t xml:space="preserve"> ante el Primer Juzgado Civil de Puente Alto el 21 de marzo de 2006 (expediente de prueba, anexo 4</w:t>
      </w:r>
      <w:r>
        <w:rPr>
          <w:sz w:val="16"/>
          <w:szCs w:val="16"/>
        </w:rPr>
        <w:t>3</w:t>
      </w:r>
      <w:r w:rsidRPr="000214BA">
        <w:rPr>
          <w:sz w:val="16"/>
          <w:szCs w:val="16"/>
        </w:rPr>
        <w:t xml:space="preserve"> del Informe de Fondo, </w:t>
      </w:r>
      <w:proofErr w:type="spellStart"/>
      <w:r w:rsidRPr="000214BA">
        <w:rPr>
          <w:sz w:val="16"/>
          <w:szCs w:val="16"/>
        </w:rPr>
        <w:t>f</w:t>
      </w:r>
      <w:r>
        <w:rPr>
          <w:sz w:val="16"/>
          <w:szCs w:val="16"/>
        </w:rPr>
        <w:t>f</w:t>
      </w:r>
      <w:proofErr w:type="spellEnd"/>
      <w:r w:rsidRPr="000214BA">
        <w:rPr>
          <w:sz w:val="16"/>
          <w:szCs w:val="16"/>
        </w:rPr>
        <w:t>. 188</w:t>
      </w:r>
      <w:r>
        <w:rPr>
          <w:sz w:val="16"/>
          <w:szCs w:val="16"/>
        </w:rPr>
        <w:t xml:space="preserve"> y </w:t>
      </w:r>
      <w:r w:rsidRPr="000214BA">
        <w:rPr>
          <w:sz w:val="16"/>
          <w:szCs w:val="16"/>
        </w:rPr>
        <w:t>189).</w:t>
      </w:r>
    </w:p>
  </w:footnote>
  <w:footnote w:id="88">
    <w:p w14:paraId="62367E51" w14:textId="77777777"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214BA">
        <w:rPr>
          <w:sz w:val="16"/>
          <w:szCs w:val="16"/>
        </w:rPr>
        <w:t xml:space="preserve">A saber: </w:t>
      </w:r>
      <w:r>
        <w:rPr>
          <w:sz w:val="16"/>
          <w:szCs w:val="16"/>
        </w:rPr>
        <w:t xml:space="preserve">las correspondientes a </w:t>
      </w:r>
      <w:r w:rsidRPr="000214BA">
        <w:rPr>
          <w:sz w:val="16"/>
          <w:szCs w:val="16"/>
        </w:rPr>
        <w:t xml:space="preserve">Alejandra </w:t>
      </w:r>
      <w:r>
        <w:rPr>
          <w:sz w:val="16"/>
          <w:szCs w:val="16"/>
        </w:rPr>
        <w:t xml:space="preserve">y </w:t>
      </w:r>
      <w:r w:rsidRPr="000214BA">
        <w:rPr>
          <w:sz w:val="16"/>
          <w:szCs w:val="16"/>
        </w:rPr>
        <w:t xml:space="preserve">Jorge Fuentes Poblete, Rosa </w:t>
      </w:r>
      <w:proofErr w:type="spellStart"/>
      <w:r w:rsidRPr="000214BA">
        <w:rPr>
          <w:sz w:val="16"/>
          <w:szCs w:val="16"/>
        </w:rPr>
        <w:t>Gazmuri</w:t>
      </w:r>
      <w:proofErr w:type="spellEnd"/>
      <w:r w:rsidRPr="000214BA">
        <w:rPr>
          <w:sz w:val="16"/>
          <w:szCs w:val="16"/>
        </w:rPr>
        <w:t xml:space="preserve"> M., Cecilia </w:t>
      </w:r>
      <w:proofErr w:type="spellStart"/>
      <w:r w:rsidRPr="000214BA">
        <w:rPr>
          <w:sz w:val="16"/>
          <w:szCs w:val="16"/>
        </w:rPr>
        <w:t>Caniqueo</w:t>
      </w:r>
      <w:proofErr w:type="spellEnd"/>
      <w:r w:rsidRPr="000214BA">
        <w:rPr>
          <w:sz w:val="16"/>
          <w:szCs w:val="16"/>
        </w:rPr>
        <w:t xml:space="preserve"> </w:t>
      </w:r>
      <w:proofErr w:type="spellStart"/>
      <w:r w:rsidRPr="000214BA">
        <w:rPr>
          <w:sz w:val="16"/>
          <w:szCs w:val="16"/>
        </w:rPr>
        <w:t>Ralil</w:t>
      </w:r>
      <w:proofErr w:type="spellEnd"/>
      <w:r w:rsidRPr="000214BA">
        <w:rPr>
          <w:sz w:val="16"/>
          <w:szCs w:val="16"/>
        </w:rPr>
        <w:t xml:space="preserve">, </w:t>
      </w:r>
      <w:r>
        <w:rPr>
          <w:sz w:val="16"/>
          <w:szCs w:val="16"/>
        </w:rPr>
        <w:t xml:space="preserve">Lily Rojas y Cecilia </w:t>
      </w:r>
      <w:proofErr w:type="spellStart"/>
      <w:r>
        <w:rPr>
          <w:sz w:val="16"/>
          <w:szCs w:val="16"/>
        </w:rPr>
        <w:t>Yañez</w:t>
      </w:r>
      <w:proofErr w:type="spellEnd"/>
      <w:r>
        <w:rPr>
          <w:sz w:val="16"/>
          <w:szCs w:val="16"/>
        </w:rPr>
        <w:t>, en</w:t>
      </w:r>
      <w:r w:rsidRPr="000214BA">
        <w:rPr>
          <w:sz w:val="16"/>
          <w:szCs w:val="16"/>
        </w:rPr>
        <w:t xml:space="preserve">fermeras del Hospital </w:t>
      </w:r>
      <w:proofErr w:type="spellStart"/>
      <w:r w:rsidRPr="000214BA">
        <w:rPr>
          <w:sz w:val="16"/>
          <w:szCs w:val="16"/>
        </w:rPr>
        <w:t>Sótero</w:t>
      </w:r>
      <w:proofErr w:type="spellEnd"/>
      <w:r w:rsidRPr="000214BA">
        <w:rPr>
          <w:sz w:val="16"/>
          <w:szCs w:val="16"/>
        </w:rPr>
        <w:t xml:space="preserve"> del Río</w:t>
      </w:r>
      <w:r>
        <w:rPr>
          <w:sz w:val="16"/>
          <w:szCs w:val="16"/>
        </w:rPr>
        <w:t>,</w:t>
      </w:r>
      <w:r w:rsidRPr="000214BA">
        <w:rPr>
          <w:sz w:val="16"/>
          <w:szCs w:val="16"/>
        </w:rPr>
        <w:t xml:space="preserve"> y Elizabeth </w:t>
      </w:r>
      <w:proofErr w:type="spellStart"/>
      <w:r w:rsidRPr="000214BA">
        <w:rPr>
          <w:sz w:val="16"/>
          <w:szCs w:val="16"/>
        </w:rPr>
        <w:t>Aviles</w:t>
      </w:r>
      <w:proofErr w:type="spellEnd"/>
      <w:r w:rsidRPr="000214BA">
        <w:rPr>
          <w:sz w:val="16"/>
          <w:szCs w:val="16"/>
        </w:rPr>
        <w:t xml:space="preserve">, médico cirujano que operó al señor Poblete Vilches.  </w:t>
      </w:r>
      <w:r w:rsidRPr="00062586">
        <w:rPr>
          <w:i/>
          <w:sz w:val="16"/>
          <w:szCs w:val="16"/>
        </w:rPr>
        <w:t>Cfr.</w:t>
      </w:r>
      <w:r>
        <w:rPr>
          <w:i/>
          <w:sz w:val="16"/>
          <w:szCs w:val="16"/>
        </w:rPr>
        <w:t xml:space="preserve"> </w:t>
      </w:r>
      <w:r w:rsidRPr="00B6522C">
        <w:rPr>
          <w:sz w:val="16"/>
          <w:szCs w:val="16"/>
        </w:rPr>
        <w:t>Escrito</w:t>
      </w:r>
      <w:r w:rsidRPr="000214BA">
        <w:rPr>
          <w:sz w:val="16"/>
          <w:szCs w:val="16"/>
        </w:rPr>
        <w:t xml:space="preserve"> de la representación de Vinicio Poblete Tapia interpuesto ante el Primer Juzgado Civil de Puente Alto el 18 de abril de 2006 (expediente de prueba, anexo 46 del Informe de Fondo, f. 197). </w:t>
      </w:r>
    </w:p>
  </w:footnote>
  <w:footnote w:id="89">
    <w:p w14:paraId="5F98C1C4" w14:textId="7DFB5696" w:rsidR="003C025E" w:rsidRPr="00DF0588" w:rsidRDefault="003C025E" w:rsidP="00E22B60">
      <w:pPr>
        <w:pStyle w:val="FootnoteText"/>
        <w:ind w:right="-360"/>
        <w:rPr>
          <w:sz w:val="16"/>
          <w:szCs w:val="16"/>
        </w:rPr>
      </w:pPr>
      <w:r w:rsidRPr="000214BA">
        <w:rPr>
          <w:rStyle w:val="FootnoteReference"/>
          <w:rFonts w:eastAsia="MS Mincho"/>
          <w:sz w:val="16"/>
          <w:szCs w:val="16"/>
        </w:rPr>
        <w:footnoteRef/>
      </w:r>
      <w:r>
        <w:rPr>
          <w:sz w:val="16"/>
          <w:szCs w:val="16"/>
        </w:rPr>
        <w:t xml:space="preserve"> </w:t>
      </w:r>
      <w:r>
        <w:rPr>
          <w:sz w:val="16"/>
          <w:szCs w:val="16"/>
        </w:rPr>
        <w:tab/>
      </w:r>
      <w:r>
        <w:rPr>
          <w:i/>
          <w:sz w:val="16"/>
          <w:szCs w:val="16"/>
        </w:rPr>
        <w:t xml:space="preserve">Cfr. </w:t>
      </w:r>
      <w:r w:rsidRPr="000214BA">
        <w:rPr>
          <w:sz w:val="16"/>
          <w:szCs w:val="16"/>
        </w:rPr>
        <w:t xml:space="preserve">Pericia Médico Legal No. 140-2005 emitido por el Servicio Médico </w:t>
      </w:r>
      <w:r>
        <w:rPr>
          <w:sz w:val="16"/>
          <w:szCs w:val="16"/>
        </w:rPr>
        <w:t xml:space="preserve">Legal del Gobierno de Chile el </w:t>
      </w:r>
      <w:r w:rsidRPr="000214BA">
        <w:rPr>
          <w:sz w:val="16"/>
          <w:szCs w:val="16"/>
        </w:rPr>
        <w:t>8 de junio de 2006 (expediente de prueba, anexo 48 del Informe de Fondo, f. 203).</w:t>
      </w:r>
      <w:r>
        <w:rPr>
          <w:sz w:val="16"/>
          <w:szCs w:val="16"/>
        </w:rPr>
        <w:t xml:space="preserve"> Firmantes:</w:t>
      </w:r>
      <w:r w:rsidRPr="00FD0CAE">
        <w:rPr>
          <w:sz w:val="16"/>
          <w:szCs w:val="16"/>
        </w:rPr>
        <w:t xml:space="preserve"> las doctoras Katherine </w:t>
      </w:r>
      <w:proofErr w:type="spellStart"/>
      <w:r w:rsidRPr="00FD0CAE">
        <w:rPr>
          <w:sz w:val="16"/>
          <w:szCs w:val="16"/>
        </w:rPr>
        <w:t>Corcoran</w:t>
      </w:r>
      <w:proofErr w:type="spellEnd"/>
      <w:r w:rsidRPr="00FD0CAE">
        <w:rPr>
          <w:sz w:val="16"/>
          <w:szCs w:val="16"/>
        </w:rPr>
        <w:t xml:space="preserve"> </w:t>
      </w:r>
      <w:proofErr w:type="spellStart"/>
      <w:r w:rsidRPr="00FD0CAE">
        <w:rPr>
          <w:sz w:val="16"/>
          <w:szCs w:val="16"/>
        </w:rPr>
        <w:t>Ivelic</w:t>
      </w:r>
      <w:proofErr w:type="spellEnd"/>
      <w:r w:rsidRPr="00FD0CAE">
        <w:rPr>
          <w:sz w:val="16"/>
          <w:szCs w:val="16"/>
        </w:rPr>
        <w:t>, Médico Legista y Coordinadora Técnica de la Unidad Responsabilidad Médica del Departamento Clínica Forense del Servicio Médico Legal, y Rebeca Barahona Bustamante, Médico Legista del Departamento Clínica Forense del Servicio Médico Legal</w:t>
      </w:r>
      <w:r>
        <w:rPr>
          <w:sz w:val="16"/>
          <w:szCs w:val="16"/>
        </w:rPr>
        <w:t xml:space="preserve"> del Gobierno de Chile.</w:t>
      </w:r>
    </w:p>
  </w:footnote>
  <w:footnote w:id="90">
    <w:p w14:paraId="024E5BF7" w14:textId="0C4403C1" w:rsidR="003C025E" w:rsidRPr="00C64243" w:rsidRDefault="003C025E" w:rsidP="00E22B60">
      <w:pPr>
        <w:pStyle w:val="FootnoteText"/>
        <w:ind w:right="-360"/>
        <w:rPr>
          <w:rFonts w:cs="Arial"/>
          <w:sz w:val="16"/>
          <w:szCs w:val="16"/>
          <w:lang w:val="es-MX" w:eastAsia="ko-KR"/>
        </w:rPr>
      </w:pPr>
      <w:r w:rsidRPr="00C64243">
        <w:rPr>
          <w:rStyle w:val="FootnoteReference"/>
          <w:sz w:val="16"/>
          <w:szCs w:val="16"/>
        </w:rPr>
        <w:footnoteRef/>
      </w:r>
      <w:r w:rsidRPr="00C64243">
        <w:rPr>
          <w:sz w:val="16"/>
          <w:szCs w:val="16"/>
        </w:rPr>
        <w:t xml:space="preserve"> </w:t>
      </w:r>
      <w:r w:rsidRPr="00C64243">
        <w:rPr>
          <w:sz w:val="16"/>
          <w:szCs w:val="16"/>
        </w:rPr>
        <w:tab/>
      </w:r>
      <w:r w:rsidRPr="00625ABD">
        <w:rPr>
          <w:sz w:val="16"/>
          <w:szCs w:val="16"/>
        </w:rPr>
        <w:t xml:space="preserve">Correspondiente a la causa </w:t>
      </w:r>
      <w:r w:rsidRPr="00625ABD">
        <w:rPr>
          <w:sz w:val="16"/>
          <w:szCs w:val="16"/>
          <w:lang w:val="es-MX"/>
        </w:rPr>
        <w:t>sustanciada bajo el Número de Rol 75.821-M en virtud de la q</w:t>
      </w:r>
      <w:r w:rsidRPr="00C64243">
        <w:rPr>
          <w:sz w:val="16"/>
          <w:szCs w:val="16"/>
          <w:lang w:val="es-MX"/>
        </w:rPr>
        <w:t xml:space="preserve">uerella presentada por </w:t>
      </w:r>
      <w:r w:rsidRPr="00625ABD">
        <w:rPr>
          <w:sz w:val="16"/>
          <w:szCs w:val="16"/>
          <w:lang w:val="es-MX"/>
        </w:rPr>
        <w:t>Blanca</w:t>
      </w:r>
      <w:r w:rsidRPr="00C64243">
        <w:rPr>
          <w:sz w:val="16"/>
          <w:szCs w:val="16"/>
          <w:lang w:val="es-MX"/>
        </w:rPr>
        <w:t xml:space="preserve"> </w:t>
      </w:r>
      <w:r w:rsidRPr="00625ABD">
        <w:rPr>
          <w:sz w:val="16"/>
          <w:szCs w:val="16"/>
          <w:lang w:val="es-MX"/>
        </w:rPr>
        <w:t xml:space="preserve">Margarita </w:t>
      </w:r>
      <w:r w:rsidRPr="00C64243">
        <w:rPr>
          <w:sz w:val="16"/>
          <w:szCs w:val="16"/>
          <w:lang w:val="es-MX"/>
        </w:rPr>
        <w:t xml:space="preserve">Tapia </w:t>
      </w:r>
      <w:r w:rsidRPr="00625ABD">
        <w:rPr>
          <w:sz w:val="16"/>
          <w:szCs w:val="16"/>
          <w:lang w:val="es-MX"/>
        </w:rPr>
        <w:t xml:space="preserve">Encina y </w:t>
      </w:r>
      <w:proofErr w:type="spellStart"/>
      <w:r w:rsidRPr="00625ABD">
        <w:rPr>
          <w:sz w:val="16"/>
          <w:szCs w:val="16"/>
          <w:lang w:val="es-MX"/>
        </w:rPr>
        <w:t>Cesia</w:t>
      </w:r>
      <w:proofErr w:type="spellEnd"/>
      <w:r w:rsidRPr="00625ABD">
        <w:rPr>
          <w:sz w:val="16"/>
          <w:szCs w:val="16"/>
          <w:lang w:val="es-MX"/>
        </w:rPr>
        <w:t xml:space="preserve"> Leila Siria Poblete Tapia </w:t>
      </w:r>
      <w:r w:rsidRPr="00C64243">
        <w:rPr>
          <w:sz w:val="16"/>
          <w:szCs w:val="16"/>
          <w:lang w:val="es-MX"/>
        </w:rPr>
        <w:t xml:space="preserve">ante el Primer Juzgado Civil de Puente Alto el </w:t>
      </w:r>
      <w:r w:rsidRPr="00625ABD">
        <w:rPr>
          <w:sz w:val="16"/>
          <w:szCs w:val="16"/>
          <w:lang w:val="es-MX"/>
        </w:rPr>
        <w:t>12</w:t>
      </w:r>
      <w:r w:rsidRPr="00C64243">
        <w:rPr>
          <w:sz w:val="16"/>
          <w:szCs w:val="16"/>
          <w:lang w:val="es-MX"/>
        </w:rPr>
        <w:t xml:space="preserve"> de </w:t>
      </w:r>
      <w:r w:rsidRPr="00625ABD">
        <w:rPr>
          <w:sz w:val="16"/>
          <w:szCs w:val="16"/>
          <w:lang w:val="es-MX"/>
        </w:rPr>
        <w:t xml:space="preserve">noviembre de 2001 </w:t>
      </w:r>
      <w:r>
        <w:rPr>
          <w:sz w:val="16"/>
          <w:szCs w:val="16"/>
          <w:lang w:val="es-MX"/>
        </w:rPr>
        <w:t>(expediente de prueba, anexo 6 del Informe de Fondo,</w:t>
      </w:r>
      <w:r w:rsidRPr="00625ABD">
        <w:rPr>
          <w:sz w:val="16"/>
          <w:szCs w:val="16"/>
          <w:lang w:val="es-MX"/>
        </w:rPr>
        <w:t xml:space="preserve"> f. 27</w:t>
      </w:r>
      <w:r>
        <w:rPr>
          <w:sz w:val="16"/>
          <w:szCs w:val="16"/>
          <w:lang w:val="es-MX"/>
        </w:rPr>
        <w:t>),</w:t>
      </w:r>
      <w:r w:rsidRPr="00625ABD">
        <w:rPr>
          <w:sz w:val="16"/>
          <w:szCs w:val="16"/>
          <w:lang w:val="es-MX"/>
        </w:rPr>
        <w:t xml:space="preserve"> a la que se acumul</w:t>
      </w:r>
      <w:r w:rsidRPr="00C64243">
        <w:rPr>
          <w:rFonts w:cs="Arial"/>
          <w:sz w:val="16"/>
          <w:szCs w:val="16"/>
          <w:lang w:val="es-MX" w:eastAsia="ko-KR"/>
        </w:rPr>
        <w:t xml:space="preserve">ó la causa bajo el No. de Rol 94.393-M, </w:t>
      </w:r>
      <w:r>
        <w:rPr>
          <w:rFonts w:cs="Arial"/>
          <w:sz w:val="16"/>
          <w:szCs w:val="16"/>
          <w:lang w:val="es-MX" w:eastAsia="ko-KR"/>
        </w:rPr>
        <w:t>tramitada e</w:t>
      </w:r>
      <w:r w:rsidRPr="00C64243">
        <w:rPr>
          <w:rFonts w:cs="Arial"/>
          <w:sz w:val="16"/>
          <w:szCs w:val="16"/>
          <w:lang w:val="es-MX" w:eastAsia="ko-KR"/>
        </w:rPr>
        <w:t>n relación a la querella presentada por Vinicio Marco Antonio Poblete Tapia ante el Primer Juzgado Civil de Puente Alto el 7 de octubre de 2005</w:t>
      </w:r>
      <w:r>
        <w:rPr>
          <w:rFonts w:cs="Arial"/>
          <w:sz w:val="16"/>
          <w:szCs w:val="16"/>
          <w:lang w:val="es-MX" w:eastAsia="ko-KR"/>
        </w:rPr>
        <w:t xml:space="preserve"> (expediente de prueba, anexo 7 del Informe de Fondo, </w:t>
      </w:r>
      <w:proofErr w:type="spellStart"/>
      <w:r>
        <w:rPr>
          <w:rFonts w:cs="Arial"/>
          <w:sz w:val="16"/>
          <w:szCs w:val="16"/>
          <w:lang w:val="es-MX" w:eastAsia="ko-KR"/>
        </w:rPr>
        <w:t>ff</w:t>
      </w:r>
      <w:proofErr w:type="spellEnd"/>
      <w:r>
        <w:rPr>
          <w:rFonts w:cs="Arial"/>
          <w:sz w:val="16"/>
          <w:szCs w:val="16"/>
          <w:lang w:val="es-MX" w:eastAsia="ko-KR"/>
        </w:rPr>
        <w:t>. 36 a 43)</w:t>
      </w:r>
      <w:r w:rsidRPr="00B1523A">
        <w:rPr>
          <w:sz w:val="16"/>
          <w:lang w:val="es-MX" w:eastAsia="ko-KR"/>
        </w:rPr>
        <w:t>.</w:t>
      </w:r>
      <w:r w:rsidRPr="00C64243">
        <w:rPr>
          <w:rFonts w:cs="Arial"/>
          <w:i/>
          <w:sz w:val="16"/>
          <w:szCs w:val="16"/>
          <w:lang w:val="es-MX" w:eastAsia="ko-KR"/>
        </w:rPr>
        <w:t xml:space="preserve"> </w:t>
      </w:r>
    </w:p>
  </w:footnote>
  <w:footnote w:id="91">
    <w:p w14:paraId="132ACB74" w14:textId="34AC6EC6" w:rsidR="003C025E" w:rsidRPr="000214BA" w:rsidRDefault="003C025E" w:rsidP="00E22B60">
      <w:pPr>
        <w:pStyle w:val="FootnoteText"/>
        <w:ind w:right="-360"/>
        <w:rPr>
          <w:sz w:val="16"/>
          <w:szCs w:val="16"/>
          <w:lang w:val="es-MX"/>
        </w:rPr>
      </w:pPr>
      <w:r w:rsidRPr="00625ABD">
        <w:rPr>
          <w:rStyle w:val="FootnoteReference"/>
          <w:rFonts w:eastAsia="MS Mincho"/>
          <w:sz w:val="16"/>
          <w:szCs w:val="16"/>
        </w:rPr>
        <w:footnoteRef/>
      </w:r>
      <w:r w:rsidRPr="00625ABD">
        <w:rPr>
          <w:sz w:val="16"/>
          <w:szCs w:val="16"/>
        </w:rPr>
        <w:t xml:space="preserve"> </w:t>
      </w:r>
      <w:r w:rsidRPr="00625ABD">
        <w:rPr>
          <w:sz w:val="16"/>
          <w:szCs w:val="16"/>
        </w:rPr>
        <w:tab/>
      </w:r>
      <w:r w:rsidRPr="00062586">
        <w:rPr>
          <w:i/>
          <w:sz w:val="16"/>
          <w:szCs w:val="16"/>
        </w:rPr>
        <w:t>Cfr.</w:t>
      </w:r>
      <w:r w:rsidRPr="00C64243">
        <w:rPr>
          <w:i/>
          <w:sz w:val="16"/>
          <w:szCs w:val="16"/>
        </w:rPr>
        <w:t xml:space="preserve"> </w:t>
      </w:r>
      <w:r w:rsidRPr="00625ABD">
        <w:rPr>
          <w:sz w:val="16"/>
          <w:szCs w:val="16"/>
        </w:rPr>
        <w:t>Escrito de la representación de María Carolina Chacón</w:t>
      </w:r>
      <w:r w:rsidRPr="000214BA">
        <w:rPr>
          <w:sz w:val="16"/>
          <w:szCs w:val="16"/>
        </w:rPr>
        <w:t xml:space="preserve"> Fernández </w:t>
      </w:r>
      <w:r>
        <w:rPr>
          <w:sz w:val="16"/>
          <w:szCs w:val="16"/>
        </w:rPr>
        <w:t>promovido</w:t>
      </w:r>
      <w:r w:rsidRPr="000214BA">
        <w:rPr>
          <w:sz w:val="16"/>
          <w:szCs w:val="16"/>
        </w:rPr>
        <w:t xml:space="preserve"> ante el Primer Juzgado Civil de Puente Alto, recibido el 5 de abril de 2006</w:t>
      </w:r>
      <w:r>
        <w:rPr>
          <w:sz w:val="16"/>
          <w:szCs w:val="16"/>
        </w:rPr>
        <w:t xml:space="preserve">, </w:t>
      </w:r>
      <w:r w:rsidRPr="000214BA">
        <w:rPr>
          <w:sz w:val="16"/>
          <w:szCs w:val="16"/>
        </w:rPr>
        <w:t xml:space="preserve">y </w:t>
      </w:r>
      <w:r>
        <w:rPr>
          <w:sz w:val="16"/>
          <w:szCs w:val="16"/>
        </w:rPr>
        <w:t>R</w:t>
      </w:r>
      <w:r w:rsidRPr="000214BA">
        <w:rPr>
          <w:sz w:val="16"/>
          <w:szCs w:val="16"/>
        </w:rPr>
        <w:t xml:space="preserve">esolución del Primer Juzgado Civil de Puente Alto de 6 de abril de 2006, (expediente de prueba, anexo 45 del Informe de Fondo, </w:t>
      </w:r>
      <w:proofErr w:type="spellStart"/>
      <w:r w:rsidRPr="000214BA">
        <w:rPr>
          <w:sz w:val="16"/>
          <w:szCs w:val="16"/>
        </w:rPr>
        <w:t>f</w:t>
      </w:r>
      <w:r>
        <w:rPr>
          <w:sz w:val="16"/>
          <w:szCs w:val="16"/>
        </w:rPr>
        <w:t>f</w:t>
      </w:r>
      <w:proofErr w:type="spellEnd"/>
      <w:r w:rsidRPr="000214BA">
        <w:rPr>
          <w:sz w:val="16"/>
          <w:szCs w:val="16"/>
        </w:rPr>
        <w:t>. 194</w:t>
      </w:r>
      <w:r>
        <w:rPr>
          <w:sz w:val="16"/>
          <w:szCs w:val="16"/>
        </w:rPr>
        <w:t xml:space="preserve"> y </w:t>
      </w:r>
      <w:r w:rsidRPr="000214BA">
        <w:rPr>
          <w:sz w:val="16"/>
          <w:szCs w:val="16"/>
        </w:rPr>
        <w:t>195)</w:t>
      </w:r>
      <w:r>
        <w:rPr>
          <w:sz w:val="16"/>
          <w:szCs w:val="16"/>
        </w:rPr>
        <w:t>;</w:t>
      </w:r>
      <w:r w:rsidRPr="000214BA">
        <w:rPr>
          <w:sz w:val="16"/>
          <w:szCs w:val="16"/>
        </w:rPr>
        <w:t xml:space="preserve"> Escrito de la representación de María Carolina Chacón Fernández </w:t>
      </w:r>
      <w:r>
        <w:rPr>
          <w:sz w:val="16"/>
          <w:szCs w:val="16"/>
        </w:rPr>
        <w:t>promovido</w:t>
      </w:r>
      <w:r w:rsidRPr="000214BA">
        <w:rPr>
          <w:sz w:val="16"/>
          <w:szCs w:val="16"/>
        </w:rPr>
        <w:t xml:space="preserve"> ante el Primer Juzgado Civil de Puente Alto</w:t>
      </w:r>
      <w:r>
        <w:rPr>
          <w:sz w:val="16"/>
          <w:szCs w:val="16"/>
        </w:rPr>
        <w:t xml:space="preserve"> y</w:t>
      </w:r>
      <w:r w:rsidRPr="000214BA">
        <w:rPr>
          <w:sz w:val="16"/>
          <w:szCs w:val="16"/>
        </w:rPr>
        <w:t xml:space="preserve"> recibido el 27 de junio de 2006 (expediente de prueba, anexo 49 del Informe de Fondo, </w:t>
      </w:r>
      <w:proofErr w:type="spellStart"/>
      <w:r w:rsidRPr="000214BA">
        <w:rPr>
          <w:sz w:val="16"/>
          <w:szCs w:val="16"/>
        </w:rPr>
        <w:t>f</w:t>
      </w:r>
      <w:r>
        <w:rPr>
          <w:sz w:val="16"/>
          <w:szCs w:val="16"/>
        </w:rPr>
        <w:t>f</w:t>
      </w:r>
      <w:proofErr w:type="spellEnd"/>
      <w:r w:rsidRPr="000214BA">
        <w:rPr>
          <w:sz w:val="16"/>
          <w:szCs w:val="16"/>
        </w:rPr>
        <w:t>. 209</w:t>
      </w:r>
      <w:r>
        <w:rPr>
          <w:sz w:val="16"/>
          <w:szCs w:val="16"/>
        </w:rPr>
        <w:t xml:space="preserve"> y </w:t>
      </w:r>
      <w:r w:rsidRPr="000214BA">
        <w:rPr>
          <w:sz w:val="16"/>
          <w:szCs w:val="16"/>
        </w:rPr>
        <w:t>210)</w:t>
      </w:r>
      <w:r>
        <w:rPr>
          <w:sz w:val="16"/>
          <w:szCs w:val="16"/>
        </w:rPr>
        <w:t>;</w:t>
      </w:r>
      <w:r w:rsidRPr="000214BA">
        <w:rPr>
          <w:sz w:val="16"/>
          <w:szCs w:val="16"/>
        </w:rPr>
        <w:t xml:space="preserve"> </w:t>
      </w:r>
      <w:r>
        <w:rPr>
          <w:sz w:val="16"/>
          <w:szCs w:val="16"/>
        </w:rPr>
        <w:t>Proveído</w:t>
      </w:r>
      <w:r w:rsidRPr="000214BA">
        <w:rPr>
          <w:sz w:val="16"/>
          <w:szCs w:val="16"/>
        </w:rPr>
        <w:t xml:space="preserve"> del Primer Juzgado Civil de Puente Alto el 26 de julio de 2006 (expediente de prueba, anexo 50 del Informe de Fondo, f. 212)</w:t>
      </w:r>
      <w:r>
        <w:rPr>
          <w:sz w:val="16"/>
          <w:szCs w:val="16"/>
        </w:rPr>
        <w:t>;</w:t>
      </w:r>
      <w:r w:rsidRPr="000214BA">
        <w:rPr>
          <w:sz w:val="16"/>
          <w:szCs w:val="16"/>
        </w:rPr>
        <w:t xml:space="preserve"> Escrito de la representación de María Carolina Chacón Fernández </w:t>
      </w:r>
      <w:r>
        <w:rPr>
          <w:sz w:val="16"/>
          <w:szCs w:val="16"/>
        </w:rPr>
        <w:t>promovido</w:t>
      </w:r>
      <w:r w:rsidRPr="000214BA">
        <w:rPr>
          <w:sz w:val="16"/>
          <w:szCs w:val="16"/>
        </w:rPr>
        <w:t xml:space="preserve"> ante el Primer Juzgado Civil de Puente Alto, recibido el 5 de septiembre de 2006 (expediente de prueba, anexo 51 del Informe de Fondo, </w:t>
      </w:r>
      <w:proofErr w:type="spellStart"/>
      <w:r w:rsidRPr="000214BA">
        <w:rPr>
          <w:sz w:val="16"/>
          <w:szCs w:val="16"/>
        </w:rPr>
        <w:t>f</w:t>
      </w:r>
      <w:r>
        <w:rPr>
          <w:sz w:val="16"/>
          <w:szCs w:val="16"/>
        </w:rPr>
        <w:t>f</w:t>
      </w:r>
      <w:proofErr w:type="spellEnd"/>
      <w:r w:rsidRPr="000214BA">
        <w:rPr>
          <w:sz w:val="16"/>
          <w:szCs w:val="16"/>
        </w:rPr>
        <w:t>. 214</w:t>
      </w:r>
      <w:r>
        <w:rPr>
          <w:sz w:val="16"/>
          <w:szCs w:val="16"/>
        </w:rPr>
        <w:t xml:space="preserve"> y </w:t>
      </w:r>
      <w:r w:rsidRPr="000214BA">
        <w:rPr>
          <w:sz w:val="16"/>
          <w:szCs w:val="16"/>
        </w:rPr>
        <w:t>215)</w:t>
      </w:r>
      <w:r>
        <w:rPr>
          <w:sz w:val="16"/>
          <w:szCs w:val="16"/>
        </w:rPr>
        <w:t>, y</w:t>
      </w:r>
      <w:r w:rsidRPr="000214BA">
        <w:rPr>
          <w:sz w:val="16"/>
          <w:szCs w:val="16"/>
        </w:rPr>
        <w:t xml:space="preserve"> Resolución del Primer Juzgado Civil de Puente Alto el 14 de septiembre de 2006 (expediente de prueba, anexo 52 del Informe de Fondo, f. 218).</w:t>
      </w:r>
    </w:p>
  </w:footnote>
  <w:footnote w:id="92">
    <w:p w14:paraId="6BCBE7DF" w14:textId="56227938"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 xml:space="preserve">Escrito de la representación de María Carolina Chacón Fernández </w:t>
      </w:r>
      <w:r>
        <w:rPr>
          <w:sz w:val="16"/>
          <w:szCs w:val="16"/>
        </w:rPr>
        <w:t>promovido</w:t>
      </w:r>
      <w:r w:rsidRPr="000214BA">
        <w:rPr>
          <w:sz w:val="16"/>
          <w:szCs w:val="16"/>
        </w:rPr>
        <w:t xml:space="preserve"> ante el Primer Juzgado Civil de Puente Alto </w:t>
      </w:r>
      <w:r>
        <w:rPr>
          <w:sz w:val="16"/>
          <w:szCs w:val="16"/>
        </w:rPr>
        <w:t xml:space="preserve">y </w:t>
      </w:r>
      <w:r w:rsidRPr="000214BA">
        <w:rPr>
          <w:sz w:val="16"/>
          <w:szCs w:val="16"/>
        </w:rPr>
        <w:t>recibido el 21 de noviembre de 2006 (expediente de prueba, anexo 54 del Informe de Fondo, f. 222</w:t>
      </w:r>
      <w:r>
        <w:rPr>
          <w:sz w:val="16"/>
          <w:szCs w:val="16"/>
        </w:rPr>
        <w:t xml:space="preserve"> y </w:t>
      </w:r>
      <w:r w:rsidRPr="000214BA">
        <w:rPr>
          <w:sz w:val="16"/>
          <w:szCs w:val="16"/>
        </w:rPr>
        <w:t>22</w:t>
      </w:r>
      <w:r>
        <w:rPr>
          <w:sz w:val="16"/>
          <w:szCs w:val="16"/>
        </w:rPr>
        <w:t>3</w:t>
      </w:r>
      <w:r w:rsidRPr="000214BA">
        <w:rPr>
          <w:sz w:val="16"/>
          <w:szCs w:val="16"/>
        </w:rPr>
        <w:t>)</w:t>
      </w:r>
      <w:r>
        <w:rPr>
          <w:sz w:val="16"/>
          <w:szCs w:val="16"/>
        </w:rPr>
        <w:t>, y R</w:t>
      </w:r>
      <w:r w:rsidRPr="000214BA">
        <w:rPr>
          <w:sz w:val="16"/>
          <w:szCs w:val="16"/>
        </w:rPr>
        <w:t>esolución del Primer Juzgado Civil de Puente Alto el 22 de noviembre de 2006 (expediente de prueba, anexo 55 del Informe de Fondo, f. 225).</w:t>
      </w:r>
    </w:p>
  </w:footnote>
  <w:footnote w:id="93">
    <w:p w14:paraId="088B58D7" w14:textId="77777777"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sidRPr="00C64243">
        <w:rPr>
          <w:i/>
          <w:sz w:val="16"/>
          <w:szCs w:val="16"/>
        </w:rPr>
        <w:t xml:space="preserve"> </w:t>
      </w:r>
      <w:r w:rsidRPr="000214BA">
        <w:rPr>
          <w:sz w:val="16"/>
          <w:szCs w:val="16"/>
        </w:rPr>
        <w:t xml:space="preserve">Escrito de la representación de María Carolina Chacón Fernández </w:t>
      </w:r>
      <w:r>
        <w:rPr>
          <w:sz w:val="16"/>
          <w:szCs w:val="16"/>
        </w:rPr>
        <w:t>promovido</w:t>
      </w:r>
      <w:r w:rsidRPr="000214BA">
        <w:rPr>
          <w:sz w:val="16"/>
          <w:szCs w:val="16"/>
        </w:rPr>
        <w:t xml:space="preserve"> ante el Primer Juzgado Civil de Puente Alto, recibido el 07 de diciembre de 2006 (expediente de prueba, anexo 56 del Informe de Fondo, f.</w:t>
      </w:r>
      <w:r>
        <w:rPr>
          <w:sz w:val="16"/>
          <w:szCs w:val="16"/>
        </w:rPr>
        <w:t xml:space="preserve"> </w:t>
      </w:r>
      <w:r w:rsidRPr="000214BA">
        <w:rPr>
          <w:sz w:val="16"/>
          <w:szCs w:val="16"/>
        </w:rPr>
        <w:t>227)</w:t>
      </w:r>
      <w:r>
        <w:rPr>
          <w:sz w:val="16"/>
          <w:szCs w:val="16"/>
        </w:rPr>
        <w:t>.</w:t>
      </w:r>
      <w:r w:rsidDel="00394B4C">
        <w:rPr>
          <w:sz w:val="16"/>
          <w:szCs w:val="16"/>
        </w:rPr>
        <w:t xml:space="preserve"> </w:t>
      </w:r>
    </w:p>
  </w:footnote>
  <w:footnote w:id="94">
    <w:p w14:paraId="64DBE920" w14:textId="0A58A93C" w:rsidR="003C025E" w:rsidRPr="00C64243"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Auto del Primer Juzgado Civil de Puente Alto el 11 de diciembre de 2006 (expediente de prueba, anexo 57 del Informe de Fondo, f. 230)</w:t>
      </w:r>
      <w:r>
        <w:rPr>
          <w:sz w:val="16"/>
          <w:szCs w:val="16"/>
        </w:rPr>
        <w:t>.</w:t>
      </w:r>
      <w:r w:rsidRPr="00EF19A9">
        <w:rPr>
          <w:sz w:val="16"/>
          <w:szCs w:val="16"/>
          <w:lang w:val="es-MX"/>
        </w:rPr>
        <w:t xml:space="preserve"> </w:t>
      </w:r>
    </w:p>
  </w:footnote>
  <w:footnote w:id="95">
    <w:p w14:paraId="638B533B" w14:textId="06612842"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 xml:space="preserve">Escrito de la representación de Vinicio Poblete Tapia interpuesto ante el Primer Juzgado Civil de Puente Alto, recibido el 29 de enero de 2007 (expediente de prueba, anexo 58 del Informe de Fondo, </w:t>
      </w:r>
      <w:proofErr w:type="spellStart"/>
      <w:r>
        <w:rPr>
          <w:sz w:val="16"/>
          <w:szCs w:val="16"/>
        </w:rPr>
        <w:t>f</w:t>
      </w:r>
      <w:r w:rsidRPr="000214BA">
        <w:rPr>
          <w:sz w:val="16"/>
          <w:szCs w:val="16"/>
        </w:rPr>
        <w:t>f</w:t>
      </w:r>
      <w:proofErr w:type="spellEnd"/>
      <w:r w:rsidRPr="000214BA">
        <w:rPr>
          <w:sz w:val="16"/>
          <w:szCs w:val="16"/>
        </w:rPr>
        <w:t>. 232</w:t>
      </w:r>
      <w:r>
        <w:rPr>
          <w:sz w:val="16"/>
          <w:szCs w:val="16"/>
        </w:rPr>
        <w:t xml:space="preserve"> y </w:t>
      </w:r>
      <w:r w:rsidRPr="000214BA">
        <w:rPr>
          <w:sz w:val="16"/>
          <w:szCs w:val="16"/>
        </w:rPr>
        <w:t>233).</w:t>
      </w:r>
    </w:p>
  </w:footnote>
  <w:footnote w:id="96">
    <w:p w14:paraId="7304D9C5" w14:textId="7B2ACC36"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rPr>
        <w:t>Auto del Primer Juzgado Civil de Puente Alto de 27 de febrero de 2007 (expediente de prueba, anexo 59 del Informe de Fondo, f. 235)</w:t>
      </w:r>
      <w:r>
        <w:rPr>
          <w:sz w:val="16"/>
          <w:szCs w:val="16"/>
        </w:rPr>
        <w:t>,</w:t>
      </w:r>
      <w:r w:rsidRPr="000214BA">
        <w:rPr>
          <w:sz w:val="16"/>
          <w:szCs w:val="16"/>
        </w:rPr>
        <w:t xml:space="preserve"> </w:t>
      </w:r>
      <w:r>
        <w:rPr>
          <w:sz w:val="16"/>
          <w:szCs w:val="16"/>
        </w:rPr>
        <w:t>y</w:t>
      </w:r>
      <w:r w:rsidRPr="000214BA">
        <w:rPr>
          <w:sz w:val="16"/>
          <w:szCs w:val="16"/>
        </w:rPr>
        <w:t xml:space="preserve"> Auto del Primer Juzgado Civil de Puente Alto de 17 de abril de 2007 (expediente de prueba, anexo 60 del Informe de Fondo, f. 237).</w:t>
      </w:r>
    </w:p>
  </w:footnote>
  <w:footnote w:id="97">
    <w:p w14:paraId="1C234484" w14:textId="58522E10"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rPr>
        <w:t>Auto del Primer Juzgado Civil de Puente Alto el 21 de enero de 2008 (expediente de prueba, anexo 62 del Informe de Fondo, f. 241).</w:t>
      </w:r>
    </w:p>
  </w:footnote>
  <w:footnote w:id="98">
    <w:p w14:paraId="10084FA7" w14:textId="77777777"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sidRPr="00C64243">
        <w:rPr>
          <w:i/>
          <w:sz w:val="16"/>
          <w:szCs w:val="16"/>
        </w:rPr>
        <w:t xml:space="preserve"> </w:t>
      </w:r>
      <w:r w:rsidRPr="000214BA">
        <w:rPr>
          <w:sz w:val="16"/>
          <w:szCs w:val="16"/>
        </w:rPr>
        <w:t>Orden No. 10187 emitido por el Servicio Médico Legal del Gobierno de Chile, dirigido al Primer Juzgado Civil de Puente Alto de fecha 11 de junio de 2008 (expediente de prueba, anexo 63 del Informe de Fondo, f. 243).</w:t>
      </w:r>
    </w:p>
  </w:footnote>
  <w:footnote w:id="99">
    <w:p w14:paraId="29E46906" w14:textId="264D5106"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rPr>
        <w:t>Auto de la Corte de Apelaciones de San Miguel el 3 de mayo de 2008 (expediente de prueba, anexo</w:t>
      </w:r>
      <w:r>
        <w:rPr>
          <w:sz w:val="16"/>
          <w:szCs w:val="16"/>
        </w:rPr>
        <w:t>s</w:t>
      </w:r>
      <w:r w:rsidRPr="000214BA">
        <w:rPr>
          <w:sz w:val="16"/>
          <w:szCs w:val="16"/>
        </w:rPr>
        <w:t xml:space="preserve"> 65 y 66 del Informe de Fondo, </w:t>
      </w:r>
      <w:proofErr w:type="spellStart"/>
      <w:r>
        <w:rPr>
          <w:sz w:val="16"/>
          <w:szCs w:val="16"/>
        </w:rPr>
        <w:t>f</w:t>
      </w:r>
      <w:r w:rsidRPr="000214BA">
        <w:rPr>
          <w:sz w:val="16"/>
          <w:szCs w:val="16"/>
        </w:rPr>
        <w:t>f</w:t>
      </w:r>
      <w:proofErr w:type="spellEnd"/>
      <w:r w:rsidRPr="000214BA">
        <w:rPr>
          <w:sz w:val="16"/>
          <w:szCs w:val="16"/>
        </w:rPr>
        <w:t>. 247 y 249).</w:t>
      </w:r>
    </w:p>
  </w:footnote>
  <w:footnote w:id="100">
    <w:p w14:paraId="3A9DDD3A" w14:textId="7F2A199C"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sz w:val="16"/>
          <w:szCs w:val="16"/>
        </w:rPr>
        <w:t xml:space="preserve"> </w:t>
      </w:r>
      <w:r w:rsidRPr="000214BA">
        <w:rPr>
          <w:sz w:val="16"/>
          <w:szCs w:val="16"/>
          <w:lang w:val="es-MX"/>
        </w:rPr>
        <w:t xml:space="preserve">Auto de 11 de junio de 2008 </w:t>
      </w:r>
      <w:r>
        <w:rPr>
          <w:sz w:val="16"/>
          <w:szCs w:val="16"/>
          <w:lang w:val="es-MX"/>
        </w:rPr>
        <w:t>d</w:t>
      </w:r>
      <w:r w:rsidRPr="000214BA">
        <w:rPr>
          <w:sz w:val="16"/>
          <w:szCs w:val="16"/>
          <w:lang w:val="es-MX"/>
        </w:rPr>
        <w:t xml:space="preserve">el Primer Juzgado Civil de Puente Alto </w:t>
      </w:r>
      <w:r w:rsidRPr="000214BA">
        <w:rPr>
          <w:sz w:val="16"/>
          <w:szCs w:val="16"/>
        </w:rPr>
        <w:t>(expediente de prueba, anexo 67 del Informe de Fondo, f. 251).</w:t>
      </w:r>
    </w:p>
  </w:footnote>
  <w:footnote w:id="101">
    <w:p w14:paraId="553CCFF0" w14:textId="0D256BFD"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lang w:val="es-MX"/>
        </w:rPr>
        <w:t xml:space="preserve">Auto de 30 de junio de 2008 </w:t>
      </w:r>
      <w:r>
        <w:rPr>
          <w:sz w:val="16"/>
          <w:szCs w:val="16"/>
          <w:lang w:val="es-MX"/>
        </w:rPr>
        <w:t>d</w:t>
      </w:r>
      <w:r w:rsidRPr="000214BA">
        <w:rPr>
          <w:sz w:val="16"/>
          <w:szCs w:val="16"/>
          <w:lang w:val="es-MX"/>
        </w:rPr>
        <w:t xml:space="preserve">el Primer Juzgado Civil de Puente Alto </w:t>
      </w:r>
      <w:r w:rsidRPr="000214BA">
        <w:rPr>
          <w:sz w:val="16"/>
          <w:szCs w:val="16"/>
        </w:rPr>
        <w:t>(expediente de prueba, anexo 69 del Informe de Fondo, f. 253).</w:t>
      </w:r>
    </w:p>
  </w:footnote>
  <w:footnote w:id="102">
    <w:p w14:paraId="7E4D079B" w14:textId="23EEFF2E" w:rsidR="003C025E" w:rsidRPr="00C27894" w:rsidRDefault="003C025E" w:rsidP="00B1523A">
      <w:pPr>
        <w:pStyle w:val="FootnoteText"/>
        <w:ind w:right="-360"/>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sidRPr="00C64243">
        <w:rPr>
          <w:i/>
          <w:sz w:val="16"/>
          <w:szCs w:val="16"/>
        </w:rPr>
        <w:t xml:space="preserve"> </w:t>
      </w:r>
      <w:r w:rsidRPr="000214BA">
        <w:rPr>
          <w:sz w:val="16"/>
          <w:szCs w:val="16"/>
        </w:rPr>
        <w:t xml:space="preserve">Escrito de la representación de Vinicio Poblete Tapia </w:t>
      </w:r>
      <w:r>
        <w:rPr>
          <w:sz w:val="16"/>
          <w:szCs w:val="16"/>
        </w:rPr>
        <w:t>promovido</w:t>
      </w:r>
      <w:r w:rsidRPr="000214BA">
        <w:rPr>
          <w:sz w:val="16"/>
          <w:szCs w:val="16"/>
        </w:rPr>
        <w:t xml:space="preserve"> ante el Primer Juzgado Civil de Puente Alto, recibido el 04 de agosto de 2008 (expediente de prueba, anexo 70 del Informe de Fondo, f. 255).</w:t>
      </w:r>
    </w:p>
  </w:footnote>
  <w:footnote w:id="103">
    <w:p w14:paraId="6C29CC67" w14:textId="22C046CD" w:rsidR="003C025E" w:rsidRPr="000214BA" w:rsidRDefault="003C025E" w:rsidP="00AB1E03">
      <w:pPr>
        <w:pStyle w:val="FootnoteText"/>
        <w:ind w:right="-357"/>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lang w:val="es-MX"/>
        </w:rPr>
        <w:t xml:space="preserve">Auto de 5 de agosto de 2008 </w:t>
      </w:r>
      <w:r>
        <w:rPr>
          <w:sz w:val="16"/>
          <w:szCs w:val="16"/>
          <w:lang w:val="es-MX"/>
        </w:rPr>
        <w:t>d</w:t>
      </w:r>
      <w:r w:rsidRPr="000214BA">
        <w:rPr>
          <w:sz w:val="16"/>
          <w:szCs w:val="16"/>
          <w:lang w:val="es-MX"/>
        </w:rPr>
        <w:t xml:space="preserve">el Primer Juzgado Civil de Puente Alto </w:t>
      </w:r>
      <w:r w:rsidRPr="000214BA">
        <w:rPr>
          <w:sz w:val="16"/>
          <w:szCs w:val="16"/>
        </w:rPr>
        <w:t>(expediente de prueba, anexo 71 del Informe de Fondo, f. 257).</w:t>
      </w:r>
    </w:p>
  </w:footnote>
  <w:footnote w:id="104">
    <w:p w14:paraId="1A937871" w14:textId="77777777"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rPr>
        <w:t>Resolución de la Corte Suprema de Justicia</w:t>
      </w:r>
      <w:r>
        <w:rPr>
          <w:sz w:val="16"/>
          <w:szCs w:val="16"/>
        </w:rPr>
        <w:t xml:space="preserve"> de Chile</w:t>
      </w:r>
      <w:r w:rsidRPr="000214BA">
        <w:rPr>
          <w:sz w:val="16"/>
          <w:szCs w:val="16"/>
        </w:rPr>
        <w:t>, oficio número 4824 de 28 de agosto de 2008 dirigido al Primer Juzgado Civil de Puente Alto (expediente de prueba, anexo 72 del Informe de Fondo, f. 259).</w:t>
      </w:r>
    </w:p>
  </w:footnote>
  <w:footnote w:id="105">
    <w:p w14:paraId="2680459E" w14:textId="4568FE10"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sidRPr="00C64243">
        <w:rPr>
          <w:i/>
          <w:sz w:val="16"/>
          <w:szCs w:val="16"/>
        </w:rPr>
        <w:t xml:space="preserve"> </w:t>
      </w:r>
      <w:r w:rsidRPr="000214BA">
        <w:rPr>
          <w:sz w:val="16"/>
          <w:szCs w:val="16"/>
          <w:lang w:val="es-MX"/>
        </w:rPr>
        <w:t xml:space="preserve">Auto de 9 de septiembre de 2008 </w:t>
      </w:r>
      <w:r>
        <w:rPr>
          <w:sz w:val="16"/>
          <w:szCs w:val="16"/>
          <w:lang w:val="es-MX"/>
        </w:rPr>
        <w:t>d</w:t>
      </w:r>
      <w:r w:rsidRPr="000214BA">
        <w:rPr>
          <w:sz w:val="16"/>
          <w:szCs w:val="16"/>
          <w:lang w:val="es-MX"/>
        </w:rPr>
        <w:t xml:space="preserve">el Primer Juzgado Civil de Puente Alto </w:t>
      </w:r>
      <w:r w:rsidRPr="000214BA">
        <w:rPr>
          <w:sz w:val="16"/>
          <w:szCs w:val="16"/>
        </w:rPr>
        <w:t>(expediente de prueba, anexo 73 del Informe de Fondo, f. 261).</w:t>
      </w:r>
    </w:p>
  </w:footnote>
  <w:footnote w:id="106">
    <w:p w14:paraId="21FB8B94" w14:textId="755482F0"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sidRPr="00C64243">
        <w:rPr>
          <w:i/>
          <w:sz w:val="16"/>
          <w:szCs w:val="16"/>
        </w:rPr>
        <w:t xml:space="preserve"> </w:t>
      </w:r>
      <w:r w:rsidRPr="000214BA">
        <w:rPr>
          <w:sz w:val="16"/>
          <w:szCs w:val="16"/>
        </w:rPr>
        <w:t>Resoluciones de la Corte Suprema de Justicia de fechas 6 de marzo de 2008, 8 de julio de 2011, 20 de agosto de 2012, 14 de marzo de 2013 y 8 de enero de 2015 (expediente de prueba, anexo 64</w:t>
      </w:r>
      <w:r>
        <w:rPr>
          <w:sz w:val="16"/>
          <w:szCs w:val="16"/>
        </w:rPr>
        <w:t>,</w:t>
      </w:r>
      <w:r w:rsidRPr="000214BA">
        <w:rPr>
          <w:sz w:val="16"/>
          <w:szCs w:val="16"/>
        </w:rPr>
        <w:t xml:space="preserve"> f. 245</w:t>
      </w:r>
      <w:r>
        <w:rPr>
          <w:sz w:val="16"/>
          <w:szCs w:val="16"/>
        </w:rPr>
        <w:t>;</w:t>
      </w:r>
      <w:r w:rsidRPr="000214BA">
        <w:rPr>
          <w:sz w:val="16"/>
          <w:szCs w:val="16"/>
        </w:rPr>
        <w:t xml:space="preserve"> anexo 74, </w:t>
      </w:r>
      <w:proofErr w:type="spellStart"/>
      <w:r w:rsidRPr="000214BA">
        <w:rPr>
          <w:sz w:val="16"/>
          <w:szCs w:val="16"/>
        </w:rPr>
        <w:t>f</w:t>
      </w:r>
      <w:r>
        <w:rPr>
          <w:sz w:val="16"/>
          <w:szCs w:val="16"/>
        </w:rPr>
        <w:t>f</w:t>
      </w:r>
      <w:proofErr w:type="spellEnd"/>
      <w:r w:rsidRPr="000214BA">
        <w:rPr>
          <w:sz w:val="16"/>
          <w:szCs w:val="16"/>
        </w:rPr>
        <w:t>. 263</w:t>
      </w:r>
      <w:r>
        <w:rPr>
          <w:sz w:val="16"/>
          <w:szCs w:val="16"/>
        </w:rPr>
        <w:t xml:space="preserve"> y </w:t>
      </w:r>
      <w:r w:rsidRPr="000214BA">
        <w:rPr>
          <w:sz w:val="16"/>
          <w:szCs w:val="16"/>
        </w:rPr>
        <w:t>264</w:t>
      </w:r>
      <w:r>
        <w:rPr>
          <w:sz w:val="16"/>
          <w:szCs w:val="16"/>
        </w:rPr>
        <w:t>;</w:t>
      </w:r>
      <w:r w:rsidRPr="000214BA">
        <w:rPr>
          <w:sz w:val="16"/>
          <w:szCs w:val="16"/>
        </w:rPr>
        <w:t xml:space="preserve"> anexo 75, </w:t>
      </w:r>
      <w:proofErr w:type="spellStart"/>
      <w:r w:rsidRPr="000214BA">
        <w:rPr>
          <w:sz w:val="16"/>
          <w:szCs w:val="16"/>
        </w:rPr>
        <w:t>f</w:t>
      </w:r>
      <w:r>
        <w:rPr>
          <w:sz w:val="16"/>
          <w:szCs w:val="16"/>
        </w:rPr>
        <w:t>f</w:t>
      </w:r>
      <w:proofErr w:type="spellEnd"/>
      <w:r w:rsidRPr="000214BA">
        <w:rPr>
          <w:sz w:val="16"/>
          <w:szCs w:val="16"/>
        </w:rPr>
        <w:t>. 266</w:t>
      </w:r>
      <w:r>
        <w:rPr>
          <w:sz w:val="16"/>
          <w:szCs w:val="16"/>
        </w:rPr>
        <w:t xml:space="preserve"> y </w:t>
      </w:r>
      <w:r w:rsidRPr="000214BA">
        <w:rPr>
          <w:sz w:val="16"/>
          <w:szCs w:val="16"/>
        </w:rPr>
        <w:t>267</w:t>
      </w:r>
      <w:r>
        <w:rPr>
          <w:sz w:val="16"/>
          <w:szCs w:val="16"/>
        </w:rPr>
        <w:t>;</w:t>
      </w:r>
      <w:r w:rsidRPr="000214BA">
        <w:rPr>
          <w:sz w:val="16"/>
          <w:szCs w:val="16"/>
        </w:rPr>
        <w:t xml:space="preserve"> anexo 76, </w:t>
      </w:r>
      <w:proofErr w:type="spellStart"/>
      <w:r w:rsidRPr="000214BA">
        <w:rPr>
          <w:sz w:val="16"/>
          <w:szCs w:val="16"/>
        </w:rPr>
        <w:t>f</w:t>
      </w:r>
      <w:r>
        <w:rPr>
          <w:sz w:val="16"/>
          <w:szCs w:val="16"/>
        </w:rPr>
        <w:t>f</w:t>
      </w:r>
      <w:proofErr w:type="spellEnd"/>
      <w:r w:rsidRPr="000214BA">
        <w:rPr>
          <w:sz w:val="16"/>
          <w:szCs w:val="16"/>
        </w:rPr>
        <w:t>. 269</w:t>
      </w:r>
      <w:r>
        <w:rPr>
          <w:sz w:val="16"/>
          <w:szCs w:val="16"/>
        </w:rPr>
        <w:t xml:space="preserve"> y </w:t>
      </w:r>
      <w:r w:rsidRPr="000214BA">
        <w:rPr>
          <w:sz w:val="16"/>
          <w:szCs w:val="16"/>
        </w:rPr>
        <w:t>270</w:t>
      </w:r>
      <w:r>
        <w:rPr>
          <w:sz w:val="16"/>
          <w:szCs w:val="16"/>
        </w:rPr>
        <w:t>,</w:t>
      </w:r>
      <w:r w:rsidRPr="000214BA">
        <w:rPr>
          <w:sz w:val="16"/>
          <w:szCs w:val="16"/>
        </w:rPr>
        <w:t xml:space="preserve"> y anexo 77, f.</w:t>
      </w:r>
      <w:r>
        <w:rPr>
          <w:sz w:val="16"/>
          <w:szCs w:val="16"/>
        </w:rPr>
        <w:t xml:space="preserve"> </w:t>
      </w:r>
      <w:r w:rsidRPr="000214BA">
        <w:rPr>
          <w:sz w:val="16"/>
          <w:szCs w:val="16"/>
        </w:rPr>
        <w:t>272</w:t>
      </w:r>
      <w:r>
        <w:rPr>
          <w:sz w:val="16"/>
          <w:szCs w:val="16"/>
        </w:rPr>
        <w:t>,</w:t>
      </w:r>
      <w:r w:rsidRPr="000214BA">
        <w:rPr>
          <w:sz w:val="16"/>
          <w:szCs w:val="16"/>
        </w:rPr>
        <w:t xml:space="preserve"> todos del Informe de Fondo).</w:t>
      </w:r>
    </w:p>
  </w:footnote>
  <w:footnote w:id="107">
    <w:p w14:paraId="4A2663B0" w14:textId="45628DFE" w:rsidR="003C025E" w:rsidRPr="00FD0CAE"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rPr>
        <w:t>Resolución de la Corte Suprema de Justicia de fecha 8 de enero de 2015 (expediente de prueba, anexo 77 del Informe de Fondo</w:t>
      </w:r>
      <w:r>
        <w:rPr>
          <w:sz w:val="16"/>
          <w:szCs w:val="16"/>
        </w:rPr>
        <w:t>,</w:t>
      </w:r>
      <w:r w:rsidRPr="00255C6F">
        <w:rPr>
          <w:sz w:val="16"/>
          <w:szCs w:val="16"/>
        </w:rPr>
        <w:t xml:space="preserve"> </w:t>
      </w:r>
      <w:r w:rsidRPr="000214BA">
        <w:rPr>
          <w:sz w:val="16"/>
          <w:szCs w:val="16"/>
        </w:rPr>
        <w:t>f.</w:t>
      </w:r>
      <w:r>
        <w:rPr>
          <w:sz w:val="16"/>
          <w:szCs w:val="16"/>
        </w:rPr>
        <w:t xml:space="preserve"> </w:t>
      </w:r>
      <w:r w:rsidRPr="000214BA">
        <w:rPr>
          <w:sz w:val="16"/>
          <w:szCs w:val="16"/>
        </w:rPr>
        <w:t>272)</w:t>
      </w:r>
      <w:r>
        <w:rPr>
          <w:sz w:val="16"/>
          <w:szCs w:val="16"/>
        </w:rPr>
        <w:t xml:space="preserve">, y Resolución de la Corte Suprema de Justicia de fecha 25 de agosto de 2014 (expediente de fondo, prueba para mejor resolver presentada por el Estado, </w:t>
      </w:r>
      <w:proofErr w:type="spellStart"/>
      <w:r>
        <w:rPr>
          <w:sz w:val="16"/>
          <w:szCs w:val="16"/>
        </w:rPr>
        <w:t>ff</w:t>
      </w:r>
      <w:proofErr w:type="spellEnd"/>
      <w:r>
        <w:rPr>
          <w:sz w:val="16"/>
          <w:szCs w:val="16"/>
        </w:rPr>
        <w:t>. 1399 a 1401).</w:t>
      </w:r>
    </w:p>
  </w:footnote>
  <w:footnote w:id="108">
    <w:p w14:paraId="3DCB363F" w14:textId="20297966" w:rsidR="003C025E" w:rsidRPr="00C27894"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lang w:val="es-MX"/>
        </w:rPr>
        <w:t xml:space="preserve">Acta de </w:t>
      </w:r>
      <w:r>
        <w:rPr>
          <w:sz w:val="16"/>
          <w:szCs w:val="16"/>
          <w:lang w:val="es-MX"/>
        </w:rPr>
        <w:t>P</w:t>
      </w:r>
      <w:r w:rsidRPr="000214BA">
        <w:rPr>
          <w:sz w:val="16"/>
          <w:szCs w:val="16"/>
          <w:lang w:val="es-MX"/>
        </w:rPr>
        <w:t xml:space="preserve">rimera </w:t>
      </w:r>
      <w:r>
        <w:rPr>
          <w:sz w:val="16"/>
          <w:szCs w:val="16"/>
          <w:lang w:val="es-MX"/>
        </w:rPr>
        <w:t>A</w:t>
      </w:r>
      <w:r w:rsidRPr="000214BA">
        <w:rPr>
          <w:sz w:val="16"/>
          <w:szCs w:val="16"/>
          <w:lang w:val="es-MX"/>
        </w:rPr>
        <w:t xml:space="preserve">udiencia de Mediación </w:t>
      </w:r>
      <w:r>
        <w:rPr>
          <w:sz w:val="16"/>
          <w:szCs w:val="16"/>
          <w:lang w:val="es-MX"/>
        </w:rPr>
        <w:t>en</w:t>
      </w:r>
      <w:r w:rsidRPr="000214BA">
        <w:rPr>
          <w:sz w:val="16"/>
          <w:szCs w:val="16"/>
          <w:lang w:val="es-MX"/>
        </w:rPr>
        <w:t xml:space="preserve"> la Unidad de Mediación del Consejo de Defensa del Estado el 4 de abril de 2006</w:t>
      </w:r>
      <w:r w:rsidRPr="000214BA">
        <w:rPr>
          <w:sz w:val="16"/>
          <w:szCs w:val="16"/>
        </w:rPr>
        <w:t xml:space="preserve"> (expediente de prueba, anexo 78 del Informe de Fondo, f. 274)</w:t>
      </w:r>
      <w:r>
        <w:rPr>
          <w:sz w:val="16"/>
          <w:szCs w:val="16"/>
        </w:rPr>
        <w:t>.</w:t>
      </w:r>
      <w:r w:rsidRPr="00C27894">
        <w:rPr>
          <w:sz w:val="16"/>
          <w:szCs w:val="16"/>
        </w:rPr>
        <w:t xml:space="preserve"> </w:t>
      </w:r>
    </w:p>
  </w:footnote>
  <w:footnote w:id="109">
    <w:p w14:paraId="37ECEA86" w14:textId="1F406D4E"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0214BA">
        <w:rPr>
          <w:sz w:val="16"/>
          <w:szCs w:val="16"/>
          <w:lang w:val="es-MX"/>
        </w:rPr>
        <w:t xml:space="preserve">Acta de </w:t>
      </w:r>
      <w:r>
        <w:rPr>
          <w:sz w:val="16"/>
          <w:szCs w:val="16"/>
          <w:lang w:val="es-MX"/>
        </w:rPr>
        <w:t>P</w:t>
      </w:r>
      <w:r w:rsidRPr="000214BA">
        <w:rPr>
          <w:sz w:val="16"/>
          <w:szCs w:val="16"/>
          <w:lang w:val="es-MX"/>
        </w:rPr>
        <w:t xml:space="preserve">rimera </w:t>
      </w:r>
      <w:r>
        <w:rPr>
          <w:sz w:val="16"/>
          <w:szCs w:val="16"/>
          <w:lang w:val="es-MX"/>
        </w:rPr>
        <w:t>A</w:t>
      </w:r>
      <w:r w:rsidRPr="000214BA">
        <w:rPr>
          <w:sz w:val="16"/>
          <w:szCs w:val="16"/>
          <w:lang w:val="es-MX"/>
        </w:rPr>
        <w:t>udiencia de Mediación por la Unidad de Mediación del Consejo de Defensa del Estado</w:t>
      </w:r>
      <w:r>
        <w:rPr>
          <w:sz w:val="16"/>
          <w:szCs w:val="16"/>
          <w:lang w:val="es-MX"/>
        </w:rPr>
        <w:t xml:space="preserve"> (expediente de prueba</w:t>
      </w:r>
      <w:r w:rsidRPr="000214BA">
        <w:rPr>
          <w:sz w:val="16"/>
          <w:szCs w:val="16"/>
        </w:rPr>
        <w:t>,</w:t>
      </w:r>
      <w:r>
        <w:rPr>
          <w:sz w:val="16"/>
          <w:szCs w:val="16"/>
        </w:rPr>
        <w:t xml:space="preserve"> anexo 78 del Informe de Fondo, </w:t>
      </w:r>
      <w:proofErr w:type="spellStart"/>
      <w:r w:rsidRPr="000214BA">
        <w:rPr>
          <w:sz w:val="16"/>
          <w:szCs w:val="16"/>
        </w:rPr>
        <w:t>f</w:t>
      </w:r>
      <w:r>
        <w:rPr>
          <w:sz w:val="16"/>
          <w:szCs w:val="16"/>
        </w:rPr>
        <w:t>f</w:t>
      </w:r>
      <w:proofErr w:type="spellEnd"/>
      <w:r w:rsidRPr="000214BA">
        <w:rPr>
          <w:sz w:val="16"/>
          <w:szCs w:val="16"/>
        </w:rPr>
        <w:t>. 274</w:t>
      </w:r>
      <w:r>
        <w:rPr>
          <w:sz w:val="16"/>
          <w:szCs w:val="16"/>
        </w:rPr>
        <w:t xml:space="preserve"> a </w:t>
      </w:r>
      <w:r w:rsidRPr="000214BA">
        <w:rPr>
          <w:sz w:val="16"/>
          <w:szCs w:val="16"/>
        </w:rPr>
        <w:t>27</w:t>
      </w:r>
      <w:r>
        <w:rPr>
          <w:sz w:val="16"/>
          <w:szCs w:val="16"/>
        </w:rPr>
        <w:t>6)</w:t>
      </w:r>
      <w:r w:rsidRPr="000214BA">
        <w:rPr>
          <w:sz w:val="16"/>
          <w:szCs w:val="16"/>
        </w:rPr>
        <w:t>.</w:t>
      </w:r>
    </w:p>
  </w:footnote>
  <w:footnote w:id="110">
    <w:p w14:paraId="16EDF624" w14:textId="705D401D" w:rsidR="003C025E" w:rsidRPr="000214BA" w:rsidRDefault="003C025E" w:rsidP="00E22B60">
      <w:pPr>
        <w:pStyle w:val="FootnoteText"/>
        <w:ind w:right="-360"/>
        <w:rPr>
          <w:sz w:val="16"/>
          <w:szCs w:val="16"/>
          <w:lang w:val="es-MX"/>
        </w:rPr>
      </w:pPr>
      <w:r w:rsidRPr="000214BA">
        <w:rPr>
          <w:rStyle w:val="FootnoteReference"/>
          <w:rFonts w:eastAsia="MS Mincho"/>
          <w:sz w:val="16"/>
          <w:szCs w:val="16"/>
        </w:rPr>
        <w:footnoteRef/>
      </w:r>
      <w:r w:rsidRPr="000214BA">
        <w:rPr>
          <w:sz w:val="16"/>
          <w:szCs w:val="16"/>
        </w:rPr>
        <w:t xml:space="preserve"> </w:t>
      </w:r>
      <w:r>
        <w:rPr>
          <w:sz w:val="16"/>
          <w:szCs w:val="16"/>
        </w:rPr>
        <w:tab/>
      </w:r>
      <w:r>
        <w:rPr>
          <w:i/>
          <w:sz w:val="16"/>
          <w:szCs w:val="16"/>
        </w:rPr>
        <w:t xml:space="preserve">Cfr. </w:t>
      </w:r>
      <w:r w:rsidRPr="00C27894">
        <w:rPr>
          <w:sz w:val="16"/>
          <w:szCs w:val="16"/>
          <w:lang w:val="es-MX"/>
        </w:rPr>
        <w:t xml:space="preserve">Acta de </w:t>
      </w:r>
      <w:r>
        <w:rPr>
          <w:sz w:val="16"/>
          <w:szCs w:val="16"/>
          <w:lang w:val="es-MX"/>
        </w:rPr>
        <w:t>S</w:t>
      </w:r>
      <w:r w:rsidRPr="00C27894">
        <w:rPr>
          <w:sz w:val="16"/>
          <w:szCs w:val="16"/>
          <w:lang w:val="es-MX"/>
        </w:rPr>
        <w:t xml:space="preserve">egunda </w:t>
      </w:r>
      <w:r>
        <w:rPr>
          <w:sz w:val="16"/>
          <w:szCs w:val="16"/>
          <w:lang w:val="es-MX"/>
        </w:rPr>
        <w:t>A</w:t>
      </w:r>
      <w:r w:rsidRPr="00C27894">
        <w:rPr>
          <w:sz w:val="16"/>
          <w:szCs w:val="16"/>
          <w:lang w:val="es-MX"/>
        </w:rPr>
        <w:t xml:space="preserve">udiencia de Mediación por la Unidad de Mediación del Consejo de Defensa del Estado el 27 de abril de 2006 </w:t>
      </w:r>
      <w:r>
        <w:rPr>
          <w:sz w:val="16"/>
          <w:szCs w:val="16"/>
        </w:rPr>
        <w:t>(expediente de prueba, anexo 79 del Informe de Fondo, f.</w:t>
      </w:r>
      <w:r w:rsidRPr="008609E8">
        <w:rPr>
          <w:sz w:val="16"/>
          <w:szCs w:val="16"/>
          <w:lang w:val="es-MX"/>
        </w:rPr>
        <w:t xml:space="preserve"> </w:t>
      </w:r>
      <w:r>
        <w:rPr>
          <w:sz w:val="16"/>
          <w:szCs w:val="16"/>
          <w:lang w:val="es-MX"/>
        </w:rPr>
        <w:t>278</w:t>
      </w:r>
      <w:r w:rsidRPr="008609E8">
        <w:rPr>
          <w:sz w:val="16"/>
          <w:szCs w:val="16"/>
          <w:lang w:val="es-MX"/>
        </w:rPr>
        <w:t>)</w:t>
      </w:r>
      <w:r w:rsidRPr="00C27894">
        <w:rPr>
          <w:sz w:val="16"/>
          <w:szCs w:val="16"/>
        </w:rPr>
        <w:t>.</w:t>
      </w:r>
    </w:p>
  </w:footnote>
  <w:footnote w:id="111">
    <w:p w14:paraId="4208864A" w14:textId="5C0D87E8" w:rsidR="003C025E" w:rsidRPr="000214BA" w:rsidRDefault="003C025E" w:rsidP="00E22B60">
      <w:pPr>
        <w:pStyle w:val="FootnoteText"/>
        <w:ind w:right="-360"/>
        <w:rPr>
          <w:sz w:val="16"/>
          <w:szCs w:val="16"/>
          <w:lang w:val="es-MX"/>
        </w:rPr>
      </w:pPr>
      <w:r w:rsidRPr="000214BA">
        <w:rPr>
          <w:rStyle w:val="FootnoteReference"/>
          <w:rFonts w:eastAsia="Calibri"/>
          <w:sz w:val="16"/>
          <w:szCs w:val="16"/>
        </w:rPr>
        <w:footnoteRef/>
      </w:r>
      <w:r w:rsidRPr="000214BA">
        <w:rPr>
          <w:sz w:val="16"/>
          <w:szCs w:val="16"/>
        </w:rPr>
        <w:t xml:space="preserve"> </w:t>
      </w:r>
      <w:r>
        <w:rPr>
          <w:sz w:val="16"/>
          <w:szCs w:val="16"/>
        </w:rPr>
        <w:tab/>
      </w:r>
      <w:r>
        <w:rPr>
          <w:i/>
          <w:sz w:val="16"/>
          <w:szCs w:val="16"/>
        </w:rPr>
        <w:t xml:space="preserve">Cfr. </w:t>
      </w:r>
      <w:r w:rsidRPr="002431EA">
        <w:rPr>
          <w:sz w:val="16"/>
          <w:szCs w:val="16"/>
          <w:lang w:val="es-MX"/>
        </w:rPr>
        <w:t xml:space="preserve">Acta de segunda audiencia de Mediación por la Unidad de Mediación del Consejo de Defensa del Estado el 27 de abril de 2006 </w:t>
      </w:r>
      <w:r w:rsidRPr="002431EA">
        <w:rPr>
          <w:sz w:val="16"/>
          <w:szCs w:val="16"/>
        </w:rPr>
        <w:t>(</w:t>
      </w:r>
      <w:r>
        <w:rPr>
          <w:sz w:val="16"/>
          <w:szCs w:val="16"/>
        </w:rPr>
        <w:t>e</w:t>
      </w:r>
      <w:r w:rsidRPr="002431EA">
        <w:rPr>
          <w:sz w:val="16"/>
          <w:szCs w:val="16"/>
        </w:rPr>
        <w:t xml:space="preserve">xpediente de </w:t>
      </w:r>
      <w:r>
        <w:rPr>
          <w:sz w:val="16"/>
          <w:szCs w:val="16"/>
        </w:rPr>
        <w:t>prueba</w:t>
      </w:r>
      <w:r w:rsidRPr="002431EA">
        <w:rPr>
          <w:sz w:val="16"/>
          <w:szCs w:val="16"/>
        </w:rPr>
        <w:t>,</w:t>
      </w:r>
      <w:r>
        <w:rPr>
          <w:sz w:val="16"/>
          <w:szCs w:val="16"/>
        </w:rPr>
        <w:t xml:space="preserve"> anexo 79 del Informe</w:t>
      </w:r>
      <w:r w:rsidRPr="002431EA">
        <w:rPr>
          <w:sz w:val="16"/>
          <w:szCs w:val="16"/>
        </w:rPr>
        <w:t xml:space="preserve"> de </w:t>
      </w:r>
      <w:r>
        <w:rPr>
          <w:sz w:val="16"/>
          <w:szCs w:val="16"/>
        </w:rPr>
        <w:t>Fondo</w:t>
      </w:r>
      <w:r w:rsidRPr="002431EA">
        <w:rPr>
          <w:sz w:val="16"/>
          <w:szCs w:val="16"/>
        </w:rPr>
        <w:t>, f</w:t>
      </w:r>
      <w:r>
        <w:rPr>
          <w:sz w:val="16"/>
          <w:szCs w:val="16"/>
        </w:rPr>
        <w:t>. 278</w:t>
      </w:r>
      <w:r w:rsidRPr="002431EA">
        <w:rPr>
          <w:sz w:val="16"/>
          <w:szCs w:val="16"/>
        </w:rPr>
        <w:t>).</w:t>
      </w:r>
    </w:p>
  </w:footnote>
  <w:footnote w:id="112">
    <w:p w14:paraId="5C149C19" w14:textId="5CF53A09" w:rsidR="003C025E" w:rsidRPr="000214BA"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0214BA">
        <w:rPr>
          <w:sz w:val="16"/>
          <w:szCs w:val="16"/>
        </w:rPr>
        <w:t>Escrito número 005-10 de la Comisión de Derechos Humanos, Nacionalidad y Ciudadanía (expediente de prueba, anexo 80 del Informe de Fondo, f. 280)</w:t>
      </w:r>
      <w:r>
        <w:rPr>
          <w:sz w:val="16"/>
          <w:szCs w:val="16"/>
        </w:rPr>
        <w:t>;</w:t>
      </w:r>
      <w:r w:rsidRPr="000214BA">
        <w:rPr>
          <w:sz w:val="16"/>
          <w:szCs w:val="16"/>
        </w:rPr>
        <w:t xml:space="preserve"> Escrito del Ministerio de Salud </w:t>
      </w:r>
      <w:r>
        <w:rPr>
          <w:sz w:val="16"/>
          <w:szCs w:val="16"/>
        </w:rPr>
        <w:t xml:space="preserve">del Gobierno de Chile </w:t>
      </w:r>
      <w:r w:rsidRPr="000214BA">
        <w:rPr>
          <w:sz w:val="16"/>
          <w:szCs w:val="16"/>
        </w:rPr>
        <w:t xml:space="preserve">de 30 de octubre de 2009 (expediente de prueba, anexo 82 del Informe de Fondo, </w:t>
      </w:r>
      <w:proofErr w:type="spellStart"/>
      <w:r w:rsidRPr="000214BA">
        <w:rPr>
          <w:sz w:val="16"/>
          <w:szCs w:val="16"/>
        </w:rPr>
        <w:t>f</w:t>
      </w:r>
      <w:r>
        <w:rPr>
          <w:sz w:val="16"/>
          <w:szCs w:val="16"/>
        </w:rPr>
        <w:t>f</w:t>
      </w:r>
      <w:proofErr w:type="spellEnd"/>
      <w:r w:rsidRPr="000214BA">
        <w:rPr>
          <w:sz w:val="16"/>
          <w:szCs w:val="16"/>
        </w:rPr>
        <w:t>. 284</w:t>
      </w:r>
      <w:r>
        <w:rPr>
          <w:sz w:val="16"/>
          <w:szCs w:val="16"/>
        </w:rPr>
        <w:t xml:space="preserve"> y 285</w:t>
      </w:r>
      <w:r w:rsidRPr="000214BA">
        <w:rPr>
          <w:sz w:val="16"/>
          <w:szCs w:val="16"/>
        </w:rPr>
        <w:t>)</w:t>
      </w:r>
      <w:r>
        <w:rPr>
          <w:sz w:val="16"/>
          <w:szCs w:val="16"/>
        </w:rPr>
        <w:t>, y</w:t>
      </w:r>
      <w:r w:rsidRPr="000214BA">
        <w:rPr>
          <w:sz w:val="16"/>
          <w:szCs w:val="16"/>
        </w:rPr>
        <w:t xml:space="preserve"> Escrito número 4181 del Ministro de Salud de 15 de diciembre de 2009 (expediente de prueba, anexo 81 del Informe de Fondo, f. 282)</w:t>
      </w:r>
      <w:r>
        <w:rPr>
          <w:sz w:val="16"/>
          <w:szCs w:val="16"/>
        </w:rPr>
        <w:t>.</w:t>
      </w:r>
    </w:p>
  </w:footnote>
  <w:footnote w:id="113">
    <w:p w14:paraId="1DB55568" w14:textId="08F529DA" w:rsidR="003C025E" w:rsidRPr="00F002D3" w:rsidRDefault="003C025E" w:rsidP="00E22B60">
      <w:pPr>
        <w:pStyle w:val="FootnoteText"/>
        <w:ind w:right="-360"/>
        <w:rPr>
          <w:sz w:val="16"/>
          <w:szCs w:val="16"/>
        </w:rPr>
      </w:pPr>
      <w:r w:rsidRPr="000214BA">
        <w:rPr>
          <w:rStyle w:val="FootnoteReference"/>
          <w:rFonts w:eastAsia="MS Mincho"/>
          <w:sz w:val="16"/>
          <w:szCs w:val="16"/>
        </w:rPr>
        <w:footnoteRef/>
      </w:r>
      <w:r w:rsidRPr="000214BA">
        <w:rPr>
          <w:sz w:val="16"/>
          <w:szCs w:val="16"/>
        </w:rPr>
        <w:t xml:space="preserve"> </w:t>
      </w:r>
      <w:r>
        <w:rPr>
          <w:sz w:val="16"/>
          <w:szCs w:val="16"/>
        </w:rPr>
        <w:tab/>
      </w:r>
      <w:r w:rsidRPr="00062586">
        <w:rPr>
          <w:i/>
          <w:sz w:val="16"/>
          <w:szCs w:val="16"/>
        </w:rPr>
        <w:t>Cfr.</w:t>
      </w:r>
      <w:r>
        <w:rPr>
          <w:i/>
          <w:sz w:val="16"/>
          <w:szCs w:val="16"/>
        </w:rPr>
        <w:t xml:space="preserve"> </w:t>
      </w:r>
      <w:r w:rsidRPr="00F002D3">
        <w:rPr>
          <w:sz w:val="16"/>
          <w:szCs w:val="16"/>
        </w:rPr>
        <w:t xml:space="preserve">Nota periodística aparecida en el diario Cambio 21 en Facebook, titulada “Presentan denuncia por negligencia médica contra hospital </w:t>
      </w:r>
      <w:proofErr w:type="spellStart"/>
      <w:r w:rsidRPr="00F002D3">
        <w:rPr>
          <w:sz w:val="16"/>
          <w:szCs w:val="16"/>
        </w:rPr>
        <w:t>Sótero</w:t>
      </w:r>
      <w:proofErr w:type="spellEnd"/>
      <w:r w:rsidRPr="00F002D3">
        <w:rPr>
          <w:sz w:val="16"/>
          <w:szCs w:val="16"/>
        </w:rPr>
        <w:t xml:space="preserve"> del Río</w:t>
      </w:r>
      <w:r>
        <w:rPr>
          <w:sz w:val="16"/>
          <w:szCs w:val="16"/>
        </w:rPr>
        <w:t xml:space="preserve"> […]</w:t>
      </w:r>
      <w:r w:rsidRPr="00F002D3">
        <w:rPr>
          <w:sz w:val="16"/>
          <w:szCs w:val="16"/>
        </w:rPr>
        <w:t>” (expediente de prueba, anexo 13 del Informe de Fondo, f. 113)</w:t>
      </w:r>
      <w:r>
        <w:rPr>
          <w:sz w:val="16"/>
          <w:szCs w:val="16"/>
        </w:rPr>
        <w:t xml:space="preserve">; </w:t>
      </w:r>
      <w:r w:rsidRPr="00F002D3">
        <w:rPr>
          <w:sz w:val="16"/>
          <w:szCs w:val="16"/>
        </w:rPr>
        <w:t xml:space="preserve">Nota periodística aparecida en el noticiario </w:t>
      </w:r>
      <w:proofErr w:type="spellStart"/>
      <w:r w:rsidRPr="00F002D3">
        <w:rPr>
          <w:sz w:val="16"/>
          <w:szCs w:val="16"/>
        </w:rPr>
        <w:t>MEGAtestigo</w:t>
      </w:r>
      <w:proofErr w:type="spellEnd"/>
      <w:r w:rsidRPr="00F002D3">
        <w:rPr>
          <w:sz w:val="16"/>
          <w:szCs w:val="16"/>
        </w:rPr>
        <w:t xml:space="preserve"> de 14 de mayo de 2012</w:t>
      </w:r>
      <w:r>
        <w:rPr>
          <w:sz w:val="16"/>
          <w:szCs w:val="16"/>
        </w:rPr>
        <w:t>,</w:t>
      </w:r>
      <w:r w:rsidRPr="00F002D3">
        <w:rPr>
          <w:sz w:val="16"/>
          <w:szCs w:val="16"/>
        </w:rPr>
        <w:t xml:space="preserve"> titulada “Familia denuncia negligencia médica Hospital </w:t>
      </w:r>
      <w:proofErr w:type="spellStart"/>
      <w:r w:rsidRPr="00F002D3">
        <w:rPr>
          <w:sz w:val="16"/>
          <w:szCs w:val="16"/>
        </w:rPr>
        <w:t>Sótero</w:t>
      </w:r>
      <w:proofErr w:type="spellEnd"/>
      <w:r w:rsidRPr="00F002D3">
        <w:rPr>
          <w:sz w:val="16"/>
          <w:szCs w:val="16"/>
        </w:rPr>
        <w:t xml:space="preserve"> del Rio” (expediente de prueba, anexo 14 del Informe de Fondo, f. 115)</w:t>
      </w:r>
      <w:r>
        <w:rPr>
          <w:sz w:val="16"/>
          <w:szCs w:val="16"/>
        </w:rPr>
        <w:t>,</w:t>
      </w:r>
      <w:r w:rsidRPr="00F002D3">
        <w:rPr>
          <w:sz w:val="16"/>
          <w:szCs w:val="16"/>
        </w:rPr>
        <w:t xml:space="preserve"> </w:t>
      </w:r>
      <w:r>
        <w:rPr>
          <w:sz w:val="16"/>
          <w:szCs w:val="16"/>
        </w:rPr>
        <w:t>y</w:t>
      </w:r>
      <w:r w:rsidRPr="00F002D3">
        <w:rPr>
          <w:sz w:val="16"/>
          <w:szCs w:val="16"/>
        </w:rPr>
        <w:t xml:space="preserve"> Nota periodística aparecida en el Radio </w:t>
      </w:r>
      <w:proofErr w:type="spellStart"/>
      <w:r w:rsidRPr="00F002D3">
        <w:rPr>
          <w:sz w:val="16"/>
          <w:szCs w:val="16"/>
        </w:rPr>
        <w:t>Bio</w:t>
      </w:r>
      <w:proofErr w:type="spellEnd"/>
      <w:r w:rsidRPr="00F002D3">
        <w:rPr>
          <w:sz w:val="16"/>
          <w:szCs w:val="16"/>
        </w:rPr>
        <w:t xml:space="preserve"> </w:t>
      </w:r>
      <w:proofErr w:type="spellStart"/>
      <w:r w:rsidRPr="00F002D3">
        <w:rPr>
          <w:sz w:val="16"/>
          <w:szCs w:val="16"/>
        </w:rPr>
        <w:t>Bio</w:t>
      </w:r>
      <w:proofErr w:type="spellEnd"/>
      <w:r w:rsidRPr="00F002D3">
        <w:rPr>
          <w:sz w:val="16"/>
          <w:szCs w:val="16"/>
        </w:rPr>
        <w:t xml:space="preserve"> en Facebook de 27 de octubre de 201</w:t>
      </w:r>
      <w:r>
        <w:rPr>
          <w:sz w:val="16"/>
          <w:szCs w:val="16"/>
        </w:rPr>
        <w:t>0</w:t>
      </w:r>
      <w:r w:rsidRPr="00F002D3">
        <w:rPr>
          <w:sz w:val="16"/>
          <w:szCs w:val="16"/>
        </w:rPr>
        <w:t xml:space="preserve"> titulada “Hospital </w:t>
      </w:r>
      <w:proofErr w:type="spellStart"/>
      <w:r w:rsidRPr="00F002D3">
        <w:rPr>
          <w:sz w:val="16"/>
          <w:szCs w:val="16"/>
        </w:rPr>
        <w:t>Sótero</w:t>
      </w:r>
      <w:proofErr w:type="spellEnd"/>
      <w:r w:rsidRPr="00F002D3">
        <w:rPr>
          <w:sz w:val="16"/>
          <w:szCs w:val="16"/>
        </w:rPr>
        <w:t xml:space="preserve"> del Río realizará sumario interno por muerte de bebé </w:t>
      </w:r>
      <w:r>
        <w:rPr>
          <w:sz w:val="16"/>
          <w:szCs w:val="16"/>
        </w:rPr>
        <w:t xml:space="preserve">en </w:t>
      </w:r>
      <w:r w:rsidRPr="00F002D3">
        <w:rPr>
          <w:sz w:val="16"/>
          <w:szCs w:val="16"/>
        </w:rPr>
        <w:t xml:space="preserve">vientre materno” (expediente de prueba, anexo 15 del Informe de Fondo, </w:t>
      </w:r>
      <w:proofErr w:type="spellStart"/>
      <w:r>
        <w:rPr>
          <w:sz w:val="16"/>
          <w:szCs w:val="16"/>
        </w:rPr>
        <w:t>f</w:t>
      </w:r>
      <w:r w:rsidRPr="00F002D3">
        <w:rPr>
          <w:sz w:val="16"/>
          <w:szCs w:val="16"/>
        </w:rPr>
        <w:t>f</w:t>
      </w:r>
      <w:proofErr w:type="spellEnd"/>
      <w:r w:rsidRPr="00F002D3">
        <w:rPr>
          <w:sz w:val="16"/>
          <w:szCs w:val="16"/>
        </w:rPr>
        <w:t>. 117</w:t>
      </w:r>
      <w:r>
        <w:rPr>
          <w:sz w:val="16"/>
          <w:szCs w:val="16"/>
        </w:rPr>
        <w:t xml:space="preserve"> y </w:t>
      </w:r>
      <w:r w:rsidRPr="00F002D3">
        <w:rPr>
          <w:sz w:val="16"/>
          <w:szCs w:val="16"/>
        </w:rPr>
        <w:t>118).</w:t>
      </w:r>
    </w:p>
  </w:footnote>
  <w:footnote w:id="114">
    <w:p w14:paraId="509A46F4" w14:textId="23D84C9E" w:rsidR="003C025E" w:rsidRPr="001E145A" w:rsidRDefault="003C025E" w:rsidP="00E22B60">
      <w:pPr>
        <w:pStyle w:val="FootnoteText"/>
        <w:ind w:right="-360"/>
        <w:rPr>
          <w:sz w:val="16"/>
          <w:szCs w:val="16"/>
          <w:lang w:val="es-CR"/>
        </w:rPr>
      </w:pPr>
      <w:r w:rsidRPr="00F002D3">
        <w:rPr>
          <w:rStyle w:val="FootnoteReference"/>
          <w:rFonts w:eastAsia="MS Mincho"/>
          <w:sz w:val="16"/>
          <w:szCs w:val="16"/>
        </w:rPr>
        <w:footnoteRef/>
      </w:r>
      <w:r w:rsidRPr="00F002D3">
        <w:rPr>
          <w:sz w:val="16"/>
          <w:szCs w:val="16"/>
        </w:rPr>
        <w:t xml:space="preserve"> </w:t>
      </w:r>
      <w:r w:rsidRPr="00F002D3">
        <w:rPr>
          <w:sz w:val="16"/>
          <w:szCs w:val="16"/>
        </w:rPr>
        <w:tab/>
      </w:r>
      <w:r>
        <w:rPr>
          <w:i/>
          <w:sz w:val="16"/>
          <w:szCs w:val="16"/>
        </w:rPr>
        <w:t xml:space="preserve">Cfr. </w:t>
      </w:r>
      <w:r w:rsidRPr="00F002D3">
        <w:rPr>
          <w:sz w:val="16"/>
          <w:szCs w:val="16"/>
        </w:rPr>
        <w:t xml:space="preserve">Listado completo de reclamos asociados al Hospital </w:t>
      </w:r>
      <w:proofErr w:type="spellStart"/>
      <w:r w:rsidRPr="00F002D3">
        <w:rPr>
          <w:sz w:val="16"/>
          <w:szCs w:val="16"/>
        </w:rPr>
        <w:t>Sótero</w:t>
      </w:r>
      <w:proofErr w:type="spellEnd"/>
      <w:r w:rsidRPr="00F002D3">
        <w:rPr>
          <w:sz w:val="16"/>
          <w:szCs w:val="16"/>
        </w:rPr>
        <w:t xml:space="preserve"> del Río (expediente de prueba, anexo 16 del Informe de Fondo, </w:t>
      </w:r>
      <w:proofErr w:type="spellStart"/>
      <w:r w:rsidRPr="00F002D3">
        <w:rPr>
          <w:sz w:val="16"/>
          <w:szCs w:val="16"/>
        </w:rPr>
        <w:t>f</w:t>
      </w:r>
      <w:r>
        <w:rPr>
          <w:sz w:val="16"/>
          <w:szCs w:val="16"/>
        </w:rPr>
        <w:t>f</w:t>
      </w:r>
      <w:proofErr w:type="spellEnd"/>
      <w:r>
        <w:rPr>
          <w:sz w:val="16"/>
          <w:szCs w:val="16"/>
        </w:rPr>
        <w:t xml:space="preserve">. </w:t>
      </w:r>
      <w:r w:rsidRPr="00F002D3">
        <w:rPr>
          <w:sz w:val="16"/>
          <w:szCs w:val="16"/>
        </w:rPr>
        <w:t>120</w:t>
      </w:r>
      <w:r>
        <w:rPr>
          <w:sz w:val="16"/>
          <w:szCs w:val="16"/>
        </w:rPr>
        <w:t xml:space="preserve"> a </w:t>
      </w:r>
      <w:r w:rsidRPr="00F002D3">
        <w:rPr>
          <w:sz w:val="16"/>
          <w:szCs w:val="16"/>
        </w:rPr>
        <w:t>124).</w:t>
      </w:r>
      <w:r>
        <w:rPr>
          <w:sz w:val="16"/>
          <w:szCs w:val="16"/>
        </w:rPr>
        <w:t xml:space="preserve"> </w:t>
      </w:r>
      <w:r w:rsidRPr="00192B34">
        <w:rPr>
          <w:sz w:val="16"/>
          <w:szCs w:val="16"/>
          <w:lang w:val="es-CR"/>
        </w:rPr>
        <w:t xml:space="preserve">Las constantes denuncias sobre estas irregularidades y deficiencias en el nosocomio referido continúan hasta la actualidad a través de esta vía, </w:t>
      </w:r>
      <w:r>
        <w:rPr>
          <w:sz w:val="16"/>
          <w:szCs w:val="16"/>
          <w:lang w:val="es-CR"/>
        </w:rPr>
        <w:t xml:space="preserve">siendo las más recurrentes aquellas relacionadas con la </w:t>
      </w:r>
      <w:r w:rsidRPr="00192B34">
        <w:rPr>
          <w:sz w:val="16"/>
          <w:szCs w:val="16"/>
          <w:lang w:val="es-CR"/>
        </w:rPr>
        <w:t>mala atención médica, la falta de atención oportuna</w:t>
      </w:r>
      <w:r>
        <w:rPr>
          <w:sz w:val="16"/>
          <w:szCs w:val="16"/>
          <w:lang w:val="es-CR"/>
        </w:rPr>
        <w:t xml:space="preserve">, carencia de camas de hospitalización y equipamiento, así como </w:t>
      </w:r>
      <w:r w:rsidRPr="00192B34">
        <w:rPr>
          <w:sz w:val="16"/>
          <w:szCs w:val="16"/>
          <w:lang w:val="es-CR"/>
        </w:rPr>
        <w:t xml:space="preserve">los diagnósticos </w:t>
      </w:r>
      <w:r>
        <w:rPr>
          <w:sz w:val="16"/>
          <w:szCs w:val="16"/>
          <w:lang w:val="es-CR"/>
        </w:rPr>
        <w:t xml:space="preserve">clínicos </w:t>
      </w:r>
      <w:r w:rsidRPr="00192B34">
        <w:rPr>
          <w:sz w:val="16"/>
          <w:szCs w:val="16"/>
          <w:lang w:val="es-CR"/>
        </w:rPr>
        <w:t>erróneos</w:t>
      </w:r>
      <w:r>
        <w:rPr>
          <w:sz w:val="16"/>
          <w:szCs w:val="16"/>
          <w:lang w:val="es-CR"/>
        </w:rPr>
        <w:t>, la má</w:t>
      </w:r>
      <w:r w:rsidRPr="00192B34">
        <w:rPr>
          <w:sz w:val="16"/>
          <w:szCs w:val="16"/>
          <w:lang w:val="es-CR"/>
        </w:rPr>
        <w:t xml:space="preserve">s reciente </w:t>
      </w:r>
      <w:r>
        <w:rPr>
          <w:sz w:val="16"/>
          <w:szCs w:val="16"/>
          <w:lang w:val="es-CR"/>
        </w:rPr>
        <w:t>de ellas</w:t>
      </w:r>
      <w:r w:rsidRPr="00192B34">
        <w:rPr>
          <w:sz w:val="16"/>
          <w:szCs w:val="16"/>
          <w:lang w:val="es-CR"/>
        </w:rPr>
        <w:t xml:space="preserve"> realizada el 28 de enero de 2018.</w:t>
      </w:r>
      <w:r>
        <w:rPr>
          <w:sz w:val="16"/>
          <w:szCs w:val="16"/>
          <w:lang w:val="es-CR"/>
        </w:rPr>
        <w:t xml:space="preserve"> </w:t>
      </w:r>
      <w:r w:rsidRPr="00062586">
        <w:rPr>
          <w:i/>
          <w:sz w:val="16"/>
          <w:szCs w:val="16"/>
          <w:lang w:val="es-CR"/>
        </w:rPr>
        <w:t>Cfr.</w:t>
      </w:r>
      <w:r w:rsidRPr="00C64243">
        <w:rPr>
          <w:i/>
          <w:sz w:val="16"/>
          <w:szCs w:val="16"/>
          <w:lang w:val="es-CR"/>
        </w:rPr>
        <w:t xml:space="preserve"> </w:t>
      </w:r>
      <w:hyperlink r:id="rId4" w:history="1">
        <w:r w:rsidRPr="00C64243">
          <w:rPr>
            <w:rStyle w:val="Hyperlink"/>
            <w:sz w:val="16"/>
            <w:szCs w:val="16"/>
            <w:lang w:val="es-CR"/>
          </w:rPr>
          <w:t>https://www.reclamos.cl/empresa/hospital_s_tero_del_r_o</w:t>
        </w:r>
      </w:hyperlink>
      <w:r>
        <w:rPr>
          <w:sz w:val="16"/>
          <w:szCs w:val="16"/>
          <w:lang w:val="es-CR"/>
        </w:rPr>
        <w:t>.</w:t>
      </w:r>
    </w:p>
  </w:footnote>
  <w:footnote w:id="115">
    <w:p w14:paraId="4726E455" w14:textId="1EB0BB11" w:rsidR="003C025E" w:rsidRPr="00F07A3A" w:rsidRDefault="003C025E" w:rsidP="00713D68">
      <w:pPr>
        <w:pStyle w:val="FootnoteText"/>
        <w:ind w:right="-319"/>
        <w:rPr>
          <w:sz w:val="16"/>
          <w:szCs w:val="16"/>
          <w:lang w:val="es-CR"/>
        </w:rPr>
      </w:pPr>
      <w:r>
        <w:rPr>
          <w:rStyle w:val="FootnoteReference"/>
        </w:rPr>
        <w:footnoteRef/>
      </w:r>
      <w:r>
        <w:t xml:space="preserve"> </w:t>
      </w:r>
      <w:r>
        <w:tab/>
      </w:r>
      <w:r w:rsidRPr="00B1523A">
        <w:rPr>
          <w:sz w:val="16"/>
          <w:szCs w:val="16"/>
        </w:rPr>
        <w:t xml:space="preserve">La Corte utilizará el término persona mayor en la presente Sentencia, al haberse adoptado en el artículo segundo de la </w:t>
      </w:r>
      <w:r w:rsidRPr="00B1523A">
        <w:rPr>
          <w:rFonts w:eastAsia="Calibri"/>
          <w:sz w:val="16"/>
          <w:szCs w:val="16"/>
          <w:lang w:val="es-MX" w:eastAsia="en-US"/>
        </w:rPr>
        <w:t xml:space="preserve">Convención Interamericana sobre </w:t>
      </w:r>
      <w:r>
        <w:rPr>
          <w:rFonts w:eastAsia="Calibri"/>
          <w:sz w:val="16"/>
          <w:szCs w:val="16"/>
          <w:lang w:val="es-MX" w:eastAsia="en-US"/>
        </w:rPr>
        <w:t>la P</w:t>
      </w:r>
      <w:r w:rsidRPr="00B1523A">
        <w:rPr>
          <w:rFonts w:eastAsia="Calibri"/>
          <w:sz w:val="16"/>
          <w:szCs w:val="16"/>
          <w:lang w:val="es-MX" w:eastAsia="en-US"/>
        </w:rPr>
        <w:t xml:space="preserve">rotección de los </w:t>
      </w:r>
      <w:r>
        <w:rPr>
          <w:rFonts w:eastAsia="Calibri"/>
          <w:sz w:val="16"/>
          <w:szCs w:val="16"/>
          <w:lang w:val="es-MX" w:eastAsia="en-US"/>
        </w:rPr>
        <w:t>D</w:t>
      </w:r>
      <w:r w:rsidRPr="00B1523A">
        <w:rPr>
          <w:rFonts w:eastAsia="Calibri"/>
          <w:sz w:val="16"/>
          <w:szCs w:val="16"/>
          <w:lang w:val="es-MX" w:eastAsia="en-US"/>
        </w:rPr>
        <w:t xml:space="preserve">erechos </w:t>
      </w:r>
      <w:r>
        <w:rPr>
          <w:rFonts w:eastAsia="Calibri"/>
          <w:sz w:val="16"/>
          <w:szCs w:val="16"/>
          <w:lang w:val="es-MX" w:eastAsia="en-US"/>
        </w:rPr>
        <w:t>H</w:t>
      </w:r>
      <w:r w:rsidRPr="00B1523A">
        <w:rPr>
          <w:rFonts w:eastAsia="Calibri"/>
          <w:sz w:val="16"/>
          <w:szCs w:val="16"/>
          <w:lang w:val="es-MX" w:eastAsia="en-US"/>
        </w:rPr>
        <w:t xml:space="preserve">umanos de las </w:t>
      </w:r>
      <w:r>
        <w:rPr>
          <w:rFonts w:eastAsia="Calibri"/>
          <w:sz w:val="16"/>
          <w:szCs w:val="16"/>
          <w:lang w:val="es-MX" w:eastAsia="en-US"/>
        </w:rPr>
        <w:t>P</w:t>
      </w:r>
      <w:r w:rsidRPr="00B1523A">
        <w:rPr>
          <w:rFonts w:eastAsia="Calibri"/>
          <w:sz w:val="16"/>
          <w:szCs w:val="16"/>
          <w:lang w:val="es-MX" w:eastAsia="en-US"/>
        </w:rPr>
        <w:t xml:space="preserve">ersonas </w:t>
      </w:r>
      <w:r>
        <w:rPr>
          <w:rFonts w:eastAsia="Calibri"/>
          <w:sz w:val="16"/>
          <w:szCs w:val="16"/>
          <w:lang w:val="es-MX" w:eastAsia="en-US"/>
        </w:rPr>
        <w:t>M</w:t>
      </w:r>
      <w:r w:rsidRPr="00B1523A">
        <w:rPr>
          <w:rFonts w:eastAsia="Calibri"/>
          <w:sz w:val="16"/>
          <w:szCs w:val="16"/>
          <w:lang w:val="es-MX" w:eastAsia="en-US"/>
        </w:rPr>
        <w:t>ayores, Adoptada el 15 de junio de 2015</w:t>
      </w:r>
      <w:r w:rsidRPr="00F07A3A">
        <w:rPr>
          <w:rFonts w:eastAsia="Calibri"/>
          <w:sz w:val="16"/>
          <w:szCs w:val="16"/>
          <w:lang w:val="es-MX" w:eastAsia="en-US"/>
        </w:rPr>
        <w:t xml:space="preserve"> por la</w:t>
      </w:r>
      <w:r w:rsidRPr="00B1523A">
        <w:rPr>
          <w:rFonts w:eastAsia="Calibri"/>
          <w:sz w:val="16"/>
          <w:szCs w:val="16"/>
          <w:lang w:val="es-MX" w:eastAsia="en-US"/>
        </w:rPr>
        <w:t xml:space="preserve"> Asamblea General de la OEA. Entrada en vigencia el 11 de enero de 2017. No obstante, </w:t>
      </w:r>
      <w:r w:rsidRPr="00B1523A">
        <w:rPr>
          <w:rFonts w:eastAsia="Calibri"/>
          <w:sz w:val="16"/>
          <w:szCs w:val="16"/>
          <w:lang w:val="es-MX"/>
        </w:rPr>
        <w:t>por razones de temporalidad, el citado dispositivo no resulta exigible en relación con los hechos del caso en análisis</w:t>
      </w:r>
      <w:r w:rsidRPr="00B1523A">
        <w:rPr>
          <w:rFonts w:eastAsia="Calibri"/>
          <w:sz w:val="16"/>
          <w:szCs w:val="16"/>
        </w:rPr>
        <w:t>.</w:t>
      </w:r>
    </w:p>
  </w:footnote>
  <w:footnote w:id="116">
    <w:p w14:paraId="49A0E61E" w14:textId="4F39BC08" w:rsidR="003C025E" w:rsidRPr="000C1FFD" w:rsidRDefault="003C025E" w:rsidP="002570D1">
      <w:pPr>
        <w:pStyle w:val="FootnoteText"/>
        <w:rPr>
          <w:sz w:val="16"/>
          <w:szCs w:val="16"/>
        </w:rPr>
      </w:pPr>
      <w:r w:rsidRPr="00F07A3A">
        <w:rPr>
          <w:rStyle w:val="FootnoteReference"/>
          <w:sz w:val="16"/>
          <w:szCs w:val="16"/>
        </w:rPr>
        <w:footnoteRef/>
      </w:r>
      <w:r w:rsidRPr="00B1523A">
        <w:rPr>
          <w:sz w:val="16"/>
          <w:szCs w:val="16"/>
        </w:rPr>
        <w:tab/>
      </w:r>
      <w:r w:rsidRPr="007C6211">
        <w:rPr>
          <w:sz w:val="16"/>
          <w:szCs w:val="16"/>
        </w:rPr>
        <w:t>Artículo 26.  Desarrollo Progresivo. Los Estados Partes se comprometen a adoptar providencias, tanto a nivel interno como mediante la cooperación internacional, especialmente económica y técnica, para lograr progresivamente la plena efectivida</w:t>
      </w:r>
      <w:r w:rsidRPr="004C2823">
        <w:rPr>
          <w:sz w:val="16"/>
          <w:szCs w:val="16"/>
        </w:rPr>
        <w:t>d de los derechos que se derivan de las normas económicas, sociales y sobre educación, ciencia y cultura, contenidas en la Carta de la Organización de los Estados Americanos, reformada por el Protocolo de Buenos Aires, en la medida de los recursos disponib</w:t>
      </w:r>
      <w:r w:rsidRPr="000C1FFD">
        <w:rPr>
          <w:sz w:val="16"/>
          <w:szCs w:val="16"/>
        </w:rPr>
        <w:t>les, por vía legislativa u otros medios apropiados ∞.</w:t>
      </w:r>
    </w:p>
  </w:footnote>
  <w:footnote w:id="117">
    <w:p w14:paraId="3CA8E0D2" w14:textId="0C9CC46C" w:rsidR="003C025E" w:rsidRPr="00F07A3A" w:rsidRDefault="003C025E" w:rsidP="002570D1">
      <w:pPr>
        <w:pStyle w:val="FootnoteText"/>
        <w:rPr>
          <w:sz w:val="16"/>
          <w:szCs w:val="16"/>
          <w:lang w:val="es-CR"/>
        </w:rPr>
      </w:pPr>
      <w:r w:rsidRPr="004C2823">
        <w:rPr>
          <w:rStyle w:val="FootnoteReference"/>
          <w:sz w:val="16"/>
          <w:szCs w:val="16"/>
        </w:rPr>
        <w:footnoteRef/>
      </w:r>
      <w:r w:rsidRPr="00B1523A">
        <w:rPr>
          <w:sz w:val="16"/>
          <w:szCs w:val="16"/>
        </w:rPr>
        <w:tab/>
      </w:r>
      <w:r w:rsidRPr="00F07A3A">
        <w:rPr>
          <w:sz w:val="16"/>
          <w:szCs w:val="16"/>
        </w:rPr>
        <w:t>Artículo 4.</w:t>
      </w:r>
      <w:r w:rsidRPr="007C6211">
        <w:rPr>
          <w:sz w:val="16"/>
          <w:szCs w:val="16"/>
        </w:rPr>
        <w:t xml:space="preserve"> Derecho a la vida. </w:t>
      </w:r>
      <w:r w:rsidRPr="004C2823">
        <w:rPr>
          <w:sz w:val="16"/>
          <w:szCs w:val="16"/>
        </w:rPr>
        <w:t xml:space="preserve">1. Toda persona tiene derecho a que se respete su vida. </w:t>
      </w:r>
      <w:r w:rsidRPr="00F07A3A">
        <w:rPr>
          <w:sz w:val="16"/>
          <w:szCs w:val="16"/>
        </w:rPr>
        <w:t>Este derecho estará protegido por la ley y, en general, a partir del momento de la concepción.  Nadie puede ser privado de la vida arbitrariamente […].</w:t>
      </w:r>
    </w:p>
  </w:footnote>
  <w:footnote w:id="118">
    <w:p w14:paraId="35C59C8D" w14:textId="1E7A901A" w:rsidR="003C025E" w:rsidRPr="00F07A3A" w:rsidRDefault="003C025E" w:rsidP="002570D1">
      <w:pPr>
        <w:pStyle w:val="FootnoteText"/>
        <w:rPr>
          <w:sz w:val="16"/>
          <w:szCs w:val="16"/>
          <w:lang w:val="es-CR"/>
        </w:rPr>
      </w:pPr>
      <w:r w:rsidRPr="004C2823">
        <w:rPr>
          <w:rStyle w:val="FootnoteReference"/>
          <w:sz w:val="16"/>
          <w:szCs w:val="16"/>
        </w:rPr>
        <w:footnoteRef/>
      </w:r>
      <w:r w:rsidRPr="004C2823">
        <w:rPr>
          <w:sz w:val="16"/>
          <w:szCs w:val="16"/>
        </w:rPr>
        <w:t xml:space="preserve">        </w:t>
      </w:r>
      <w:r w:rsidRPr="00F07A3A">
        <w:rPr>
          <w:sz w:val="16"/>
          <w:szCs w:val="16"/>
        </w:rPr>
        <w:t>Artículo 5. Derecho a la integridad personal. 1. Toda persona tiene derecho a que se respete su integridad física, psíquica y moral […].</w:t>
      </w:r>
    </w:p>
  </w:footnote>
  <w:footnote w:id="119">
    <w:p w14:paraId="791392E7" w14:textId="5B6E2361" w:rsidR="003C025E" w:rsidRPr="00F07A3A" w:rsidRDefault="003C025E" w:rsidP="002570D1">
      <w:pPr>
        <w:pStyle w:val="FootnoteText"/>
        <w:rPr>
          <w:sz w:val="16"/>
          <w:szCs w:val="16"/>
          <w:lang w:val="es-MX"/>
        </w:rPr>
      </w:pPr>
      <w:r w:rsidRPr="004C2823">
        <w:rPr>
          <w:rStyle w:val="FootnoteReference"/>
          <w:sz w:val="16"/>
          <w:szCs w:val="16"/>
        </w:rPr>
        <w:footnoteRef/>
      </w:r>
      <w:r w:rsidRPr="004C2823">
        <w:rPr>
          <w:sz w:val="16"/>
          <w:szCs w:val="16"/>
        </w:rPr>
        <w:t xml:space="preserve">        </w:t>
      </w:r>
      <w:r w:rsidRPr="00F07A3A">
        <w:rPr>
          <w:sz w:val="16"/>
          <w:szCs w:val="16"/>
        </w:rPr>
        <w:t>Artículo 13. Libertad de Pensamiento y Expresión.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 […].</w:t>
      </w:r>
    </w:p>
  </w:footnote>
  <w:footnote w:id="120">
    <w:p w14:paraId="7EF7A545" w14:textId="3CEDECF4" w:rsidR="003C025E" w:rsidRPr="00F07A3A" w:rsidRDefault="003C025E" w:rsidP="002570D1">
      <w:pPr>
        <w:pStyle w:val="FootnoteText"/>
        <w:rPr>
          <w:sz w:val="16"/>
          <w:szCs w:val="16"/>
          <w:lang w:val="es-CR"/>
        </w:rPr>
      </w:pPr>
      <w:r w:rsidRPr="004C2823">
        <w:rPr>
          <w:rStyle w:val="FootnoteReference"/>
          <w:sz w:val="16"/>
          <w:szCs w:val="16"/>
        </w:rPr>
        <w:footnoteRef/>
      </w:r>
      <w:r w:rsidRPr="00B1523A">
        <w:rPr>
          <w:sz w:val="16"/>
          <w:szCs w:val="16"/>
        </w:rPr>
        <w:tab/>
      </w:r>
      <w:r w:rsidRPr="00F07A3A">
        <w:rPr>
          <w:rFonts w:cs="Tahoma"/>
          <w:color w:val="000000"/>
          <w:sz w:val="16"/>
          <w:szCs w:val="16"/>
        </w:rPr>
        <w:t xml:space="preserve">Artículo 11. </w:t>
      </w:r>
      <w:r w:rsidRPr="007C6211">
        <w:rPr>
          <w:rFonts w:cs="Tahoma"/>
          <w:color w:val="000000"/>
          <w:sz w:val="16"/>
          <w:szCs w:val="16"/>
        </w:rPr>
        <w:t xml:space="preserve">Protección de la honra y de la dignidad. </w:t>
      </w:r>
      <w:r w:rsidRPr="004C2823">
        <w:rPr>
          <w:rFonts w:cs="Tahoma"/>
          <w:color w:val="000000"/>
          <w:sz w:val="16"/>
          <w:szCs w:val="16"/>
        </w:rPr>
        <w:t>1. Toda persona tiene derecho al respeto de su honra y al reconocimiento de su dignidad</w:t>
      </w:r>
      <w:r w:rsidRPr="00F07A3A">
        <w:rPr>
          <w:rFonts w:cs="Tahoma"/>
          <w:color w:val="000000"/>
          <w:sz w:val="16"/>
          <w:szCs w:val="16"/>
        </w:rPr>
        <w:t xml:space="preserve"> </w:t>
      </w:r>
      <w:r w:rsidRPr="00F07A3A">
        <w:rPr>
          <w:sz w:val="16"/>
          <w:szCs w:val="16"/>
        </w:rPr>
        <w:t>[…].</w:t>
      </w:r>
    </w:p>
  </w:footnote>
  <w:footnote w:id="121">
    <w:p w14:paraId="7D8C43EB" w14:textId="0EA81BFE" w:rsidR="003C025E" w:rsidRPr="000C1FFD" w:rsidRDefault="003C025E" w:rsidP="002570D1">
      <w:pPr>
        <w:pStyle w:val="FootnoteText"/>
        <w:rPr>
          <w:sz w:val="16"/>
          <w:szCs w:val="16"/>
          <w:lang w:val="es-CR"/>
        </w:rPr>
      </w:pPr>
      <w:r w:rsidRPr="004C2823">
        <w:rPr>
          <w:rStyle w:val="FootnoteReference"/>
          <w:sz w:val="16"/>
          <w:szCs w:val="16"/>
        </w:rPr>
        <w:footnoteRef/>
      </w:r>
      <w:r w:rsidRPr="00B1523A">
        <w:rPr>
          <w:sz w:val="16"/>
          <w:szCs w:val="16"/>
        </w:rPr>
        <w:tab/>
      </w:r>
      <w:r w:rsidRPr="00F07A3A">
        <w:rPr>
          <w:sz w:val="16"/>
          <w:szCs w:val="16"/>
        </w:rPr>
        <w:t xml:space="preserve">Artículo 7. </w:t>
      </w:r>
      <w:r w:rsidRPr="007C6211">
        <w:rPr>
          <w:sz w:val="16"/>
          <w:szCs w:val="16"/>
        </w:rPr>
        <w:t xml:space="preserve">Derecho a la libertad personal. </w:t>
      </w:r>
      <w:r w:rsidRPr="004C2823">
        <w:rPr>
          <w:sz w:val="16"/>
          <w:szCs w:val="16"/>
        </w:rPr>
        <w:t>1. Toda persona tiene derecho a la libertad y a la seguridad personal […].</w:t>
      </w:r>
    </w:p>
  </w:footnote>
  <w:footnote w:id="122">
    <w:p w14:paraId="09169851" w14:textId="6C10A4A2" w:rsidR="003C025E" w:rsidRPr="00F07A3A" w:rsidRDefault="003C025E" w:rsidP="002570D1">
      <w:pPr>
        <w:pStyle w:val="FootnoteText"/>
        <w:rPr>
          <w:sz w:val="16"/>
          <w:szCs w:val="16"/>
          <w:lang w:val="es-HN"/>
        </w:rPr>
      </w:pPr>
      <w:r w:rsidRPr="004C2823">
        <w:rPr>
          <w:rStyle w:val="FootnoteReference"/>
          <w:sz w:val="16"/>
          <w:szCs w:val="16"/>
        </w:rPr>
        <w:footnoteRef/>
      </w:r>
      <w:r w:rsidRPr="00B1523A">
        <w:rPr>
          <w:sz w:val="16"/>
          <w:szCs w:val="16"/>
        </w:rPr>
        <w:tab/>
      </w:r>
      <w:r w:rsidRPr="00F07A3A">
        <w:rPr>
          <w:sz w:val="16"/>
          <w:szCs w:val="16"/>
        </w:rPr>
        <w:t>Artículo</w:t>
      </w:r>
      <w:r w:rsidRPr="007C6211">
        <w:rPr>
          <w:sz w:val="16"/>
          <w:szCs w:val="16"/>
        </w:rPr>
        <w:t xml:space="preserve"> 8</w:t>
      </w:r>
      <w:r w:rsidRPr="004C2823">
        <w:rPr>
          <w:sz w:val="16"/>
          <w:szCs w:val="16"/>
        </w:rPr>
        <w:t>. Garantías judiciales</w:t>
      </w:r>
      <w:r w:rsidRPr="00F07A3A">
        <w:rPr>
          <w:sz w:val="16"/>
          <w:szCs w:val="16"/>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123">
    <w:p w14:paraId="42DE1E56" w14:textId="10965BCA" w:rsidR="003C025E" w:rsidRPr="00F07A3A" w:rsidRDefault="003C025E" w:rsidP="002570D1">
      <w:pPr>
        <w:pStyle w:val="FootnoteText"/>
        <w:rPr>
          <w:sz w:val="16"/>
          <w:szCs w:val="16"/>
          <w:lang w:val="es-HN"/>
        </w:rPr>
      </w:pPr>
      <w:r w:rsidRPr="004C2823">
        <w:rPr>
          <w:rStyle w:val="FootnoteReference"/>
          <w:sz w:val="16"/>
          <w:szCs w:val="16"/>
        </w:rPr>
        <w:footnoteRef/>
      </w:r>
      <w:r w:rsidRPr="00B1523A">
        <w:rPr>
          <w:sz w:val="16"/>
          <w:szCs w:val="16"/>
        </w:rPr>
        <w:tab/>
      </w:r>
      <w:r w:rsidRPr="00F07A3A">
        <w:rPr>
          <w:sz w:val="16"/>
          <w:szCs w:val="16"/>
          <w:lang w:val="es-HN"/>
        </w:rPr>
        <w:t xml:space="preserve">Artículo </w:t>
      </w:r>
      <w:r w:rsidRPr="007C6211">
        <w:rPr>
          <w:sz w:val="16"/>
          <w:szCs w:val="16"/>
        </w:rPr>
        <w:t>25</w:t>
      </w:r>
      <w:r w:rsidRPr="004C2823">
        <w:rPr>
          <w:sz w:val="16"/>
          <w:szCs w:val="16"/>
        </w:rPr>
        <w:t>.</w:t>
      </w:r>
      <w:r w:rsidRPr="000C1FFD">
        <w:rPr>
          <w:sz w:val="16"/>
          <w:szCs w:val="16"/>
        </w:rPr>
        <w:t xml:space="preserve"> P</w:t>
      </w:r>
      <w:r w:rsidRPr="00F07A3A">
        <w:rPr>
          <w:sz w:val="16"/>
          <w:szCs w:val="16"/>
        </w:rPr>
        <w:t>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124">
    <w:p w14:paraId="5E3EAAF2" w14:textId="108F0CE7" w:rsidR="003C025E" w:rsidRPr="002570D1" w:rsidRDefault="003C025E" w:rsidP="002570D1">
      <w:pPr>
        <w:pStyle w:val="FootnoteText"/>
        <w:rPr>
          <w:sz w:val="16"/>
          <w:szCs w:val="16"/>
        </w:rPr>
      </w:pPr>
      <w:r w:rsidRPr="004C2823">
        <w:rPr>
          <w:rStyle w:val="FootnoteReference"/>
          <w:sz w:val="16"/>
          <w:szCs w:val="16"/>
        </w:rPr>
        <w:footnoteRef/>
      </w:r>
      <w:r w:rsidRPr="004C2823">
        <w:rPr>
          <w:sz w:val="16"/>
          <w:szCs w:val="16"/>
        </w:rPr>
        <w:t xml:space="preserve"> </w:t>
      </w:r>
      <w:r>
        <w:rPr>
          <w:sz w:val="16"/>
          <w:szCs w:val="16"/>
        </w:rPr>
        <w:tab/>
      </w:r>
      <w:r w:rsidRPr="00F07A3A">
        <w:rPr>
          <w:sz w:val="16"/>
          <w:szCs w:val="16"/>
        </w:rPr>
        <w:t>El artículo 1.1 de la Convención establece que [l]os Estados […] se comprometen a respetar los derechos y libertades reconocidos en ella y a garantizar su libre y pleno ejercicio a toda persona que esté sujeta a su jurisdicción […].</w:t>
      </w:r>
    </w:p>
  </w:footnote>
  <w:footnote w:id="125">
    <w:p w14:paraId="253100B9" w14:textId="557CCCD3" w:rsidR="003C025E" w:rsidRPr="002729B7" w:rsidRDefault="003C025E">
      <w:pPr>
        <w:pStyle w:val="FootnoteText"/>
        <w:rPr>
          <w:sz w:val="16"/>
          <w:szCs w:val="16"/>
        </w:rPr>
      </w:pPr>
      <w:r w:rsidRPr="002729B7">
        <w:rPr>
          <w:rStyle w:val="FootnoteReference"/>
          <w:sz w:val="16"/>
          <w:szCs w:val="16"/>
        </w:rPr>
        <w:footnoteRef/>
      </w:r>
      <w:r>
        <w:rPr>
          <w:sz w:val="16"/>
          <w:szCs w:val="16"/>
        </w:rPr>
        <w:tab/>
        <w:t xml:space="preserve">Tales como: </w:t>
      </w:r>
      <w:r w:rsidRPr="002729B7">
        <w:rPr>
          <w:rFonts w:eastAsia="Calibri"/>
          <w:sz w:val="16"/>
          <w:szCs w:val="16"/>
          <w:lang w:val="es-MX" w:eastAsia="en-US"/>
        </w:rPr>
        <w:t>el Código de Ética del Colegio de Médicos de Chile</w:t>
      </w:r>
      <w:r>
        <w:rPr>
          <w:rFonts w:eastAsia="Calibri"/>
          <w:sz w:val="16"/>
          <w:szCs w:val="16"/>
          <w:lang w:val="es-MX" w:eastAsia="en-US"/>
        </w:rPr>
        <w:t>;</w:t>
      </w:r>
      <w:r w:rsidRPr="002729B7">
        <w:rPr>
          <w:rFonts w:eastAsia="Calibri"/>
          <w:sz w:val="16"/>
          <w:szCs w:val="16"/>
          <w:lang w:val="es-MX" w:eastAsia="en-US"/>
        </w:rPr>
        <w:t xml:space="preserve"> el Decreto </w:t>
      </w:r>
      <w:r>
        <w:rPr>
          <w:rFonts w:eastAsia="Calibri"/>
          <w:sz w:val="16"/>
          <w:szCs w:val="16"/>
          <w:lang w:val="es-MX" w:eastAsia="en-US"/>
        </w:rPr>
        <w:t>S</w:t>
      </w:r>
      <w:r w:rsidRPr="002729B7">
        <w:rPr>
          <w:rFonts w:eastAsia="Calibri"/>
          <w:sz w:val="16"/>
          <w:szCs w:val="16"/>
          <w:lang w:val="es-MX" w:eastAsia="en-US"/>
        </w:rPr>
        <w:t xml:space="preserve">upremo </w:t>
      </w:r>
      <w:r>
        <w:rPr>
          <w:rFonts w:eastAsia="Calibri"/>
          <w:sz w:val="16"/>
          <w:szCs w:val="16"/>
          <w:lang w:val="es-MX" w:eastAsia="en-US"/>
        </w:rPr>
        <w:t>N</w:t>
      </w:r>
      <w:r w:rsidRPr="002729B7">
        <w:rPr>
          <w:rFonts w:eastAsia="Calibri"/>
          <w:sz w:val="16"/>
          <w:szCs w:val="16"/>
          <w:lang w:val="es-MX" w:eastAsia="en-US"/>
        </w:rPr>
        <w:t>úm</w:t>
      </w:r>
      <w:r>
        <w:rPr>
          <w:rFonts w:eastAsia="Calibri"/>
          <w:sz w:val="16"/>
          <w:szCs w:val="16"/>
          <w:lang w:val="es-MX" w:eastAsia="en-US"/>
        </w:rPr>
        <w:t>.</w:t>
      </w:r>
      <w:r w:rsidRPr="002729B7">
        <w:rPr>
          <w:rFonts w:eastAsia="Calibri"/>
          <w:sz w:val="16"/>
          <w:szCs w:val="16"/>
          <w:lang w:val="es-MX" w:eastAsia="en-US"/>
        </w:rPr>
        <w:t xml:space="preserve"> 42</w:t>
      </w:r>
      <w:r>
        <w:rPr>
          <w:rFonts w:eastAsia="Calibri"/>
          <w:sz w:val="16"/>
          <w:szCs w:val="16"/>
          <w:lang w:val="es-MX" w:eastAsia="en-US"/>
        </w:rPr>
        <w:t>,</w:t>
      </w:r>
      <w:r w:rsidRPr="002729B7">
        <w:rPr>
          <w:rFonts w:eastAsia="Calibri"/>
          <w:sz w:val="16"/>
          <w:szCs w:val="16"/>
          <w:lang w:val="es-MX" w:eastAsia="en-US"/>
        </w:rPr>
        <w:t xml:space="preserve"> derogado en el año 2005</w:t>
      </w:r>
      <w:r>
        <w:rPr>
          <w:rFonts w:eastAsia="Calibri"/>
          <w:sz w:val="16"/>
          <w:szCs w:val="16"/>
          <w:lang w:val="es-MX" w:eastAsia="en-US"/>
        </w:rPr>
        <w:t>,</w:t>
      </w:r>
      <w:r w:rsidRPr="002729B7">
        <w:rPr>
          <w:rFonts w:eastAsia="Calibri"/>
          <w:sz w:val="16"/>
          <w:szCs w:val="16"/>
          <w:lang w:val="es-MX" w:eastAsia="en-US"/>
        </w:rPr>
        <w:t xml:space="preserve"> y la “Carta de Derechos al Paciente”, elaborada por el Fondo Nacional de Salud en conjunto con el Ministerio de Salud. Estos instrumentos incluían la obligación de los médicos de contar con el consentimiento expreso de parte de los pacientes o sus familiares, </w:t>
      </w:r>
      <w:r w:rsidRPr="002729B7">
        <w:rPr>
          <w:rFonts w:eastAsia="Calibri" w:cs="Arial-ItalicMT"/>
          <w:iCs/>
          <w:sz w:val="16"/>
          <w:szCs w:val="16"/>
          <w:lang w:val="es-MX" w:eastAsia="en-US"/>
        </w:rPr>
        <w:t>lo que hacía inexcusable la omisión de los médicos en el presente caso.</w:t>
      </w:r>
    </w:p>
  </w:footnote>
  <w:footnote w:id="126">
    <w:p w14:paraId="63F587E1" w14:textId="18C24712" w:rsidR="003C025E" w:rsidRPr="002570D1" w:rsidRDefault="003C025E" w:rsidP="002570D1">
      <w:pPr>
        <w:pStyle w:val="FootnoteText"/>
        <w:rPr>
          <w:color w:val="000000"/>
          <w:sz w:val="16"/>
          <w:szCs w:val="16"/>
          <w:lang w:val="es-ES"/>
        </w:rPr>
      </w:pPr>
      <w:r w:rsidRPr="002570D1">
        <w:rPr>
          <w:rStyle w:val="FootnoteReference"/>
          <w:color w:val="000000"/>
          <w:sz w:val="16"/>
          <w:szCs w:val="16"/>
        </w:rPr>
        <w:footnoteRef/>
      </w:r>
      <w:r>
        <w:rPr>
          <w:color w:val="000000"/>
          <w:sz w:val="16"/>
          <w:szCs w:val="16"/>
          <w:lang w:val="es-MX"/>
        </w:rPr>
        <w:t xml:space="preserve">     </w:t>
      </w:r>
      <w:r w:rsidRPr="002570D1">
        <w:rPr>
          <w:i/>
          <w:sz w:val="16"/>
          <w:szCs w:val="16"/>
          <w:lang w:val="es-MX"/>
        </w:rPr>
        <w:t>Caso Lagos del Campo Vs. Perú. Excepciones Preliminares, Fondo, Reparaciones y Costas</w:t>
      </w:r>
      <w:r w:rsidRPr="002570D1">
        <w:rPr>
          <w:sz w:val="16"/>
          <w:szCs w:val="16"/>
          <w:lang w:val="es-MX"/>
        </w:rPr>
        <w:t xml:space="preserve">. Sentencia de 31 de agosto de 2017. Serie C No. 340, </w:t>
      </w:r>
      <w:proofErr w:type="spellStart"/>
      <w:r w:rsidRPr="002570D1">
        <w:rPr>
          <w:sz w:val="16"/>
          <w:szCs w:val="16"/>
          <w:lang w:val="es-MX"/>
        </w:rPr>
        <w:t>párr</w:t>
      </w:r>
      <w:r>
        <w:rPr>
          <w:sz w:val="16"/>
          <w:szCs w:val="16"/>
          <w:lang w:val="es-MX"/>
        </w:rPr>
        <w:t>s</w:t>
      </w:r>
      <w:proofErr w:type="spellEnd"/>
      <w:r w:rsidRPr="002570D1">
        <w:rPr>
          <w:sz w:val="16"/>
          <w:szCs w:val="16"/>
          <w:lang w:val="es-MX"/>
        </w:rPr>
        <w:t>. 142</w:t>
      </w:r>
      <w:r>
        <w:rPr>
          <w:sz w:val="16"/>
          <w:szCs w:val="16"/>
          <w:lang w:val="es-MX"/>
        </w:rPr>
        <w:t xml:space="preserve"> y 145</w:t>
      </w:r>
      <w:r w:rsidRPr="002570D1">
        <w:rPr>
          <w:sz w:val="16"/>
          <w:szCs w:val="16"/>
          <w:lang w:val="es-MX"/>
        </w:rPr>
        <w:t>.</w:t>
      </w:r>
      <w:r w:rsidRPr="00D315EA">
        <w:rPr>
          <w:i/>
          <w:color w:val="000000"/>
          <w:sz w:val="16"/>
          <w:szCs w:val="16"/>
          <w:highlight w:val="yellow"/>
          <w:lang w:val="es-MX"/>
        </w:rPr>
        <w:t xml:space="preserve"> </w:t>
      </w:r>
    </w:p>
  </w:footnote>
  <w:footnote w:id="127">
    <w:p w14:paraId="5D6AB84D" w14:textId="702D3E80" w:rsidR="003C025E" w:rsidRPr="000B2169" w:rsidRDefault="003C025E" w:rsidP="0059117C">
      <w:pPr>
        <w:pStyle w:val="Heading3"/>
        <w:ind w:left="0"/>
        <w:rPr>
          <w:sz w:val="16"/>
          <w:szCs w:val="16"/>
          <w:lang w:val="es-MX"/>
        </w:rPr>
      </w:pPr>
      <w:r w:rsidRPr="00B1523A">
        <w:rPr>
          <w:rStyle w:val="FootnoteReference"/>
          <w:i w:val="0"/>
          <w:color w:val="000000"/>
          <w:sz w:val="16"/>
          <w:szCs w:val="16"/>
        </w:rPr>
        <w:footnoteRef/>
      </w:r>
      <w:r w:rsidRPr="00B1523A">
        <w:rPr>
          <w:rStyle w:val="FootnoteReference"/>
          <w:i w:val="0"/>
          <w:color w:val="000000"/>
          <w:sz w:val="16"/>
          <w:szCs w:val="16"/>
          <w:lang w:val="es-MX"/>
        </w:rPr>
        <w:t xml:space="preserve"> </w:t>
      </w:r>
      <w:r w:rsidRPr="002570D1">
        <w:rPr>
          <w:sz w:val="16"/>
          <w:szCs w:val="16"/>
          <w:lang w:val="es-MX"/>
        </w:rPr>
        <w:t xml:space="preserve">   </w:t>
      </w:r>
      <w:r>
        <w:rPr>
          <w:sz w:val="16"/>
          <w:szCs w:val="16"/>
          <w:lang w:val="es-MX"/>
        </w:rPr>
        <w:tab/>
      </w:r>
      <w:r w:rsidRPr="00062586">
        <w:rPr>
          <w:color w:val="000000"/>
          <w:sz w:val="16"/>
          <w:szCs w:val="16"/>
          <w:lang w:val="es-MX"/>
        </w:rPr>
        <w:t>Cfr.</w:t>
      </w:r>
      <w:r w:rsidRPr="00C27894">
        <w:rPr>
          <w:sz w:val="16"/>
          <w:szCs w:val="16"/>
          <w:lang w:val="es-AR"/>
        </w:rPr>
        <w:t xml:space="preserve"> </w:t>
      </w:r>
      <w:r w:rsidRPr="00C27894">
        <w:rPr>
          <w:color w:val="000000"/>
          <w:sz w:val="16"/>
          <w:szCs w:val="16"/>
          <w:lang w:val="es-MX"/>
        </w:rPr>
        <w:t>Caso Acevedo Buendía y otros (“Cesantes y Jubilados de la Contraloría”) Vs. Perú. Excepción Preliminar, Fondo, Reparaciones y Costas</w:t>
      </w:r>
      <w:r w:rsidRPr="00B1523A">
        <w:rPr>
          <w:i w:val="0"/>
          <w:color w:val="000000"/>
          <w:sz w:val="16"/>
          <w:szCs w:val="16"/>
          <w:lang w:val="es-MX"/>
        </w:rPr>
        <w:t>. Sentencia de 1 de julio de 2009 Serie C No</w:t>
      </w:r>
      <w:r>
        <w:rPr>
          <w:i w:val="0"/>
          <w:color w:val="000000"/>
          <w:sz w:val="16"/>
          <w:szCs w:val="16"/>
          <w:lang w:val="es-MX"/>
        </w:rPr>
        <w:t xml:space="preserve"> 198</w:t>
      </w:r>
      <w:r w:rsidRPr="00B1523A">
        <w:rPr>
          <w:i w:val="0"/>
          <w:sz w:val="16"/>
          <w:szCs w:val="16"/>
        </w:rPr>
        <w:t xml:space="preserve">, </w:t>
      </w:r>
      <w:r w:rsidRPr="00B1523A">
        <w:rPr>
          <w:i w:val="0"/>
          <w:color w:val="000000"/>
          <w:sz w:val="16"/>
          <w:szCs w:val="16"/>
        </w:rPr>
        <w:t>párr. 16, 17 y 100</w:t>
      </w:r>
      <w:r>
        <w:rPr>
          <w:i w:val="0"/>
          <w:color w:val="000000"/>
          <w:sz w:val="16"/>
          <w:szCs w:val="16"/>
        </w:rPr>
        <w:t>, y</w:t>
      </w:r>
      <w:r>
        <w:rPr>
          <w:sz w:val="16"/>
          <w:szCs w:val="16"/>
          <w:lang w:val="es-AR"/>
        </w:rPr>
        <w:t xml:space="preserve"> </w:t>
      </w:r>
      <w:r w:rsidRPr="008B0574">
        <w:rPr>
          <w:sz w:val="16"/>
          <w:szCs w:val="16"/>
          <w:lang w:val="es-MX"/>
        </w:rPr>
        <w:t>Caso Lagos del Campo Vs. Perú,</w:t>
      </w:r>
      <w:r w:rsidRPr="008B0574">
        <w:rPr>
          <w:i w:val="0"/>
          <w:sz w:val="16"/>
          <w:szCs w:val="16"/>
          <w:lang w:val="es-MX"/>
        </w:rPr>
        <w:t xml:space="preserve"> </w:t>
      </w:r>
      <w:r>
        <w:rPr>
          <w:sz w:val="16"/>
          <w:szCs w:val="16"/>
          <w:lang w:val="es-MX"/>
        </w:rPr>
        <w:t xml:space="preserve">supra, </w:t>
      </w:r>
      <w:r w:rsidRPr="008B0574">
        <w:rPr>
          <w:i w:val="0"/>
          <w:sz w:val="16"/>
          <w:szCs w:val="16"/>
          <w:lang w:val="es-MX"/>
        </w:rPr>
        <w:t>párr. 154.</w:t>
      </w:r>
      <w:r>
        <w:rPr>
          <w:i w:val="0"/>
          <w:sz w:val="16"/>
          <w:szCs w:val="16"/>
          <w:lang w:val="es-MX"/>
        </w:rPr>
        <w:t xml:space="preserve"> </w:t>
      </w:r>
    </w:p>
  </w:footnote>
  <w:footnote w:id="128">
    <w:p w14:paraId="622D3B96" w14:textId="3879C924" w:rsidR="003C025E" w:rsidRDefault="003C025E" w:rsidP="00B92B58">
      <w:pPr>
        <w:pStyle w:val="Heading3"/>
        <w:ind w:left="0"/>
        <w:rPr>
          <w:i w:val="0"/>
          <w:sz w:val="16"/>
          <w:szCs w:val="16"/>
          <w:lang w:val="es-MX"/>
        </w:rPr>
      </w:pPr>
      <w:r w:rsidRPr="00B1523A">
        <w:rPr>
          <w:rStyle w:val="FootnoteReference"/>
          <w:i w:val="0"/>
          <w:color w:val="000000"/>
          <w:sz w:val="16"/>
          <w:szCs w:val="16"/>
        </w:rPr>
        <w:footnoteRef/>
      </w:r>
      <w:r w:rsidRPr="00B1523A">
        <w:rPr>
          <w:rStyle w:val="FootnoteReference"/>
          <w:i w:val="0"/>
          <w:color w:val="000000"/>
          <w:sz w:val="16"/>
          <w:szCs w:val="16"/>
          <w:lang w:val="es-AR"/>
        </w:rPr>
        <w:t xml:space="preserve">  </w:t>
      </w:r>
      <w:r w:rsidRPr="005A39DD">
        <w:rPr>
          <w:sz w:val="16"/>
          <w:szCs w:val="16"/>
          <w:lang w:val="es-AR"/>
        </w:rPr>
        <w:t xml:space="preserve">  </w:t>
      </w:r>
      <w:r>
        <w:rPr>
          <w:sz w:val="16"/>
          <w:szCs w:val="16"/>
          <w:lang w:val="es-AR"/>
        </w:rPr>
        <w:tab/>
      </w:r>
      <w:r w:rsidRPr="00062586">
        <w:rPr>
          <w:sz w:val="16"/>
          <w:szCs w:val="16"/>
          <w:lang w:val="es-AR"/>
        </w:rPr>
        <w:t>Cfr.</w:t>
      </w:r>
      <w:r w:rsidRPr="005A39DD">
        <w:rPr>
          <w:sz w:val="16"/>
          <w:szCs w:val="16"/>
          <w:lang w:val="es-AR"/>
        </w:rPr>
        <w:t xml:space="preserve"> </w:t>
      </w:r>
      <w:r w:rsidRPr="008B0574">
        <w:rPr>
          <w:sz w:val="16"/>
          <w:szCs w:val="16"/>
          <w:lang w:val="es-MX"/>
        </w:rPr>
        <w:t>Caso Lagos del Campo Vs. Perú,</w:t>
      </w:r>
      <w:r w:rsidRPr="008B0574">
        <w:rPr>
          <w:i w:val="0"/>
          <w:sz w:val="16"/>
          <w:szCs w:val="16"/>
          <w:lang w:val="es-MX"/>
        </w:rPr>
        <w:t xml:space="preserve"> </w:t>
      </w:r>
      <w:r>
        <w:rPr>
          <w:bCs/>
          <w:sz w:val="16"/>
          <w:szCs w:val="16"/>
        </w:rPr>
        <w:t>supra</w:t>
      </w:r>
      <w:r w:rsidRPr="00875847">
        <w:rPr>
          <w:bCs/>
          <w:sz w:val="16"/>
          <w:szCs w:val="16"/>
        </w:rPr>
        <w:t>,</w:t>
      </w:r>
      <w:r>
        <w:rPr>
          <w:bCs/>
          <w:sz w:val="16"/>
          <w:szCs w:val="16"/>
        </w:rPr>
        <w:t xml:space="preserve"> </w:t>
      </w:r>
      <w:proofErr w:type="spellStart"/>
      <w:r w:rsidRPr="008B0574">
        <w:rPr>
          <w:i w:val="0"/>
          <w:sz w:val="16"/>
          <w:szCs w:val="16"/>
          <w:lang w:val="es-MX"/>
        </w:rPr>
        <w:t>párr</w:t>
      </w:r>
      <w:r>
        <w:rPr>
          <w:i w:val="0"/>
          <w:sz w:val="16"/>
          <w:szCs w:val="16"/>
          <w:lang w:val="es-MX"/>
        </w:rPr>
        <w:t>s</w:t>
      </w:r>
      <w:proofErr w:type="spellEnd"/>
      <w:r w:rsidRPr="008B0574">
        <w:rPr>
          <w:i w:val="0"/>
          <w:sz w:val="16"/>
          <w:szCs w:val="16"/>
          <w:lang w:val="es-MX"/>
        </w:rPr>
        <w:t>.</w:t>
      </w:r>
      <w:r>
        <w:rPr>
          <w:i w:val="0"/>
          <w:sz w:val="16"/>
          <w:szCs w:val="16"/>
          <w:lang w:val="es-MX"/>
        </w:rPr>
        <w:t xml:space="preserve"> </w:t>
      </w:r>
      <w:r w:rsidRPr="005415CD">
        <w:rPr>
          <w:i w:val="0"/>
          <w:sz w:val="16"/>
          <w:szCs w:val="16"/>
          <w:lang w:val="es-MX"/>
        </w:rPr>
        <w:t>142 y 154.</w:t>
      </w:r>
      <w:r>
        <w:rPr>
          <w:i w:val="0"/>
          <w:sz w:val="16"/>
          <w:szCs w:val="16"/>
          <w:lang w:val="es-MX"/>
        </w:rPr>
        <w:t xml:space="preserve"> </w:t>
      </w:r>
    </w:p>
    <w:p w14:paraId="7C53CC9E" w14:textId="054FEE52" w:rsidR="003C025E" w:rsidRPr="00C26032" w:rsidRDefault="003C025E" w:rsidP="0071485A">
      <w:pPr>
        <w:pStyle w:val="Heading3"/>
        <w:ind w:left="0"/>
        <w:rPr>
          <w:i w:val="0"/>
          <w:sz w:val="16"/>
          <w:szCs w:val="16"/>
        </w:rPr>
      </w:pPr>
      <w:r>
        <w:rPr>
          <w:i w:val="0"/>
          <w:sz w:val="16"/>
          <w:szCs w:val="16"/>
          <w:lang w:val="es-AR"/>
        </w:rPr>
        <w:t>Párr. 142</w:t>
      </w:r>
      <w:proofErr w:type="gramStart"/>
      <w:r>
        <w:rPr>
          <w:i w:val="0"/>
          <w:sz w:val="16"/>
          <w:szCs w:val="16"/>
          <w:lang w:val="es-AR"/>
        </w:rPr>
        <w:t>. ”</w:t>
      </w:r>
      <w:proofErr w:type="gramEnd"/>
      <w:r w:rsidRPr="005430FF">
        <w:rPr>
          <w:i w:val="0"/>
          <w:sz w:val="16"/>
          <w:szCs w:val="16"/>
          <w:lang w:val="es-AR"/>
        </w:rPr>
        <w:t xml:space="preserve">En </w:t>
      </w:r>
      <w:r>
        <w:rPr>
          <w:i w:val="0"/>
          <w:sz w:val="16"/>
          <w:szCs w:val="16"/>
          <w:lang w:val="es-AR"/>
        </w:rPr>
        <w:t>[</w:t>
      </w:r>
      <w:r w:rsidRPr="005430FF">
        <w:rPr>
          <w:i w:val="0"/>
          <w:sz w:val="16"/>
          <w:szCs w:val="16"/>
          <w:lang w:val="es-AR"/>
        </w:rPr>
        <w:t>este</w:t>
      </w:r>
      <w:r>
        <w:rPr>
          <w:i w:val="0"/>
          <w:sz w:val="16"/>
          <w:szCs w:val="16"/>
          <w:lang w:val="es-AR"/>
        </w:rPr>
        <w:t>]</w:t>
      </w:r>
      <w:r w:rsidRPr="005430FF">
        <w:rPr>
          <w:i w:val="0"/>
          <w:sz w:val="16"/>
          <w:szCs w:val="16"/>
          <w:lang w:val="es-AR"/>
        </w:rPr>
        <w:t xml:space="preserve"> sentido, el Tribunal </w:t>
      </w:r>
      <w:r>
        <w:rPr>
          <w:i w:val="0"/>
          <w:sz w:val="16"/>
          <w:szCs w:val="16"/>
          <w:lang w:val="es-AR"/>
        </w:rPr>
        <w:t>[</w:t>
      </w:r>
      <w:r w:rsidRPr="005430FF">
        <w:rPr>
          <w:i w:val="0"/>
          <w:sz w:val="16"/>
          <w:szCs w:val="16"/>
          <w:lang w:val="es-AR"/>
        </w:rPr>
        <w:t>sostuvo</w:t>
      </w:r>
      <w:r>
        <w:rPr>
          <w:i w:val="0"/>
          <w:sz w:val="16"/>
          <w:szCs w:val="16"/>
          <w:lang w:val="es-AR"/>
        </w:rPr>
        <w:t>]</w:t>
      </w:r>
      <w:r w:rsidRPr="005430FF">
        <w:rPr>
          <w:i w:val="0"/>
          <w:sz w:val="16"/>
          <w:szCs w:val="16"/>
          <w:lang w:val="es-AR"/>
        </w:rPr>
        <w:t xml:space="preserve"> que los términos amplios en que está redactada la Convención indican que la Corte ejerce una jurisdicción plena sobre todos sus artículos y </w:t>
      </w:r>
      <w:r w:rsidRPr="0071485A">
        <w:rPr>
          <w:i w:val="0"/>
          <w:sz w:val="16"/>
          <w:szCs w:val="16"/>
          <w:lang w:val="es-AR"/>
        </w:rPr>
        <w:t xml:space="preserve">disposiciones. </w:t>
      </w:r>
      <w:r w:rsidRPr="005430FF">
        <w:rPr>
          <w:i w:val="0"/>
          <w:sz w:val="16"/>
          <w:szCs w:val="16"/>
          <w:lang w:val="es-AR"/>
        </w:rPr>
        <w:t xml:space="preserve">Asimismo, resulta pertinente notar que si bien el artículo 26 se encuentra en el capítulo III de la Convención, titulado </w:t>
      </w:r>
      <w:r>
        <w:rPr>
          <w:i w:val="0"/>
          <w:sz w:val="16"/>
          <w:szCs w:val="16"/>
          <w:lang w:val="es-AR"/>
        </w:rPr>
        <w:t>‘</w:t>
      </w:r>
      <w:r w:rsidRPr="005430FF">
        <w:rPr>
          <w:i w:val="0"/>
          <w:sz w:val="16"/>
          <w:szCs w:val="16"/>
          <w:lang w:val="es-AR"/>
        </w:rPr>
        <w:t>Derechos Económicos, Sociales y Culturales</w:t>
      </w:r>
      <w:r>
        <w:rPr>
          <w:i w:val="0"/>
          <w:sz w:val="16"/>
          <w:szCs w:val="16"/>
          <w:lang w:val="es-AR"/>
        </w:rPr>
        <w:t>’</w:t>
      </w:r>
      <w:r w:rsidRPr="005430FF">
        <w:rPr>
          <w:i w:val="0"/>
          <w:sz w:val="16"/>
          <w:szCs w:val="16"/>
          <w:lang w:val="es-AR"/>
        </w:rPr>
        <w:t xml:space="preserve">, se ubica también en la Parte I de dicho instrumento, titulado </w:t>
      </w:r>
      <w:r>
        <w:rPr>
          <w:i w:val="0"/>
          <w:sz w:val="16"/>
          <w:szCs w:val="16"/>
          <w:lang w:val="es-AR"/>
        </w:rPr>
        <w:t>‘</w:t>
      </w:r>
      <w:r w:rsidRPr="005430FF">
        <w:rPr>
          <w:i w:val="0"/>
          <w:sz w:val="16"/>
          <w:szCs w:val="16"/>
          <w:lang w:val="es-AR"/>
        </w:rPr>
        <w:t>Deberes de los Estados y Derechos Protegidos</w:t>
      </w:r>
      <w:r>
        <w:rPr>
          <w:i w:val="0"/>
          <w:sz w:val="16"/>
          <w:szCs w:val="16"/>
          <w:lang w:val="es-AR"/>
        </w:rPr>
        <w:t>’</w:t>
      </w:r>
      <w:r w:rsidRPr="005430FF">
        <w:rPr>
          <w:i w:val="0"/>
          <w:sz w:val="16"/>
          <w:szCs w:val="16"/>
          <w:lang w:val="es-AR"/>
        </w:rPr>
        <w:t xml:space="preserve"> y, por ende, está sujeto a las obligaciones generales contenidas en los artículos 1.1 y 2 señalados en el capítulo I (titulado </w:t>
      </w:r>
      <w:r>
        <w:rPr>
          <w:i w:val="0"/>
          <w:sz w:val="16"/>
          <w:szCs w:val="16"/>
          <w:lang w:val="es-AR"/>
        </w:rPr>
        <w:t>‘</w:t>
      </w:r>
      <w:r w:rsidRPr="005430FF">
        <w:rPr>
          <w:i w:val="0"/>
          <w:sz w:val="16"/>
          <w:szCs w:val="16"/>
          <w:lang w:val="es-AR"/>
        </w:rPr>
        <w:t>Enumeración de Deberes</w:t>
      </w:r>
      <w:r>
        <w:rPr>
          <w:i w:val="0"/>
          <w:sz w:val="16"/>
          <w:szCs w:val="16"/>
          <w:lang w:val="es-AR"/>
        </w:rPr>
        <w:t>’</w:t>
      </w:r>
      <w:r w:rsidRPr="005430FF">
        <w:rPr>
          <w:i w:val="0"/>
          <w:sz w:val="16"/>
          <w:szCs w:val="16"/>
          <w:lang w:val="es-AR"/>
        </w:rPr>
        <w:t xml:space="preserve">), así como lo están los artículos 3 al 25 señalados en el capítulo II (titulado </w:t>
      </w:r>
      <w:r>
        <w:rPr>
          <w:i w:val="0"/>
          <w:sz w:val="16"/>
          <w:szCs w:val="16"/>
          <w:lang w:val="es-AR"/>
        </w:rPr>
        <w:t>‘</w:t>
      </w:r>
      <w:r w:rsidRPr="005430FF">
        <w:rPr>
          <w:i w:val="0"/>
          <w:sz w:val="16"/>
          <w:szCs w:val="16"/>
          <w:lang w:val="es-AR"/>
        </w:rPr>
        <w:t>Derechos Civiles y Políticos</w:t>
      </w:r>
      <w:r>
        <w:rPr>
          <w:i w:val="0"/>
          <w:sz w:val="16"/>
          <w:szCs w:val="16"/>
          <w:lang w:val="es-AR"/>
        </w:rPr>
        <w:t>’</w:t>
      </w:r>
      <w:r w:rsidRPr="005430FF">
        <w:rPr>
          <w:i w:val="0"/>
          <w:sz w:val="16"/>
          <w:szCs w:val="16"/>
          <w:lang w:val="es-AR"/>
        </w:rPr>
        <w:t>)</w:t>
      </w:r>
      <w:r>
        <w:rPr>
          <w:i w:val="0"/>
          <w:sz w:val="16"/>
          <w:szCs w:val="16"/>
          <w:lang w:val="es-AR"/>
        </w:rPr>
        <w:t>”.</w:t>
      </w:r>
      <w:r w:rsidRPr="0071485A">
        <w:rPr>
          <w:i w:val="0"/>
          <w:sz w:val="16"/>
          <w:szCs w:val="16"/>
          <w:lang w:val="es-CR"/>
        </w:rPr>
        <w:t xml:space="preserve"> </w:t>
      </w:r>
      <w:r w:rsidRPr="00B1523A">
        <w:rPr>
          <w:sz w:val="16"/>
          <w:szCs w:val="16"/>
          <w:lang w:val="es-CR"/>
        </w:rPr>
        <w:t>Cfr.</w:t>
      </w:r>
      <w:r>
        <w:rPr>
          <w:i w:val="0"/>
          <w:sz w:val="16"/>
          <w:szCs w:val="16"/>
          <w:lang w:val="es-CR"/>
        </w:rPr>
        <w:t xml:space="preserve"> </w:t>
      </w:r>
      <w:r w:rsidRPr="00B1523A">
        <w:rPr>
          <w:sz w:val="16"/>
          <w:szCs w:val="16"/>
          <w:lang w:val="es-CR"/>
        </w:rPr>
        <w:t>Caso Acevedo Buendía y otros (“Cesantes y Jubilados de la Contraloría”) Vs. Perú</w:t>
      </w:r>
      <w:r w:rsidRPr="002570D1">
        <w:rPr>
          <w:i w:val="0"/>
          <w:sz w:val="16"/>
          <w:szCs w:val="16"/>
          <w:lang w:val="es-CR"/>
        </w:rPr>
        <w:t xml:space="preserve">, </w:t>
      </w:r>
      <w:r w:rsidRPr="00062586">
        <w:rPr>
          <w:sz w:val="16"/>
          <w:szCs w:val="16"/>
          <w:lang w:val="es-CR"/>
        </w:rPr>
        <w:t>supra</w:t>
      </w:r>
      <w:r w:rsidRPr="002570D1">
        <w:rPr>
          <w:sz w:val="16"/>
          <w:szCs w:val="16"/>
          <w:lang w:val="es-CR"/>
        </w:rPr>
        <w:t xml:space="preserve">, </w:t>
      </w:r>
      <w:r w:rsidRPr="00B1523A">
        <w:rPr>
          <w:i w:val="0"/>
          <w:sz w:val="16"/>
          <w:szCs w:val="16"/>
          <w:lang w:val="es-CR"/>
        </w:rPr>
        <w:t>párr. 100</w:t>
      </w:r>
      <w:r>
        <w:rPr>
          <w:i w:val="0"/>
          <w:sz w:val="16"/>
          <w:szCs w:val="16"/>
          <w:lang w:val="es-CR"/>
        </w:rPr>
        <w:t>, y</w:t>
      </w:r>
      <w:r>
        <w:rPr>
          <w:sz w:val="16"/>
          <w:szCs w:val="16"/>
          <w:lang w:val="es-CR"/>
        </w:rPr>
        <w:t xml:space="preserve"> </w:t>
      </w:r>
      <w:r w:rsidRPr="00B1523A">
        <w:rPr>
          <w:i w:val="0"/>
          <w:sz w:val="16"/>
          <w:szCs w:val="16"/>
          <w:lang w:val="es-CR"/>
        </w:rPr>
        <w:t>ONU. Comité de Derechos Económicos, Sociales y Culturales,</w:t>
      </w:r>
      <w:r w:rsidRPr="002570D1">
        <w:rPr>
          <w:sz w:val="16"/>
          <w:szCs w:val="16"/>
          <w:lang w:val="es-CR"/>
        </w:rPr>
        <w:t xml:space="preserve"> </w:t>
      </w:r>
      <w:r w:rsidRPr="00B1523A">
        <w:rPr>
          <w:sz w:val="16"/>
          <w:szCs w:val="16"/>
          <w:lang w:val="es-CR"/>
        </w:rPr>
        <w:t>Observación General N</w:t>
      </w:r>
      <w:r w:rsidRPr="00B1523A">
        <w:rPr>
          <w:sz w:val="16"/>
          <w:szCs w:val="16"/>
          <w:vertAlign w:val="superscript"/>
          <w:lang w:val="es-CR"/>
        </w:rPr>
        <w:t>o</w:t>
      </w:r>
      <w:r w:rsidRPr="00B1523A">
        <w:rPr>
          <w:sz w:val="16"/>
          <w:szCs w:val="16"/>
          <w:lang w:val="es-CR"/>
        </w:rPr>
        <w:t xml:space="preserve"> 13</w:t>
      </w:r>
      <w:r>
        <w:rPr>
          <w:sz w:val="16"/>
          <w:szCs w:val="16"/>
          <w:lang w:val="es-CR"/>
        </w:rPr>
        <w:t>:</w:t>
      </w:r>
      <w:r w:rsidRPr="002570D1">
        <w:rPr>
          <w:sz w:val="16"/>
          <w:szCs w:val="16"/>
          <w:lang w:val="es-CR"/>
        </w:rPr>
        <w:t xml:space="preserve"> </w:t>
      </w:r>
      <w:r w:rsidRPr="005415CD">
        <w:rPr>
          <w:sz w:val="16"/>
          <w:szCs w:val="16"/>
          <w:lang w:val="es-CR"/>
        </w:rPr>
        <w:t xml:space="preserve">El derecho a la educación (artículo 13 del Pacto), </w:t>
      </w:r>
      <w:r w:rsidRPr="005415CD">
        <w:rPr>
          <w:i w:val="0"/>
          <w:sz w:val="16"/>
          <w:szCs w:val="16"/>
          <w:lang w:val="es-CR"/>
        </w:rPr>
        <w:t>U.N Doc. E/C.12/1999/10,</w:t>
      </w:r>
      <w:r w:rsidRPr="005415CD">
        <w:rPr>
          <w:sz w:val="16"/>
          <w:szCs w:val="16"/>
          <w:lang w:val="es-CR"/>
        </w:rPr>
        <w:t xml:space="preserve"> </w:t>
      </w:r>
      <w:r w:rsidRPr="005415CD">
        <w:rPr>
          <w:i w:val="0"/>
          <w:sz w:val="16"/>
          <w:szCs w:val="16"/>
          <w:lang w:val="es-CR"/>
        </w:rPr>
        <w:t>8 de diciembre de 1999, párr. 50.</w:t>
      </w:r>
    </w:p>
  </w:footnote>
  <w:footnote w:id="129">
    <w:p w14:paraId="35DDD584" w14:textId="39411C10" w:rsidR="003C025E" w:rsidRPr="00AB1E03" w:rsidRDefault="003C025E" w:rsidP="0071485A">
      <w:pPr>
        <w:pStyle w:val="FootnoteText"/>
        <w:rPr>
          <w:strike/>
          <w:sz w:val="16"/>
          <w:szCs w:val="16"/>
          <w:lang w:val="es-GT"/>
        </w:rPr>
      </w:pPr>
      <w:r w:rsidRPr="00C26032">
        <w:rPr>
          <w:rStyle w:val="FootnoteReference"/>
          <w:rFonts w:eastAsia="Calibri"/>
          <w:color w:val="000000"/>
          <w:sz w:val="16"/>
          <w:szCs w:val="16"/>
          <w:lang w:eastAsia="en-US"/>
        </w:rPr>
        <w:footnoteRef/>
      </w:r>
      <w:r w:rsidRPr="005415CD">
        <w:rPr>
          <w:sz w:val="16"/>
          <w:szCs w:val="16"/>
          <w:lang w:val="es-GT"/>
        </w:rPr>
        <w:t xml:space="preserve"> </w:t>
      </w:r>
      <w:r w:rsidRPr="005415CD">
        <w:rPr>
          <w:sz w:val="16"/>
          <w:szCs w:val="16"/>
          <w:lang w:val="es-GT"/>
        </w:rPr>
        <w:tab/>
      </w:r>
      <w:r w:rsidRPr="005415CD">
        <w:rPr>
          <w:i/>
          <w:sz w:val="16"/>
          <w:szCs w:val="16"/>
        </w:rPr>
        <w:t xml:space="preserve">Cfr. </w:t>
      </w:r>
      <w:r w:rsidRPr="005415CD">
        <w:rPr>
          <w:i/>
          <w:sz w:val="16"/>
          <w:szCs w:val="16"/>
          <w:lang w:val="es-GT"/>
        </w:rPr>
        <w:t>Caso Lagos del Campo Vs. Perú</w:t>
      </w:r>
      <w:r w:rsidRPr="005415CD">
        <w:rPr>
          <w:sz w:val="16"/>
          <w:szCs w:val="16"/>
          <w:lang w:val="es-GT"/>
        </w:rPr>
        <w:t xml:space="preserve">, </w:t>
      </w:r>
      <w:r w:rsidRPr="005415CD">
        <w:rPr>
          <w:i/>
          <w:sz w:val="16"/>
          <w:szCs w:val="16"/>
          <w:lang w:val="es-GT"/>
        </w:rPr>
        <w:t>supra</w:t>
      </w:r>
      <w:r w:rsidRPr="005415CD">
        <w:rPr>
          <w:sz w:val="16"/>
          <w:szCs w:val="16"/>
          <w:lang w:val="es-GT"/>
        </w:rPr>
        <w:t xml:space="preserve">, párr. 141; </w:t>
      </w:r>
      <w:r w:rsidRPr="005415CD">
        <w:rPr>
          <w:i/>
          <w:sz w:val="16"/>
          <w:szCs w:val="16"/>
          <w:lang w:val="es-GT"/>
        </w:rPr>
        <w:t>Caso Acevedo Buendía y otros (“Cesantes y Jubilados de la Contraloría”) Vs. Perú</w:t>
      </w:r>
      <w:r w:rsidRPr="005415CD">
        <w:rPr>
          <w:sz w:val="16"/>
          <w:szCs w:val="16"/>
          <w:lang w:val="es-GT"/>
        </w:rPr>
        <w:t xml:space="preserve">, </w:t>
      </w:r>
      <w:r w:rsidRPr="005415CD">
        <w:rPr>
          <w:i/>
          <w:sz w:val="16"/>
          <w:szCs w:val="16"/>
          <w:lang w:val="es-GT"/>
        </w:rPr>
        <w:t>supra</w:t>
      </w:r>
      <w:r w:rsidRPr="005415CD">
        <w:rPr>
          <w:sz w:val="16"/>
          <w:szCs w:val="16"/>
          <w:lang w:val="es-GT"/>
        </w:rPr>
        <w:t xml:space="preserve">, párr. 101. Ver también </w:t>
      </w:r>
      <w:r w:rsidRPr="005415CD">
        <w:rPr>
          <w:i/>
          <w:sz w:val="16"/>
          <w:szCs w:val="16"/>
          <w:lang w:val="es-GT"/>
        </w:rPr>
        <w:t>Caso Suárez Peralta Vs. Ecuador. Excepciones Preliminares, Fondo, Reparaciones y Costas.</w:t>
      </w:r>
      <w:r w:rsidRPr="005415CD">
        <w:rPr>
          <w:sz w:val="16"/>
          <w:szCs w:val="16"/>
          <w:lang w:val="es-GT"/>
        </w:rPr>
        <w:t xml:space="preserve"> Sentencia de 21 de mayo de 2013. Serie C No. 261, párr. 131; </w:t>
      </w:r>
      <w:r w:rsidRPr="005415CD">
        <w:rPr>
          <w:i/>
          <w:sz w:val="16"/>
          <w:szCs w:val="16"/>
          <w:lang w:val="es-GT"/>
        </w:rPr>
        <w:t xml:space="preserve">Caso Gonzales </w:t>
      </w:r>
      <w:proofErr w:type="spellStart"/>
      <w:r w:rsidRPr="005415CD">
        <w:rPr>
          <w:i/>
          <w:sz w:val="16"/>
          <w:szCs w:val="16"/>
          <w:lang w:val="es-GT"/>
        </w:rPr>
        <w:t>Lluy</w:t>
      </w:r>
      <w:proofErr w:type="spellEnd"/>
      <w:r w:rsidRPr="005415CD">
        <w:rPr>
          <w:i/>
          <w:sz w:val="16"/>
          <w:szCs w:val="16"/>
          <w:lang w:val="es-GT"/>
        </w:rPr>
        <w:t xml:space="preserve"> y otros Vs. Ecuador. Excepciones Preliminares, Fondo, Reparaciones y Costas</w:t>
      </w:r>
      <w:r w:rsidRPr="005415CD">
        <w:rPr>
          <w:sz w:val="16"/>
          <w:szCs w:val="16"/>
          <w:lang w:val="es-GT"/>
        </w:rPr>
        <w:t xml:space="preserve">. Sentencia de 1 de septiembre de 2015. Serie C No. 298, párr. 172; </w:t>
      </w:r>
      <w:r w:rsidRPr="005415CD">
        <w:rPr>
          <w:i/>
          <w:sz w:val="16"/>
          <w:szCs w:val="16"/>
          <w:lang w:val="es-CR"/>
        </w:rPr>
        <w:t xml:space="preserve">Opinión Consultiva </w:t>
      </w:r>
      <w:r w:rsidRPr="005415CD">
        <w:rPr>
          <w:i/>
          <w:sz w:val="16"/>
          <w:szCs w:val="16"/>
        </w:rPr>
        <w:t>OC-23/17</w:t>
      </w:r>
      <w:r w:rsidRPr="005415CD">
        <w:rPr>
          <w:sz w:val="16"/>
          <w:szCs w:val="16"/>
        </w:rPr>
        <w:t xml:space="preserve"> de 15 de noviembre de 2017. Serie A No. 23, </w:t>
      </w:r>
      <w:proofErr w:type="spellStart"/>
      <w:r w:rsidRPr="005415CD">
        <w:rPr>
          <w:sz w:val="16"/>
          <w:szCs w:val="16"/>
        </w:rPr>
        <w:t>párrs</w:t>
      </w:r>
      <w:proofErr w:type="spellEnd"/>
      <w:r w:rsidRPr="005415CD">
        <w:rPr>
          <w:sz w:val="16"/>
          <w:szCs w:val="16"/>
        </w:rPr>
        <w:t>. 47, 51, 52 y 54, 57</w:t>
      </w:r>
      <w:r>
        <w:rPr>
          <w:sz w:val="16"/>
          <w:szCs w:val="16"/>
        </w:rPr>
        <w:t xml:space="preserve">. </w:t>
      </w:r>
      <w:r w:rsidRPr="005415CD">
        <w:rPr>
          <w:sz w:val="16"/>
          <w:szCs w:val="16"/>
          <w:lang w:val="es-GT"/>
        </w:rPr>
        <w:t xml:space="preserve">En el mismo sentido: </w:t>
      </w:r>
      <w:r w:rsidRPr="005415CD">
        <w:rPr>
          <w:i/>
          <w:sz w:val="16"/>
          <w:szCs w:val="16"/>
          <w:lang w:val="es-GT"/>
        </w:rPr>
        <w:t>Cfr.</w:t>
      </w:r>
      <w:r w:rsidRPr="005415CD">
        <w:rPr>
          <w:sz w:val="16"/>
          <w:szCs w:val="16"/>
          <w:lang w:val="es-GT"/>
        </w:rPr>
        <w:t xml:space="preserve"> ONU. Comité de Derechos Económicos, Sociales y Culturales, </w:t>
      </w:r>
      <w:r w:rsidRPr="005415CD">
        <w:rPr>
          <w:i/>
          <w:sz w:val="16"/>
          <w:szCs w:val="16"/>
          <w:lang w:val="es-GT"/>
        </w:rPr>
        <w:t>Observación General No 9: “La aplicación interna del Pacto”</w:t>
      </w:r>
      <w:r w:rsidRPr="005415CD">
        <w:rPr>
          <w:sz w:val="16"/>
          <w:szCs w:val="16"/>
          <w:lang w:val="es-GT"/>
        </w:rPr>
        <w:t>, U.N. Doc. E/C.12/1998/24, 3 de diciembre de 1998, párr. 10. Véanse también: TEDH</w:t>
      </w:r>
      <w:r w:rsidRPr="005415CD">
        <w:rPr>
          <w:i/>
          <w:sz w:val="16"/>
          <w:szCs w:val="16"/>
          <w:lang w:val="es-GT"/>
        </w:rPr>
        <w:t xml:space="preserve">, Caso </w:t>
      </w:r>
      <w:proofErr w:type="spellStart"/>
      <w:r w:rsidRPr="005415CD">
        <w:rPr>
          <w:i/>
          <w:sz w:val="16"/>
          <w:szCs w:val="16"/>
          <w:lang w:val="es-GT"/>
        </w:rPr>
        <w:t>Airey</w:t>
      </w:r>
      <w:proofErr w:type="spellEnd"/>
      <w:r w:rsidRPr="005415CD">
        <w:rPr>
          <w:i/>
          <w:sz w:val="16"/>
          <w:szCs w:val="16"/>
          <w:lang w:val="es-GT"/>
        </w:rPr>
        <w:t xml:space="preserve"> Vs. Irlanda</w:t>
      </w:r>
      <w:r w:rsidRPr="005415CD">
        <w:rPr>
          <w:sz w:val="16"/>
          <w:szCs w:val="16"/>
          <w:lang w:val="es-GT"/>
        </w:rPr>
        <w:t xml:space="preserve">, No. 6289/73. Sentencia de 9 de octubre de 1979, párr. 26, y </w:t>
      </w:r>
      <w:r w:rsidRPr="005415CD">
        <w:rPr>
          <w:i/>
          <w:sz w:val="16"/>
          <w:szCs w:val="16"/>
          <w:lang w:val="es-GT"/>
        </w:rPr>
        <w:t xml:space="preserve">Caso </w:t>
      </w:r>
      <w:proofErr w:type="spellStart"/>
      <w:r w:rsidRPr="005415CD">
        <w:rPr>
          <w:i/>
          <w:sz w:val="16"/>
          <w:szCs w:val="16"/>
          <w:lang w:val="es-GT"/>
        </w:rPr>
        <w:t>Sidabras</w:t>
      </w:r>
      <w:proofErr w:type="spellEnd"/>
      <w:r w:rsidRPr="005415CD">
        <w:rPr>
          <w:i/>
          <w:sz w:val="16"/>
          <w:szCs w:val="16"/>
          <w:lang w:val="es-GT"/>
        </w:rPr>
        <w:t xml:space="preserve"> y</w:t>
      </w:r>
      <w:r w:rsidRPr="002570D1">
        <w:rPr>
          <w:i/>
          <w:sz w:val="16"/>
          <w:szCs w:val="16"/>
          <w:lang w:val="es-GT"/>
        </w:rPr>
        <w:t xml:space="preserve"> </w:t>
      </w:r>
      <w:proofErr w:type="spellStart"/>
      <w:r w:rsidRPr="002570D1">
        <w:rPr>
          <w:i/>
          <w:sz w:val="16"/>
          <w:szCs w:val="16"/>
          <w:lang w:val="es-GT"/>
        </w:rPr>
        <w:t>Dziautas</w:t>
      </w:r>
      <w:proofErr w:type="spellEnd"/>
      <w:r w:rsidRPr="002570D1">
        <w:rPr>
          <w:i/>
          <w:sz w:val="16"/>
          <w:szCs w:val="16"/>
          <w:lang w:val="es-GT"/>
        </w:rPr>
        <w:t xml:space="preserve"> Vs. Lituania</w:t>
      </w:r>
      <w:r w:rsidRPr="002570D1">
        <w:rPr>
          <w:sz w:val="16"/>
          <w:szCs w:val="16"/>
          <w:lang w:val="es-GT"/>
        </w:rPr>
        <w:t>, Nos. 55480/00 y 59330/00. Sentencia de 27 de julio de 2004, párr. 47</w:t>
      </w:r>
      <w:r>
        <w:rPr>
          <w:sz w:val="16"/>
          <w:szCs w:val="16"/>
          <w:lang w:val="es-GT"/>
        </w:rPr>
        <w:t>.</w:t>
      </w:r>
      <w:r w:rsidRPr="00AB1E03">
        <w:rPr>
          <w:b/>
          <w:sz w:val="16"/>
          <w:szCs w:val="16"/>
          <w:lang w:val="es-GT"/>
        </w:rPr>
        <w:t xml:space="preserve"> </w:t>
      </w:r>
      <w:r>
        <w:rPr>
          <w:sz w:val="16"/>
          <w:szCs w:val="16"/>
          <w:lang w:val="es-GT"/>
        </w:rPr>
        <w:t>Ver también: Declaración Americana de Derechos y Deberes del Hombre (arts. VI, VII, XI-XVI, XXI-XXIII); Declaración y Programa de Viena, suscrito en el marco de la Conferencia Mundial de Derechos Humanos celebrada por las Naciones Unidas en Viena, Austria, del 14 al 25 de junio de 1993; Carta Africana sobre los Derechos Humanos y de los Pueblos, aprobada el 27 de julio de 1981 durante la XVIII Asamblea de Jefes de Estado y Gobierno de la Organización de la Unidad Africana; Protocolo Facultativo del Pacto Internacional de DESC, aprobado por la Asamblea General de las Naciones Unidas el 10 de diciembre de 2008; Directrices de Maastricht sobre violaciones a los Derechos Económicos, Sociales y Culturales de 1997; Principios de Limburgo de 1986, relativos a la aplicación del Pacto Internacional de Derechos Económicos, Sociales y Culturales.</w:t>
      </w:r>
    </w:p>
  </w:footnote>
  <w:footnote w:id="130">
    <w:p w14:paraId="1A54F60F" w14:textId="5E7146FE" w:rsidR="003C025E" w:rsidRPr="00D96547" w:rsidRDefault="003C025E" w:rsidP="00517B6B">
      <w:pPr>
        <w:pStyle w:val="FootnoteText"/>
        <w:rPr>
          <w:sz w:val="16"/>
          <w:szCs w:val="16"/>
          <w:lang w:val="es-AR"/>
        </w:rPr>
      </w:pPr>
      <w:r w:rsidRPr="002570D1">
        <w:rPr>
          <w:rStyle w:val="FootnoteReference"/>
          <w:rFonts w:eastAsia="Calibri"/>
          <w:color w:val="000000"/>
          <w:sz w:val="16"/>
          <w:szCs w:val="16"/>
          <w:lang w:eastAsia="en-US"/>
        </w:rPr>
        <w:footnoteRef/>
      </w:r>
      <w:r>
        <w:rPr>
          <w:sz w:val="16"/>
          <w:szCs w:val="16"/>
        </w:rPr>
        <w:t xml:space="preserve"> </w:t>
      </w:r>
      <w:r>
        <w:rPr>
          <w:sz w:val="16"/>
          <w:szCs w:val="16"/>
        </w:rPr>
        <w:tab/>
      </w:r>
      <w:r w:rsidRPr="0059117C">
        <w:rPr>
          <w:rFonts w:eastAsia="Calibri"/>
          <w:sz w:val="16"/>
          <w:szCs w:val="16"/>
          <w:lang w:eastAsia="en-US"/>
        </w:rPr>
        <w:t xml:space="preserve">A saber: “[…] En este sentido el Tribunal recuerda que el contenido del artículo 26 de la Convención fue objeto de un intenso debate en los trabajos preparatorios de ésta, nacido del interés de los Estados por consignar una “mención directa” a los “derechos” económicos, sociales y culturales; </w:t>
      </w:r>
      <w:r>
        <w:rPr>
          <w:rFonts w:eastAsia="Calibri"/>
          <w:sz w:val="16"/>
          <w:szCs w:val="16"/>
          <w:lang w:eastAsia="en-US"/>
        </w:rPr>
        <w:t>‘</w:t>
      </w:r>
      <w:r w:rsidRPr="0059117C">
        <w:rPr>
          <w:rFonts w:eastAsia="Calibri"/>
          <w:sz w:val="16"/>
          <w:szCs w:val="16"/>
          <w:lang w:eastAsia="en-US"/>
        </w:rPr>
        <w:t>una disposición que establezca cierta obligatoriedad jurídica […] en su cumplimiento y aplicación</w:t>
      </w:r>
      <w:r>
        <w:rPr>
          <w:rFonts w:eastAsia="Calibri"/>
          <w:sz w:val="16"/>
          <w:szCs w:val="16"/>
          <w:lang w:eastAsia="en-US"/>
        </w:rPr>
        <w:t>’</w:t>
      </w:r>
      <w:r w:rsidRPr="0059117C">
        <w:rPr>
          <w:rFonts w:eastAsia="Calibri"/>
          <w:sz w:val="16"/>
          <w:szCs w:val="16"/>
          <w:lang w:eastAsia="en-US"/>
        </w:rPr>
        <w:t xml:space="preserve">; así como </w:t>
      </w:r>
      <w:r>
        <w:rPr>
          <w:rFonts w:eastAsia="Calibri"/>
          <w:sz w:val="16"/>
          <w:szCs w:val="16"/>
          <w:lang w:eastAsia="en-US"/>
        </w:rPr>
        <w:t>‘</w:t>
      </w:r>
      <w:r w:rsidRPr="0059117C">
        <w:rPr>
          <w:rFonts w:eastAsia="Calibri"/>
          <w:sz w:val="16"/>
          <w:szCs w:val="16"/>
          <w:lang w:eastAsia="en-US"/>
        </w:rPr>
        <w:t>los [respectivos] mecanismos [para su] promoción y protección</w:t>
      </w:r>
      <w:r>
        <w:rPr>
          <w:rFonts w:eastAsia="Calibri"/>
          <w:sz w:val="16"/>
          <w:szCs w:val="16"/>
          <w:lang w:eastAsia="en-US"/>
        </w:rPr>
        <w:t>’</w:t>
      </w:r>
      <w:r w:rsidRPr="0059117C">
        <w:rPr>
          <w:rFonts w:eastAsia="Calibri"/>
          <w:sz w:val="16"/>
          <w:szCs w:val="16"/>
          <w:lang w:eastAsia="en-US"/>
        </w:rPr>
        <w:t xml:space="preserve">, ya que el Anteproyecto de tratado elaborado por la Comisión Interamericana hacía referencia a aquellos en dos artículos que, de acuerdo con algunos Estados, sólo </w:t>
      </w:r>
      <w:r>
        <w:rPr>
          <w:rFonts w:eastAsia="Calibri"/>
          <w:sz w:val="16"/>
          <w:szCs w:val="16"/>
          <w:lang w:eastAsia="en-US"/>
        </w:rPr>
        <w:t>‘</w:t>
      </w:r>
      <w:proofErr w:type="spellStart"/>
      <w:r w:rsidRPr="0059117C">
        <w:rPr>
          <w:rFonts w:eastAsia="Calibri"/>
          <w:sz w:val="16"/>
          <w:szCs w:val="16"/>
          <w:lang w:eastAsia="en-US"/>
        </w:rPr>
        <w:t>recog</w:t>
      </w:r>
      <w:proofErr w:type="spellEnd"/>
      <w:r w:rsidRPr="0059117C">
        <w:rPr>
          <w:rFonts w:eastAsia="Calibri"/>
          <w:sz w:val="16"/>
          <w:szCs w:val="16"/>
          <w:lang w:eastAsia="en-US"/>
        </w:rPr>
        <w:t>[</w:t>
      </w:r>
      <w:proofErr w:type="spellStart"/>
      <w:r w:rsidRPr="0059117C">
        <w:rPr>
          <w:rFonts w:eastAsia="Calibri"/>
          <w:sz w:val="16"/>
          <w:szCs w:val="16"/>
          <w:lang w:eastAsia="en-US"/>
        </w:rPr>
        <w:t>ían</w:t>
      </w:r>
      <w:proofErr w:type="spellEnd"/>
      <w:r w:rsidRPr="0059117C">
        <w:rPr>
          <w:rFonts w:eastAsia="Calibri"/>
          <w:sz w:val="16"/>
          <w:szCs w:val="16"/>
          <w:lang w:eastAsia="en-US"/>
        </w:rPr>
        <w:t>] en un texto meramente declarativo, conclusiones establecidas en la Conferencia de Buenos Aires</w:t>
      </w:r>
      <w:r>
        <w:rPr>
          <w:rFonts w:eastAsia="Calibri"/>
          <w:sz w:val="16"/>
          <w:szCs w:val="16"/>
          <w:lang w:eastAsia="en-US"/>
        </w:rPr>
        <w:t>’</w:t>
      </w:r>
      <w:r w:rsidRPr="0059117C">
        <w:rPr>
          <w:rFonts w:eastAsia="Calibri"/>
          <w:sz w:val="16"/>
          <w:szCs w:val="16"/>
          <w:lang w:eastAsia="en-US"/>
        </w:rPr>
        <w:t xml:space="preserve">. </w:t>
      </w:r>
      <w:r w:rsidRPr="00B1523A">
        <w:rPr>
          <w:rFonts w:eastAsia="Calibri"/>
          <w:sz w:val="16"/>
          <w:szCs w:val="16"/>
          <w:lang w:eastAsia="en-US"/>
        </w:rPr>
        <w:t>La revisión de dichos trabajos preparatorios de la Convención demuestra también que las principales observaciones sobre la base de las cuales ésta fue aprobada pusieron especial énfasis en ‘dar a los derechos económicos, sociales y culturales la máxima protección compatible con las condiciones peculiares a la gran mayoría de los Estados Americanos’.</w:t>
      </w:r>
      <w:r w:rsidRPr="00765E3D">
        <w:rPr>
          <w:rFonts w:eastAsia="Calibri"/>
          <w:sz w:val="16"/>
          <w:szCs w:val="16"/>
          <w:lang w:eastAsia="en-US"/>
        </w:rPr>
        <w:t xml:space="preserve"> Así, como parte del debate en los trabajos</w:t>
      </w:r>
      <w:r w:rsidRPr="0059117C">
        <w:rPr>
          <w:rFonts w:eastAsia="Calibri"/>
          <w:sz w:val="16"/>
          <w:szCs w:val="16"/>
          <w:lang w:eastAsia="en-US"/>
        </w:rPr>
        <w:t xml:space="preserve"> preparatorios, también se propuso </w:t>
      </w:r>
      <w:proofErr w:type="gramStart"/>
      <w:r>
        <w:rPr>
          <w:rFonts w:eastAsia="Calibri"/>
          <w:sz w:val="16"/>
          <w:szCs w:val="16"/>
          <w:lang w:eastAsia="en-US"/>
        </w:rPr>
        <w:t>‘</w:t>
      </w:r>
      <w:proofErr w:type="spellStart"/>
      <w:r w:rsidRPr="0059117C">
        <w:rPr>
          <w:rFonts w:eastAsia="Calibri"/>
          <w:sz w:val="16"/>
          <w:szCs w:val="16"/>
          <w:lang w:eastAsia="en-US"/>
        </w:rPr>
        <w:t>hac</w:t>
      </w:r>
      <w:proofErr w:type="spellEnd"/>
      <w:r w:rsidRPr="0059117C">
        <w:rPr>
          <w:rFonts w:eastAsia="Calibri"/>
          <w:sz w:val="16"/>
          <w:szCs w:val="16"/>
          <w:lang w:eastAsia="en-US"/>
        </w:rPr>
        <w:t>[</w:t>
      </w:r>
      <w:proofErr w:type="spellStart"/>
      <w:proofErr w:type="gramEnd"/>
      <w:r w:rsidRPr="0059117C">
        <w:rPr>
          <w:rFonts w:eastAsia="Calibri"/>
          <w:sz w:val="16"/>
          <w:szCs w:val="16"/>
          <w:lang w:eastAsia="en-US"/>
        </w:rPr>
        <w:t>er</w:t>
      </w:r>
      <w:proofErr w:type="spellEnd"/>
      <w:r w:rsidRPr="0059117C">
        <w:rPr>
          <w:rFonts w:eastAsia="Calibri"/>
          <w:sz w:val="16"/>
          <w:szCs w:val="16"/>
          <w:lang w:eastAsia="en-US"/>
        </w:rPr>
        <w:t>] posible [la] ejecución [de dichos derechos] mediante la acción de los tribunales</w:t>
      </w:r>
      <w:r>
        <w:rPr>
          <w:rFonts w:eastAsia="Calibri"/>
          <w:sz w:val="16"/>
          <w:szCs w:val="16"/>
          <w:lang w:eastAsia="en-US"/>
        </w:rPr>
        <w:t>’”</w:t>
      </w:r>
      <w:r w:rsidRPr="0059117C">
        <w:rPr>
          <w:rFonts w:eastAsia="Calibri"/>
          <w:sz w:val="16"/>
          <w:szCs w:val="16"/>
          <w:lang w:eastAsia="en-US"/>
        </w:rPr>
        <w:t xml:space="preserve">. </w:t>
      </w:r>
      <w:r w:rsidRPr="00D96547">
        <w:rPr>
          <w:i/>
          <w:sz w:val="16"/>
          <w:szCs w:val="16"/>
          <w:lang w:val="es-GT"/>
        </w:rPr>
        <w:t>Caso Acevedo Buendía y otros (“Cesantes y Jubilados de la Contraloría”) Vs. Perú</w:t>
      </w:r>
      <w:r w:rsidRPr="00D96547">
        <w:rPr>
          <w:sz w:val="16"/>
          <w:szCs w:val="16"/>
          <w:lang w:val="es-GT"/>
        </w:rPr>
        <w:t xml:space="preserve">, </w:t>
      </w:r>
      <w:r w:rsidRPr="00062586">
        <w:rPr>
          <w:i/>
          <w:sz w:val="16"/>
          <w:szCs w:val="16"/>
          <w:lang w:val="es-GT"/>
        </w:rPr>
        <w:t>supra</w:t>
      </w:r>
      <w:r w:rsidRPr="00D96547">
        <w:rPr>
          <w:sz w:val="16"/>
          <w:szCs w:val="16"/>
          <w:lang w:val="es-GT"/>
        </w:rPr>
        <w:t xml:space="preserve">, párr. 99.  </w:t>
      </w:r>
    </w:p>
    <w:p w14:paraId="48704D67" w14:textId="2AC0E00B" w:rsidR="003C025E" w:rsidRPr="002570D1" w:rsidRDefault="003C025E" w:rsidP="00E85806">
      <w:pPr>
        <w:pStyle w:val="FootnoteText"/>
        <w:rPr>
          <w:sz w:val="16"/>
          <w:szCs w:val="16"/>
          <w:lang w:val="es-AR"/>
        </w:rPr>
      </w:pPr>
      <w:r>
        <w:rPr>
          <w:i/>
          <w:sz w:val="16"/>
          <w:szCs w:val="16"/>
          <w:lang w:val="es-AR"/>
        </w:rPr>
        <w:t xml:space="preserve">Cfr. </w:t>
      </w:r>
      <w:r>
        <w:rPr>
          <w:sz w:val="16"/>
          <w:szCs w:val="16"/>
          <w:lang w:val="es-AR"/>
        </w:rPr>
        <w:t xml:space="preserve">OEA, </w:t>
      </w:r>
      <w:r w:rsidRPr="00B1523A">
        <w:rPr>
          <w:i/>
          <w:sz w:val="16"/>
          <w:szCs w:val="16"/>
          <w:lang w:val="es-AR"/>
        </w:rPr>
        <w:t>Conferencia Especializada Interamericana sobre Derechos Humanos</w:t>
      </w:r>
      <w:r>
        <w:rPr>
          <w:sz w:val="16"/>
          <w:szCs w:val="16"/>
          <w:lang w:val="es-AR"/>
        </w:rPr>
        <w:t>.</w:t>
      </w:r>
      <w:r>
        <w:rPr>
          <w:i/>
          <w:sz w:val="16"/>
          <w:szCs w:val="16"/>
          <w:lang w:val="es-AR"/>
        </w:rPr>
        <w:t xml:space="preserve"> Actas y documentos, </w:t>
      </w:r>
      <w:r>
        <w:rPr>
          <w:sz w:val="16"/>
          <w:szCs w:val="16"/>
          <w:lang w:val="es-AR"/>
        </w:rPr>
        <w:t>OEA/</w:t>
      </w:r>
      <w:proofErr w:type="spellStart"/>
      <w:r w:rsidRPr="002570D1">
        <w:rPr>
          <w:sz w:val="16"/>
          <w:szCs w:val="16"/>
          <w:lang w:val="es-AR"/>
        </w:rPr>
        <w:t>Ser.K</w:t>
      </w:r>
      <w:proofErr w:type="spellEnd"/>
      <w:r w:rsidRPr="002570D1">
        <w:rPr>
          <w:sz w:val="16"/>
          <w:szCs w:val="16"/>
          <w:lang w:val="es-AR"/>
        </w:rPr>
        <w:t>/XVI/1.2</w:t>
      </w:r>
      <w:r>
        <w:rPr>
          <w:sz w:val="16"/>
          <w:szCs w:val="16"/>
          <w:lang w:val="es-AR"/>
        </w:rPr>
        <w:t xml:space="preserve"> (B-32), celebrada del 7 al 22 de noviembre de 1969 en </w:t>
      </w:r>
      <w:r w:rsidRPr="002570D1">
        <w:rPr>
          <w:sz w:val="16"/>
          <w:szCs w:val="16"/>
          <w:lang w:val="es-AR"/>
        </w:rPr>
        <w:t>Washington, DC</w:t>
      </w:r>
      <w:r>
        <w:rPr>
          <w:sz w:val="16"/>
          <w:szCs w:val="16"/>
          <w:lang w:val="es-AR"/>
        </w:rPr>
        <w:t xml:space="preserve">. </w:t>
      </w:r>
      <w:r w:rsidRPr="002570D1">
        <w:rPr>
          <w:sz w:val="16"/>
          <w:szCs w:val="16"/>
          <w:lang w:val="es-AR"/>
        </w:rPr>
        <w:t>El proyecto inicial contenía artículos relevantes en relación a los Derechos Económicos Sociales y Culturales</w:t>
      </w:r>
      <w:r>
        <w:rPr>
          <w:sz w:val="16"/>
          <w:szCs w:val="16"/>
          <w:lang w:val="es-AR"/>
        </w:rPr>
        <w:t xml:space="preserve">, </w:t>
      </w:r>
      <w:r w:rsidRPr="00B1523A">
        <w:rPr>
          <w:i/>
          <w:sz w:val="16"/>
          <w:szCs w:val="16"/>
          <w:lang w:val="es-AR"/>
        </w:rPr>
        <w:t xml:space="preserve">inter </w:t>
      </w:r>
      <w:proofErr w:type="spellStart"/>
      <w:r w:rsidRPr="00B1523A">
        <w:rPr>
          <w:i/>
          <w:sz w:val="16"/>
          <w:szCs w:val="16"/>
          <w:lang w:val="es-AR"/>
        </w:rPr>
        <w:t>alia</w:t>
      </w:r>
      <w:proofErr w:type="spellEnd"/>
      <w:r>
        <w:rPr>
          <w:sz w:val="16"/>
          <w:szCs w:val="16"/>
          <w:lang w:val="es-AR"/>
        </w:rPr>
        <w:t>: A</w:t>
      </w:r>
      <w:r w:rsidRPr="002570D1">
        <w:rPr>
          <w:sz w:val="16"/>
          <w:szCs w:val="16"/>
          <w:lang w:val="es-AR"/>
        </w:rPr>
        <w:t>rtículo 25: “[…] Los Estados Partes manifiestan, además, su propósito de consagrar y, en su caso, de mantener y perfeccionar, dentro de sus legislaciones internas, las prescripciones que sean más adecuadas</w:t>
      </w:r>
      <w:proofErr w:type="gramStart"/>
      <w:r w:rsidRPr="002570D1">
        <w:rPr>
          <w:sz w:val="16"/>
          <w:szCs w:val="16"/>
          <w:lang w:val="es-AR"/>
        </w:rPr>
        <w:t>”[</w:t>
      </w:r>
      <w:proofErr w:type="gramEnd"/>
      <w:r w:rsidRPr="002570D1">
        <w:rPr>
          <w:sz w:val="16"/>
          <w:szCs w:val="16"/>
          <w:lang w:val="es-AR"/>
        </w:rPr>
        <w:t>…]</w:t>
      </w:r>
      <w:r>
        <w:rPr>
          <w:sz w:val="16"/>
          <w:szCs w:val="16"/>
          <w:lang w:val="es-AR"/>
        </w:rPr>
        <w:t xml:space="preserve">. Asimismo, </w:t>
      </w:r>
      <w:r w:rsidRPr="002570D1">
        <w:rPr>
          <w:sz w:val="16"/>
          <w:szCs w:val="16"/>
          <w:lang w:val="es-AR"/>
        </w:rPr>
        <w:t xml:space="preserve">en su artículo 26 normaba: “Los Estados Partes informarán periódicamente a la Comisión de Derechos Humanos sobre las medidas que hubieran adoptado para los fines señalados en el </w:t>
      </w:r>
      <w:r>
        <w:rPr>
          <w:sz w:val="16"/>
          <w:szCs w:val="16"/>
          <w:lang w:val="es-AR"/>
        </w:rPr>
        <w:t>a</w:t>
      </w:r>
      <w:r w:rsidRPr="002570D1">
        <w:rPr>
          <w:sz w:val="16"/>
          <w:szCs w:val="16"/>
          <w:lang w:val="es-AR"/>
        </w:rPr>
        <w:t>rtículo anterior. La Comisión formulará las recomendaciones que sean adecuadas</w:t>
      </w:r>
      <w:r>
        <w:rPr>
          <w:sz w:val="16"/>
          <w:szCs w:val="16"/>
          <w:lang w:val="es-AR"/>
        </w:rPr>
        <w:t xml:space="preserve"> </w:t>
      </w:r>
      <w:r w:rsidRPr="002570D1">
        <w:rPr>
          <w:sz w:val="16"/>
          <w:szCs w:val="16"/>
          <w:lang w:val="es-AR"/>
        </w:rPr>
        <w:t>[…]”</w:t>
      </w:r>
      <w:r>
        <w:rPr>
          <w:sz w:val="16"/>
          <w:szCs w:val="16"/>
          <w:lang w:val="es-AR"/>
        </w:rPr>
        <w:t>.</w:t>
      </w:r>
    </w:p>
    <w:p w14:paraId="17564BDA" w14:textId="454DCC7B" w:rsidR="003C025E" w:rsidRPr="002570D1" w:rsidRDefault="003C025E" w:rsidP="009C34A2">
      <w:pPr>
        <w:pStyle w:val="FootnoteText"/>
        <w:rPr>
          <w:sz w:val="16"/>
          <w:szCs w:val="16"/>
          <w:lang w:val="es-AR"/>
        </w:rPr>
      </w:pPr>
      <w:r w:rsidRPr="009C34A2">
        <w:rPr>
          <w:sz w:val="16"/>
          <w:szCs w:val="16"/>
          <w:lang w:val="es-AR"/>
        </w:rPr>
        <w:t>Al respecto resulta interesante, destacar las observaciones formuladas por parte del Estado de Chile, al proyecto de Convención sobre Derechos Humanos (Documento 7, de fecha 26 de septiembre de 1969</w:t>
      </w:r>
      <w:r w:rsidRPr="005415CD">
        <w:rPr>
          <w:sz w:val="16"/>
          <w:szCs w:val="16"/>
          <w:lang w:val="es-AR"/>
        </w:rPr>
        <w:t>,</w:t>
      </w:r>
      <w:r w:rsidRPr="009C34A2">
        <w:rPr>
          <w:sz w:val="16"/>
          <w:szCs w:val="16"/>
          <w:lang w:val="es-AR"/>
        </w:rPr>
        <w:t xml:space="preserve"> </w:t>
      </w:r>
      <w:r w:rsidRPr="005415CD">
        <w:rPr>
          <w:sz w:val="16"/>
          <w:szCs w:val="16"/>
          <w:lang w:val="es-AR"/>
        </w:rPr>
        <w:t>p</w:t>
      </w:r>
      <w:r w:rsidRPr="009C34A2">
        <w:rPr>
          <w:sz w:val="16"/>
          <w:szCs w:val="16"/>
          <w:lang w:val="es-AR"/>
        </w:rPr>
        <w:t>árr. 14). El mismo observaba que “[l]as disposiciones que han quedado en el proyecto en materia de derechos económicos, sociales y culturales, son las que merecen mayores reparos de forma y fondo. Ellas son los artículos 25, 26 y 41. Se ha eliminado toda mención dir</w:t>
      </w:r>
      <w:r w:rsidRPr="005415CD">
        <w:rPr>
          <w:sz w:val="16"/>
          <w:szCs w:val="16"/>
          <w:lang w:val="es-AR"/>
        </w:rPr>
        <w:t>ecta a dichos derechos; indirectamente, en el artículo 25, párrafo 1, hay un reconocimiento insuficiente de ‘la necesidad de que los Estados Partes dediquen sus máximos esfuerzos para que en derecho interno sean adoptados y, en su caso, garantizados los demás derechos consignados en la Declaración Americana de los Derechos y Deberes del Hombre y que no hubieren quedado incluidos en los artículos precedente</w:t>
      </w:r>
      <w:r>
        <w:rPr>
          <w:sz w:val="16"/>
          <w:szCs w:val="16"/>
          <w:lang w:val="es-AR"/>
        </w:rPr>
        <w:t>s.</w:t>
      </w:r>
      <w:r w:rsidRPr="005415CD">
        <w:rPr>
          <w:sz w:val="16"/>
          <w:szCs w:val="16"/>
          <w:lang w:val="es-AR"/>
        </w:rPr>
        <w:t xml:space="preserve"> […]</w:t>
      </w:r>
      <w:r w:rsidRPr="009C34A2">
        <w:rPr>
          <w:sz w:val="16"/>
          <w:szCs w:val="16"/>
          <w:lang w:val="es-AR"/>
        </w:rPr>
        <w:t xml:space="preserve"> En todo caso, debería consignarse respe</w:t>
      </w:r>
      <w:r w:rsidRPr="005415CD">
        <w:rPr>
          <w:sz w:val="16"/>
          <w:szCs w:val="16"/>
          <w:lang w:val="es-AR"/>
        </w:rPr>
        <w:t>cto de los derechos económicos, sociales y culturales una disposición que establezca cierta obligatoriedad jurídica (hasta donde lo permite la naturaleza de estos derechos) en su cumplimiento y aplicación. Para ello, sería necesario contemplar una cláusula semejante a la del artículo 2, párrafo 1, del Pacto de Naciones Unidas sobre la materia</w:t>
      </w:r>
      <w:r>
        <w:rPr>
          <w:sz w:val="16"/>
          <w:szCs w:val="16"/>
          <w:lang w:val="es-AR"/>
        </w:rPr>
        <w:t>”</w:t>
      </w:r>
      <w:r w:rsidRPr="009C34A2">
        <w:rPr>
          <w:sz w:val="16"/>
          <w:szCs w:val="16"/>
          <w:lang w:val="es-AR"/>
        </w:rPr>
        <w:t>.</w:t>
      </w:r>
    </w:p>
  </w:footnote>
  <w:footnote w:id="131">
    <w:p w14:paraId="5B17D12B" w14:textId="0BA9001B" w:rsidR="003C025E" w:rsidRPr="002A64C9" w:rsidRDefault="003C025E">
      <w:pPr>
        <w:pStyle w:val="FootnoteText"/>
        <w:rPr>
          <w:sz w:val="16"/>
        </w:rPr>
      </w:pPr>
      <w:r w:rsidRPr="002A64C9">
        <w:rPr>
          <w:rStyle w:val="FootnoteReference"/>
          <w:sz w:val="16"/>
        </w:rPr>
        <w:footnoteRef/>
      </w:r>
      <w:r w:rsidRPr="002A64C9">
        <w:rPr>
          <w:sz w:val="16"/>
        </w:rPr>
        <w:t xml:space="preserve"> </w:t>
      </w:r>
      <w:r w:rsidRPr="002A64C9">
        <w:rPr>
          <w:sz w:val="16"/>
        </w:rPr>
        <w:tab/>
        <w:t>El subrayado es agregado</w:t>
      </w:r>
      <w:r>
        <w:rPr>
          <w:sz w:val="16"/>
        </w:rPr>
        <w:t xml:space="preserve">. En relación con las modificaciones a la Carta de la OEA. Véase también: OEA, </w:t>
      </w:r>
      <w:r w:rsidRPr="00B1523A">
        <w:rPr>
          <w:i/>
          <w:sz w:val="16"/>
        </w:rPr>
        <w:t xml:space="preserve">Carta de la Organización de los Estados Americanos de 1948. “Reformada por el Protocolo de Reformas a la Carta de la Organización de los Estados Americanos </w:t>
      </w:r>
      <w:r>
        <w:rPr>
          <w:i/>
          <w:sz w:val="16"/>
        </w:rPr>
        <w:t>‘</w:t>
      </w:r>
      <w:r w:rsidRPr="00B1523A">
        <w:rPr>
          <w:i/>
          <w:sz w:val="16"/>
        </w:rPr>
        <w:t>Protocolo de Buenos Aires</w:t>
      </w:r>
      <w:r>
        <w:rPr>
          <w:i/>
          <w:sz w:val="16"/>
        </w:rPr>
        <w:t>’</w:t>
      </w:r>
      <w:r w:rsidRPr="00B1523A">
        <w:rPr>
          <w:i/>
          <w:sz w:val="16"/>
        </w:rPr>
        <w:t xml:space="preserve">, suscrito el 27 de febrero de 1967, en la Tercera Conferencia Interamericana Extraordinaria, por el Protocolo de Reformas a la Carta de la Organización de los Estados Americanos </w:t>
      </w:r>
      <w:r>
        <w:rPr>
          <w:i/>
          <w:sz w:val="16"/>
        </w:rPr>
        <w:t>‘</w:t>
      </w:r>
      <w:r w:rsidRPr="00B1523A">
        <w:rPr>
          <w:i/>
          <w:sz w:val="16"/>
        </w:rPr>
        <w:t>Protocolo de Cartagena de Indias</w:t>
      </w:r>
      <w:r>
        <w:rPr>
          <w:i/>
          <w:sz w:val="16"/>
        </w:rPr>
        <w:t>’</w:t>
      </w:r>
      <w:r w:rsidRPr="00B1523A">
        <w:rPr>
          <w:i/>
          <w:sz w:val="16"/>
        </w:rPr>
        <w:t xml:space="preserve">, aprobado el 5 de diciembre de 1985, en el decimocuarto período extraordinario de sesiones de la Asamblea General, por el Protocolo de Reformas a la Carta de la Organización de los Estados Americanos </w:t>
      </w:r>
      <w:r>
        <w:rPr>
          <w:i/>
          <w:sz w:val="16"/>
        </w:rPr>
        <w:t>‘</w:t>
      </w:r>
      <w:r w:rsidRPr="00B1523A">
        <w:rPr>
          <w:i/>
          <w:sz w:val="16"/>
        </w:rPr>
        <w:t>Protocolo de Washington</w:t>
      </w:r>
      <w:r>
        <w:rPr>
          <w:i/>
          <w:sz w:val="16"/>
        </w:rPr>
        <w:t>’</w:t>
      </w:r>
      <w:r w:rsidRPr="00B1523A">
        <w:rPr>
          <w:i/>
          <w:sz w:val="16"/>
        </w:rPr>
        <w:t xml:space="preserve">, aprobado el 14 de diciembre de 1992, en el decimosexto período extraordinario de sesiones de la Asamblea General, y por el Protocolo de Reformas a la Carta de la Organización de los Estados Americanos </w:t>
      </w:r>
      <w:r>
        <w:rPr>
          <w:i/>
          <w:sz w:val="16"/>
        </w:rPr>
        <w:t>‘</w:t>
      </w:r>
      <w:r w:rsidRPr="00B1523A">
        <w:rPr>
          <w:i/>
          <w:sz w:val="16"/>
        </w:rPr>
        <w:t>Protocolo de Managua</w:t>
      </w:r>
      <w:r>
        <w:rPr>
          <w:i/>
          <w:sz w:val="16"/>
        </w:rPr>
        <w:t>’</w:t>
      </w:r>
      <w:r w:rsidRPr="00B1523A">
        <w:rPr>
          <w:i/>
          <w:sz w:val="16"/>
        </w:rPr>
        <w:t>, adoptado el 10 de junio de 1993, en el decimonoveno período extraordinario de sesiones de la Asamblea General”</w:t>
      </w:r>
      <w:r>
        <w:rPr>
          <w:i/>
          <w:sz w:val="16"/>
        </w:rPr>
        <w:t xml:space="preserve">, </w:t>
      </w:r>
      <w:r w:rsidRPr="00B1523A">
        <w:rPr>
          <w:sz w:val="16"/>
          <w:szCs w:val="16"/>
        </w:rPr>
        <w:t>OEA Nº 1-C y 61</w:t>
      </w:r>
      <w:r w:rsidRPr="003B7367">
        <w:rPr>
          <w:sz w:val="16"/>
          <w:szCs w:val="16"/>
        </w:rPr>
        <w:t>.</w:t>
      </w:r>
      <w:r w:rsidRPr="0084234E">
        <w:rPr>
          <w:sz w:val="16"/>
        </w:rPr>
        <w:t xml:space="preserve"> Disponible en: </w:t>
      </w:r>
      <w:hyperlink r:id="rId5" w:history="1">
        <w:r w:rsidRPr="00EE15BE">
          <w:rPr>
            <w:rStyle w:val="Hyperlink"/>
            <w:sz w:val="16"/>
          </w:rPr>
          <w:t>http://www.oas.org/es/sla/ddi/tratados_multilaterales_interamericanos_A-41_carta_OEA.asp</w:t>
        </w:r>
      </w:hyperlink>
      <w:r>
        <w:rPr>
          <w:sz w:val="16"/>
        </w:rPr>
        <w:t xml:space="preserve"> </w:t>
      </w:r>
    </w:p>
  </w:footnote>
  <w:footnote w:id="132">
    <w:p w14:paraId="64A89F18" w14:textId="54AA6891" w:rsidR="003C025E" w:rsidRPr="002570D1" w:rsidRDefault="003C025E" w:rsidP="002570D1">
      <w:pPr>
        <w:pStyle w:val="FootnoteText"/>
        <w:rPr>
          <w:sz w:val="16"/>
          <w:szCs w:val="16"/>
          <w:lang w:val="es-CR"/>
        </w:rPr>
      </w:pPr>
      <w:r w:rsidRPr="00383565">
        <w:rPr>
          <w:rStyle w:val="FootnoteReference"/>
          <w:sz w:val="16"/>
          <w:szCs w:val="16"/>
        </w:rPr>
        <w:footnoteRef/>
      </w:r>
      <w:r>
        <w:rPr>
          <w:sz w:val="16"/>
          <w:szCs w:val="16"/>
          <w:lang w:val="es-CR"/>
        </w:rPr>
        <w:t xml:space="preserve"> </w:t>
      </w:r>
      <w:r>
        <w:rPr>
          <w:sz w:val="16"/>
          <w:szCs w:val="16"/>
          <w:lang w:val="es-CR"/>
        </w:rPr>
        <w:tab/>
        <w:t>Paulatinamente, e</w:t>
      </w:r>
      <w:r w:rsidRPr="00630070">
        <w:rPr>
          <w:sz w:val="16"/>
          <w:szCs w:val="16"/>
          <w:lang w:val="es-CR"/>
        </w:rPr>
        <w:t>n el Sistema Interamericano se ha venido conso</w:t>
      </w:r>
      <w:r w:rsidRPr="00E5581F">
        <w:rPr>
          <w:sz w:val="16"/>
          <w:szCs w:val="16"/>
          <w:lang w:val="es-CR"/>
        </w:rPr>
        <w:t>lidando este concepto</w:t>
      </w:r>
      <w:r>
        <w:rPr>
          <w:sz w:val="16"/>
          <w:szCs w:val="16"/>
          <w:lang w:val="es-CR"/>
        </w:rPr>
        <w:t xml:space="preserve"> (DESCA). En </w:t>
      </w:r>
      <w:r w:rsidRPr="005415CD">
        <w:rPr>
          <w:sz w:val="16"/>
          <w:szCs w:val="16"/>
          <w:lang w:val="es-CR"/>
        </w:rPr>
        <w:t>2014,</w:t>
      </w:r>
      <w:r>
        <w:rPr>
          <w:sz w:val="16"/>
          <w:szCs w:val="16"/>
          <w:lang w:val="es-CR"/>
        </w:rPr>
        <w:t xml:space="preserve"> la Comisión Interamericana de Derechos Humanos</w:t>
      </w:r>
      <w:r w:rsidRPr="00C91555">
        <w:rPr>
          <w:sz w:val="16"/>
          <w:szCs w:val="16"/>
          <w:lang w:val="es-CR"/>
        </w:rPr>
        <w:t xml:space="preserve"> adoptó la decisión de crear una </w:t>
      </w:r>
      <w:r>
        <w:rPr>
          <w:sz w:val="16"/>
          <w:szCs w:val="16"/>
          <w:lang w:val="es-CR"/>
        </w:rPr>
        <w:t>“</w:t>
      </w:r>
      <w:r w:rsidRPr="00C91555">
        <w:rPr>
          <w:sz w:val="16"/>
          <w:szCs w:val="16"/>
          <w:lang w:val="es-CR"/>
        </w:rPr>
        <w:t>Relatoría Especial para los Derechos Económicos, Sociales, Culturales y Ambientales</w:t>
      </w:r>
      <w:r>
        <w:rPr>
          <w:sz w:val="16"/>
          <w:szCs w:val="16"/>
          <w:lang w:val="es-CR"/>
        </w:rPr>
        <w:t>”</w:t>
      </w:r>
      <w:r w:rsidRPr="00C91555">
        <w:rPr>
          <w:sz w:val="16"/>
          <w:szCs w:val="16"/>
          <w:lang w:val="es-CR"/>
        </w:rPr>
        <w:t>, que entró en pleno funcionamiento en agosto de 2017</w:t>
      </w:r>
      <w:r>
        <w:rPr>
          <w:sz w:val="16"/>
          <w:szCs w:val="16"/>
          <w:lang w:val="es-CR"/>
        </w:rPr>
        <w:t xml:space="preserve">. Véanse también: </w:t>
      </w:r>
      <w:r w:rsidRPr="00655E16">
        <w:rPr>
          <w:sz w:val="16"/>
          <w:szCs w:val="16"/>
          <w:lang w:val="es-CR"/>
        </w:rPr>
        <w:t xml:space="preserve">Comisión Interamericana de Derechos Humanos, </w:t>
      </w:r>
      <w:r w:rsidRPr="00B1523A">
        <w:rPr>
          <w:i/>
          <w:sz w:val="16"/>
          <w:szCs w:val="16"/>
          <w:lang w:val="es-CR"/>
        </w:rPr>
        <w:t>Informe sobre pobreza y derechos humanos en las Américas</w:t>
      </w:r>
      <w:r w:rsidRPr="00655E16">
        <w:rPr>
          <w:sz w:val="16"/>
          <w:szCs w:val="16"/>
          <w:lang w:val="es-CR"/>
        </w:rPr>
        <w:t>, OEA/</w:t>
      </w:r>
      <w:proofErr w:type="spellStart"/>
      <w:r w:rsidRPr="00655E16">
        <w:rPr>
          <w:sz w:val="16"/>
          <w:szCs w:val="16"/>
          <w:lang w:val="es-CR"/>
        </w:rPr>
        <w:t>Ser.L</w:t>
      </w:r>
      <w:proofErr w:type="spellEnd"/>
      <w:r w:rsidRPr="00655E16">
        <w:rPr>
          <w:sz w:val="16"/>
          <w:szCs w:val="16"/>
          <w:lang w:val="es-CR"/>
        </w:rPr>
        <w:t xml:space="preserve">/V/II.164, 7 septiembre 2017, </w:t>
      </w:r>
      <w:r>
        <w:rPr>
          <w:sz w:val="16"/>
          <w:szCs w:val="16"/>
          <w:lang w:val="es-CR"/>
        </w:rPr>
        <w:t>párr. 11</w:t>
      </w:r>
      <w:r w:rsidRPr="00655E16">
        <w:rPr>
          <w:sz w:val="16"/>
          <w:szCs w:val="16"/>
          <w:lang w:val="es-CR"/>
        </w:rPr>
        <w:t>2</w:t>
      </w:r>
      <w:r>
        <w:rPr>
          <w:sz w:val="16"/>
          <w:szCs w:val="16"/>
          <w:lang w:val="es-CR"/>
        </w:rPr>
        <w:t>, y “</w:t>
      </w:r>
      <w:r w:rsidRPr="00B1523A">
        <w:rPr>
          <w:i/>
          <w:sz w:val="16"/>
          <w:szCs w:val="16"/>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Pr>
          <w:i/>
          <w:sz w:val="16"/>
          <w:szCs w:val="16"/>
        </w:rPr>
        <w:t>”</w:t>
      </w:r>
      <w:r>
        <w:rPr>
          <w:sz w:val="16"/>
          <w:szCs w:val="16"/>
        </w:rPr>
        <w:t xml:space="preserve">. </w:t>
      </w:r>
      <w:r w:rsidRPr="00F47650">
        <w:rPr>
          <w:i/>
          <w:sz w:val="16"/>
          <w:szCs w:val="16"/>
          <w:lang w:val="es-CR"/>
        </w:rPr>
        <w:t xml:space="preserve">Opinión Consultiva </w:t>
      </w:r>
      <w:r w:rsidRPr="00B1523A">
        <w:rPr>
          <w:i/>
          <w:sz w:val="16"/>
          <w:szCs w:val="16"/>
        </w:rPr>
        <w:t>OC-23/17</w:t>
      </w:r>
      <w:r w:rsidRPr="007E5CD5">
        <w:rPr>
          <w:sz w:val="16"/>
          <w:szCs w:val="16"/>
        </w:rPr>
        <w:t xml:space="preserve"> de 15 de noviembre de 2017. Serie A No. 23</w:t>
      </w:r>
      <w:r>
        <w:rPr>
          <w:sz w:val="16"/>
          <w:szCs w:val="16"/>
        </w:rPr>
        <w:t>, párr. 57.</w:t>
      </w:r>
      <w:r w:rsidRPr="007E5CD5">
        <w:rPr>
          <w:sz w:val="16"/>
          <w:szCs w:val="16"/>
        </w:rPr>
        <w:t xml:space="preserve"> </w:t>
      </w:r>
    </w:p>
  </w:footnote>
  <w:footnote w:id="133">
    <w:p w14:paraId="33EC3EB3" w14:textId="22D2BFF9" w:rsidR="003C025E" w:rsidRPr="002570D1" w:rsidRDefault="003C025E" w:rsidP="002570D1">
      <w:pPr>
        <w:pStyle w:val="FootnoteText"/>
        <w:rPr>
          <w:sz w:val="16"/>
          <w:szCs w:val="16"/>
          <w:lang w:val="es-AR"/>
        </w:rPr>
      </w:pPr>
      <w:r w:rsidRPr="002570D1">
        <w:rPr>
          <w:rStyle w:val="FootnoteReference"/>
          <w:rFonts w:eastAsia="Calibri"/>
          <w:color w:val="000000"/>
          <w:sz w:val="16"/>
          <w:szCs w:val="16"/>
          <w:lang w:eastAsia="en-US"/>
        </w:rPr>
        <w:footnoteRef/>
      </w:r>
      <w:r w:rsidRPr="002570D1">
        <w:rPr>
          <w:sz w:val="16"/>
          <w:szCs w:val="16"/>
          <w:lang w:val="es-AR"/>
        </w:rPr>
        <w:t xml:space="preserve"> </w:t>
      </w:r>
      <w:r>
        <w:rPr>
          <w:sz w:val="16"/>
          <w:szCs w:val="16"/>
          <w:lang w:val="es-AR"/>
        </w:rPr>
        <w:tab/>
      </w:r>
      <w:r w:rsidRPr="00062586">
        <w:rPr>
          <w:i/>
          <w:sz w:val="16"/>
          <w:szCs w:val="16"/>
          <w:lang w:val="es-AR"/>
        </w:rPr>
        <w:t>Cfr.</w:t>
      </w:r>
      <w:r w:rsidRPr="002570D1">
        <w:rPr>
          <w:sz w:val="16"/>
          <w:szCs w:val="16"/>
          <w:lang w:val="es-AR"/>
        </w:rPr>
        <w:t xml:space="preserve"> En este sentido, el artículo</w:t>
      </w:r>
      <w:r>
        <w:rPr>
          <w:sz w:val="16"/>
          <w:szCs w:val="16"/>
          <w:lang w:val="es-AR"/>
        </w:rPr>
        <w:t xml:space="preserve"> </w:t>
      </w:r>
      <w:r w:rsidRPr="002570D1">
        <w:rPr>
          <w:sz w:val="16"/>
          <w:szCs w:val="16"/>
          <w:lang w:val="es-AR"/>
        </w:rPr>
        <w:t>29</w:t>
      </w:r>
      <w:r w:rsidRPr="00E77961">
        <w:rPr>
          <w:sz w:val="16"/>
          <w:szCs w:val="16"/>
          <w:lang w:val="es-AR"/>
        </w:rPr>
        <w:t xml:space="preserve"> </w:t>
      </w:r>
      <w:r w:rsidRPr="002570D1">
        <w:rPr>
          <w:sz w:val="16"/>
          <w:szCs w:val="16"/>
          <w:lang w:val="es-AR"/>
        </w:rPr>
        <w:t>de la Convención</w:t>
      </w:r>
      <w:r>
        <w:rPr>
          <w:sz w:val="16"/>
          <w:szCs w:val="16"/>
          <w:lang w:val="es-AR"/>
        </w:rPr>
        <w:t xml:space="preserve">, en sus incisos </w:t>
      </w:r>
      <w:r w:rsidRPr="002570D1">
        <w:rPr>
          <w:sz w:val="16"/>
          <w:szCs w:val="16"/>
          <w:lang w:val="es-AR"/>
        </w:rPr>
        <w:t>b) y d)</w:t>
      </w:r>
      <w:r>
        <w:rPr>
          <w:sz w:val="16"/>
          <w:szCs w:val="16"/>
          <w:lang w:val="es-AR"/>
        </w:rPr>
        <w:t xml:space="preserve">, </w:t>
      </w:r>
      <w:r w:rsidRPr="002570D1">
        <w:rPr>
          <w:sz w:val="16"/>
          <w:szCs w:val="16"/>
          <w:lang w:val="es-AR"/>
        </w:rPr>
        <w:t>establece que “[n]</w:t>
      </w:r>
      <w:proofErr w:type="spellStart"/>
      <w:r w:rsidRPr="002570D1">
        <w:rPr>
          <w:sz w:val="16"/>
          <w:szCs w:val="16"/>
          <w:lang w:val="es-AR"/>
        </w:rPr>
        <w:t>inguna</w:t>
      </w:r>
      <w:proofErr w:type="spellEnd"/>
      <w:r w:rsidRPr="002570D1">
        <w:rPr>
          <w:sz w:val="16"/>
          <w:szCs w:val="16"/>
          <w:lang w:val="es-AR"/>
        </w:rPr>
        <w:t xml:space="preserve"> disposición de la presente Convención puede ser interpretada en el sentido de: […] b) limitar el goce y ejercicio de cualquier derecho o libertad que pueda estar reconocido de acuerdo con las leyes de cualquiera de los Estados Partes o de acuerdo con otra convención en que sea parte uno de dichos Estados; […] d) excluir o limitar el efecto que puedan producir la Declaración Americana de Derechos y Deberes del Hombre y otros actos internacionales de la misma naturaleza”. </w:t>
      </w:r>
    </w:p>
    <w:p w14:paraId="092E30D9" w14:textId="690154E7" w:rsidR="003C025E" w:rsidRPr="002570D1" w:rsidRDefault="003C025E" w:rsidP="002570D1">
      <w:pPr>
        <w:pStyle w:val="FootnoteText"/>
        <w:rPr>
          <w:sz w:val="16"/>
          <w:szCs w:val="16"/>
          <w:lang w:val="es-AR"/>
        </w:rPr>
      </w:pPr>
      <w:r w:rsidRPr="002570D1">
        <w:rPr>
          <w:sz w:val="16"/>
          <w:szCs w:val="16"/>
          <w:lang w:val="es-AR"/>
        </w:rPr>
        <w:t>Es así que</w:t>
      </w:r>
      <w:r>
        <w:rPr>
          <w:sz w:val="16"/>
          <w:szCs w:val="16"/>
          <w:lang w:val="es-AR"/>
        </w:rPr>
        <w:t>,</w:t>
      </w:r>
      <w:r w:rsidRPr="002570D1">
        <w:rPr>
          <w:sz w:val="16"/>
          <w:szCs w:val="16"/>
          <w:lang w:val="es-AR"/>
        </w:rPr>
        <w:t xml:space="preserve"> conforme al referido artículo 29, el derecho a la salud reconocido por la Constitución de Chile se debe incorporar, para efectos del presente caso, a la interpretación y alcance del derecho tutelado en el artículo 26 de la Convención Americana.</w:t>
      </w:r>
    </w:p>
  </w:footnote>
  <w:footnote w:id="134">
    <w:p w14:paraId="4C14A3D0" w14:textId="0164D015" w:rsidR="003C025E" w:rsidRPr="006C53E7" w:rsidRDefault="003C025E" w:rsidP="002570D1">
      <w:pPr>
        <w:pStyle w:val="FootnoteText"/>
        <w:rPr>
          <w:sz w:val="16"/>
          <w:szCs w:val="16"/>
          <w:lang w:val="es-AR"/>
        </w:rPr>
      </w:pPr>
      <w:r w:rsidRPr="00662D92">
        <w:rPr>
          <w:rStyle w:val="FootnoteReference"/>
          <w:rFonts w:eastAsia="Calibri"/>
          <w:color w:val="000000"/>
          <w:sz w:val="16"/>
          <w:szCs w:val="16"/>
          <w:lang w:eastAsia="en-US"/>
        </w:rPr>
        <w:footnoteRef/>
      </w:r>
      <w:r w:rsidRPr="00662D92">
        <w:rPr>
          <w:rStyle w:val="FootnoteReference"/>
          <w:rFonts w:eastAsia="Calibri"/>
          <w:color w:val="000000"/>
          <w:sz w:val="16"/>
          <w:szCs w:val="16"/>
          <w:lang w:eastAsia="en-US"/>
        </w:rPr>
        <w:t xml:space="preserve"> </w:t>
      </w:r>
      <w:r w:rsidRPr="00662D92">
        <w:rPr>
          <w:sz w:val="16"/>
          <w:szCs w:val="16"/>
          <w:lang w:val="es-AR"/>
        </w:rPr>
        <w:tab/>
      </w:r>
      <w:r w:rsidRPr="009A6892">
        <w:rPr>
          <w:i/>
          <w:sz w:val="16"/>
          <w:szCs w:val="16"/>
          <w:lang w:val="es-AR"/>
        </w:rPr>
        <w:t>Cfr.</w:t>
      </w:r>
      <w:r w:rsidRPr="009A6892">
        <w:rPr>
          <w:sz w:val="16"/>
          <w:szCs w:val="16"/>
          <w:lang w:val="es-AR"/>
        </w:rPr>
        <w:t xml:space="preserve"> </w:t>
      </w:r>
      <w:r w:rsidRPr="00B1523A">
        <w:rPr>
          <w:i/>
          <w:sz w:val="16"/>
          <w:szCs w:val="16"/>
          <w:lang w:val="es-AR"/>
        </w:rPr>
        <w:t>Convención de Viena sobre Derechos de los Tratados de 1969</w:t>
      </w:r>
      <w:r w:rsidRPr="00B1523A">
        <w:rPr>
          <w:sz w:val="16"/>
          <w:szCs w:val="16"/>
          <w:lang w:val="es-CR" w:eastAsia="es-CR"/>
        </w:rPr>
        <w:t xml:space="preserve">, </w:t>
      </w:r>
      <w:r w:rsidRPr="00662D92">
        <w:rPr>
          <w:sz w:val="16"/>
          <w:szCs w:val="16"/>
          <w:lang w:val="es-CR"/>
        </w:rPr>
        <w:t xml:space="preserve">U.N. </w:t>
      </w:r>
      <w:proofErr w:type="spellStart"/>
      <w:r w:rsidRPr="00662D92">
        <w:rPr>
          <w:sz w:val="16"/>
          <w:szCs w:val="16"/>
          <w:lang w:val="es-CR"/>
        </w:rPr>
        <w:t>Doc</w:t>
      </w:r>
      <w:proofErr w:type="spellEnd"/>
      <w:r w:rsidRPr="00662D92">
        <w:rPr>
          <w:sz w:val="16"/>
          <w:szCs w:val="16"/>
          <w:lang w:val="es-CR"/>
        </w:rPr>
        <w:t xml:space="preserve"> A/CONF.39/27 (1969), 1155 U.N.T.S. 331</w:t>
      </w:r>
      <w:r w:rsidRPr="00662D92">
        <w:rPr>
          <w:sz w:val="16"/>
          <w:szCs w:val="16"/>
          <w:lang w:val="es-AR"/>
        </w:rPr>
        <w:t>. Entrada en vigor el 27 de enero de 1980. V</w:t>
      </w:r>
      <w:r w:rsidRPr="009A6892">
        <w:rPr>
          <w:sz w:val="16"/>
          <w:szCs w:val="16"/>
          <w:lang w:val="es-AR"/>
        </w:rPr>
        <w:t>éanse también</w:t>
      </w:r>
      <w:r w:rsidRPr="00662D92">
        <w:rPr>
          <w:sz w:val="16"/>
          <w:szCs w:val="16"/>
          <w:lang w:val="es-AR"/>
        </w:rPr>
        <w:t xml:space="preserve"> las reglas generales de interpretación</w:t>
      </w:r>
      <w:r w:rsidRPr="009A6892">
        <w:rPr>
          <w:sz w:val="16"/>
          <w:szCs w:val="16"/>
          <w:lang w:val="es-AR"/>
        </w:rPr>
        <w:t xml:space="preserve"> establecidas en los </w:t>
      </w:r>
      <w:r w:rsidRPr="009547CB">
        <w:rPr>
          <w:i/>
          <w:sz w:val="16"/>
          <w:szCs w:val="16"/>
          <w:lang w:val="es-AR"/>
        </w:rPr>
        <w:t>Principio</w:t>
      </w:r>
      <w:r w:rsidRPr="001445DA">
        <w:rPr>
          <w:i/>
          <w:sz w:val="16"/>
          <w:szCs w:val="16"/>
          <w:lang w:val="es-AR"/>
        </w:rPr>
        <w:t>s</w:t>
      </w:r>
      <w:r w:rsidRPr="007C6211">
        <w:rPr>
          <w:i/>
          <w:sz w:val="16"/>
          <w:szCs w:val="16"/>
          <w:lang w:val="es-AR"/>
        </w:rPr>
        <w:t xml:space="preserve"> de Limburgo</w:t>
      </w:r>
      <w:r w:rsidRPr="00B1523A">
        <w:rPr>
          <w:i/>
          <w:sz w:val="16"/>
          <w:szCs w:val="16"/>
          <w:lang w:val="es-AR"/>
        </w:rPr>
        <w:t xml:space="preserve">, </w:t>
      </w:r>
      <w:r w:rsidRPr="00B1523A">
        <w:rPr>
          <w:i/>
          <w:sz w:val="16"/>
          <w:szCs w:val="16"/>
          <w:lang w:val="es-CR"/>
        </w:rPr>
        <w:t>relativos a la aplicación del Pacto Internacional de Derechos Económicos, Sociales y Culturales,</w:t>
      </w:r>
      <w:r w:rsidRPr="00662D92">
        <w:rPr>
          <w:sz w:val="16"/>
          <w:szCs w:val="16"/>
          <w:lang w:val="es-CR"/>
        </w:rPr>
        <w:t xml:space="preserve"> </w:t>
      </w:r>
      <w:r w:rsidRPr="00662D92">
        <w:rPr>
          <w:sz w:val="16"/>
          <w:szCs w:val="16"/>
          <w:lang w:val="es-AR"/>
        </w:rPr>
        <w:t>anteriores a la Observación G</w:t>
      </w:r>
      <w:r w:rsidRPr="009A6892">
        <w:rPr>
          <w:sz w:val="16"/>
          <w:szCs w:val="16"/>
          <w:lang w:val="es-AR"/>
        </w:rPr>
        <w:t>eneral No.</w:t>
      </w:r>
      <w:r w:rsidRPr="001445DA">
        <w:rPr>
          <w:sz w:val="16"/>
          <w:szCs w:val="16"/>
          <w:lang w:val="es-AR"/>
        </w:rPr>
        <w:t xml:space="preserve"> </w:t>
      </w:r>
      <w:r w:rsidRPr="007C6211">
        <w:rPr>
          <w:sz w:val="16"/>
          <w:szCs w:val="16"/>
          <w:lang w:val="es-AR"/>
        </w:rPr>
        <w:t xml:space="preserve">3 del Comité de Derechos Económicos, Sociales y Culturales sobre la índole de las obligaciones de los Estados Partes </w:t>
      </w:r>
      <w:r w:rsidRPr="00AA7440">
        <w:rPr>
          <w:sz w:val="16"/>
          <w:szCs w:val="16"/>
          <w:lang w:val="es-AR"/>
        </w:rPr>
        <w:t xml:space="preserve">en general, </w:t>
      </w:r>
      <w:r w:rsidRPr="00BD2E79">
        <w:rPr>
          <w:sz w:val="16"/>
          <w:szCs w:val="16"/>
          <w:lang w:val="es-AR"/>
        </w:rPr>
        <w:t>los cuales en su Principio 4 establece</w:t>
      </w:r>
      <w:r w:rsidRPr="00DF233B">
        <w:rPr>
          <w:sz w:val="16"/>
          <w:szCs w:val="16"/>
          <w:lang w:val="es-AR"/>
        </w:rPr>
        <w:t>n: “</w:t>
      </w:r>
      <w:r w:rsidRPr="004C2823">
        <w:rPr>
          <w:sz w:val="16"/>
          <w:szCs w:val="16"/>
          <w:lang w:val="es-AR"/>
        </w:rPr>
        <w:t>[c]</w:t>
      </w:r>
      <w:proofErr w:type="spellStart"/>
      <w:r w:rsidRPr="004C2823">
        <w:rPr>
          <w:sz w:val="16"/>
          <w:szCs w:val="16"/>
          <w:lang w:val="es-AR"/>
        </w:rPr>
        <w:t>onforme</w:t>
      </w:r>
      <w:proofErr w:type="spellEnd"/>
      <w:r w:rsidRPr="004C2823">
        <w:rPr>
          <w:sz w:val="16"/>
          <w:szCs w:val="16"/>
          <w:lang w:val="es-AR"/>
        </w:rPr>
        <w:t xml:space="preserve"> a la Convención de Viena sobre el Derecho de los Tratados, el Pacto Internacional de Derechos Económicos, Sociales y Culturales  debería interpretarse de buena </w:t>
      </w:r>
      <w:r w:rsidRPr="006C53E7">
        <w:rPr>
          <w:sz w:val="16"/>
          <w:szCs w:val="16"/>
          <w:lang w:val="es-AR"/>
        </w:rPr>
        <w:t xml:space="preserve">fe, teniendo en cuenta el objetivo y propósito, el sentido ordinario, el trabajo preparatorio y la práctica pertinente”. </w:t>
      </w:r>
    </w:p>
  </w:footnote>
  <w:footnote w:id="135">
    <w:p w14:paraId="4EDD3821" w14:textId="7F938A14" w:rsidR="003C025E" w:rsidRPr="002570D1" w:rsidRDefault="003C025E" w:rsidP="002570D1">
      <w:pPr>
        <w:pStyle w:val="FootnoteText"/>
        <w:rPr>
          <w:sz w:val="16"/>
          <w:szCs w:val="16"/>
          <w:lang w:val="es-AR"/>
        </w:rPr>
      </w:pPr>
      <w:r w:rsidRPr="002570D1">
        <w:rPr>
          <w:rStyle w:val="FootnoteReference"/>
          <w:rFonts w:eastAsia="Calibri"/>
          <w:color w:val="000000"/>
          <w:sz w:val="16"/>
          <w:szCs w:val="16"/>
          <w:lang w:eastAsia="en-US"/>
        </w:rPr>
        <w:footnoteRef/>
      </w:r>
      <w:r>
        <w:rPr>
          <w:sz w:val="16"/>
          <w:szCs w:val="16"/>
          <w:lang w:val="es-AR"/>
        </w:rPr>
        <w:t xml:space="preserve"> </w:t>
      </w:r>
      <w:r>
        <w:rPr>
          <w:sz w:val="16"/>
          <w:szCs w:val="16"/>
          <w:lang w:val="es-AR"/>
        </w:rPr>
        <w:tab/>
      </w:r>
      <w:r w:rsidRPr="00713D68">
        <w:rPr>
          <w:i/>
          <w:sz w:val="16"/>
          <w:szCs w:val="16"/>
          <w:lang w:val="es-AR"/>
        </w:rPr>
        <w:t xml:space="preserve">Inter </w:t>
      </w:r>
      <w:proofErr w:type="spellStart"/>
      <w:r w:rsidRPr="00713D68">
        <w:rPr>
          <w:i/>
          <w:sz w:val="16"/>
          <w:szCs w:val="16"/>
          <w:lang w:val="es-AR"/>
        </w:rPr>
        <w:t>alia</w:t>
      </w:r>
      <w:proofErr w:type="spellEnd"/>
      <w:r>
        <w:rPr>
          <w:sz w:val="16"/>
          <w:szCs w:val="16"/>
          <w:lang w:val="es-AR"/>
        </w:rPr>
        <w:t xml:space="preserve">, </w:t>
      </w:r>
      <w:r w:rsidRPr="004A1B76">
        <w:rPr>
          <w:i/>
          <w:sz w:val="16"/>
          <w:szCs w:val="16"/>
          <w:lang w:val="es-AR"/>
        </w:rPr>
        <w:t xml:space="preserve">Cfr. El derecho a la información sobre la asistencia consular en el marco de las garantías del debido proceso legal. </w:t>
      </w:r>
      <w:r w:rsidRPr="004A1B76">
        <w:rPr>
          <w:sz w:val="16"/>
          <w:szCs w:val="16"/>
          <w:lang w:val="es-AR"/>
        </w:rPr>
        <w:t>Opinión Consultiva OC-16/99 de 1 de octubre de 1999. Serie A No. 16, párr. 115;</w:t>
      </w:r>
      <w:r w:rsidRPr="002570D1">
        <w:rPr>
          <w:sz w:val="16"/>
          <w:szCs w:val="16"/>
          <w:lang w:val="es-AR"/>
        </w:rPr>
        <w:t xml:space="preserve"> </w:t>
      </w:r>
      <w:r w:rsidRPr="00713D68">
        <w:rPr>
          <w:i/>
          <w:sz w:val="16"/>
          <w:szCs w:val="16"/>
          <w:lang w:val="es-AR"/>
        </w:rPr>
        <w:t>Caso González y otras (“Campo Algodonero”) Vs. México. Excepción Preliminar, Fondo, Reparaciones y Costas.</w:t>
      </w:r>
      <w:r w:rsidRPr="00713D68">
        <w:rPr>
          <w:sz w:val="16"/>
          <w:szCs w:val="16"/>
          <w:lang w:val="es-AR"/>
        </w:rPr>
        <w:t xml:space="preserve"> Sentencia de 16 de nov</w:t>
      </w:r>
      <w:r>
        <w:rPr>
          <w:sz w:val="16"/>
          <w:szCs w:val="16"/>
          <w:lang w:val="es-AR"/>
        </w:rPr>
        <w:t xml:space="preserve">iembre de 2009. Serie C No. 205, </w:t>
      </w:r>
      <w:proofErr w:type="spellStart"/>
      <w:r>
        <w:rPr>
          <w:sz w:val="16"/>
          <w:szCs w:val="16"/>
          <w:lang w:val="es-AR"/>
        </w:rPr>
        <w:t>párrs</w:t>
      </w:r>
      <w:proofErr w:type="spellEnd"/>
      <w:r>
        <w:rPr>
          <w:sz w:val="16"/>
          <w:szCs w:val="16"/>
          <w:lang w:val="es-AR"/>
        </w:rPr>
        <w:t xml:space="preserve">. 32, 43 y 59; </w:t>
      </w:r>
      <w:r w:rsidRPr="002570D1">
        <w:rPr>
          <w:i/>
          <w:sz w:val="16"/>
          <w:szCs w:val="16"/>
          <w:lang w:val="es-AR"/>
        </w:rPr>
        <w:t xml:space="preserve">Caso </w:t>
      </w:r>
      <w:proofErr w:type="spellStart"/>
      <w:r w:rsidRPr="002570D1">
        <w:rPr>
          <w:i/>
          <w:sz w:val="16"/>
          <w:szCs w:val="16"/>
          <w:lang w:val="es-AR"/>
        </w:rPr>
        <w:t>Atala</w:t>
      </w:r>
      <w:proofErr w:type="spellEnd"/>
      <w:r w:rsidRPr="002570D1">
        <w:rPr>
          <w:i/>
          <w:sz w:val="16"/>
          <w:szCs w:val="16"/>
          <w:lang w:val="es-AR"/>
        </w:rPr>
        <w:t xml:space="preserve"> </w:t>
      </w:r>
      <w:proofErr w:type="spellStart"/>
      <w:r w:rsidRPr="002570D1">
        <w:rPr>
          <w:i/>
          <w:sz w:val="16"/>
          <w:szCs w:val="16"/>
          <w:lang w:val="es-AR"/>
        </w:rPr>
        <w:t>Riffo</w:t>
      </w:r>
      <w:proofErr w:type="spellEnd"/>
      <w:r w:rsidRPr="002570D1">
        <w:rPr>
          <w:i/>
          <w:sz w:val="16"/>
          <w:szCs w:val="16"/>
          <w:lang w:val="es-AR"/>
        </w:rPr>
        <w:t xml:space="preserve"> y niñas Vs. Chile. Fondo, Reparaciones y Costas</w:t>
      </w:r>
      <w:r w:rsidRPr="002570D1">
        <w:rPr>
          <w:sz w:val="16"/>
          <w:szCs w:val="16"/>
          <w:lang w:val="es-AR"/>
        </w:rPr>
        <w:t xml:space="preserve">. Sentencia de 24 de febrero de 2012. Serie C No. 239, párr. 83; </w:t>
      </w:r>
      <w:r>
        <w:rPr>
          <w:sz w:val="16"/>
          <w:szCs w:val="16"/>
          <w:lang w:val="es-AR"/>
        </w:rPr>
        <w:t>y</w:t>
      </w:r>
      <w:r w:rsidRPr="002570D1">
        <w:rPr>
          <w:sz w:val="16"/>
          <w:szCs w:val="16"/>
          <w:lang w:val="es-AR"/>
        </w:rPr>
        <w:t xml:space="preserve"> </w:t>
      </w:r>
      <w:r w:rsidRPr="00B1523A">
        <w:rPr>
          <w:i/>
          <w:sz w:val="16"/>
          <w:szCs w:val="16"/>
          <w:lang w:val="es-AR"/>
        </w:rPr>
        <w:t>"Otros Tratados". Objeto de la Función Consultiva de la Corte (art. 64 Convención Americana sobre Derechos Humanos).</w:t>
      </w:r>
      <w:r w:rsidRPr="00417925">
        <w:rPr>
          <w:sz w:val="16"/>
          <w:szCs w:val="16"/>
          <w:lang w:val="es-AR"/>
        </w:rPr>
        <w:t xml:space="preserve"> </w:t>
      </w:r>
      <w:r w:rsidRPr="00B1523A">
        <w:rPr>
          <w:i/>
          <w:sz w:val="16"/>
          <w:szCs w:val="16"/>
          <w:lang w:val="es-AR"/>
        </w:rPr>
        <w:t>Opinión Consultiva OC-1/82</w:t>
      </w:r>
      <w:r w:rsidRPr="00417925">
        <w:rPr>
          <w:sz w:val="16"/>
          <w:szCs w:val="16"/>
          <w:lang w:val="es-AR"/>
        </w:rPr>
        <w:t xml:space="preserve"> de 24 de setiembre de 1982. Serie A No. 1</w:t>
      </w:r>
      <w:r>
        <w:rPr>
          <w:sz w:val="16"/>
          <w:szCs w:val="16"/>
          <w:lang w:val="es-AR"/>
        </w:rPr>
        <w:t>,</w:t>
      </w:r>
      <w:r w:rsidRPr="002570D1">
        <w:rPr>
          <w:sz w:val="16"/>
          <w:szCs w:val="16"/>
          <w:lang w:val="es-AR"/>
        </w:rPr>
        <w:t xml:space="preserve"> párr. 41.</w:t>
      </w:r>
    </w:p>
  </w:footnote>
  <w:footnote w:id="136">
    <w:p w14:paraId="17BF3477" w14:textId="7F4F2722" w:rsidR="003C025E" w:rsidRPr="000B0D9C" w:rsidRDefault="003C025E" w:rsidP="002570D1">
      <w:pPr>
        <w:pStyle w:val="FootnoteText"/>
        <w:rPr>
          <w:sz w:val="16"/>
          <w:szCs w:val="16"/>
          <w:lang w:val="es-AR"/>
        </w:rPr>
      </w:pPr>
      <w:r w:rsidRPr="002570D1">
        <w:rPr>
          <w:rStyle w:val="FootnoteReference"/>
          <w:color w:val="000000"/>
          <w:sz w:val="16"/>
          <w:szCs w:val="16"/>
        </w:rPr>
        <w:footnoteRef/>
      </w:r>
      <w:r w:rsidRPr="002570D1">
        <w:rPr>
          <w:sz w:val="16"/>
          <w:szCs w:val="16"/>
          <w:lang w:val="es-AR"/>
        </w:rPr>
        <w:t xml:space="preserve"> </w:t>
      </w:r>
      <w:r>
        <w:rPr>
          <w:sz w:val="16"/>
          <w:szCs w:val="16"/>
          <w:lang w:val="es-AR"/>
        </w:rPr>
        <w:tab/>
      </w:r>
      <w:r w:rsidRPr="000B0D9C">
        <w:rPr>
          <w:i/>
          <w:sz w:val="16"/>
          <w:szCs w:val="16"/>
          <w:lang w:val="es-AR"/>
        </w:rPr>
        <w:t xml:space="preserve">Cfr. </w:t>
      </w:r>
      <w:r w:rsidRPr="000B0D9C">
        <w:rPr>
          <w:sz w:val="16"/>
          <w:szCs w:val="16"/>
          <w:lang w:val="es-AR"/>
        </w:rPr>
        <w:t xml:space="preserve">ONU, Comité de Derechos Económicos, Sociales y Culturales, </w:t>
      </w:r>
      <w:r w:rsidRPr="00B1523A">
        <w:rPr>
          <w:i/>
          <w:sz w:val="16"/>
          <w:szCs w:val="16"/>
          <w:lang w:val="es-AR"/>
        </w:rPr>
        <w:t>Observación General No. 14</w:t>
      </w:r>
      <w:r w:rsidRPr="000B0D9C">
        <w:rPr>
          <w:i/>
          <w:sz w:val="16"/>
          <w:szCs w:val="16"/>
          <w:lang w:val="es-AR"/>
        </w:rPr>
        <w:t xml:space="preserve">: </w:t>
      </w:r>
      <w:r w:rsidRPr="00B1523A">
        <w:rPr>
          <w:i/>
          <w:sz w:val="16"/>
          <w:szCs w:val="16"/>
        </w:rPr>
        <w:t>El derecho al disfrute del más alto nivel posible de salud</w:t>
      </w:r>
      <w:r w:rsidRPr="000B0D9C">
        <w:rPr>
          <w:i/>
          <w:sz w:val="16"/>
          <w:szCs w:val="16"/>
          <w:lang w:val="es-AR"/>
        </w:rPr>
        <w:t xml:space="preserve">, </w:t>
      </w:r>
      <w:r w:rsidRPr="000B0D9C">
        <w:rPr>
          <w:sz w:val="16"/>
          <w:szCs w:val="16"/>
          <w:lang w:val="es-CR"/>
        </w:rPr>
        <w:t xml:space="preserve">E/C.12/2000/4, 11 de agosto de 2000, </w:t>
      </w:r>
      <w:r w:rsidRPr="000B0D9C">
        <w:rPr>
          <w:sz w:val="16"/>
          <w:szCs w:val="16"/>
          <w:lang w:val="es-AR"/>
        </w:rPr>
        <w:t xml:space="preserve">párr. 31. </w:t>
      </w:r>
    </w:p>
  </w:footnote>
  <w:footnote w:id="137">
    <w:p w14:paraId="1D4C70FB" w14:textId="688AA302" w:rsidR="003C025E" w:rsidRPr="00FF6422" w:rsidRDefault="003C025E" w:rsidP="002570D1">
      <w:pPr>
        <w:pStyle w:val="FootnoteText"/>
        <w:rPr>
          <w:sz w:val="16"/>
          <w:szCs w:val="16"/>
          <w:lang w:val="es-CR"/>
        </w:rPr>
      </w:pPr>
      <w:r w:rsidRPr="00FF6422">
        <w:rPr>
          <w:rStyle w:val="FootnoteReference"/>
          <w:color w:val="000000"/>
          <w:sz w:val="16"/>
          <w:szCs w:val="16"/>
        </w:rPr>
        <w:footnoteRef/>
      </w:r>
      <w:r w:rsidRPr="003D366C">
        <w:rPr>
          <w:sz w:val="16"/>
          <w:szCs w:val="16"/>
          <w:lang w:val="es-CR"/>
        </w:rPr>
        <w:t xml:space="preserve"> </w:t>
      </w:r>
      <w:r w:rsidRPr="003D366C">
        <w:rPr>
          <w:sz w:val="16"/>
          <w:szCs w:val="16"/>
          <w:lang w:val="es-CR"/>
        </w:rPr>
        <w:tab/>
      </w:r>
      <w:r w:rsidRPr="00B1523A">
        <w:rPr>
          <w:i/>
          <w:sz w:val="16"/>
          <w:szCs w:val="16"/>
          <w:lang w:val="es-CR"/>
        </w:rPr>
        <w:t>Cfr.</w:t>
      </w:r>
      <w:r w:rsidRPr="00FF6422">
        <w:rPr>
          <w:sz w:val="16"/>
          <w:szCs w:val="16"/>
          <w:lang w:val="es-CR"/>
        </w:rPr>
        <w:t xml:space="preserve"> </w:t>
      </w:r>
      <w:r w:rsidRPr="003D366C">
        <w:rPr>
          <w:i/>
          <w:sz w:val="16"/>
          <w:szCs w:val="16"/>
          <w:lang w:val="es-CR"/>
        </w:rPr>
        <w:t>Caso Acevedo Buendía y otros (“Cesantes y Jubilados de la Contraloría”) Vs. Perú</w:t>
      </w:r>
      <w:r w:rsidRPr="003D366C">
        <w:rPr>
          <w:sz w:val="16"/>
          <w:szCs w:val="16"/>
          <w:lang w:val="es-CR"/>
        </w:rPr>
        <w:t xml:space="preserve">, </w:t>
      </w:r>
      <w:r w:rsidRPr="00B1523A">
        <w:rPr>
          <w:i/>
          <w:sz w:val="16"/>
          <w:szCs w:val="16"/>
          <w:lang w:val="es-CR"/>
        </w:rPr>
        <w:t>supra</w:t>
      </w:r>
      <w:r w:rsidRPr="00FF6422">
        <w:rPr>
          <w:sz w:val="16"/>
          <w:szCs w:val="16"/>
          <w:lang w:val="es-CR"/>
        </w:rPr>
        <w:t xml:space="preserve">, </w:t>
      </w:r>
      <w:proofErr w:type="spellStart"/>
      <w:r w:rsidRPr="003D366C">
        <w:rPr>
          <w:sz w:val="16"/>
          <w:szCs w:val="16"/>
          <w:lang w:val="es-CR"/>
        </w:rPr>
        <w:t>párrs</w:t>
      </w:r>
      <w:proofErr w:type="spellEnd"/>
      <w:r w:rsidRPr="003D366C">
        <w:rPr>
          <w:sz w:val="16"/>
          <w:szCs w:val="16"/>
          <w:lang w:val="es-CR"/>
        </w:rPr>
        <w:t xml:space="preserve">. 102, 103. Véanse también: “Grupo de Trabajo para el Análisis de los Informes Nacionales previstos en el Protocolo de San Salvador”. </w:t>
      </w:r>
      <w:r>
        <w:rPr>
          <w:sz w:val="16"/>
          <w:szCs w:val="16"/>
          <w:lang w:val="es-CR"/>
        </w:rPr>
        <w:t>Inicialmente, e</w:t>
      </w:r>
      <w:r w:rsidRPr="003D366C">
        <w:rPr>
          <w:sz w:val="16"/>
          <w:szCs w:val="16"/>
          <w:lang w:val="es-CR"/>
        </w:rPr>
        <w:t xml:space="preserve">l Grupo de Trabajo elaboró el </w:t>
      </w:r>
      <w:r>
        <w:rPr>
          <w:sz w:val="16"/>
          <w:szCs w:val="16"/>
          <w:lang w:val="es-CR"/>
        </w:rPr>
        <w:t>D</w:t>
      </w:r>
      <w:r w:rsidRPr="003D366C">
        <w:rPr>
          <w:sz w:val="16"/>
          <w:szCs w:val="16"/>
          <w:lang w:val="es-CR"/>
        </w:rPr>
        <w:t>ocumento “Indicadores de progreso para medición de derechos contemplados en el Protocolo de San Salvador”</w:t>
      </w:r>
      <w:r w:rsidRPr="00B1523A">
        <w:rPr>
          <w:sz w:val="16"/>
          <w:szCs w:val="16"/>
          <w:lang w:val="es-CR" w:eastAsia="es-CR"/>
        </w:rPr>
        <w:t xml:space="preserve">, </w:t>
      </w:r>
      <w:r w:rsidRPr="00FF6422">
        <w:rPr>
          <w:sz w:val="16"/>
          <w:szCs w:val="16"/>
          <w:lang w:val="es-CR"/>
        </w:rPr>
        <w:t>OEA/</w:t>
      </w:r>
      <w:proofErr w:type="spellStart"/>
      <w:r w:rsidRPr="00FF6422">
        <w:rPr>
          <w:sz w:val="16"/>
          <w:szCs w:val="16"/>
          <w:lang w:val="es-CR"/>
        </w:rPr>
        <w:t>Ser.L</w:t>
      </w:r>
      <w:proofErr w:type="spellEnd"/>
      <w:r w:rsidRPr="00FF6422">
        <w:rPr>
          <w:sz w:val="16"/>
          <w:szCs w:val="16"/>
          <w:lang w:val="es-CR"/>
        </w:rPr>
        <w:t>/XXV</w:t>
      </w:r>
      <w:r w:rsidRPr="003D366C">
        <w:rPr>
          <w:sz w:val="16"/>
          <w:szCs w:val="16"/>
          <w:lang w:val="es-CR"/>
        </w:rPr>
        <w:t>.2.1; GT/PSS/doc.2/11 rev.2, de 16 diciembre 2011, realizado con base en las Normas y Lineamientos presentados por la C</w:t>
      </w:r>
      <w:r w:rsidRPr="005D3C07">
        <w:rPr>
          <w:sz w:val="16"/>
          <w:szCs w:val="16"/>
          <w:lang w:val="es-CR"/>
        </w:rPr>
        <w:t>omisión Interamericana de Derechos Humanos. Elevado a consulta a los Estados y la sociedad civil y aprobado por la Asamblea General en su XLII Período de Sesiones O</w:t>
      </w:r>
      <w:r w:rsidRPr="004041EE">
        <w:rPr>
          <w:sz w:val="16"/>
          <w:szCs w:val="16"/>
          <w:lang w:val="es-CR"/>
        </w:rPr>
        <w:t>rdinarias celebrado</w:t>
      </w:r>
      <w:r w:rsidRPr="00AA7440">
        <w:rPr>
          <w:sz w:val="16"/>
          <w:szCs w:val="16"/>
          <w:lang w:val="es-CR"/>
        </w:rPr>
        <w:t xml:space="preserve"> en Cochabamba, Bolivia, en junio de 2012 (AG/RES. 2713 (XLII-O/12)</w:t>
      </w:r>
      <w:r>
        <w:rPr>
          <w:sz w:val="16"/>
          <w:szCs w:val="16"/>
          <w:lang w:val="es-CR"/>
        </w:rPr>
        <w:t>. En dicha ocasión se abordaron los derechos a la seguridad social, a la salud y a la educación (</w:t>
      </w:r>
      <w:proofErr w:type="spellStart"/>
      <w:r>
        <w:rPr>
          <w:sz w:val="16"/>
          <w:szCs w:val="16"/>
          <w:lang w:val="es-CR"/>
        </w:rPr>
        <w:t>pag</w:t>
      </w:r>
      <w:proofErr w:type="spellEnd"/>
      <w:r>
        <w:rPr>
          <w:sz w:val="16"/>
          <w:szCs w:val="16"/>
          <w:lang w:val="es-CR"/>
        </w:rPr>
        <w:t>. 13)</w:t>
      </w:r>
      <w:r w:rsidRPr="00AA7440">
        <w:rPr>
          <w:sz w:val="16"/>
          <w:szCs w:val="16"/>
          <w:lang w:val="es-CR"/>
        </w:rPr>
        <w:t>.</w:t>
      </w:r>
      <w:r w:rsidRPr="00AA7440">
        <w:rPr>
          <w:sz w:val="16"/>
          <w:szCs w:val="16"/>
          <w:lang w:val="es-AR" w:eastAsia="es-CR"/>
        </w:rPr>
        <w:t xml:space="preserve"> Posteriormente, </w:t>
      </w:r>
      <w:r>
        <w:rPr>
          <w:sz w:val="16"/>
          <w:szCs w:val="16"/>
          <w:lang w:val="es-AR" w:eastAsia="es-CR"/>
        </w:rPr>
        <w:t>tras</w:t>
      </w:r>
      <w:r w:rsidRPr="00AA7440">
        <w:rPr>
          <w:sz w:val="16"/>
          <w:szCs w:val="16"/>
          <w:lang w:val="es-AR" w:eastAsia="es-CR"/>
        </w:rPr>
        <w:t xml:space="preserve"> un segundo agrupamiento de derechos, el </w:t>
      </w:r>
      <w:r w:rsidRPr="00AA7440">
        <w:rPr>
          <w:sz w:val="16"/>
          <w:szCs w:val="16"/>
          <w:lang w:val="es-AR"/>
        </w:rPr>
        <w:t xml:space="preserve">Grupo de Trabajo </w:t>
      </w:r>
      <w:r w:rsidRPr="00AA7440">
        <w:rPr>
          <w:sz w:val="16"/>
          <w:szCs w:val="16"/>
          <w:lang w:val="es-AR" w:eastAsia="es-CR"/>
        </w:rPr>
        <w:t>e</w:t>
      </w:r>
      <w:r>
        <w:rPr>
          <w:sz w:val="16"/>
          <w:szCs w:val="16"/>
          <w:lang w:val="es-AR" w:eastAsia="es-CR"/>
        </w:rPr>
        <w:t>miti</w:t>
      </w:r>
      <w:r w:rsidRPr="005B1698">
        <w:rPr>
          <w:sz w:val="16"/>
          <w:szCs w:val="16"/>
          <w:lang w:val="es-AR" w:eastAsia="es-CR"/>
        </w:rPr>
        <w:t xml:space="preserve">ó </w:t>
      </w:r>
      <w:r>
        <w:rPr>
          <w:sz w:val="16"/>
          <w:szCs w:val="16"/>
          <w:lang w:val="es-AR" w:eastAsia="es-CR"/>
        </w:rPr>
        <w:t xml:space="preserve">los </w:t>
      </w:r>
      <w:r w:rsidRPr="005B1698">
        <w:rPr>
          <w:sz w:val="16"/>
          <w:szCs w:val="16"/>
          <w:lang w:val="es-AR" w:eastAsia="es-CR"/>
        </w:rPr>
        <w:t>“</w:t>
      </w:r>
      <w:r w:rsidRPr="005B1698">
        <w:rPr>
          <w:sz w:val="16"/>
          <w:szCs w:val="16"/>
          <w:lang w:val="es-AR"/>
        </w:rPr>
        <w:t xml:space="preserve">Indicadores de progreso para la medición de derechos contemplados en el Protocolo </w:t>
      </w:r>
      <w:r w:rsidRPr="00BD2E79">
        <w:rPr>
          <w:sz w:val="16"/>
          <w:szCs w:val="16"/>
          <w:lang w:val="es-AR"/>
        </w:rPr>
        <w:t>Adicional a la Convención Americana sobre Derechos Humanos en materia de derechos económicos, sociales y culturales “Protocolo de San Salvador – Segundo agrupamiento de derechos”</w:t>
      </w:r>
      <w:r w:rsidRPr="0004360F">
        <w:rPr>
          <w:sz w:val="16"/>
          <w:szCs w:val="16"/>
          <w:lang w:val="es-CR"/>
        </w:rPr>
        <w:t xml:space="preserve">, </w:t>
      </w:r>
      <w:r w:rsidRPr="00B1566A">
        <w:rPr>
          <w:sz w:val="16"/>
          <w:szCs w:val="16"/>
          <w:lang w:val="es-CR"/>
        </w:rPr>
        <w:t>OEA/</w:t>
      </w:r>
      <w:proofErr w:type="spellStart"/>
      <w:r w:rsidRPr="00B1566A">
        <w:rPr>
          <w:sz w:val="16"/>
          <w:szCs w:val="16"/>
          <w:lang w:val="es-CR"/>
        </w:rPr>
        <w:t>Ser.L</w:t>
      </w:r>
      <w:proofErr w:type="spellEnd"/>
      <w:r w:rsidRPr="00B1566A">
        <w:rPr>
          <w:sz w:val="16"/>
          <w:szCs w:val="16"/>
          <w:lang w:val="es-CR"/>
        </w:rPr>
        <w:t>/XXV.2.1 GT/PSS/doc.9/13</w:t>
      </w:r>
      <w:r w:rsidRPr="000C1FFD">
        <w:rPr>
          <w:sz w:val="16"/>
          <w:szCs w:val="16"/>
          <w:lang w:val="es-CR"/>
        </w:rPr>
        <w:t>,</w:t>
      </w:r>
      <w:r w:rsidRPr="00FF6422">
        <w:rPr>
          <w:sz w:val="16"/>
          <w:szCs w:val="16"/>
          <w:lang w:val="es-CR"/>
        </w:rPr>
        <w:t xml:space="preserve"> aprobados por la Asamblea General de la OEA mediante la Resolución AG/RES. 2823 (XLIV-O/14), en la Segunda Sesión Plenaria de 4 de junio de 2014.</w:t>
      </w:r>
      <w:r w:rsidRPr="00B1523A">
        <w:rPr>
          <w:sz w:val="16"/>
          <w:szCs w:val="16"/>
          <w:lang w:val="es-CR" w:eastAsia="es-CR"/>
        </w:rPr>
        <w:t xml:space="preserve"> Finalmente, </w:t>
      </w:r>
      <w:r w:rsidRPr="00FF6422">
        <w:rPr>
          <w:sz w:val="16"/>
          <w:szCs w:val="16"/>
          <w:lang w:val="es-CR" w:eastAsia="es-CR"/>
        </w:rPr>
        <w:t>en 2015</w:t>
      </w:r>
      <w:r w:rsidRPr="003D366C">
        <w:rPr>
          <w:sz w:val="16"/>
          <w:szCs w:val="16"/>
          <w:lang w:val="es-CR" w:eastAsia="es-CR"/>
        </w:rPr>
        <w:t>, el Grupo de Trabajo i</w:t>
      </w:r>
      <w:proofErr w:type="spellStart"/>
      <w:r w:rsidRPr="00B1523A">
        <w:rPr>
          <w:sz w:val="16"/>
          <w:szCs w:val="16"/>
        </w:rPr>
        <w:t>ncorporó</w:t>
      </w:r>
      <w:proofErr w:type="spellEnd"/>
      <w:r w:rsidRPr="00B1523A">
        <w:rPr>
          <w:sz w:val="16"/>
          <w:szCs w:val="16"/>
        </w:rPr>
        <w:t xml:space="preserve"> ambos agrupamientos de derechos y fueron publicados bajo el título conjunto: “Indicadores de progreso para la medición de derechos contemplados en el Protocolo de San Salvador”</w:t>
      </w:r>
      <w:r w:rsidRPr="00FF6422">
        <w:rPr>
          <w:sz w:val="16"/>
          <w:szCs w:val="16"/>
          <w:lang w:val="es-CR"/>
        </w:rPr>
        <w:t xml:space="preserve">, </w:t>
      </w:r>
      <w:r w:rsidRPr="00B1523A">
        <w:rPr>
          <w:sz w:val="16"/>
          <w:szCs w:val="16"/>
        </w:rPr>
        <w:t>OEA/</w:t>
      </w:r>
      <w:proofErr w:type="spellStart"/>
      <w:r w:rsidRPr="00B1523A">
        <w:rPr>
          <w:sz w:val="16"/>
          <w:szCs w:val="16"/>
        </w:rPr>
        <w:t>Ser.D</w:t>
      </w:r>
      <w:proofErr w:type="spellEnd"/>
      <w:r w:rsidRPr="00B1523A">
        <w:rPr>
          <w:sz w:val="16"/>
          <w:szCs w:val="16"/>
        </w:rPr>
        <w:t>/XXVI.11 (2015)</w:t>
      </w:r>
      <w:r>
        <w:rPr>
          <w:sz w:val="16"/>
          <w:szCs w:val="16"/>
        </w:rPr>
        <w:t>. En esta ocasión se abordaron los derechos al trabajo y derechos sindicales, a la alimentación adecuada, al medio ambiente sano, y a los beneficios de la cultura (pág. 75)</w:t>
      </w:r>
      <w:r w:rsidRPr="00B1523A">
        <w:rPr>
          <w:sz w:val="16"/>
          <w:szCs w:val="16"/>
        </w:rPr>
        <w:t xml:space="preserve">. </w:t>
      </w:r>
    </w:p>
  </w:footnote>
  <w:footnote w:id="138">
    <w:p w14:paraId="5A5C2C6C" w14:textId="299C83B5" w:rsidR="003C025E" w:rsidRPr="002570D1" w:rsidRDefault="003C025E" w:rsidP="00E85806">
      <w:pPr>
        <w:pStyle w:val="FootnoteText"/>
        <w:rPr>
          <w:sz w:val="16"/>
          <w:szCs w:val="16"/>
          <w:lang w:val="es-AR"/>
        </w:rPr>
      </w:pPr>
      <w:r w:rsidRPr="002570D1">
        <w:rPr>
          <w:rStyle w:val="FootnoteReference"/>
          <w:rFonts w:eastAsia="MS ????"/>
          <w:color w:val="000000"/>
          <w:sz w:val="16"/>
          <w:szCs w:val="16"/>
        </w:rPr>
        <w:footnoteRef/>
      </w:r>
      <w:r w:rsidRPr="002570D1">
        <w:rPr>
          <w:rStyle w:val="FootnoteReference"/>
          <w:rFonts w:eastAsia="MS ????"/>
          <w:color w:val="000000"/>
          <w:sz w:val="16"/>
          <w:szCs w:val="16"/>
          <w:lang w:val="es-CR"/>
        </w:rPr>
        <w:t xml:space="preserve"> </w:t>
      </w:r>
      <w:r>
        <w:rPr>
          <w:sz w:val="16"/>
          <w:szCs w:val="16"/>
          <w:lang w:val="es-CR"/>
        </w:rPr>
        <w:tab/>
      </w:r>
      <w:r>
        <w:rPr>
          <w:i/>
          <w:sz w:val="16"/>
          <w:szCs w:val="16"/>
          <w:lang w:val="es-CR"/>
        </w:rPr>
        <w:t xml:space="preserve">Cfr. </w:t>
      </w:r>
      <w:r>
        <w:rPr>
          <w:sz w:val="16"/>
          <w:szCs w:val="16"/>
          <w:lang w:val="es-AR"/>
        </w:rPr>
        <w:t>ONU.</w:t>
      </w:r>
      <w:r w:rsidRPr="002570D1">
        <w:rPr>
          <w:sz w:val="16"/>
          <w:szCs w:val="16"/>
          <w:lang w:val="es-AR"/>
        </w:rPr>
        <w:t xml:space="preserve"> Comité de Derechos Económicos, Sociales y Culturales, </w:t>
      </w:r>
      <w:r w:rsidRPr="00B1523A">
        <w:rPr>
          <w:i/>
          <w:sz w:val="16"/>
          <w:szCs w:val="16"/>
          <w:lang w:val="es-AR"/>
        </w:rPr>
        <w:t>Observación General No. 3: La índole de las obligaciones de los Estados Partes (párrafo 1 del artículo 2 del Pacto)</w:t>
      </w:r>
      <w:r w:rsidRPr="002570D1">
        <w:rPr>
          <w:sz w:val="16"/>
          <w:szCs w:val="16"/>
          <w:lang w:val="es-AR"/>
        </w:rPr>
        <w:t xml:space="preserve">, U.N. Doc. </w:t>
      </w:r>
      <w:r w:rsidRPr="002570D1">
        <w:rPr>
          <w:sz w:val="16"/>
          <w:szCs w:val="16"/>
        </w:rPr>
        <w:t xml:space="preserve">E/1991/23, </w:t>
      </w:r>
      <w:r>
        <w:rPr>
          <w:sz w:val="16"/>
          <w:szCs w:val="16"/>
        </w:rPr>
        <w:t xml:space="preserve">14 de diciembre de </w:t>
      </w:r>
      <w:r w:rsidRPr="002570D1">
        <w:rPr>
          <w:sz w:val="16"/>
          <w:szCs w:val="16"/>
        </w:rPr>
        <w:t>1990, párr.</w:t>
      </w:r>
      <w:r>
        <w:rPr>
          <w:sz w:val="16"/>
          <w:szCs w:val="16"/>
        </w:rPr>
        <w:t xml:space="preserve"> </w:t>
      </w:r>
      <w:r w:rsidRPr="002570D1">
        <w:rPr>
          <w:sz w:val="16"/>
          <w:szCs w:val="16"/>
        </w:rPr>
        <w:t>9</w:t>
      </w:r>
      <w:r>
        <w:rPr>
          <w:sz w:val="16"/>
          <w:szCs w:val="16"/>
        </w:rPr>
        <w:t>, y</w:t>
      </w:r>
      <w:r w:rsidRPr="002570D1">
        <w:rPr>
          <w:sz w:val="16"/>
          <w:szCs w:val="16"/>
        </w:rPr>
        <w:t xml:space="preserve"> </w:t>
      </w:r>
      <w:r w:rsidRPr="005B1698">
        <w:rPr>
          <w:i/>
          <w:sz w:val="16"/>
          <w:szCs w:val="16"/>
          <w:lang w:val="es-AR"/>
        </w:rPr>
        <w:t xml:space="preserve">Observación General No. 14: </w:t>
      </w:r>
      <w:r w:rsidRPr="005B1698">
        <w:rPr>
          <w:i/>
          <w:sz w:val="16"/>
          <w:szCs w:val="16"/>
          <w:lang w:val="es-CR"/>
        </w:rPr>
        <w:t>El derecho al disfrute del más alto nivel posible de salud</w:t>
      </w:r>
      <w:r>
        <w:rPr>
          <w:i/>
          <w:sz w:val="16"/>
          <w:szCs w:val="16"/>
          <w:lang w:val="es-CR"/>
        </w:rPr>
        <w:t xml:space="preserve">, supra, </w:t>
      </w:r>
      <w:r w:rsidRPr="002C7F70">
        <w:rPr>
          <w:sz w:val="16"/>
          <w:szCs w:val="16"/>
        </w:rPr>
        <w:t xml:space="preserve">párr. 30. </w:t>
      </w:r>
      <w:r>
        <w:rPr>
          <w:sz w:val="16"/>
          <w:szCs w:val="16"/>
        </w:rPr>
        <w:t>Particularmente en esta última, e</w:t>
      </w:r>
      <w:r w:rsidRPr="002C7F70">
        <w:rPr>
          <w:sz w:val="16"/>
          <w:szCs w:val="16"/>
        </w:rPr>
        <w:t>l Comité remarc</w:t>
      </w:r>
      <w:r>
        <w:rPr>
          <w:sz w:val="16"/>
          <w:szCs w:val="16"/>
        </w:rPr>
        <w:t>ó</w:t>
      </w:r>
      <w:r w:rsidRPr="002C7F70">
        <w:rPr>
          <w:sz w:val="16"/>
          <w:szCs w:val="16"/>
        </w:rPr>
        <w:t xml:space="preserve"> que “los Estados Partes tienen obligaciones inmediatas por lo que respecta al derecho a la salud</w:t>
      </w:r>
      <w:r w:rsidRPr="00E94DD6">
        <w:rPr>
          <w:sz w:val="16"/>
          <w:szCs w:val="16"/>
        </w:rPr>
        <w:t xml:space="preserve">, como la garantía de que ese derecho será ejercido sin discriminación alguna y la obligación de adoptar medidas en aras de la plena realización”. En </w:t>
      </w:r>
      <w:r w:rsidRPr="00AB1E03">
        <w:rPr>
          <w:sz w:val="16"/>
          <w:szCs w:val="16"/>
        </w:rPr>
        <w:t>el párr</w:t>
      </w:r>
      <w:r>
        <w:rPr>
          <w:sz w:val="16"/>
          <w:szCs w:val="16"/>
        </w:rPr>
        <w:t>afo</w:t>
      </w:r>
      <w:r w:rsidRPr="00AB1E03">
        <w:rPr>
          <w:sz w:val="16"/>
          <w:szCs w:val="16"/>
        </w:rPr>
        <w:t xml:space="preserve"> 2</w:t>
      </w:r>
      <w:r>
        <w:rPr>
          <w:sz w:val="16"/>
          <w:szCs w:val="16"/>
        </w:rPr>
        <w:t xml:space="preserve">, </w:t>
      </w:r>
      <w:r w:rsidRPr="00AB1E03">
        <w:rPr>
          <w:sz w:val="16"/>
          <w:szCs w:val="16"/>
        </w:rPr>
        <w:t>el Comité señal</w:t>
      </w:r>
      <w:r>
        <w:rPr>
          <w:sz w:val="16"/>
          <w:szCs w:val="16"/>
        </w:rPr>
        <w:t>ó</w:t>
      </w:r>
      <w:r w:rsidRPr="00AB1E03">
        <w:rPr>
          <w:sz w:val="16"/>
          <w:szCs w:val="16"/>
        </w:rPr>
        <w:t xml:space="preserve"> que “en el párrafo 2 del artículo 12 se indican,</w:t>
      </w:r>
      <w:r>
        <w:rPr>
          <w:sz w:val="16"/>
          <w:szCs w:val="16"/>
        </w:rPr>
        <w:t xml:space="preserve"> </w:t>
      </w:r>
      <w:r w:rsidRPr="00AB1E03">
        <w:rPr>
          <w:sz w:val="16"/>
          <w:szCs w:val="16"/>
        </w:rPr>
        <w:t>a título de ejemplo, diversas "medidas que deberán adoptar los Estados Partes a fin de asegurar la plena efectividad de este derecho"</w:t>
      </w:r>
      <w:r w:rsidRPr="002C7F70">
        <w:rPr>
          <w:sz w:val="16"/>
          <w:szCs w:val="16"/>
        </w:rPr>
        <w:t>.</w:t>
      </w:r>
      <w:r w:rsidRPr="002570D1">
        <w:rPr>
          <w:sz w:val="16"/>
          <w:szCs w:val="16"/>
        </w:rPr>
        <w:t xml:space="preserve"> </w:t>
      </w:r>
      <w:r w:rsidRPr="002570D1">
        <w:rPr>
          <w:sz w:val="16"/>
          <w:szCs w:val="16"/>
          <w:lang w:val="es-AR"/>
        </w:rPr>
        <w:t xml:space="preserve"> </w:t>
      </w:r>
    </w:p>
  </w:footnote>
  <w:footnote w:id="139">
    <w:p w14:paraId="74D01BC1" w14:textId="14F824AC" w:rsidR="003C025E" w:rsidRPr="002570D1" w:rsidRDefault="003C025E" w:rsidP="004041EE">
      <w:pPr>
        <w:pStyle w:val="FootnoteText"/>
        <w:rPr>
          <w:sz w:val="16"/>
          <w:szCs w:val="16"/>
          <w:lang w:val="es-CR"/>
        </w:rPr>
      </w:pPr>
      <w:r w:rsidRPr="002570D1">
        <w:rPr>
          <w:rStyle w:val="FootnoteReference"/>
          <w:color w:val="000000"/>
          <w:sz w:val="16"/>
          <w:szCs w:val="16"/>
        </w:rPr>
        <w:footnoteRef/>
      </w:r>
      <w:r>
        <w:rPr>
          <w:color w:val="000000"/>
          <w:sz w:val="16"/>
          <w:szCs w:val="16"/>
        </w:rPr>
        <w:t xml:space="preserve"> </w:t>
      </w:r>
      <w:r>
        <w:rPr>
          <w:color w:val="000000"/>
          <w:sz w:val="16"/>
          <w:szCs w:val="16"/>
        </w:rPr>
        <w:tab/>
      </w:r>
      <w:r w:rsidRPr="002570D1">
        <w:rPr>
          <w:sz w:val="16"/>
          <w:szCs w:val="16"/>
          <w:lang w:val="es-CR"/>
        </w:rPr>
        <w:t>Artículo</w:t>
      </w:r>
      <w:r>
        <w:rPr>
          <w:sz w:val="16"/>
          <w:szCs w:val="16"/>
          <w:lang w:val="es-CR"/>
        </w:rPr>
        <w:t xml:space="preserve"> </w:t>
      </w:r>
      <w:r w:rsidRPr="002570D1">
        <w:rPr>
          <w:sz w:val="16"/>
          <w:szCs w:val="16"/>
          <w:lang w:val="es-CR"/>
        </w:rPr>
        <w:t>34 de la Carta de la OEA. - 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w:t>
      </w:r>
      <w:r>
        <w:rPr>
          <w:sz w:val="16"/>
          <w:szCs w:val="16"/>
          <w:lang w:val="es-CR"/>
        </w:rPr>
        <w:t xml:space="preserve"> </w:t>
      </w:r>
      <w:r w:rsidRPr="002570D1">
        <w:rPr>
          <w:sz w:val="16"/>
          <w:szCs w:val="16"/>
          <w:lang w:val="es-CR"/>
        </w:rPr>
        <w:t>[…]</w:t>
      </w:r>
      <w:r>
        <w:rPr>
          <w:sz w:val="16"/>
          <w:szCs w:val="16"/>
          <w:lang w:val="es-CR"/>
        </w:rPr>
        <w:t xml:space="preserve"> </w:t>
      </w:r>
      <w:r w:rsidRPr="002570D1">
        <w:rPr>
          <w:sz w:val="16"/>
          <w:szCs w:val="16"/>
          <w:lang w:val="es-CR"/>
        </w:rPr>
        <w:t>i) Defensa del potencial humano mediante la extensión y aplicación de los modernos conocimientos de la ciencia médica</w:t>
      </w:r>
      <w:r>
        <w:rPr>
          <w:sz w:val="16"/>
          <w:szCs w:val="16"/>
          <w:lang w:val="es-CR"/>
        </w:rPr>
        <w:t xml:space="preserve"> [y] l) Condiciones […] que hagan posible una vida sana, productiva y digna. </w:t>
      </w:r>
    </w:p>
  </w:footnote>
  <w:footnote w:id="140">
    <w:p w14:paraId="6EC59EB1" w14:textId="0EA39E39" w:rsidR="003C025E" w:rsidRPr="002570D1" w:rsidRDefault="003C025E" w:rsidP="00FE58B5">
      <w:pPr>
        <w:pStyle w:val="FootnoteText"/>
        <w:rPr>
          <w:sz w:val="16"/>
          <w:szCs w:val="16"/>
          <w:lang w:val="es-ES"/>
        </w:rPr>
      </w:pPr>
      <w:r w:rsidRPr="002570D1">
        <w:rPr>
          <w:rStyle w:val="FootnoteReference"/>
          <w:color w:val="000000"/>
          <w:sz w:val="16"/>
          <w:szCs w:val="16"/>
        </w:rPr>
        <w:footnoteRef/>
      </w:r>
      <w:r w:rsidRPr="002570D1">
        <w:rPr>
          <w:rStyle w:val="FootnoteReference"/>
          <w:color w:val="000000"/>
          <w:sz w:val="16"/>
          <w:szCs w:val="16"/>
          <w:lang w:val="es-MX"/>
        </w:rPr>
        <w:t xml:space="preserve"> </w:t>
      </w:r>
      <w:r>
        <w:rPr>
          <w:sz w:val="16"/>
          <w:szCs w:val="16"/>
          <w:lang w:val="es-MX"/>
        </w:rPr>
        <w:tab/>
      </w:r>
      <w:r w:rsidRPr="002570D1">
        <w:rPr>
          <w:sz w:val="16"/>
          <w:szCs w:val="16"/>
          <w:lang w:val="es-CR"/>
        </w:rPr>
        <w:t xml:space="preserve">Artículo 45 de la Carta de la OEA.- </w:t>
      </w:r>
      <w:r w:rsidRPr="002570D1">
        <w:rPr>
          <w:sz w:val="16"/>
          <w:szCs w:val="16"/>
          <w:lang w:val="es-ES"/>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w:t>
      </w:r>
    </w:p>
    <w:p w14:paraId="2E65D594" w14:textId="35F9ABFA" w:rsidR="003C025E" w:rsidRPr="002570D1" w:rsidRDefault="003C025E" w:rsidP="00FE58B5">
      <w:pPr>
        <w:pStyle w:val="FootnoteText"/>
        <w:rPr>
          <w:sz w:val="16"/>
          <w:szCs w:val="16"/>
          <w:lang w:val="es-CR"/>
        </w:rPr>
      </w:pPr>
      <w:r w:rsidRPr="002570D1">
        <w:rPr>
          <w:sz w:val="16"/>
          <w:szCs w:val="16"/>
          <w:lang w:val="es-CR"/>
        </w:rPr>
        <w:t>[…]</w:t>
      </w:r>
      <w:r>
        <w:rPr>
          <w:sz w:val="16"/>
          <w:szCs w:val="16"/>
          <w:lang w:val="es-CR"/>
        </w:rPr>
        <w:t xml:space="preserve"> </w:t>
      </w:r>
      <w:r w:rsidRPr="002570D1">
        <w:rPr>
          <w:sz w:val="16"/>
          <w:szCs w:val="16"/>
          <w:lang w:val="es-CR"/>
        </w:rPr>
        <w:t>h) Desarrollo de una política eficiente de seguridad social</w:t>
      </w:r>
      <w:r>
        <w:rPr>
          <w:sz w:val="16"/>
          <w:szCs w:val="16"/>
          <w:lang w:val="es-CR"/>
        </w:rPr>
        <w:t xml:space="preserve"> […].</w:t>
      </w:r>
    </w:p>
  </w:footnote>
  <w:footnote w:id="141">
    <w:p w14:paraId="13BF4A30" w14:textId="58E9C071" w:rsidR="003C025E" w:rsidRPr="002570D1" w:rsidRDefault="003C025E" w:rsidP="002E6860">
      <w:pPr>
        <w:pStyle w:val="FootnoteText"/>
        <w:rPr>
          <w:sz w:val="16"/>
          <w:szCs w:val="16"/>
          <w:lang w:val="es-CR"/>
        </w:rPr>
      </w:pPr>
      <w:r w:rsidRPr="002570D1">
        <w:rPr>
          <w:rStyle w:val="FootnoteReference"/>
          <w:color w:val="000000"/>
          <w:sz w:val="16"/>
          <w:szCs w:val="16"/>
        </w:rPr>
        <w:footnoteRef/>
      </w:r>
      <w:r w:rsidRPr="002570D1">
        <w:rPr>
          <w:rStyle w:val="FootnoteReference"/>
          <w:color w:val="000000"/>
          <w:sz w:val="16"/>
          <w:szCs w:val="16"/>
          <w:lang w:val="es-MX"/>
        </w:rPr>
        <w:t xml:space="preserve"> </w:t>
      </w:r>
      <w:r>
        <w:rPr>
          <w:color w:val="000000"/>
          <w:sz w:val="16"/>
          <w:szCs w:val="16"/>
          <w:lang w:val="es-MX"/>
        </w:rPr>
        <w:tab/>
      </w:r>
      <w:r w:rsidRPr="00062586">
        <w:rPr>
          <w:i/>
          <w:color w:val="000000"/>
          <w:sz w:val="16"/>
          <w:szCs w:val="16"/>
          <w:lang w:val="es-MX"/>
        </w:rPr>
        <w:t>Cfr.</w:t>
      </w:r>
      <w:r>
        <w:rPr>
          <w:color w:val="000000"/>
          <w:sz w:val="16"/>
          <w:szCs w:val="16"/>
          <w:lang w:val="es-MX"/>
        </w:rPr>
        <w:t xml:space="preserve"> </w:t>
      </w:r>
      <w:r w:rsidRPr="00B1523A">
        <w:rPr>
          <w:i/>
          <w:color w:val="000000"/>
          <w:sz w:val="16"/>
          <w:szCs w:val="16"/>
          <w:lang w:val="es-MX"/>
        </w:rPr>
        <w:t>Interpretación de la Declaración Americana de los Derechos y Deberes del Hombre en el marco del artículo 64 de la Convención Americana sobre Derechos Humanos.</w:t>
      </w:r>
      <w:r w:rsidRPr="001D5FD5">
        <w:rPr>
          <w:color w:val="000000"/>
          <w:sz w:val="16"/>
          <w:szCs w:val="16"/>
          <w:lang w:val="es-MX"/>
        </w:rPr>
        <w:t xml:space="preserve"> </w:t>
      </w:r>
      <w:r w:rsidRPr="00B1523A">
        <w:rPr>
          <w:i/>
          <w:color w:val="000000"/>
          <w:sz w:val="16"/>
          <w:szCs w:val="16"/>
          <w:lang w:val="es-MX"/>
        </w:rPr>
        <w:t>Opinión Consultiva OC-10/89</w:t>
      </w:r>
      <w:r w:rsidRPr="001D5FD5">
        <w:rPr>
          <w:color w:val="000000"/>
          <w:sz w:val="16"/>
          <w:szCs w:val="16"/>
          <w:lang w:val="es-MX"/>
        </w:rPr>
        <w:t xml:space="preserve"> de 14 de julio de 1989. Serie A No. 10. </w:t>
      </w:r>
      <w:r w:rsidRPr="00795461">
        <w:rPr>
          <w:sz w:val="16"/>
          <w:szCs w:val="16"/>
          <w:lang w:val="es-CR"/>
        </w:rPr>
        <w:t>párr. 43</w:t>
      </w:r>
      <w:r>
        <w:rPr>
          <w:sz w:val="16"/>
          <w:szCs w:val="16"/>
          <w:lang w:val="es-CR"/>
        </w:rPr>
        <w:t>, y</w:t>
      </w:r>
      <w:r w:rsidRPr="002570D1">
        <w:rPr>
          <w:sz w:val="16"/>
          <w:szCs w:val="16"/>
          <w:lang w:val="es-CR"/>
        </w:rPr>
        <w:t xml:space="preserve"> </w:t>
      </w:r>
      <w:r w:rsidRPr="00AB1E03">
        <w:rPr>
          <w:i/>
          <w:sz w:val="16"/>
          <w:szCs w:val="16"/>
          <w:lang w:val="es-CR"/>
        </w:rPr>
        <w:t>Caso Lagos del Campo, supra</w:t>
      </w:r>
      <w:r>
        <w:rPr>
          <w:i/>
          <w:sz w:val="16"/>
          <w:szCs w:val="16"/>
          <w:lang w:val="es-CR"/>
        </w:rPr>
        <w:t>,</w:t>
      </w:r>
      <w:r>
        <w:rPr>
          <w:sz w:val="16"/>
          <w:szCs w:val="16"/>
          <w:lang w:val="es-CR"/>
        </w:rPr>
        <w:t xml:space="preserve"> párr. 143.</w:t>
      </w:r>
    </w:p>
  </w:footnote>
  <w:footnote w:id="142">
    <w:p w14:paraId="2C8DC87D" w14:textId="077350E7" w:rsidR="003C025E" w:rsidRPr="002570D1" w:rsidRDefault="003C025E" w:rsidP="002570D1">
      <w:pPr>
        <w:pStyle w:val="FootnoteText"/>
        <w:rPr>
          <w:color w:val="000000"/>
          <w:sz w:val="16"/>
          <w:szCs w:val="16"/>
          <w:lang w:val="es-CR"/>
        </w:rPr>
      </w:pPr>
      <w:r w:rsidRPr="002570D1">
        <w:rPr>
          <w:rStyle w:val="FootnoteReference"/>
          <w:color w:val="000000"/>
          <w:sz w:val="16"/>
          <w:szCs w:val="16"/>
        </w:rPr>
        <w:footnoteRef/>
      </w:r>
      <w:r w:rsidRPr="002570D1">
        <w:rPr>
          <w:rStyle w:val="FootnoteReference"/>
          <w:sz w:val="16"/>
          <w:szCs w:val="16"/>
          <w:lang w:val="es-MX"/>
        </w:rPr>
        <w:t xml:space="preserve"> </w:t>
      </w:r>
      <w:r>
        <w:rPr>
          <w:color w:val="000000"/>
          <w:sz w:val="16"/>
          <w:szCs w:val="16"/>
          <w:lang w:val="es-CR"/>
        </w:rPr>
        <w:tab/>
      </w:r>
      <w:r w:rsidRPr="00062586">
        <w:rPr>
          <w:i/>
          <w:sz w:val="16"/>
          <w:szCs w:val="16"/>
          <w:lang w:val="es-CR"/>
        </w:rPr>
        <w:t>Cfr.</w:t>
      </w:r>
      <w:r w:rsidRPr="002570D1">
        <w:rPr>
          <w:sz w:val="16"/>
          <w:szCs w:val="16"/>
          <w:lang w:val="es-CR"/>
        </w:rPr>
        <w:t xml:space="preserve"> </w:t>
      </w:r>
      <w:r w:rsidRPr="003A63EB">
        <w:rPr>
          <w:i/>
          <w:sz w:val="16"/>
          <w:szCs w:val="16"/>
          <w:lang w:val="es-MX"/>
        </w:rPr>
        <w:t>Interpretación de la Declaración Americana de los Derechos y Deberes del Hombre en el marco del artículo 64 de la Convención Americana sobre Derechos Humanos.</w:t>
      </w:r>
      <w:r w:rsidRPr="003A63EB">
        <w:rPr>
          <w:sz w:val="16"/>
          <w:szCs w:val="16"/>
          <w:lang w:val="es-MX"/>
        </w:rPr>
        <w:t xml:space="preserve"> </w:t>
      </w:r>
      <w:r w:rsidRPr="003A63EB">
        <w:rPr>
          <w:i/>
          <w:sz w:val="16"/>
          <w:szCs w:val="16"/>
          <w:lang w:val="es-MX"/>
        </w:rPr>
        <w:t>Opinión Consultiva OC-10/89</w:t>
      </w:r>
      <w:r w:rsidRPr="002570D1">
        <w:rPr>
          <w:sz w:val="16"/>
          <w:szCs w:val="16"/>
          <w:lang w:val="es-CR"/>
        </w:rPr>
        <w:t xml:space="preserve">, </w:t>
      </w:r>
      <w:r w:rsidRPr="00062586">
        <w:rPr>
          <w:i/>
          <w:sz w:val="16"/>
          <w:szCs w:val="16"/>
          <w:lang w:val="es-CR"/>
        </w:rPr>
        <w:t>supra</w:t>
      </w:r>
      <w:r w:rsidRPr="002570D1">
        <w:rPr>
          <w:sz w:val="16"/>
          <w:szCs w:val="16"/>
          <w:lang w:val="es-CR"/>
        </w:rPr>
        <w:t xml:space="preserve">, </w:t>
      </w:r>
      <w:proofErr w:type="spellStart"/>
      <w:r w:rsidRPr="002570D1">
        <w:rPr>
          <w:sz w:val="16"/>
          <w:szCs w:val="16"/>
          <w:lang w:val="es-CR"/>
        </w:rPr>
        <w:t>párrs</w:t>
      </w:r>
      <w:proofErr w:type="spellEnd"/>
      <w:r w:rsidRPr="002570D1">
        <w:rPr>
          <w:sz w:val="16"/>
          <w:szCs w:val="16"/>
          <w:lang w:val="es-CR"/>
        </w:rPr>
        <w:t>. 43 y 45.</w:t>
      </w:r>
    </w:p>
  </w:footnote>
  <w:footnote w:id="143">
    <w:p w14:paraId="56512DF6" w14:textId="44738E08" w:rsidR="003C025E" w:rsidRPr="002570D1" w:rsidRDefault="003C025E" w:rsidP="00556BEA">
      <w:pPr>
        <w:pStyle w:val="FootnoteText"/>
        <w:rPr>
          <w:sz w:val="16"/>
          <w:szCs w:val="16"/>
          <w:lang w:val="es-AR"/>
        </w:rPr>
      </w:pPr>
      <w:r w:rsidRPr="002570D1">
        <w:rPr>
          <w:rStyle w:val="FootnoteReference"/>
          <w:sz w:val="16"/>
          <w:szCs w:val="16"/>
        </w:rPr>
        <w:footnoteRef/>
      </w:r>
      <w:r w:rsidRPr="002570D1">
        <w:rPr>
          <w:rStyle w:val="FootnoteReference"/>
          <w:sz w:val="16"/>
          <w:szCs w:val="16"/>
          <w:lang w:val="es-AR"/>
        </w:rPr>
        <w:t xml:space="preserve">  </w:t>
      </w:r>
      <w:r>
        <w:rPr>
          <w:sz w:val="16"/>
          <w:szCs w:val="16"/>
          <w:lang w:val="es-AR"/>
        </w:rPr>
        <w:tab/>
        <w:t xml:space="preserve">Junta de Gobierno de la República de Chile. </w:t>
      </w:r>
      <w:r w:rsidRPr="002570D1">
        <w:rPr>
          <w:sz w:val="16"/>
          <w:szCs w:val="16"/>
          <w:lang w:val="es-AR"/>
        </w:rPr>
        <w:t xml:space="preserve">Constitución Política de la República de Chile. </w:t>
      </w:r>
      <w:r>
        <w:rPr>
          <w:sz w:val="16"/>
          <w:szCs w:val="16"/>
          <w:lang w:val="es-AR"/>
        </w:rPr>
        <w:t xml:space="preserve">Sancionada mediante Decreto Ley Núm. 3464 de 11 de agosto de 1980 y promulgada por Decreto Núm. 1150 de 21 de octubre de 1980. </w:t>
      </w:r>
      <w:r w:rsidRPr="002570D1">
        <w:rPr>
          <w:sz w:val="16"/>
          <w:szCs w:val="16"/>
          <w:lang w:val="es-CR"/>
        </w:rPr>
        <w:t>Artículo 19</w:t>
      </w:r>
      <w:r>
        <w:rPr>
          <w:sz w:val="16"/>
          <w:szCs w:val="16"/>
          <w:lang w:val="es-CR"/>
        </w:rPr>
        <w:t>:</w:t>
      </w:r>
      <w:r w:rsidRPr="002570D1">
        <w:rPr>
          <w:sz w:val="16"/>
          <w:szCs w:val="16"/>
          <w:lang w:val="es-CR"/>
        </w:rPr>
        <w:t xml:space="preserve"> La Constitución asegura a todas las personas:  </w:t>
      </w:r>
    </w:p>
    <w:p w14:paraId="035D2C4F" w14:textId="0BB22877" w:rsidR="003C025E" w:rsidRPr="002570D1" w:rsidRDefault="003C025E" w:rsidP="00556BEA">
      <w:pPr>
        <w:pStyle w:val="FootnoteText"/>
        <w:rPr>
          <w:sz w:val="16"/>
          <w:szCs w:val="16"/>
          <w:lang w:val="es-CR"/>
        </w:rPr>
      </w:pPr>
      <w:r>
        <w:rPr>
          <w:sz w:val="16"/>
          <w:szCs w:val="16"/>
          <w:lang w:val="es-CR"/>
        </w:rPr>
        <w:t xml:space="preserve">[…] </w:t>
      </w:r>
      <w:r w:rsidRPr="002570D1">
        <w:rPr>
          <w:sz w:val="16"/>
          <w:szCs w:val="16"/>
          <w:lang w:val="es-CR"/>
        </w:rPr>
        <w:t>9º.- El derecho a la protección de la salud. El Estado protege el libre e igualitario acceso a las acciones de promoción, protección y recuperación de la salud y de rehabilitación del individuo. Le corresponderá, asimismo, la coordinación y control de las acciones relacionadas con la salud. Es deber preferente del Estado garantizar la ejecución de las acciones de salud, sea que se presten a través de instituciones públicas o privadas, en la forma y condiciones que determine la ley, la que podrá establecer cotizaciones obligatorias.</w:t>
      </w:r>
    </w:p>
    <w:p w14:paraId="2879826E" w14:textId="5D44BF9B" w:rsidR="003C025E" w:rsidRPr="002570D1" w:rsidRDefault="003C025E" w:rsidP="00556BEA">
      <w:pPr>
        <w:pStyle w:val="FootnoteText"/>
        <w:rPr>
          <w:sz w:val="16"/>
          <w:szCs w:val="16"/>
          <w:lang w:val="es-CR"/>
        </w:rPr>
      </w:pPr>
      <w:r w:rsidRPr="002570D1">
        <w:rPr>
          <w:sz w:val="16"/>
          <w:szCs w:val="16"/>
          <w:lang w:val="es-CR"/>
        </w:rPr>
        <w:t>Cada persona tendrá el derecho a elegir el sistema de salud al que desee acogerse, sea éste estatal o privado</w:t>
      </w:r>
      <w:r>
        <w:rPr>
          <w:sz w:val="16"/>
          <w:szCs w:val="16"/>
          <w:lang w:val="es-CR"/>
        </w:rPr>
        <w:t xml:space="preserve"> […]</w:t>
      </w:r>
      <w:r w:rsidRPr="002570D1">
        <w:rPr>
          <w:sz w:val="16"/>
          <w:szCs w:val="16"/>
          <w:lang w:val="es-CR"/>
        </w:rPr>
        <w:t>.</w:t>
      </w:r>
    </w:p>
  </w:footnote>
  <w:footnote w:id="144">
    <w:p w14:paraId="588D847C" w14:textId="0EA0EF56" w:rsidR="003C025E" w:rsidRPr="005430FF" w:rsidRDefault="003C025E">
      <w:pPr>
        <w:pStyle w:val="FootnoteText"/>
        <w:rPr>
          <w:sz w:val="16"/>
          <w:lang w:val="es-AR"/>
        </w:rPr>
      </w:pPr>
      <w:r w:rsidRPr="005430FF">
        <w:rPr>
          <w:rStyle w:val="FootnoteReference"/>
          <w:sz w:val="16"/>
        </w:rPr>
        <w:footnoteRef/>
      </w:r>
      <w:r w:rsidRPr="005430FF">
        <w:rPr>
          <w:sz w:val="16"/>
        </w:rPr>
        <w:t xml:space="preserve"> </w:t>
      </w:r>
      <w:r>
        <w:rPr>
          <w:sz w:val="16"/>
        </w:rPr>
        <w:tab/>
      </w:r>
      <w:r>
        <w:rPr>
          <w:i/>
          <w:sz w:val="16"/>
        </w:rPr>
        <w:t xml:space="preserve">Cfr. Inter </w:t>
      </w:r>
      <w:proofErr w:type="spellStart"/>
      <w:r>
        <w:rPr>
          <w:i/>
          <w:sz w:val="16"/>
        </w:rPr>
        <w:t>alia</w:t>
      </w:r>
      <w:proofErr w:type="spellEnd"/>
      <w:r>
        <w:rPr>
          <w:i/>
          <w:sz w:val="16"/>
        </w:rPr>
        <w:t xml:space="preserve">: </w:t>
      </w:r>
      <w:r>
        <w:rPr>
          <w:sz w:val="16"/>
        </w:rPr>
        <w:t>C</w:t>
      </w:r>
      <w:proofErr w:type="spellStart"/>
      <w:r w:rsidRPr="005430FF">
        <w:rPr>
          <w:sz w:val="16"/>
          <w:lang w:val="es-AR"/>
        </w:rPr>
        <w:t>ódigo</w:t>
      </w:r>
      <w:proofErr w:type="spellEnd"/>
      <w:r w:rsidRPr="005430FF">
        <w:rPr>
          <w:sz w:val="16"/>
          <w:lang w:val="es-AR"/>
        </w:rPr>
        <w:t xml:space="preserve"> de Ética del Colegio de Médicos de Chile</w:t>
      </w:r>
      <w:r>
        <w:rPr>
          <w:sz w:val="16"/>
          <w:lang w:val="es-AR"/>
        </w:rPr>
        <w:t xml:space="preserve">, </w:t>
      </w:r>
      <w:r w:rsidRPr="005430FF">
        <w:rPr>
          <w:sz w:val="16"/>
          <w:lang w:val="es-AR"/>
        </w:rPr>
        <w:t>aprobado por el H. Consejo Ge</w:t>
      </w:r>
      <w:r>
        <w:rPr>
          <w:sz w:val="16"/>
          <w:lang w:val="es-AR"/>
        </w:rPr>
        <w:t xml:space="preserve">neral en </w:t>
      </w:r>
      <w:r w:rsidRPr="005430FF">
        <w:rPr>
          <w:sz w:val="16"/>
          <w:lang w:val="es-AR"/>
        </w:rPr>
        <w:t>sesión Nº 64</w:t>
      </w:r>
      <w:r>
        <w:rPr>
          <w:sz w:val="16"/>
          <w:lang w:val="es-AR"/>
        </w:rPr>
        <w:t>,</w:t>
      </w:r>
      <w:r w:rsidRPr="005430FF">
        <w:rPr>
          <w:sz w:val="16"/>
          <w:lang w:val="es-AR"/>
        </w:rPr>
        <w:t xml:space="preserve"> mediante Acuerdo Nº 231 </w:t>
      </w:r>
      <w:r>
        <w:rPr>
          <w:sz w:val="16"/>
          <w:lang w:val="es-AR"/>
        </w:rPr>
        <w:t>de</w:t>
      </w:r>
      <w:r w:rsidRPr="005430FF">
        <w:rPr>
          <w:sz w:val="16"/>
          <w:lang w:val="es-AR"/>
        </w:rPr>
        <w:t xml:space="preserve"> </w:t>
      </w:r>
      <w:r>
        <w:rPr>
          <w:sz w:val="16"/>
          <w:lang w:val="es-AR"/>
        </w:rPr>
        <w:t xml:space="preserve">22 de noviembre de 1983 y en la </w:t>
      </w:r>
      <w:r w:rsidRPr="005430FF">
        <w:rPr>
          <w:sz w:val="16"/>
          <w:lang w:val="es-AR"/>
        </w:rPr>
        <w:t xml:space="preserve">sesión </w:t>
      </w:r>
      <w:r>
        <w:rPr>
          <w:sz w:val="16"/>
          <w:lang w:val="es-AR"/>
        </w:rPr>
        <w:t xml:space="preserve">N° </w:t>
      </w:r>
      <w:r w:rsidRPr="005430FF">
        <w:rPr>
          <w:sz w:val="16"/>
          <w:lang w:val="es-AR"/>
        </w:rPr>
        <w:t xml:space="preserve">39, mediante Acuerdo Nº 154 </w:t>
      </w:r>
      <w:r>
        <w:rPr>
          <w:sz w:val="16"/>
          <w:lang w:val="es-AR"/>
        </w:rPr>
        <w:t>de</w:t>
      </w:r>
      <w:r w:rsidRPr="005430FF">
        <w:rPr>
          <w:sz w:val="16"/>
          <w:lang w:val="es-AR"/>
        </w:rPr>
        <w:t xml:space="preserve"> 7 de mayo de 1985</w:t>
      </w:r>
      <w:r>
        <w:rPr>
          <w:sz w:val="16"/>
          <w:lang w:val="es-AR"/>
        </w:rPr>
        <w:t xml:space="preserve">; </w:t>
      </w:r>
      <w:r w:rsidRPr="005430FF">
        <w:rPr>
          <w:sz w:val="16"/>
          <w:lang w:val="es-AR"/>
        </w:rPr>
        <w:t xml:space="preserve">Decreto </w:t>
      </w:r>
      <w:r>
        <w:rPr>
          <w:sz w:val="16"/>
          <w:lang w:val="es-AR"/>
        </w:rPr>
        <w:t>S</w:t>
      </w:r>
      <w:r w:rsidRPr="005430FF">
        <w:rPr>
          <w:sz w:val="16"/>
          <w:lang w:val="es-AR"/>
        </w:rPr>
        <w:t>upremo N</w:t>
      </w:r>
      <w:r>
        <w:rPr>
          <w:sz w:val="16"/>
          <w:lang w:val="es-AR"/>
        </w:rPr>
        <w:t>úm</w:t>
      </w:r>
      <w:r w:rsidRPr="005430FF">
        <w:rPr>
          <w:sz w:val="16"/>
          <w:lang w:val="es-AR"/>
        </w:rPr>
        <w:t>.</w:t>
      </w:r>
      <w:r>
        <w:rPr>
          <w:sz w:val="16"/>
          <w:lang w:val="es-AR"/>
        </w:rPr>
        <w:t xml:space="preserve"> </w:t>
      </w:r>
      <w:r w:rsidRPr="005430FF">
        <w:rPr>
          <w:sz w:val="16"/>
          <w:lang w:val="es-AR"/>
        </w:rPr>
        <w:t>42</w:t>
      </w:r>
      <w:r>
        <w:rPr>
          <w:sz w:val="16"/>
          <w:lang w:val="es-AR"/>
        </w:rPr>
        <w:t xml:space="preserve">, de entrada en vigencia el </w:t>
      </w:r>
      <w:r w:rsidRPr="005430FF">
        <w:rPr>
          <w:sz w:val="16"/>
          <w:lang w:val="es-AR"/>
        </w:rPr>
        <w:t>9 de febrero de 1986</w:t>
      </w:r>
      <w:r>
        <w:rPr>
          <w:sz w:val="16"/>
          <w:lang w:val="es-AR"/>
        </w:rPr>
        <w:t xml:space="preserve"> y derogado el 21 de abril de </w:t>
      </w:r>
      <w:r w:rsidRPr="00FA60EC">
        <w:rPr>
          <w:sz w:val="16"/>
          <w:lang w:val="es-AR"/>
        </w:rPr>
        <w:t>2005</w:t>
      </w:r>
      <w:r>
        <w:rPr>
          <w:sz w:val="16"/>
          <w:lang w:val="es-AR"/>
        </w:rPr>
        <w:t>, y</w:t>
      </w:r>
      <w:r w:rsidRPr="005430FF">
        <w:rPr>
          <w:rFonts w:ascii="Times New Roman" w:eastAsiaTheme="minorHAnsi" w:hAnsi="Times New Roman"/>
          <w:sz w:val="23"/>
          <w:szCs w:val="23"/>
          <w:lang w:val="es-AR" w:eastAsia="en-US"/>
        </w:rPr>
        <w:t xml:space="preserve"> </w:t>
      </w:r>
      <w:r w:rsidRPr="005430FF">
        <w:rPr>
          <w:sz w:val="16"/>
          <w:lang w:val="es-AR"/>
        </w:rPr>
        <w:t>Carta de Derechos del Paciente</w:t>
      </w:r>
      <w:r>
        <w:rPr>
          <w:sz w:val="16"/>
          <w:lang w:val="es-AR"/>
        </w:rPr>
        <w:t xml:space="preserve">, elaborada en 1999 por </w:t>
      </w:r>
      <w:r w:rsidRPr="005430FF">
        <w:rPr>
          <w:sz w:val="16"/>
          <w:lang w:val="es-AR"/>
        </w:rPr>
        <w:t>el Fondo Nacional de Salud (FONASA) en conjunto con el Ministerio de</w:t>
      </w:r>
      <w:r>
        <w:rPr>
          <w:sz w:val="16"/>
          <w:lang w:val="es-AR"/>
        </w:rPr>
        <w:t xml:space="preserve"> </w:t>
      </w:r>
      <w:r w:rsidRPr="005430FF">
        <w:rPr>
          <w:sz w:val="16"/>
          <w:lang w:val="es-AR"/>
        </w:rPr>
        <w:t>Salud (MINSAL)</w:t>
      </w:r>
      <w:r>
        <w:rPr>
          <w:sz w:val="16"/>
          <w:lang w:val="es-AR"/>
        </w:rPr>
        <w:t>.</w:t>
      </w:r>
    </w:p>
  </w:footnote>
  <w:footnote w:id="145">
    <w:p w14:paraId="482070AC" w14:textId="640DD00E" w:rsidR="003C025E" w:rsidRPr="000D77F2" w:rsidRDefault="003C025E" w:rsidP="00FA60EC">
      <w:pPr>
        <w:pStyle w:val="FootnoteText"/>
        <w:rPr>
          <w:rStyle w:val="FootnoteReference"/>
        </w:rPr>
      </w:pPr>
      <w:r w:rsidRPr="00B1523A">
        <w:rPr>
          <w:rStyle w:val="FootnoteReference"/>
          <w:sz w:val="16"/>
          <w:szCs w:val="16"/>
        </w:rPr>
        <w:footnoteRef/>
      </w:r>
      <w:r w:rsidRPr="00B1523A">
        <w:rPr>
          <w:rStyle w:val="FootnoteReference"/>
          <w:sz w:val="16"/>
          <w:szCs w:val="16"/>
        </w:rPr>
        <w:t xml:space="preserve"> </w:t>
      </w:r>
      <w:r>
        <w:rPr>
          <w:b/>
          <w:sz w:val="16"/>
          <w:szCs w:val="16"/>
        </w:rPr>
        <w:tab/>
      </w:r>
      <w:r w:rsidRPr="005F719C">
        <w:rPr>
          <w:rFonts w:eastAsia="Batang"/>
          <w:sz w:val="16"/>
          <w:szCs w:val="16"/>
          <w:lang w:eastAsia="es-ES"/>
        </w:rPr>
        <w:t xml:space="preserve">Entre las normas constitucionales de los Estados </w:t>
      </w:r>
      <w:r>
        <w:rPr>
          <w:rFonts w:eastAsia="Batang"/>
          <w:sz w:val="16"/>
          <w:szCs w:val="16"/>
          <w:lang w:eastAsia="es-ES"/>
        </w:rPr>
        <w:t>P</w:t>
      </w:r>
      <w:r w:rsidRPr="005F719C">
        <w:rPr>
          <w:rFonts w:eastAsia="Batang"/>
          <w:sz w:val="16"/>
          <w:szCs w:val="16"/>
          <w:lang w:eastAsia="es-ES"/>
        </w:rPr>
        <w:t>arte</w:t>
      </w:r>
      <w:r>
        <w:rPr>
          <w:rFonts w:eastAsia="Batang"/>
          <w:sz w:val="16"/>
          <w:szCs w:val="16"/>
          <w:lang w:eastAsia="es-ES"/>
        </w:rPr>
        <w:t>s</w:t>
      </w:r>
      <w:r w:rsidRPr="005F719C">
        <w:rPr>
          <w:rFonts w:eastAsia="Batang"/>
          <w:sz w:val="16"/>
          <w:szCs w:val="16"/>
          <w:lang w:eastAsia="es-ES"/>
        </w:rPr>
        <w:t xml:space="preserve"> de la Convención Americana, se encuentran: Argentina (art. 42</w:t>
      </w:r>
      <w:r>
        <w:rPr>
          <w:rFonts w:eastAsia="Batang"/>
          <w:sz w:val="16"/>
          <w:szCs w:val="16"/>
          <w:lang w:eastAsia="es-ES"/>
        </w:rPr>
        <w:t>);</w:t>
      </w:r>
      <w:r w:rsidRPr="005F719C">
        <w:rPr>
          <w:rFonts w:eastAsia="Batang"/>
          <w:sz w:val="16"/>
          <w:szCs w:val="16"/>
          <w:lang w:val="es-AR" w:eastAsia="es-ES"/>
        </w:rPr>
        <w:t xml:space="preserve"> </w:t>
      </w:r>
      <w:r w:rsidRPr="00516771">
        <w:rPr>
          <w:rFonts w:eastAsia="Batang"/>
          <w:sz w:val="16"/>
          <w:szCs w:val="16"/>
          <w:lang w:val="es-MX" w:eastAsia="es-ES"/>
        </w:rPr>
        <w:t xml:space="preserve">Barbados (art. </w:t>
      </w:r>
      <w:r w:rsidRPr="00516771">
        <w:rPr>
          <w:rFonts w:eastAsia="Batang"/>
          <w:iCs/>
          <w:sz w:val="16"/>
          <w:szCs w:val="16"/>
          <w:lang w:val="es-MX" w:eastAsia="es-ES"/>
        </w:rPr>
        <w:t>17.2.A)</w:t>
      </w:r>
      <w:r>
        <w:rPr>
          <w:rFonts w:eastAsia="Batang"/>
          <w:iCs/>
          <w:sz w:val="16"/>
          <w:szCs w:val="16"/>
          <w:lang w:val="es-MX" w:eastAsia="es-ES"/>
        </w:rPr>
        <w:t>;</w:t>
      </w:r>
      <w:r w:rsidRPr="00516771">
        <w:rPr>
          <w:rFonts w:eastAsia="Batang"/>
          <w:iCs/>
          <w:sz w:val="16"/>
          <w:szCs w:val="16"/>
          <w:lang w:val="es-MX" w:eastAsia="es-ES"/>
        </w:rPr>
        <w:t xml:space="preserve"> </w:t>
      </w:r>
      <w:r w:rsidRPr="005F719C">
        <w:rPr>
          <w:rFonts w:eastAsia="Batang"/>
          <w:sz w:val="16"/>
          <w:szCs w:val="16"/>
          <w:lang w:eastAsia="es-ES"/>
        </w:rPr>
        <w:t>Bolivia (art. 35</w:t>
      </w:r>
      <w:r w:rsidRPr="00AB1E03">
        <w:rPr>
          <w:rFonts w:eastAsia="Batang"/>
          <w:sz w:val="16"/>
          <w:szCs w:val="16"/>
          <w:lang w:eastAsia="es-ES"/>
        </w:rPr>
        <w:t>)</w:t>
      </w:r>
      <w:r>
        <w:rPr>
          <w:rFonts w:eastAsia="Batang"/>
          <w:sz w:val="16"/>
          <w:szCs w:val="16"/>
          <w:lang w:eastAsia="es-ES"/>
        </w:rPr>
        <w:t>;</w:t>
      </w:r>
      <w:r w:rsidRPr="005F719C">
        <w:rPr>
          <w:rFonts w:eastAsia="Batang"/>
          <w:sz w:val="16"/>
          <w:szCs w:val="16"/>
          <w:lang w:eastAsia="es-ES"/>
        </w:rPr>
        <w:t xml:space="preserve"> Brasil (art. 196</w:t>
      </w:r>
      <w:r w:rsidRPr="00AB1E03">
        <w:rPr>
          <w:rFonts w:eastAsia="Batang"/>
          <w:sz w:val="16"/>
          <w:szCs w:val="16"/>
          <w:lang w:eastAsia="es-ES"/>
        </w:rPr>
        <w:t>)</w:t>
      </w:r>
      <w:r>
        <w:rPr>
          <w:rFonts w:eastAsia="Batang"/>
          <w:sz w:val="16"/>
          <w:szCs w:val="16"/>
          <w:lang w:eastAsia="es-ES"/>
        </w:rPr>
        <w:t>;</w:t>
      </w:r>
      <w:r w:rsidRPr="00AB1E03">
        <w:rPr>
          <w:rFonts w:eastAsia="Batang"/>
          <w:sz w:val="16"/>
          <w:szCs w:val="16"/>
          <w:lang w:eastAsia="es-ES"/>
        </w:rPr>
        <w:t xml:space="preserve"> </w:t>
      </w:r>
      <w:r w:rsidRPr="005F719C">
        <w:rPr>
          <w:rFonts w:eastAsia="Batang"/>
          <w:sz w:val="16"/>
          <w:szCs w:val="16"/>
          <w:lang w:eastAsia="es-ES"/>
        </w:rPr>
        <w:t>Colombia (art. 49</w:t>
      </w:r>
      <w:r w:rsidRPr="00AB1E03">
        <w:rPr>
          <w:rFonts w:eastAsia="Batang"/>
          <w:sz w:val="16"/>
          <w:szCs w:val="16"/>
          <w:lang w:eastAsia="es-ES"/>
        </w:rPr>
        <w:t>)</w:t>
      </w:r>
      <w:r>
        <w:rPr>
          <w:rFonts w:eastAsia="Batang"/>
          <w:sz w:val="16"/>
          <w:szCs w:val="16"/>
          <w:lang w:eastAsia="es-ES"/>
        </w:rPr>
        <w:t>;</w:t>
      </w:r>
      <w:r w:rsidRPr="005F719C">
        <w:rPr>
          <w:rFonts w:eastAsia="Batang"/>
          <w:sz w:val="16"/>
          <w:szCs w:val="16"/>
          <w:lang w:eastAsia="es-ES"/>
        </w:rPr>
        <w:t xml:space="preserve"> Costa Rica (art. 46</w:t>
      </w:r>
      <w:r w:rsidRPr="00AB1E03">
        <w:rPr>
          <w:rFonts w:eastAsia="Batang"/>
          <w:sz w:val="16"/>
          <w:szCs w:val="16"/>
          <w:lang w:eastAsia="es-ES"/>
        </w:rPr>
        <w:t>)</w:t>
      </w:r>
      <w:r>
        <w:rPr>
          <w:rFonts w:eastAsia="Batang"/>
          <w:sz w:val="16"/>
          <w:szCs w:val="16"/>
          <w:lang w:eastAsia="es-ES"/>
        </w:rPr>
        <w:t>;</w:t>
      </w:r>
      <w:r w:rsidRPr="005F719C">
        <w:rPr>
          <w:rFonts w:eastAsia="Batang"/>
          <w:sz w:val="16"/>
          <w:szCs w:val="16"/>
          <w:lang w:eastAsia="es-ES"/>
        </w:rPr>
        <w:t xml:space="preserve"> Ecuador (art. 32</w:t>
      </w:r>
      <w:r w:rsidRPr="00AB1E03">
        <w:rPr>
          <w:rFonts w:eastAsia="Batang"/>
          <w:sz w:val="16"/>
          <w:szCs w:val="16"/>
          <w:lang w:eastAsia="es-ES"/>
        </w:rPr>
        <w:t>)</w:t>
      </w:r>
      <w:r>
        <w:rPr>
          <w:rFonts w:eastAsia="Batang"/>
          <w:sz w:val="16"/>
          <w:szCs w:val="16"/>
          <w:lang w:eastAsia="es-ES"/>
        </w:rPr>
        <w:t>;</w:t>
      </w:r>
      <w:r w:rsidRPr="005F719C">
        <w:rPr>
          <w:rFonts w:eastAsia="Batang"/>
          <w:sz w:val="16"/>
          <w:szCs w:val="16"/>
          <w:lang w:eastAsia="es-ES"/>
        </w:rPr>
        <w:t xml:space="preserve"> El Salvador (art. 65</w:t>
      </w:r>
      <w:r w:rsidRPr="00AB1E03">
        <w:rPr>
          <w:rFonts w:eastAsia="Batang"/>
          <w:sz w:val="16"/>
          <w:szCs w:val="16"/>
          <w:lang w:eastAsia="es-ES"/>
        </w:rPr>
        <w:t>)</w:t>
      </w:r>
      <w:r>
        <w:rPr>
          <w:rFonts w:eastAsia="Batang"/>
          <w:sz w:val="16"/>
          <w:szCs w:val="16"/>
          <w:lang w:eastAsia="es-ES"/>
        </w:rPr>
        <w:t>;</w:t>
      </w:r>
      <w:r w:rsidRPr="005F719C">
        <w:rPr>
          <w:rFonts w:eastAsia="Batang"/>
          <w:sz w:val="16"/>
          <w:szCs w:val="16"/>
          <w:lang w:eastAsia="es-ES"/>
        </w:rPr>
        <w:t xml:space="preserve"> Guatemala (art</w:t>
      </w:r>
      <w:r>
        <w:rPr>
          <w:rFonts w:eastAsia="Batang"/>
          <w:sz w:val="16"/>
          <w:szCs w:val="16"/>
          <w:lang w:eastAsia="es-ES"/>
        </w:rPr>
        <w:t>s</w:t>
      </w:r>
      <w:r w:rsidRPr="005F719C">
        <w:rPr>
          <w:rFonts w:eastAsia="Batang"/>
          <w:sz w:val="16"/>
          <w:szCs w:val="16"/>
          <w:lang w:eastAsia="es-ES"/>
        </w:rPr>
        <w:t xml:space="preserve">. </w:t>
      </w:r>
      <w:r w:rsidRPr="000D77F2">
        <w:rPr>
          <w:rFonts w:eastAsia="Batang"/>
          <w:sz w:val="16"/>
          <w:szCs w:val="16"/>
          <w:lang w:eastAsia="es-ES"/>
        </w:rPr>
        <w:t xml:space="preserve">93 y 94); Haití (art. 19); Honduras (art. 145); México (art. 4); Nicaragua (art. 59); Panamá (art. 109); Paraguay (art. 68); Perú (art. 70); República Dominicana (art. 61); </w:t>
      </w:r>
      <w:proofErr w:type="spellStart"/>
      <w:r w:rsidRPr="000D77F2">
        <w:rPr>
          <w:rFonts w:eastAsia="Batang"/>
          <w:sz w:val="16"/>
          <w:szCs w:val="16"/>
          <w:lang w:eastAsia="es-ES"/>
        </w:rPr>
        <w:t>Suriname</w:t>
      </w:r>
      <w:proofErr w:type="spellEnd"/>
      <w:r w:rsidRPr="000D77F2">
        <w:rPr>
          <w:rFonts w:eastAsia="Batang"/>
          <w:sz w:val="16"/>
          <w:szCs w:val="16"/>
          <w:lang w:eastAsia="es-ES"/>
        </w:rPr>
        <w:t xml:space="preserve"> (art. 36); Uruguay (art. 44), </w:t>
      </w:r>
      <w:r w:rsidRPr="000D77F2">
        <w:rPr>
          <w:rFonts w:eastAsia="Batang"/>
          <w:iCs/>
          <w:sz w:val="16"/>
          <w:szCs w:val="16"/>
          <w:lang w:eastAsia="es-ES"/>
        </w:rPr>
        <w:t xml:space="preserve">y </w:t>
      </w:r>
      <w:r w:rsidRPr="000D77F2">
        <w:rPr>
          <w:rFonts w:eastAsia="Batang"/>
          <w:sz w:val="16"/>
          <w:szCs w:val="16"/>
          <w:lang w:eastAsia="es-ES"/>
        </w:rPr>
        <w:t>Venezuela (art. 83).</w:t>
      </w:r>
    </w:p>
  </w:footnote>
  <w:footnote w:id="146">
    <w:p w14:paraId="3A053613" w14:textId="6776B74A" w:rsidR="003C025E" w:rsidRPr="002570D1" w:rsidRDefault="003C025E" w:rsidP="00525F0E">
      <w:pPr>
        <w:pStyle w:val="FootnoteText"/>
        <w:rPr>
          <w:sz w:val="16"/>
          <w:szCs w:val="16"/>
          <w:lang w:val="es-AR"/>
        </w:rPr>
      </w:pPr>
      <w:r w:rsidRPr="002570D1">
        <w:rPr>
          <w:rStyle w:val="FootnoteReference"/>
          <w:sz w:val="16"/>
          <w:szCs w:val="16"/>
        </w:rPr>
        <w:footnoteRef/>
      </w:r>
      <w:r w:rsidRPr="002570D1">
        <w:rPr>
          <w:rStyle w:val="FootnoteReference"/>
          <w:sz w:val="16"/>
          <w:szCs w:val="16"/>
          <w:lang w:val="es-AR"/>
        </w:rPr>
        <w:t xml:space="preserve"> </w:t>
      </w:r>
      <w:r>
        <w:rPr>
          <w:sz w:val="16"/>
          <w:szCs w:val="16"/>
          <w:lang w:val="es-AR"/>
        </w:rPr>
        <w:tab/>
      </w:r>
      <w:r w:rsidRPr="0023635B">
        <w:rPr>
          <w:sz w:val="16"/>
          <w:szCs w:val="16"/>
          <w:lang w:val="es-AR"/>
        </w:rPr>
        <w:t>Adoptad</w:t>
      </w:r>
      <w:r>
        <w:rPr>
          <w:sz w:val="16"/>
          <w:szCs w:val="16"/>
          <w:lang w:val="es-AR"/>
        </w:rPr>
        <w:t xml:space="preserve">a por la Asamblea General de la ONU </w:t>
      </w:r>
      <w:r w:rsidRPr="0023635B">
        <w:rPr>
          <w:sz w:val="16"/>
          <w:szCs w:val="16"/>
          <w:lang w:val="es-AR"/>
        </w:rPr>
        <w:t>en su Resolución 217 A (III), el 10 de diciembre de 1948 en París</w:t>
      </w:r>
      <w:r>
        <w:rPr>
          <w:sz w:val="16"/>
          <w:szCs w:val="16"/>
          <w:lang w:val="es-AR"/>
        </w:rPr>
        <w:t xml:space="preserve">. </w:t>
      </w:r>
      <w:r w:rsidRPr="002570D1">
        <w:rPr>
          <w:sz w:val="16"/>
          <w:szCs w:val="16"/>
          <w:lang w:val="es-AR"/>
        </w:rPr>
        <w:t xml:space="preserve"> Artículo 25</w:t>
      </w:r>
      <w:r>
        <w:rPr>
          <w:sz w:val="16"/>
          <w:szCs w:val="16"/>
          <w:lang w:val="es-AR"/>
        </w:rPr>
        <w:t xml:space="preserve">: </w:t>
      </w:r>
      <w:r w:rsidRPr="002570D1">
        <w:rPr>
          <w:sz w:val="16"/>
          <w:szCs w:val="16"/>
          <w:lang w:val="es-AR"/>
        </w:rPr>
        <w:t>1. Toda persona tiene derecho a un nivel de vida adecuado que le asegure, así como a su familia, la salud y el bienestar, y en especial la alimentación, el vestido, la vivienda, la asistencia médica y los servicios sociales necesarios […].</w:t>
      </w:r>
    </w:p>
  </w:footnote>
  <w:footnote w:id="147">
    <w:p w14:paraId="1F8F5858" w14:textId="628CC7A7"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rStyle w:val="FootnoteReference"/>
          <w:sz w:val="16"/>
          <w:szCs w:val="16"/>
          <w:lang w:val="es-AR"/>
        </w:rPr>
        <w:t xml:space="preserve"> </w:t>
      </w:r>
      <w:r>
        <w:rPr>
          <w:sz w:val="16"/>
          <w:szCs w:val="16"/>
          <w:lang w:val="es-AR"/>
        </w:rPr>
        <w:tab/>
      </w:r>
      <w:r w:rsidRPr="0023635B">
        <w:rPr>
          <w:sz w:val="16"/>
          <w:szCs w:val="16"/>
          <w:lang w:val="es-AR"/>
        </w:rPr>
        <w:t xml:space="preserve">Adoptado por la Asamblea General </w:t>
      </w:r>
      <w:r>
        <w:rPr>
          <w:sz w:val="16"/>
          <w:szCs w:val="16"/>
          <w:lang w:val="es-AR"/>
        </w:rPr>
        <w:t xml:space="preserve">de la ONU </w:t>
      </w:r>
      <w:r w:rsidRPr="0023635B">
        <w:rPr>
          <w:sz w:val="16"/>
          <w:szCs w:val="16"/>
          <w:lang w:val="es-AR"/>
        </w:rPr>
        <w:t xml:space="preserve">mediante la Resolución 2200A (XXI), de 16 de diciembre de 1966 y en vigor </w:t>
      </w:r>
      <w:r>
        <w:rPr>
          <w:sz w:val="16"/>
          <w:szCs w:val="16"/>
          <w:lang w:val="es-AR"/>
        </w:rPr>
        <w:t xml:space="preserve">desde </w:t>
      </w:r>
      <w:r w:rsidRPr="0023635B">
        <w:rPr>
          <w:sz w:val="16"/>
          <w:szCs w:val="16"/>
          <w:lang w:val="es-AR"/>
        </w:rPr>
        <w:t>el 3 de enero de 1976. Ratificado por Chile el 10 de febrero de 1972</w:t>
      </w:r>
      <w:r w:rsidRPr="008F499B">
        <w:rPr>
          <w:sz w:val="16"/>
          <w:szCs w:val="16"/>
          <w:lang w:val="es-AR"/>
        </w:rPr>
        <w:t>.</w:t>
      </w:r>
      <w:r w:rsidRPr="0023635B">
        <w:rPr>
          <w:sz w:val="16"/>
          <w:szCs w:val="16"/>
          <w:lang w:val="es-AR"/>
        </w:rPr>
        <w:t xml:space="preserve"> </w:t>
      </w:r>
      <w:r>
        <w:rPr>
          <w:sz w:val="16"/>
          <w:szCs w:val="16"/>
          <w:lang w:val="es-AR"/>
        </w:rPr>
        <w:t xml:space="preserve"> En su a</w:t>
      </w:r>
      <w:r w:rsidRPr="002570D1">
        <w:rPr>
          <w:sz w:val="16"/>
          <w:szCs w:val="16"/>
          <w:lang w:val="es-AR"/>
        </w:rPr>
        <w:t>rtículo 12</w:t>
      </w:r>
      <w:proofErr w:type="gramStart"/>
      <w:r>
        <w:rPr>
          <w:sz w:val="16"/>
          <w:szCs w:val="16"/>
          <w:lang w:val="es-AR"/>
        </w:rPr>
        <w:t>,“</w:t>
      </w:r>
      <w:proofErr w:type="gramEnd"/>
      <w:r w:rsidRPr="002570D1">
        <w:rPr>
          <w:sz w:val="16"/>
          <w:szCs w:val="16"/>
          <w:lang w:val="es-AR"/>
        </w:rPr>
        <w:t>Derecho al más alto nivel posible de salud</w:t>
      </w:r>
      <w:r>
        <w:rPr>
          <w:sz w:val="16"/>
          <w:szCs w:val="16"/>
          <w:lang w:val="es-AR"/>
        </w:rPr>
        <w:t>”, e</w:t>
      </w:r>
      <w:r w:rsidRPr="002570D1">
        <w:rPr>
          <w:sz w:val="16"/>
          <w:szCs w:val="16"/>
          <w:lang w:val="es-AR"/>
        </w:rPr>
        <w:t>stablece la obligación de adoptar medidas para reducir la mortinatalidad y la mortalidad infantil; asegurar el sano desarrollo de los niños; mejorar la higiene del trabajo y del medio ambiente; prevenir y tratar enfermedades epidémicas, endémicas y profesionales, así como asegurar la asistencia médica a todos.</w:t>
      </w:r>
      <w:r>
        <w:rPr>
          <w:sz w:val="16"/>
          <w:szCs w:val="16"/>
          <w:lang w:val="es-AR"/>
        </w:rPr>
        <w:t xml:space="preserve"> </w:t>
      </w:r>
    </w:p>
  </w:footnote>
  <w:footnote w:id="148">
    <w:p w14:paraId="10032759" w14:textId="79296F0B"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sz w:val="16"/>
          <w:szCs w:val="16"/>
          <w:lang w:val="es-AR"/>
        </w:rPr>
        <w:t xml:space="preserve"> </w:t>
      </w:r>
      <w:r>
        <w:rPr>
          <w:sz w:val="16"/>
          <w:szCs w:val="16"/>
          <w:lang w:val="es-AR"/>
        </w:rPr>
        <w:tab/>
      </w:r>
      <w:r w:rsidRPr="0023635B">
        <w:rPr>
          <w:sz w:val="16"/>
          <w:szCs w:val="16"/>
          <w:lang w:val="es-AR"/>
        </w:rPr>
        <w:t xml:space="preserve">Adoptado por la Asamblea General </w:t>
      </w:r>
      <w:r>
        <w:rPr>
          <w:sz w:val="16"/>
          <w:szCs w:val="16"/>
          <w:lang w:val="es-AR"/>
        </w:rPr>
        <w:t>de la OEA</w:t>
      </w:r>
      <w:r w:rsidRPr="0023635B">
        <w:rPr>
          <w:sz w:val="16"/>
          <w:szCs w:val="16"/>
          <w:lang w:val="es-AR"/>
        </w:rPr>
        <w:t xml:space="preserve"> el 17 de noviembre de 1988 en San Salvador. Entrada en Vigor 16 de Noviembre de 1999. Hasta la actualidad no ha sido ratificado por el Estado de Chile. </w:t>
      </w:r>
      <w:r w:rsidRPr="002570D1">
        <w:rPr>
          <w:sz w:val="16"/>
          <w:szCs w:val="16"/>
          <w:lang w:val="es-AR"/>
        </w:rPr>
        <w:t xml:space="preserve"> Artículo 10</w:t>
      </w:r>
      <w:r>
        <w:rPr>
          <w:sz w:val="16"/>
          <w:szCs w:val="16"/>
          <w:lang w:val="es-AR"/>
        </w:rPr>
        <w:t>.</w:t>
      </w:r>
      <w:r w:rsidRPr="002570D1">
        <w:rPr>
          <w:sz w:val="16"/>
          <w:szCs w:val="16"/>
          <w:lang w:val="es-AR"/>
        </w:rPr>
        <w:t xml:space="preserve"> Derecho a la Salud. 1. Toda persona tiene derecho a la salud, entendida como el disfrute del más alto nivel de bienestar físico, mental y social. 2. Con el fin de hacer efectivo el derecho a la salud los Estados partes se comprometen a reconocer la salud como un bien público y particularmente a adoptar las siguientes medidas para garantizar este derecho: a</w:t>
      </w:r>
      <w:r>
        <w:rPr>
          <w:sz w:val="16"/>
          <w:szCs w:val="16"/>
          <w:lang w:val="es-AR"/>
        </w:rPr>
        <w:t>)</w:t>
      </w:r>
      <w:r w:rsidRPr="002570D1">
        <w:rPr>
          <w:sz w:val="16"/>
          <w:szCs w:val="16"/>
          <w:lang w:val="es-AR"/>
        </w:rPr>
        <w:t xml:space="preserve"> la atención primaria de la salud, entendiendo como tal la asistencia sanitaria esencial puesta al alcance de todos los individuos y familiares de la comunidad; b</w:t>
      </w:r>
      <w:r>
        <w:rPr>
          <w:sz w:val="16"/>
          <w:szCs w:val="16"/>
          <w:lang w:val="es-AR"/>
        </w:rPr>
        <w:t>)</w:t>
      </w:r>
      <w:r w:rsidRPr="002570D1">
        <w:rPr>
          <w:sz w:val="16"/>
          <w:szCs w:val="16"/>
          <w:lang w:val="es-AR"/>
        </w:rPr>
        <w:t xml:space="preserve"> la extensión de los beneficios de los servicios de salud a todos los individuos sujetos a la jurisdicción del Estado; c</w:t>
      </w:r>
      <w:r>
        <w:rPr>
          <w:sz w:val="16"/>
          <w:szCs w:val="16"/>
          <w:lang w:val="es-AR"/>
        </w:rPr>
        <w:t>)</w:t>
      </w:r>
      <w:r w:rsidRPr="002570D1">
        <w:rPr>
          <w:sz w:val="16"/>
          <w:szCs w:val="16"/>
          <w:lang w:val="es-AR"/>
        </w:rPr>
        <w:t xml:space="preserve"> la total inmunización contra las principales enfermedades infecciosas; d</w:t>
      </w:r>
      <w:r>
        <w:rPr>
          <w:sz w:val="16"/>
          <w:szCs w:val="16"/>
          <w:lang w:val="es-AR"/>
        </w:rPr>
        <w:t>)</w:t>
      </w:r>
      <w:r w:rsidRPr="002570D1">
        <w:rPr>
          <w:sz w:val="16"/>
          <w:szCs w:val="16"/>
          <w:lang w:val="es-AR"/>
        </w:rPr>
        <w:t xml:space="preserve"> la prevención y el tratamiento de las enfermedades endémicas, profesionales y de otra índole; e</w:t>
      </w:r>
      <w:r>
        <w:rPr>
          <w:sz w:val="16"/>
          <w:szCs w:val="16"/>
          <w:lang w:val="es-AR"/>
        </w:rPr>
        <w:t>)</w:t>
      </w:r>
      <w:r w:rsidRPr="002570D1">
        <w:rPr>
          <w:sz w:val="16"/>
          <w:szCs w:val="16"/>
          <w:lang w:val="es-AR"/>
        </w:rPr>
        <w:t xml:space="preserve"> la educación de la población sobre la prevención y tratamiento de los problemas de salud, y f</w:t>
      </w:r>
      <w:r>
        <w:rPr>
          <w:sz w:val="16"/>
          <w:szCs w:val="16"/>
          <w:lang w:val="es-AR"/>
        </w:rPr>
        <w:t>)</w:t>
      </w:r>
      <w:r w:rsidRPr="002570D1">
        <w:rPr>
          <w:sz w:val="16"/>
          <w:szCs w:val="16"/>
          <w:lang w:val="es-AR"/>
        </w:rPr>
        <w:t xml:space="preserve"> la satisfacción de las necesidades de salud de los grupos de más alto riesgo y que por sus condiciones de pobreza sean más vulnerables.</w:t>
      </w:r>
    </w:p>
  </w:footnote>
  <w:footnote w:id="149">
    <w:p w14:paraId="64092AEA" w14:textId="601A25F3"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sz w:val="16"/>
          <w:szCs w:val="16"/>
          <w:lang w:val="es-AR"/>
        </w:rPr>
        <w:t xml:space="preserve"> </w:t>
      </w:r>
      <w:r>
        <w:rPr>
          <w:sz w:val="16"/>
          <w:szCs w:val="16"/>
          <w:lang w:val="es-AR"/>
        </w:rPr>
        <w:tab/>
      </w:r>
      <w:r w:rsidRPr="0023635B">
        <w:rPr>
          <w:sz w:val="16"/>
          <w:szCs w:val="16"/>
          <w:lang w:val="es-AR"/>
        </w:rPr>
        <w:t xml:space="preserve">Adoptada por la Asamblea General </w:t>
      </w:r>
      <w:r>
        <w:rPr>
          <w:sz w:val="16"/>
          <w:szCs w:val="16"/>
          <w:lang w:val="es-AR"/>
        </w:rPr>
        <w:t xml:space="preserve">de la ONU </w:t>
      </w:r>
      <w:r w:rsidRPr="0023635B">
        <w:rPr>
          <w:sz w:val="16"/>
          <w:szCs w:val="16"/>
          <w:lang w:val="es-AR"/>
        </w:rPr>
        <w:t xml:space="preserve">en su </w:t>
      </w:r>
      <w:r>
        <w:rPr>
          <w:sz w:val="16"/>
          <w:szCs w:val="16"/>
          <w:lang w:val="es-AR"/>
        </w:rPr>
        <w:t>R</w:t>
      </w:r>
      <w:r w:rsidRPr="0023635B">
        <w:rPr>
          <w:sz w:val="16"/>
          <w:szCs w:val="16"/>
          <w:lang w:val="es-AR"/>
        </w:rPr>
        <w:t>esolución 2106 A (XX), de 21 de diciembre de 1965. Entrada en vigor el 4 de enero de 1969. Entrada en vigor internacional para Chile el 19 de noviembre de 1971</w:t>
      </w:r>
      <w:r>
        <w:rPr>
          <w:sz w:val="16"/>
          <w:szCs w:val="16"/>
          <w:lang w:val="es-AR"/>
        </w:rPr>
        <w:t>.</w:t>
      </w:r>
      <w:r w:rsidRPr="002570D1">
        <w:rPr>
          <w:sz w:val="16"/>
          <w:szCs w:val="16"/>
          <w:lang w:val="es-AR"/>
        </w:rPr>
        <w:t xml:space="preserve"> Artículo 5</w:t>
      </w:r>
      <w:r>
        <w:rPr>
          <w:sz w:val="16"/>
          <w:szCs w:val="16"/>
          <w:lang w:val="es-AR"/>
        </w:rPr>
        <w:t>.</w:t>
      </w:r>
      <w:r w:rsidRPr="002570D1">
        <w:rPr>
          <w:sz w:val="16"/>
          <w:szCs w:val="16"/>
          <w:lang w:val="es-AR"/>
        </w:rPr>
        <w:t xml:space="preserve"> En conformidad con las obligaciones fundamentales estipuladas en el artículo 2 de la presente Convención, los Estados partes se comprometen a prohibir y eliminar la discriminación racial en todas sus formas y a garantizar el derecho de toda persona a la igualdad ante la ley, sin distinción de raza, color y origen nacional o étnico, particularmente en el goce de los derechos siguientes:</w:t>
      </w:r>
    </w:p>
    <w:p w14:paraId="4EC04BF1" w14:textId="38E981E5" w:rsidR="003C025E" w:rsidRPr="002570D1" w:rsidRDefault="003C025E" w:rsidP="002570D1">
      <w:pPr>
        <w:pStyle w:val="FootnoteText"/>
        <w:rPr>
          <w:sz w:val="16"/>
          <w:szCs w:val="16"/>
          <w:lang w:val="es-AR"/>
        </w:rPr>
      </w:pPr>
      <w:r>
        <w:rPr>
          <w:sz w:val="16"/>
          <w:szCs w:val="16"/>
          <w:lang w:val="es-AR"/>
        </w:rPr>
        <w:t xml:space="preserve">[…] </w:t>
      </w:r>
      <w:r w:rsidRPr="002570D1">
        <w:rPr>
          <w:sz w:val="16"/>
          <w:szCs w:val="16"/>
          <w:lang w:val="es-AR"/>
        </w:rPr>
        <w:t>e) Los derechos económicos, sociales y culturales, en particular:</w:t>
      </w:r>
    </w:p>
    <w:p w14:paraId="422E3CD5" w14:textId="56BC8ACE" w:rsidR="003C025E" w:rsidRPr="002570D1" w:rsidRDefault="003C025E" w:rsidP="002570D1">
      <w:pPr>
        <w:pStyle w:val="FootnoteText"/>
        <w:rPr>
          <w:sz w:val="16"/>
          <w:szCs w:val="16"/>
          <w:lang w:val="es-AR"/>
        </w:rPr>
      </w:pPr>
      <w:r>
        <w:rPr>
          <w:sz w:val="16"/>
          <w:szCs w:val="16"/>
          <w:lang w:val="es-AR"/>
        </w:rPr>
        <w:t xml:space="preserve">[…] </w:t>
      </w:r>
      <w:r w:rsidRPr="002570D1">
        <w:rPr>
          <w:sz w:val="16"/>
          <w:szCs w:val="16"/>
        </w:rPr>
        <w:t>iv) El derecho a la salud pública, la asistencia médica, la seguridad social y los servicios sociales</w:t>
      </w:r>
      <w:r>
        <w:rPr>
          <w:sz w:val="16"/>
          <w:szCs w:val="16"/>
        </w:rPr>
        <w:t xml:space="preserve"> […]</w:t>
      </w:r>
    </w:p>
  </w:footnote>
  <w:footnote w:id="150">
    <w:p w14:paraId="02E0A0E2" w14:textId="292C0E78"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rStyle w:val="FootnoteReference"/>
          <w:sz w:val="16"/>
          <w:szCs w:val="16"/>
          <w:lang w:val="es-CR"/>
        </w:rPr>
        <w:t xml:space="preserve"> </w:t>
      </w:r>
      <w:r>
        <w:rPr>
          <w:rStyle w:val="FootnoteReference"/>
          <w:sz w:val="16"/>
          <w:szCs w:val="16"/>
          <w:lang w:val="es-CR"/>
        </w:rPr>
        <w:tab/>
      </w:r>
      <w:r w:rsidRPr="0023635B">
        <w:rPr>
          <w:sz w:val="16"/>
          <w:szCs w:val="16"/>
          <w:lang w:val="es-CR"/>
        </w:rPr>
        <w:t xml:space="preserve">Aprobada por la Asamblea General </w:t>
      </w:r>
      <w:r>
        <w:rPr>
          <w:sz w:val="16"/>
          <w:szCs w:val="16"/>
          <w:lang w:val="es-AR"/>
        </w:rPr>
        <w:t xml:space="preserve">de la ONU </w:t>
      </w:r>
      <w:r w:rsidRPr="0023635B">
        <w:rPr>
          <w:sz w:val="16"/>
          <w:szCs w:val="16"/>
          <w:lang w:val="es-CR"/>
        </w:rPr>
        <w:t>el 18 de diciembre de 1979</w:t>
      </w:r>
      <w:r>
        <w:rPr>
          <w:sz w:val="16"/>
          <w:szCs w:val="16"/>
          <w:lang w:val="es-CR"/>
        </w:rPr>
        <w:t>. E</w:t>
      </w:r>
      <w:r w:rsidRPr="0023635B">
        <w:rPr>
          <w:sz w:val="16"/>
          <w:szCs w:val="16"/>
          <w:lang w:val="es-CR"/>
        </w:rPr>
        <w:t>ntrada en vigen</w:t>
      </w:r>
      <w:r>
        <w:rPr>
          <w:sz w:val="16"/>
          <w:szCs w:val="16"/>
          <w:lang w:val="es-CR"/>
        </w:rPr>
        <w:t>cia el 3 de septiembre de 1981.</w:t>
      </w:r>
      <w:r w:rsidRPr="002570D1">
        <w:rPr>
          <w:sz w:val="16"/>
          <w:szCs w:val="16"/>
          <w:lang w:val="es-AR"/>
        </w:rPr>
        <w:t xml:space="preserve"> Artículo 12</w:t>
      </w:r>
      <w:r>
        <w:rPr>
          <w:sz w:val="16"/>
          <w:szCs w:val="16"/>
          <w:lang w:val="es-AR"/>
        </w:rPr>
        <w:t>.</w:t>
      </w:r>
      <w:r w:rsidRPr="002570D1">
        <w:rPr>
          <w:sz w:val="16"/>
          <w:szCs w:val="16"/>
          <w:lang w:val="es-AR"/>
        </w:rPr>
        <w:t xml:space="preserve"> 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footnote>
  <w:footnote w:id="151">
    <w:p w14:paraId="7E88A7FC" w14:textId="24131BE2"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sz w:val="16"/>
          <w:szCs w:val="16"/>
          <w:lang w:val="es-AR"/>
        </w:rPr>
        <w:t xml:space="preserve"> </w:t>
      </w:r>
      <w:r>
        <w:rPr>
          <w:sz w:val="16"/>
          <w:szCs w:val="16"/>
          <w:lang w:val="es-AR"/>
        </w:rPr>
        <w:tab/>
      </w:r>
      <w:r w:rsidRPr="0023635B">
        <w:rPr>
          <w:sz w:val="16"/>
          <w:szCs w:val="16"/>
          <w:lang w:val="es-AR"/>
        </w:rPr>
        <w:t xml:space="preserve">Adoptada por la Asamblea General </w:t>
      </w:r>
      <w:r>
        <w:rPr>
          <w:sz w:val="16"/>
          <w:szCs w:val="16"/>
          <w:lang w:val="es-AR"/>
        </w:rPr>
        <w:t xml:space="preserve">de la ONU </w:t>
      </w:r>
      <w:r w:rsidRPr="0023635B">
        <w:rPr>
          <w:sz w:val="16"/>
          <w:szCs w:val="16"/>
          <w:lang w:val="es-AR"/>
        </w:rPr>
        <w:t xml:space="preserve">en su </w:t>
      </w:r>
      <w:r>
        <w:rPr>
          <w:sz w:val="16"/>
          <w:szCs w:val="16"/>
          <w:lang w:val="es-AR"/>
        </w:rPr>
        <w:t>R</w:t>
      </w:r>
      <w:r w:rsidRPr="0023635B">
        <w:rPr>
          <w:sz w:val="16"/>
          <w:szCs w:val="16"/>
          <w:lang w:val="es-AR"/>
        </w:rPr>
        <w:t>esolución 44/25, de 20 de noviembre de 1989</w:t>
      </w:r>
      <w:r>
        <w:rPr>
          <w:sz w:val="16"/>
          <w:szCs w:val="16"/>
          <w:lang w:val="es-AR"/>
        </w:rPr>
        <w:t>. E</w:t>
      </w:r>
      <w:r w:rsidRPr="0023635B">
        <w:rPr>
          <w:sz w:val="16"/>
          <w:szCs w:val="16"/>
          <w:lang w:val="es-AR"/>
        </w:rPr>
        <w:t>ntrada en vigor el 2 de septiembre de 1990. Ratificado por</w:t>
      </w:r>
      <w:r>
        <w:rPr>
          <w:sz w:val="16"/>
          <w:szCs w:val="16"/>
          <w:lang w:val="es-AR"/>
        </w:rPr>
        <w:t xml:space="preserve"> Chile el 14 de agosto de 1990.</w:t>
      </w:r>
      <w:r w:rsidRPr="002570D1">
        <w:rPr>
          <w:sz w:val="16"/>
          <w:szCs w:val="16"/>
          <w:lang w:val="es-AR"/>
        </w:rPr>
        <w:t xml:space="preserve"> Artículo 24</w:t>
      </w:r>
      <w:r>
        <w:rPr>
          <w:sz w:val="16"/>
          <w:szCs w:val="16"/>
          <w:lang w:val="es-AR"/>
        </w:rPr>
        <w:t>.</w:t>
      </w:r>
      <w:r w:rsidRPr="002570D1">
        <w:rPr>
          <w:sz w:val="16"/>
          <w:szCs w:val="16"/>
          <w:lang w:val="es-AR"/>
        </w:rPr>
        <w:t xml:space="preserve"> 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r>
        <w:rPr>
          <w:sz w:val="16"/>
          <w:szCs w:val="16"/>
          <w:lang w:val="es-AR"/>
        </w:rPr>
        <w:t xml:space="preserve"> [..</w:t>
      </w:r>
      <w:r w:rsidRPr="002570D1">
        <w:rPr>
          <w:sz w:val="16"/>
          <w:szCs w:val="16"/>
          <w:lang w:val="es-AR"/>
        </w:rPr>
        <w:t>.</w:t>
      </w:r>
      <w:r>
        <w:rPr>
          <w:sz w:val="16"/>
          <w:szCs w:val="16"/>
          <w:lang w:val="es-AR"/>
        </w:rPr>
        <w:t>]</w:t>
      </w:r>
      <w:r w:rsidRPr="002570D1">
        <w:rPr>
          <w:sz w:val="16"/>
          <w:szCs w:val="16"/>
          <w:lang w:val="es-AR"/>
        </w:rPr>
        <w:t xml:space="preserve"> </w:t>
      </w:r>
    </w:p>
  </w:footnote>
  <w:footnote w:id="152">
    <w:p w14:paraId="5BA15CFE" w14:textId="7C5F8770"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sz w:val="16"/>
          <w:szCs w:val="16"/>
          <w:lang w:val="es-AR"/>
        </w:rPr>
        <w:t xml:space="preserve"> </w:t>
      </w:r>
      <w:r>
        <w:rPr>
          <w:sz w:val="16"/>
          <w:szCs w:val="16"/>
          <w:lang w:val="es-AR"/>
        </w:rPr>
        <w:tab/>
      </w:r>
      <w:r w:rsidRPr="0023635B">
        <w:rPr>
          <w:sz w:val="16"/>
          <w:szCs w:val="16"/>
          <w:lang w:val="es-AR"/>
        </w:rPr>
        <w:t xml:space="preserve">Adoptada por la Asamblea General </w:t>
      </w:r>
      <w:r>
        <w:rPr>
          <w:sz w:val="16"/>
          <w:szCs w:val="16"/>
          <w:lang w:val="es-AR"/>
        </w:rPr>
        <w:t xml:space="preserve">de la ONU </w:t>
      </w:r>
      <w:r w:rsidRPr="0023635B">
        <w:rPr>
          <w:sz w:val="16"/>
          <w:szCs w:val="16"/>
          <w:lang w:val="es-AR"/>
        </w:rPr>
        <w:t xml:space="preserve">en su </w:t>
      </w:r>
      <w:r>
        <w:rPr>
          <w:sz w:val="16"/>
          <w:szCs w:val="16"/>
          <w:lang w:val="es-AR"/>
        </w:rPr>
        <w:t>R</w:t>
      </w:r>
      <w:r w:rsidRPr="0023635B">
        <w:rPr>
          <w:sz w:val="16"/>
          <w:szCs w:val="16"/>
          <w:lang w:val="es-AR"/>
        </w:rPr>
        <w:t xml:space="preserve">esolución 45/158, de 18 de diciembre de 1990. Ratificado por </w:t>
      </w:r>
      <w:r>
        <w:rPr>
          <w:sz w:val="16"/>
          <w:szCs w:val="16"/>
          <w:lang w:val="es-AR"/>
        </w:rPr>
        <w:t>C</w:t>
      </w:r>
      <w:r w:rsidRPr="0023635B">
        <w:rPr>
          <w:sz w:val="16"/>
          <w:szCs w:val="16"/>
          <w:lang w:val="es-AR"/>
        </w:rPr>
        <w:t>hile el 12 de abril de 2005</w:t>
      </w:r>
      <w:r>
        <w:rPr>
          <w:sz w:val="16"/>
          <w:szCs w:val="16"/>
          <w:lang w:val="es-AR"/>
        </w:rPr>
        <w:t>.</w:t>
      </w:r>
      <w:r w:rsidRPr="002570D1">
        <w:rPr>
          <w:sz w:val="16"/>
          <w:szCs w:val="16"/>
          <w:lang w:val="es-AR"/>
        </w:rPr>
        <w:t xml:space="preserve"> Artículo 28</w:t>
      </w:r>
      <w:r>
        <w:rPr>
          <w:sz w:val="16"/>
          <w:szCs w:val="16"/>
          <w:lang w:val="es-AR"/>
        </w:rPr>
        <w:t>.</w:t>
      </w:r>
      <w:r w:rsidRPr="002570D1">
        <w:rPr>
          <w:sz w:val="16"/>
          <w:szCs w:val="16"/>
          <w:lang w:val="es-AR"/>
        </w:rPr>
        <w:t xml:space="preserve"> Los trabajadores migratorios y sus familiares tendrán derecho a recibir cualquier tipo de atención médica urgente que resulte necesaria para preservar su vida o para evitar daños irreparables a su salud en condiciones de igualdad de trato con los nacionales del Estado de que se trate. Esa atención médica de urgencia no podrá negarse por motivos de irregularidad en lo que respecta a la permanencia o al empleo. </w:t>
      </w:r>
    </w:p>
  </w:footnote>
  <w:footnote w:id="153">
    <w:p w14:paraId="58796300" w14:textId="44166AB3"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sz w:val="16"/>
          <w:szCs w:val="16"/>
          <w:lang w:val="es-AR"/>
        </w:rPr>
        <w:t xml:space="preserve"> </w:t>
      </w:r>
      <w:r>
        <w:rPr>
          <w:sz w:val="16"/>
          <w:szCs w:val="16"/>
          <w:lang w:val="es-AR"/>
        </w:rPr>
        <w:tab/>
      </w:r>
      <w:r w:rsidRPr="0023635B">
        <w:rPr>
          <w:sz w:val="16"/>
          <w:szCs w:val="16"/>
          <w:lang w:val="es-AR"/>
        </w:rPr>
        <w:t>Aprobad</w:t>
      </w:r>
      <w:r>
        <w:rPr>
          <w:sz w:val="16"/>
          <w:szCs w:val="16"/>
          <w:lang w:val="es-AR"/>
        </w:rPr>
        <w:t>a</w:t>
      </w:r>
      <w:r w:rsidRPr="0023635B">
        <w:rPr>
          <w:sz w:val="16"/>
          <w:szCs w:val="16"/>
          <w:lang w:val="es-AR"/>
        </w:rPr>
        <w:t xml:space="preserve"> por la Asamblea General </w:t>
      </w:r>
      <w:r>
        <w:rPr>
          <w:sz w:val="16"/>
          <w:szCs w:val="16"/>
          <w:lang w:val="es-AR"/>
        </w:rPr>
        <w:t xml:space="preserve">de la ONU </w:t>
      </w:r>
      <w:r w:rsidRPr="0023635B">
        <w:rPr>
          <w:sz w:val="16"/>
          <w:szCs w:val="16"/>
          <w:lang w:val="es-AR"/>
        </w:rPr>
        <w:t>el 13 de diciembre de 2006</w:t>
      </w:r>
      <w:r>
        <w:rPr>
          <w:sz w:val="16"/>
          <w:szCs w:val="16"/>
          <w:lang w:val="es-AR"/>
        </w:rPr>
        <w:t>. Entrada</w:t>
      </w:r>
      <w:r w:rsidRPr="0023635B">
        <w:rPr>
          <w:sz w:val="16"/>
          <w:szCs w:val="16"/>
          <w:lang w:val="es-AR"/>
        </w:rPr>
        <w:t xml:space="preserve"> en vigor el 3 de mayo de 2008.  Ratificad</w:t>
      </w:r>
      <w:r>
        <w:rPr>
          <w:sz w:val="16"/>
          <w:szCs w:val="16"/>
          <w:lang w:val="es-AR"/>
        </w:rPr>
        <w:t>a</w:t>
      </w:r>
      <w:r w:rsidRPr="0023635B">
        <w:rPr>
          <w:sz w:val="16"/>
          <w:szCs w:val="16"/>
          <w:lang w:val="es-AR"/>
        </w:rPr>
        <w:t xml:space="preserve"> por Chile el 25 de agosto de 2008. </w:t>
      </w:r>
      <w:r w:rsidRPr="002570D1">
        <w:rPr>
          <w:sz w:val="16"/>
          <w:szCs w:val="16"/>
          <w:lang w:val="es-AR"/>
        </w:rPr>
        <w:t>Artículo 25</w:t>
      </w:r>
      <w:r>
        <w:rPr>
          <w:sz w:val="16"/>
          <w:szCs w:val="16"/>
          <w:lang w:val="es-AR"/>
        </w:rPr>
        <w:t>.</w:t>
      </w:r>
      <w:r w:rsidRPr="002570D1">
        <w:rPr>
          <w:sz w:val="16"/>
          <w:szCs w:val="16"/>
          <w:lang w:val="es-AR"/>
        </w:rPr>
        <w:t xml:space="preserve"> Los Estados Partes reconocen que las personas con discapacidad tienen derecho a gozar del más alto nivel posible de salud sin discriminación por motivos de discapacidad. Los Estados Partes adoptarán las medidas pertinentes para asegurar el acceso de las personas con discapacidad a servicios de salud que tengan en cuenta las cuestiones de género, incluida la rehabilitación relacionada con la salud.  </w:t>
      </w:r>
    </w:p>
  </w:footnote>
  <w:footnote w:id="154">
    <w:p w14:paraId="43D7D1F7" w14:textId="41667DD1" w:rsidR="003C025E" w:rsidRPr="002570D1" w:rsidRDefault="003C025E" w:rsidP="00795461">
      <w:pPr>
        <w:pStyle w:val="FootnoteText"/>
        <w:rPr>
          <w:sz w:val="16"/>
          <w:szCs w:val="16"/>
          <w:lang w:val="es-CR"/>
        </w:rPr>
      </w:pPr>
      <w:r w:rsidRPr="002570D1">
        <w:rPr>
          <w:rStyle w:val="FootnoteReference"/>
          <w:sz w:val="16"/>
          <w:szCs w:val="16"/>
        </w:rPr>
        <w:footnoteRef/>
      </w:r>
      <w:r w:rsidRPr="002570D1">
        <w:rPr>
          <w:sz w:val="16"/>
          <w:szCs w:val="16"/>
          <w:lang w:val="es-CR"/>
        </w:rPr>
        <w:t xml:space="preserve"> </w:t>
      </w:r>
      <w:r>
        <w:rPr>
          <w:sz w:val="16"/>
          <w:szCs w:val="16"/>
          <w:lang w:val="es-CR"/>
        </w:rPr>
        <w:t xml:space="preserve">  </w:t>
      </w:r>
      <w:r>
        <w:rPr>
          <w:sz w:val="16"/>
          <w:szCs w:val="16"/>
          <w:lang w:val="es-CR"/>
        </w:rPr>
        <w:tab/>
      </w:r>
      <w:r w:rsidRPr="0000041A">
        <w:rPr>
          <w:sz w:val="16"/>
          <w:szCs w:val="16"/>
          <w:lang w:val="es-CR"/>
        </w:rPr>
        <w:t xml:space="preserve">Aprobada en la </w:t>
      </w:r>
      <w:r>
        <w:rPr>
          <w:sz w:val="16"/>
          <w:szCs w:val="16"/>
          <w:lang w:val="es-CR"/>
        </w:rPr>
        <w:t>S</w:t>
      </w:r>
      <w:r w:rsidRPr="0000041A">
        <w:rPr>
          <w:sz w:val="16"/>
          <w:szCs w:val="16"/>
          <w:lang w:val="es-CR"/>
        </w:rPr>
        <w:t xml:space="preserve">egunda </w:t>
      </w:r>
      <w:r>
        <w:rPr>
          <w:sz w:val="16"/>
          <w:szCs w:val="16"/>
          <w:lang w:val="es-CR"/>
        </w:rPr>
        <w:t>S</w:t>
      </w:r>
      <w:r w:rsidRPr="0000041A">
        <w:rPr>
          <w:sz w:val="16"/>
          <w:szCs w:val="16"/>
          <w:lang w:val="es-CR"/>
        </w:rPr>
        <w:t xml:space="preserve">esión </w:t>
      </w:r>
      <w:r>
        <w:rPr>
          <w:sz w:val="16"/>
          <w:szCs w:val="16"/>
          <w:lang w:val="es-CR"/>
        </w:rPr>
        <w:t>P</w:t>
      </w:r>
      <w:r w:rsidRPr="0000041A">
        <w:rPr>
          <w:sz w:val="16"/>
          <w:szCs w:val="16"/>
          <w:lang w:val="es-CR"/>
        </w:rPr>
        <w:t>lenaria</w:t>
      </w:r>
      <w:r>
        <w:rPr>
          <w:sz w:val="16"/>
          <w:szCs w:val="16"/>
          <w:lang w:val="es-CR"/>
        </w:rPr>
        <w:t xml:space="preserve"> de la Asamblea General de la OEA</w:t>
      </w:r>
      <w:r w:rsidRPr="0000041A">
        <w:rPr>
          <w:sz w:val="16"/>
          <w:szCs w:val="16"/>
          <w:lang w:val="es-CR"/>
        </w:rPr>
        <w:t>, celebrada el 4 de junio de 2012</w:t>
      </w:r>
      <w:r>
        <w:rPr>
          <w:sz w:val="16"/>
          <w:szCs w:val="16"/>
          <w:lang w:val="es-CR"/>
        </w:rPr>
        <w:t>.</w:t>
      </w:r>
      <w:r w:rsidRPr="0000041A">
        <w:rPr>
          <w:sz w:val="16"/>
          <w:szCs w:val="16"/>
          <w:lang w:val="es-CR"/>
        </w:rPr>
        <w:t xml:space="preserve"> </w:t>
      </w:r>
      <w:r>
        <w:rPr>
          <w:sz w:val="16"/>
          <w:szCs w:val="16"/>
          <w:lang w:val="es-CR"/>
        </w:rPr>
        <w:t>E</w:t>
      </w:r>
      <w:r w:rsidRPr="0000041A">
        <w:rPr>
          <w:sz w:val="16"/>
          <w:szCs w:val="16"/>
          <w:lang w:val="es-CR"/>
        </w:rPr>
        <w:t>n su artículo 17 contempla la reafirmación de los Estados de que el goce del grado máximo de salud que se pueda lograr es uno de los derechos fundamentales de todo ser humano sin discriminación y su reconocimiento de que la salud es una condición fundamental para la inclusión y cohesión social, el desarrollo integral y el crecimiento económico con equidad. A su vez, por lo que respecta al desarrollo integral, prevé en el artículo 33</w:t>
      </w:r>
      <w:r>
        <w:rPr>
          <w:sz w:val="16"/>
          <w:szCs w:val="16"/>
          <w:lang w:val="es-CR"/>
        </w:rPr>
        <w:t>,</w:t>
      </w:r>
      <w:r w:rsidRPr="0000041A">
        <w:rPr>
          <w:sz w:val="16"/>
          <w:szCs w:val="16"/>
          <w:lang w:val="es-CR"/>
        </w:rPr>
        <w:t xml:space="preserve"> segundo párrafo, la mención expresa al campo de la salud</w:t>
      </w:r>
      <w:r>
        <w:rPr>
          <w:sz w:val="16"/>
          <w:szCs w:val="16"/>
          <w:lang w:val="es-CR"/>
        </w:rPr>
        <w:t>.</w:t>
      </w:r>
    </w:p>
  </w:footnote>
  <w:footnote w:id="155">
    <w:p w14:paraId="18B63D14" w14:textId="4892CEA4" w:rsidR="003C025E" w:rsidRPr="00B1523A" w:rsidRDefault="003C025E">
      <w:pPr>
        <w:pStyle w:val="FootnoteText"/>
      </w:pPr>
      <w:r w:rsidRPr="00B1523A">
        <w:rPr>
          <w:rStyle w:val="FootnoteReference"/>
          <w:sz w:val="16"/>
        </w:rPr>
        <w:footnoteRef/>
      </w:r>
      <w:r>
        <w:t xml:space="preserve"> </w:t>
      </w:r>
      <w:r>
        <w:tab/>
      </w:r>
      <w:r w:rsidRPr="005430FF">
        <w:rPr>
          <w:sz w:val="16"/>
          <w:szCs w:val="16"/>
          <w:lang w:val="es-AR"/>
        </w:rPr>
        <w:t>Consejo de Europa</w:t>
      </w:r>
      <w:r>
        <w:rPr>
          <w:sz w:val="16"/>
          <w:szCs w:val="16"/>
          <w:lang w:val="es-AR"/>
        </w:rPr>
        <w:t xml:space="preserve"> (Estrasburgo). Aprobada en</w:t>
      </w:r>
      <w:r w:rsidRPr="005430FF">
        <w:rPr>
          <w:sz w:val="16"/>
          <w:szCs w:val="16"/>
          <w:lang w:val="es-AR"/>
        </w:rPr>
        <w:t xml:space="preserve"> Turín</w:t>
      </w:r>
      <w:r>
        <w:rPr>
          <w:sz w:val="16"/>
          <w:szCs w:val="16"/>
          <w:lang w:val="es-AR"/>
        </w:rPr>
        <w:t xml:space="preserve"> el</w:t>
      </w:r>
      <w:r w:rsidRPr="005430FF">
        <w:rPr>
          <w:sz w:val="16"/>
          <w:szCs w:val="16"/>
          <w:lang w:val="es-AR"/>
        </w:rPr>
        <w:t xml:space="preserve"> 18 de octub</w:t>
      </w:r>
      <w:r>
        <w:rPr>
          <w:sz w:val="16"/>
          <w:szCs w:val="16"/>
          <w:lang w:val="es-AR"/>
        </w:rPr>
        <w:t>re de 1961</w:t>
      </w:r>
      <w:proofErr w:type="gramStart"/>
      <w:r>
        <w:rPr>
          <w:sz w:val="16"/>
          <w:szCs w:val="16"/>
          <w:lang w:val="es-AR"/>
        </w:rPr>
        <w:t>..</w:t>
      </w:r>
      <w:proofErr w:type="gramEnd"/>
      <w:r>
        <w:rPr>
          <w:sz w:val="16"/>
          <w:szCs w:val="16"/>
          <w:lang w:val="es-AR"/>
        </w:rPr>
        <w:t xml:space="preserve"> </w:t>
      </w:r>
      <w:r w:rsidRPr="005430FF">
        <w:rPr>
          <w:sz w:val="16"/>
          <w:szCs w:val="16"/>
          <w:lang w:val="es-AR"/>
        </w:rPr>
        <w:t>Artículo 11: Derecho a la protección de la salud. Para garantizar el ejercicio efectivo del derecho a la protección de la salud, las partes contratantes se comprometen a adoptar, directamente o en cooperación con organizaciones públicas o privadas, medidas adecuadas para entre otros fines: 1) Eliminar, en lo posible, las causas de una salud deficiente</w:t>
      </w:r>
      <w:proofErr w:type="gramStart"/>
      <w:r>
        <w:rPr>
          <w:sz w:val="16"/>
          <w:szCs w:val="16"/>
          <w:lang w:val="es-AR"/>
        </w:rPr>
        <w:t>;</w:t>
      </w:r>
      <w:r w:rsidRPr="005430FF">
        <w:rPr>
          <w:sz w:val="16"/>
          <w:szCs w:val="16"/>
          <w:lang w:val="es-AR"/>
        </w:rPr>
        <w:t>.</w:t>
      </w:r>
      <w:proofErr w:type="gramEnd"/>
      <w:r w:rsidRPr="005430FF">
        <w:rPr>
          <w:sz w:val="16"/>
          <w:szCs w:val="16"/>
          <w:lang w:val="es-AR"/>
        </w:rPr>
        <w:t xml:space="preserve"> 2) Establecer servicios educacionales y de consulta dirigidos a la mejora de la salud y a estimular el sentido de responsabilidad individual en lo concerniente a la misma</w:t>
      </w:r>
      <w:r>
        <w:rPr>
          <w:sz w:val="16"/>
          <w:szCs w:val="16"/>
          <w:lang w:val="es-AR"/>
        </w:rPr>
        <w:t>, [y]</w:t>
      </w:r>
      <w:r w:rsidRPr="005430FF">
        <w:rPr>
          <w:sz w:val="16"/>
          <w:szCs w:val="16"/>
          <w:lang w:val="es-AR"/>
        </w:rPr>
        <w:t xml:space="preserve">. </w:t>
      </w:r>
      <w:r>
        <w:rPr>
          <w:sz w:val="16"/>
          <w:szCs w:val="16"/>
          <w:lang w:val="es-AR"/>
        </w:rPr>
        <w:t xml:space="preserve"> </w:t>
      </w:r>
      <w:r w:rsidRPr="005430FF">
        <w:rPr>
          <w:sz w:val="16"/>
          <w:szCs w:val="16"/>
          <w:lang w:val="es-AR"/>
        </w:rPr>
        <w:t>3) Prevenir, en lo posible, las enfermedades epidérmicas, endémicas y otras</w:t>
      </w:r>
      <w:r>
        <w:rPr>
          <w:sz w:val="16"/>
          <w:szCs w:val="16"/>
          <w:lang w:val="es-AR"/>
        </w:rPr>
        <w:t>.</w:t>
      </w:r>
    </w:p>
  </w:footnote>
  <w:footnote w:id="156">
    <w:p w14:paraId="68FF750A" w14:textId="130753DA"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sz w:val="16"/>
          <w:szCs w:val="16"/>
          <w:lang w:val="es-AR"/>
        </w:rPr>
        <w:t xml:space="preserve">   </w:t>
      </w:r>
      <w:r>
        <w:rPr>
          <w:sz w:val="16"/>
          <w:szCs w:val="16"/>
          <w:lang w:val="es-AR"/>
        </w:rPr>
        <w:t xml:space="preserve"> </w:t>
      </w:r>
      <w:r>
        <w:rPr>
          <w:sz w:val="16"/>
          <w:szCs w:val="16"/>
          <w:lang w:val="es-AR"/>
        </w:rPr>
        <w:tab/>
      </w:r>
      <w:r w:rsidRPr="0023635B">
        <w:rPr>
          <w:sz w:val="16"/>
          <w:szCs w:val="16"/>
          <w:lang w:val="es-AR"/>
        </w:rPr>
        <w:t>Aprobada durante la XVIII Asamblea de Jefes de Estado y Gobierno de la Organización de</w:t>
      </w:r>
      <w:r>
        <w:rPr>
          <w:sz w:val="16"/>
          <w:szCs w:val="16"/>
          <w:lang w:val="es-AR"/>
        </w:rPr>
        <w:t xml:space="preserve"> </w:t>
      </w:r>
      <w:r w:rsidRPr="0023635B">
        <w:rPr>
          <w:sz w:val="16"/>
          <w:szCs w:val="16"/>
          <w:lang w:val="es-AR"/>
        </w:rPr>
        <w:t xml:space="preserve">la Unidad Africana, reunida en Nairobi, </w:t>
      </w:r>
      <w:proofErr w:type="spellStart"/>
      <w:r w:rsidRPr="0023635B">
        <w:rPr>
          <w:sz w:val="16"/>
          <w:szCs w:val="16"/>
          <w:lang w:val="es-AR"/>
        </w:rPr>
        <w:t>Kenya</w:t>
      </w:r>
      <w:proofErr w:type="spellEnd"/>
      <w:r>
        <w:rPr>
          <w:sz w:val="16"/>
          <w:szCs w:val="16"/>
          <w:lang w:val="es-AR"/>
        </w:rPr>
        <w:t xml:space="preserve">, </w:t>
      </w:r>
      <w:r w:rsidRPr="0023635B">
        <w:rPr>
          <w:sz w:val="16"/>
          <w:szCs w:val="16"/>
          <w:lang w:val="es-AR"/>
        </w:rPr>
        <w:t>el 27 de julio de 1981</w:t>
      </w:r>
      <w:r>
        <w:rPr>
          <w:sz w:val="16"/>
          <w:szCs w:val="16"/>
          <w:lang w:val="es-AR"/>
        </w:rPr>
        <w:t xml:space="preserve">. </w:t>
      </w:r>
      <w:r w:rsidRPr="002570D1">
        <w:rPr>
          <w:sz w:val="16"/>
          <w:szCs w:val="16"/>
          <w:lang w:val="es-AR"/>
        </w:rPr>
        <w:t>Artículo 16</w:t>
      </w:r>
      <w:r>
        <w:rPr>
          <w:sz w:val="16"/>
          <w:szCs w:val="16"/>
          <w:lang w:val="es-AR"/>
        </w:rPr>
        <w:t>.</w:t>
      </w:r>
      <w:r w:rsidRPr="002570D1">
        <w:rPr>
          <w:sz w:val="16"/>
          <w:szCs w:val="16"/>
          <w:lang w:val="es-AR"/>
        </w:rPr>
        <w:t xml:space="preserve"> </w:t>
      </w:r>
      <w:r>
        <w:rPr>
          <w:sz w:val="16"/>
          <w:szCs w:val="16"/>
          <w:lang w:val="es-AR"/>
        </w:rPr>
        <w:t xml:space="preserve">1. </w:t>
      </w:r>
      <w:r w:rsidRPr="002570D1">
        <w:rPr>
          <w:sz w:val="16"/>
          <w:szCs w:val="16"/>
          <w:lang w:val="es-AR"/>
        </w:rPr>
        <w:t>Todo individuo tendrá derecho a disfrutar del mejor estado físico y mental posible</w:t>
      </w:r>
      <w:r>
        <w:rPr>
          <w:sz w:val="16"/>
          <w:szCs w:val="16"/>
          <w:lang w:val="es-AR"/>
        </w:rPr>
        <w:t>, [y]</w:t>
      </w:r>
      <w:r w:rsidRPr="002570D1">
        <w:rPr>
          <w:sz w:val="16"/>
          <w:szCs w:val="16"/>
          <w:lang w:val="es-AR"/>
        </w:rPr>
        <w:t xml:space="preserve"> 2</w:t>
      </w:r>
      <w:r>
        <w:rPr>
          <w:sz w:val="16"/>
          <w:szCs w:val="16"/>
          <w:lang w:val="es-AR"/>
        </w:rPr>
        <w:t xml:space="preserve">. </w:t>
      </w:r>
      <w:r w:rsidRPr="002570D1">
        <w:rPr>
          <w:sz w:val="16"/>
          <w:szCs w:val="16"/>
          <w:lang w:val="es-AR"/>
        </w:rPr>
        <w:t>Los  Estados  firmantes  de  la  presente  Carta  tomarán  las  medidas  necesarias  para  proteger  la  salud  de  su pueblo y asegurarse de que reciben asistencia médica cuando están enfermos.</w:t>
      </w:r>
    </w:p>
  </w:footnote>
  <w:footnote w:id="157">
    <w:p w14:paraId="02BFB534" w14:textId="31DD0874" w:rsidR="003C025E" w:rsidRPr="002570D1" w:rsidRDefault="003C025E" w:rsidP="00525F0E">
      <w:pPr>
        <w:pStyle w:val="FootnoteText"/>
        <w:rPr>
          <w:sz w:val="16"/>
          <w:szCs w:val="16"/>
          <w:lang w:val="es-AR"/>
        </w:rPr>
      </w:pPr>
      <w:r w:rsidRPr="00C64243">
        <w:rPr>
          <w:rStyle w:val="FootnoteReference"/>
          <w:sz w:val="16"/>
        </w:rPr>
        <w:footnoteRef/>
      </w:r>
      <w:r w:rsidRPr="00C64243">
        <w:rPr>
          <w:rStyle w:val="FootnoteReference"/>
        </w:rPr>
        <w:t xml:space="preserve">  </w:t>
      </w:r>
      <w:r>
        <w:t xml:space="preserve">  </w:t>
      </w:r>
      <w:r w:rsidRPr="00914889">
        <w:rPr>
          <w:sz w:val="16"/>
          <w:szCs w:val="16"/>
          <w:lang w:val="es-AR"/>
        </w:rPr>
        <w:t xml:space="preserve"> </w:t>
      </w:r>
      <w:r>
        <w:rPr>
          <w:sz w:val="16"/>
          <w:szCs w:val="16"/>
          <w:lang w:val="es-AR"/>
        </w:rPr>
        <w:tab/>
      </w:r>
      <w:r w:rsidRPr="00D727A2">
        <w:rPr>
          <w:sz w:val="16"/>
          <w:szCs w:val="16"/>
          <w:lang w:val="es-AR"/>
        </w:rPr>
        <w:t>Adoptada</w:t>
      </w:r>
      <w:r>
        <w:rPr>
          <w:sz w:val="16"/>
          <w:szCs w:val="16"/>
          <w:lang w:val="es-AR"/>
        </w:rPr>
        <w:t xml:space="preserve"> en el </w:t>
      </w:r>
      <w:r w:rsidRPr="00914889">
        <w:rPr>
          <w:sz w:val="16"/>
          <w:szCs w:val="16"/>
          <w:lang w:val="es-AR"/>
        </w:rPr>
        <w:t xml:space="preserve">Quinto Período Ordinario de </w:t>
      </w:r>
      <w:r>
        <w:rPr>
          <w:sz w:val="16"/>
          <w:szCs w:val="16"/>
          <w:lang w:val="es-AR"/>
        </w:rPr>
        <w:t>Sesiones de la Asamblea General</w:t>
      </w:r>
      <w:r w:rsidRPr="000F5205">
        <w:rPr>
          <w:sz w:val="16"/>
          <w:szCs w:val="16"/>
          <w:lang w:val="es-AR"/>
        </w:rPr>
        <w:t xml:space="preserve"> </w:t>
      </w:r>
      <w:r>
        <w:rPr>
          <w:sz w:val="16"/>
          <w:szCs w:val="16"/>
          <w:lang w:val="es-AR"/>
        </w:rPr>
        <w:t>de la OEA</w:t>
      </w:r>
      <w:r w:rsidRPr="000F5205">
        <w:rPr>
          <w:sz w:val="16"/>
          <w:szCs w:val="16"/>
          <w:lang w:val="es-AR"/>
        </w:rPr>
        <w:t xml:space="preserve"> </w:t>
      </w:r>
      <w:r>
        <w:rPr>
          <w:sz w:val="16"/>
          <w:szCs w:val="16"/>
          <w:lang w:val="es-AR"/>
        </w:rPr>
        <w:t xml:space="preserve">en Washington, D.C., </w:t>
      </w:r>
      <w:r w:rsidRPr="00914889">
        <w:rPr>
          <w:sz w:val="16"/>
          <w:szCs w:val="16"/>
          <w:lang w:val="es-AR"/>
        </w:rPr>
        <w:t>el 15 de junio de 2015</w:t>
      </w:r>
      <w:r>
        <w:rPr>
          <w:sz w:val="16"/>
          <w:szCs w:val="16"/>
          <w:lang w:val="es-AR"/>
        </w:rPr>
        <w:t xml:space="preserve">. Entrada en vigencia el </w:t>
      </w:r>
      <w:r w:rsidRPr="00914889">
        <w:rPr>
          <w:sz w:val="16"/>
          <w:szCs w:val="16"/>
          <w:lang w:val="es-AR"/>
        </w:rPr>
        <w:t>11 de enero de 2017</w:t>
      </w:r>
      <w:r>
        <w:rPr>
          <w:sz w:val="16"/>
          <w:szCs w:val="16"/>
          <w:lang w:val="es-AR"/>
        </w:rPr>
        <w:t>.</w:t>
      </w:r>
      <w:r w:rsidRPr="0000041A">
        <w:rPr>
          <w:sz w:val="16"/>
          <w:szCs w:val="16"/>
          <w:lang w:val="es-AR"/>
        </w:rPr>
        <w:t xml:space="preserve"> Ratificada por </w:t>
      </w:r>
      <w:r>
        <w:rPr>
          <w:sz w:val="16"/>
          <w:szCs w:val="16"/>
          <w:lang w:val="es-AR"/>
        </w:rPr>
        <w:t>C</w:t>
      </w:r>
      <w:r w:rsidRPr="0000041A">
        <w:rPr>
          <w:sz w:val="16"/>
          <w:szCs w:val="16"/>
          <w:lang w:val="es-AR"/>
        </w:rPr>
        <w:t>hile</w:t>
      </w:r>
      <w:r>
        <w:rPr>
          <w:sz w:val="16"/>
          <w:szCs w:val="16"/>
          <w:lang w:val="es-AR"/>
        </w:rPr>
        <w:t xml:space="preserve"> el 7 de noviembre de 2017. </w:t>
      </w:r>
      <w:r w:rsidRPr="002570D1">
        <w:rPr>
          <w:sz w:val="16"/>
          <w:szCs w:val="16"/>
          <w:lang w:val="es-AR"/>
        </w:rPr>
        <w:t>Artículo 19. Derecho a la salud. La persona mayor tiene derecho a su salud física y mental, sin ningún tipo de discriminación. Los Estados Parte deberán diseñar e implementar políticas públicas intersectoriales de salud orientadas a una atención integral que incluya la promoción de la salud, la prevención y la atención de la enfermedad en todas las etapas, y la rehabilitación y los cuidados paliativos de la persona mayor a fin de propiciar el disfrute del más alto nivel de bienestar, físico, mental y social […]. Por lo que al presente análisis atañe, cabe señalar que en el citado dispositivo no resulta exigible al momento de acaecer los hechos del caso.</w:t>
      </w:r>
    </w:p>
  </w:footnote>
  <w:footnote w:id="158">
    <w:p w14:paraId="2B39FAD8" w14:textId="0D616E2B"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rStyle w:val="FootnoteReference"/>
          <w:sz w:val="16"/>
          <w:szCs w:val="16"/>
          <w:lang w:val="es-AR"/>
        </w:rPr>
        <w:t xml:space="preserve">  </w:t>
      </w:r>
      <w:r w:rsidRPr="002570D1">
        <w:rPr>
          <w:sz w:val="16"/>
          <w:szCs w:val="16"/>
          <w:lang w:val="es-AR"/>
        </w:rPr>
        <w:t xml:space="preserve"> </w:t>
      </w:r>
      <w:r>
        <w:rPr>
          <w:sz w:val="16"/>
          <w:szCs w:val="16"/>
          <w:lang w:val="es-AR"/>
        </w:rPr>
        <w:t xml:space="preserve">  </w:t>
      </w:r>
      <w:r>
        <w:rPr>
          <w:sz w:val="16"/>
          <w:szCs w:val="16"/>
          <w:lang w:val="es-AR"/>
        </w:rPr>
        <w:tab/>
      </w:r>
      <w:r w:rsidRPr="002570D1">
        <w:rPr>
          <w:sz w:val="16"/>
          <w:szCs w:val="16"/>
          <w:lang w:val="es-AR"/>
        </w:rPr>
        <w:t xml:space="preserve">Conferencia Mundial de Derechos Humanos, </w:t>
      </w:r>
      <w:r>
        <w:rPr>
          <w:sz w:val="16"/>
          <w:szCs w:val="16"/>
          <w:lang w:val="es-AR"/>
        </w:rPr>
        <w:t>aprobados el</w:t>
      </w:r>
      <w:r w:rsidRPr="002570D1">
        <w:rPr>
          <w:sz w:val="16"/>
          <w:szCs w:val="16"/>
          <w:lang w:val="es-AR"/>
        </w:rPr>
        <w:t xml:space="preserve"> 25 de junio de 1993, Viena. Apartado 41</w:t>
      </w:r>
      <w:r>
        <w:rPr>
          <w:sz w:val="16"/>
          <w:szCs w:val="16"/>
          <w:lang w:val="es-AR"/>
        </w:rPr>
        <w:t>.</w:t>
      </w:r>
      <w:r w:rsidRPr="002570D1">
        <w:rPr>
          <w:sz w:val="16"/>
          <w:szCs w:val="16"/>
          <w:lang w:val="es-AR"/>
        </w:rPr>
        <w:t xml:space="preserve"> La Conferencia Mundial de Derechos Humanos reconoce la importancia del disfrute por la mujer del más alto nivel de salud física y mental durante toda su vida. En el contexto de la Conferencia Mundial sobre la Mujer y de la Convención sobre la </w:t>
      </w:r>
      <w:r>
        <w:rPr>
          <w:sz w:val="16"/>
          <w:szCs w:val="16"/>
          <w:lang w:val="es-AR"/>
        </w:rPr>
        <w:t>E</w:t>
      </w:r>
      <w:r w:rsidRPr="002570D1">
        <w:rPr>
          <w:sz w:val="16"/>
          <w:szCs w:val="16"/>
          <w:lang w:val="es-AR"/>
        </w:rPr>
        <w:t xml:space="preserve">liminación de </w:t>
      </w:r>
      <w:r>
        <w:rPr>
          <w:sz w:val="16"/>
          <w:szCs w:val="16"/>
          <w:lang w:val="es-AR"/>
        </w:rPr>
        <w:t>T</w:t>
      </w:r>
      <w:r w:rsidRPr="002570D1">
        <w:rPr>
          <w:sz w:val="16"/>
          <w:szCs w:val="16"/>
          <w:lang w:val="es-AR"/>
        </w:rPr>
        <w:t xml:space="preserve">odas las </w:t>
      </w:r>
      <w:r>
        <w:rPr>
          <w:sz w:val="16"/>
          <w:szCs w:val="16"/>
          <w:lang w:val="es-AR"/>
        </w:rPr>
        <w:t>F</w:t>
      </w:r>
      <w:r w:rsidRPr="002570D1">
        <w:rPr>
          <w:sz w:val="16"/>
          <w:szCs w:val="16"/>
          <w:lang w:val="es-AR"/>
        </w:rPr>
        <w:t xml:space="preserve">ormas de </w:t>
      </w:r>
      <w:r>
        <w:rPr>
          <w:sz w:val="16"/>
          <w:szCs w:val="16"/>
          <w:lang w:val="es-AR"/>
        </w:rPr>
        <w:t>D</w:t>
      </w:r>
      <w:r w:rsidRPr="002570D1">
        <w:rPr>
          <w:sz w:val="16"/>
          <w:szCs w:val="16"/>
          <w:lang w:val="es-AR"/>
        </w:rPr>
        <w:t xml:space="preserve">iscriminación contra la </w:t>
      </w:r>
      <w:r>
        <w:rPr>
          <w:sz w:val="16"/>
          <w:szCs w:val="16"/>
          <w:lang w:val="es-AR"/>
        </w:rPr>
        <w:t>M</w:t>
      </w:r>
      <w:r w:rsidRPr="002570D1">
        <w:rPr>
          <w:sz w:val="16"/>
          <w:szCs w:val="16"/>
          <w:lang w:val="es-AR"/>
        </w:rPr>
        <w:t>ujer, así como de la Proclamación de Teherán de 1968, la Conferencia reafirma, sobre la base de la igualdad entre hombres y mujeres, el derecho de la mujer a tener acceso a una atención de salud adecuada y a la más amplia gama de servicios de planificación familiar, así como a la igualdad de acceso a la educación a todos los niveles.</w:t>
      </w:r>
    </w:p>
  </w:footnote>
  <w:footnote w:id="159">
    <w:p w14:paraId="6A58EDC2" w14:textId="430E3FE5" w:rsidR="003C025E" w:rsidRPr="002570D1" w:rsidRDefault="003C025E" w:rsidP="002570D1">
      <w:pPr>
        <w:pStyle w:val="FootnoteText"/>
        <w:rPr>
          <w:sz w:val="16"/>
          <w:szCs w:val="16"/>
          <w:lang w:val="es-AR"/>
        </w:rPr>
      </w:pPr>
      <w:r w:rsidRPr="002570D1">
        <w:rPr>
          <w:rStyle w:val="FootnoteReference"/>
          <w:sz w:val="16"/>
          <w:szCs w:val="16"/>
        </w:rPr>
        <w:footnoteRef/>
      </w:r>
      <w:r w:rsidRPr="002570D1">
        <w:rPr>
          <w:rStyle w:val="FootnoteReference"/>
          <w:sz w:val="16"/>
          <w:szCs w:val="16"/>
          <w:lang w:val="es-AR"/>
        </w:rPr>
        <w:t xml:space="preserve"> </w:t>
      </w:r>
      <w:r w:rsidRPr="002570D1">
        <w:rPr>
          <w:sz w:val="16"/>
          <w:szCs w:val="16"/>
          <w:lang w:val="es-AR"/>
        </w:rPr>
        <w:t xml:space="preserve">   </w:t>
      </w:r>
      <w:r>
        <w:rPr>
          <w:sz w:val="16"/>
          <w:szCs w:val="16"/>
          <w:lang w:val="es-AR"/>
        </w:rPr>
        <w:tab/>
      </w:r>
      <w:r w:rsidRPr="002570D1">
        <w:rPr>
          <w:sz w:val="16"/>
          <w:szCs w:val="16"/>
          <w:lang w:val="es-AR"/>
        </w:rPr>
        <w:t xml:space="preserve">Resulta relevante para el </w:t>
      </w:r>
      <w:r>
        <w:rPr>
          <w:sz w:val="16"/>
          <w:szCs w:val="16"/>
          <w:lang w:val="es-AR"/>
        </w:rPr>
        <w:t xml:space="preserve">análisis del </w:t>
      </w:r>
      <w:r w:rsidRPr="002570D1">
        <w:rPr>
          <w:sz w:val="16"/>
          <w:szCs w:val="16"/>
          <w:lang w:val="es-AR"/>
        </w:rPr>
        <w:t xml:space="preserve">derecho a la salud, la </w:t>
      </w:r>
      <w:r w:rsidRPr="00B1523A">
        <w:rPr>
          <w:i/>
          <w:sz w:val="16"/>
          <w:szCs w:val="16"/>
          <w:lang w:val="es-AR"/>
        </w:rPr>
        <w:t>Observación General No. 14: “El derecho al disfrute del más alto nivel posible de salud”</w:t>
      </w:r>
      <w:r w:rsidRPr="002570D1">
        <w:rPr>
          <w:sz w:val="16"/>
          <w:szCs w:val="16"/>
          <w:lang w:val="es-AR"/>
        </w:rPr>
        <w:t xml:space="preserve">, del Comité </w:t>
      </w:r>
      <w:r>
        <w:rPr>
          <w:sz w:val="16"/>
          <w:szCs w:val="16"/>
          <w:lang w:val="es-AR"/>
        </w:rPr>
        <w:t>DESC</w:t>
      </w:r>
      <w:r w:rsidRPr="002570D1">
        <w:rPr>
          <w:sz w:val="16"/>
          <w:szCs w:val="16"/>
          <w:lang w:val="es-AR"/>
        </w:rPr>
        <w:t xml:space="preserve">, </w:t>
      </w:r>
      <w:r>
        <w:rPr>
          <w:sz w:val="16"/>
          <w:szCs w:val="16"/>
          <w:lang w:val="es-AR"/>
        </w:rPr>
        <w:t xml:space="preserve">la cual </w:t>
      </w:r>
      <w:r w:rsidRPr="002570D1">
        <w:rPr>
          <w:sz w:val="16"/>
          <w:szCs w:val="16"/>
          <w:lang w:val="es-AR"/>
        </w:rPr>
        <w:t xml:space="preserve">será abordada </w:t>
      </w:r>
      <w:r w:rsidRPr="00B1523A">
        <w:rPr>
          <w:i/>
          <w:sz w:val="16"/>
          <w:szCs w:val="16"/>
          <w:lang w:val="es-AR"/>
        </w:rPr>
        <w:t>infra</w:t>
      </w:r>
      <w:r w:rsidRPr="002570D1">
        <w:rPr>
          <w:sz w:val="16"/>
          <w:szCs w:val="16"/>
          <w:lang w:val="es-AR"/>
        </w:rPr>
        <w:t xml:space="preserve">. Revisten también utilidad las </w:t>
      </w:r>
      <w:r>
        <w:rPr>
          <w:sz w:val="16"/>
          <w:szCs w:val="16"/>
          <w:lang w:val="es-AR"/>
        </w:rPr>
        <w:t>O</w:t>
      </w:r>
      <w:r w:rsidRPr="002570D1">
        <w:rPr>
          <w:sz w:val="16"/>
          <w:szCs w:val="16"/>
          <w:lang w:val="es-AR"/>
        </w:rPr>
        <w:t xml:space="preserve">bservaciones del Comité de los Derechos del Niño, en particular la </w:t>
      </w:r>
      <w:r w:rsidRPr="00B1523A">
        <w:rPr>
          <w:i/>
          <w:sz w:val="16"/>
          <w:szCs w:val="16"/>
          <w:lang w:val="es-AR"/>
        </w:rPr>
        <w:t>Observación General No. 3: “El VIH/SIDA y los derechos del niño”,</w:t>
      </w:r>
      <w:r w:rsidRPr="002570D1">
        <w:rPr>
          <w:sz w:val="16"/>
          <w:szCs w:val="16"/>
          <w:lang w:val="es-AR"/>
        </w:rPr>
        <w:t xml:space="preserve"> CRC/GC/2003/3</w:t>
      </w:r>
      <w:r>
        <w:rPr>
          <w:sz w:val="16"/>
          <w:szCs w:val="16"/>
          <w:lang w:val="es-AR"/>
        </w:rPr>
        <w:t xml:space="preserve"> (2003), </w:t>
      </w:r>
      <w:r w:rsidRPr="002570D1">
        <w:rPr>
          <w:sz w:val="16"/>
          <w:szCs w:val="16"/>
          <w:lang w:val="es-AR"/>
        </w:rPr>
        <w:t xml:space="preserve">así como la </w:t>
      </w:r>
      <w:r w:rsidRPr="00B1523A">
        <w:rPr>
          <w:i/>
          <w:sz w:val="16"/>
          <w:szCs w:val="16"/>
          <w:lang w:val="es-AR"/>
        </w:rPr>
        <w:t>Observación General No. 4: “La salud y el desarrollo de los adolescentes en el contexto de la Convención sobre los Derechos del Niño”</w:t>
      </w:r>
      <w:r w:rsidRPr="002570D1">
        <w:rPr>
          <w:sz w:val="16"/>
          <w:szCs w:val="16"/>
          <w:lang w:val="es-AR"/>
        </w:rPr>
        <w:t>, CRC/GC/2003/4</w:t>
      </w:r>
      <w:r>
        <w:rPr>
          <w:sz w:val="16"/>
          <w:szCs w:val="16"/>
          <w:lang w:val="es-AR"/>
        </w:rPr>
        <w:t xml:space="preserve"> (2003)</w:t>
      </w:r>
      <w:r w:rsidRPr="002570D1">
        <w:rPr>
          <w:sz w:val="16"/>
          <w:szCs w:val="16"/>
          <w:lang w:val="es-AR"/>
        </w:rPr>
        <w:t xml:space="preserve">. </w:t>
      </w:r>
      <w:r>
        <w:rPr>
          <w:sz w:val="16"/>
          <w:szCs w:val="16"/>
          <w:lang w:val="es-AR"/>
        </w:rPr>
        <w:t xml:space="preserve">Asimismo, </w:t>
      </w:r>
      <w:r w:rsidRPr="002570D1">
        <w:rPr>
          <w:sz w:val="16"/>
          <w:szCs w:val="16"/>
          <w:lang w:val="es-AR"/>
        </w:rPr>
        <w:t xml:space="preserve">la </w:t>
      </w:r>
      <w:r w:rsidRPr="00B1523A">
        <w:rPr>
          <w:i/>
          <w:sz w:val="16"/>
          <w:szCs w:val="16"/>
          <w:lang w:val="es-AR"/>
        </w:rPr>
        <w:t>Recomendación General No. 24</w:t>
      </w:r>
      <w:r w:rsidRPr="002570D1">
        <w:rPr>
          <w:sz w:val="16"/>
          <w:szCs w:val="16"/>
          <w:lang w:val="es-AR"/>
        </w:rPr>
        <w:t xml:space="preserve"> del Comité sobre la Eliminación de la Discriminación contra la Mujer</w:t>
      </w:r>
      <w:r>
        <w:rPr>
          <w:sz w:val="16"/>
          <w:szCs w:val="16"/>
          <w:lang w:val="es-AR"/>
        </w:rPr>
        <w:t xml:space="preserve">, </w:t>
      </w:r>
      <w:r w:rsidRPr="00B1523A">
        <w:rPr>
          <w:i/>
          <w:sz w:val="16"/>
          <w:szCs w:val="16"/>
          <w:lang w:val="es-AR"/>
        </w:rPr>
        <w:t>“Artículo 12 de la Convención sobre la Eliminación de Todas las Formas de Discriminación contra la Mujer - La mujer y la salud”</w:t>
      </w:r>
      <w:r>
        <w:rPr>
          <w:sz w:val="16"/>
          <w:szCs w:val="16"/>
          <w:lang w:val="es-AR"/>
        </w:rPr>
        <w:t xml:space="preserve"> de 2 de febrero de 1999, </w:t>
      </w:r>
      <w:r w:rsidRPr="002570D1">
        <w:rPr>
          <w:sz w:val="16"/>
          <w:szCs w:val="16"/>
          <w:lang w:val="es-AR"/>
        </w:rPr>
        <w:t>A/54/38/Rev.1</w:t>
      </w:r>
      <w:r>
        <w:rPr>
          <w:sz w:val="16"/>
          <w:szCs w:val="16"/>
          <w:lang w:val="es-AR"/>
        </w:rPr>
        <w:t xml:space="preserve">, y </w:t>
      </w:r>
      <w:r w:rsidRPr="002570D1">
        <w:rPr>
          <w:sz w:val="16"/>
          <w:szCs w:val="16"/>
          <w:lang w:val="es-AR"/>
        </w:rPr>
        <w:t xml:space="preserve">los </w:t>
      </w:r>
      <w:r>
        <w:rPr>
          <w:sz w:val="16"/>
          <w:szCs w:val="16"/>
          <w:lang w:val="es-AR"/>
        </w:rPr>
        <w:t>I</w:t>
      </w:r>
      <w:r w:rsidRPr="002570D1">
        <w:rPr>
          <w:sz w:val="16"/>
          <w:szCs w:val="16"/>
          <w:lang w:val="es-AR"/>
        </w:rPr>
        <w:t>nformes de Relator</w:t>
      </w:r>
      <w:r>
        <w:rPr>
          <w:sz w:val="16"/>
          <w:szCs w:val="16"/>
          <w:lang w:val="es-AR"/>
        </w:rPr>
        <w:t>es Especiales</w:t>
      </w:r>
      <w:r w:rsidRPr="002570D1">
        <w:rPr>
          <w:sz w:val="16"/>
          <w:szCs w:val="16"/>
          <w:lang w:val="es-AR"/>
        </w:rPr>
        <w:t xml:space="preserve"> de</w:t>
      </w:r>
      <w:r>
        <w:rPr>
          <w:sz w:val="16"/>
          <w:szCs w:val="16"/>
          <w:lang w:val="es-AR"/>
        </w:rPr>
        <w:t xml:space="preserve"> </w:t>
      </w:r>
      <w:r w:rsidRPr="002570D1">
        <w:rPr>
          <w:sz w:val="16"/>
          <w:szCs w:val="16"/>
          <w:lang w:val="es-AR"/>
        </w:rPr>
        <w:t>l</w:t>
      </w:r>
      <w:r>
        <w:rPr>
          <w:sz w:val="16"/>
          <w:szCs w:val="16"/>
          <w:lang w:val="es-AR"/>
        </w:rPr>
        <w:t>a</w:t>
      </w:r>
      <w:r w:rsidRPr="002570D1">
        <w:rPr>
          <w:sz w:val="16"/>
          <w:szCs w:val="16"/>
          <w:lang w:val="es-AR"/>
        </w:rPr>
        <w:t xml:space="preserve"> Comi</w:t>
      </w:r>
      <w:r>
        <w:rPr>
          <w:sz w:val="16"/>
          <w:szCs w:val="16"/>
          <w:lang w:val="es-AR"/>
        </w:rPr>
        <w:t>sión</w:t>
      </w:r>
      <w:r w:rsidRPr="002570D1">
        <w:rPr>
          <w:sz w:val="16"/>
          <w:szCs w:val="16"/>
          <w:lang w:val="es-AR"/>
        </w:rPr>
        <w:t xml:space="preserve"> de Derechos Humanos sobre el Derecho a la Salud. </w:t>
      </w:r>
      <w:r>
        <w:rPr>
          <w:sz w:val="16"/>
          <w:szCs w:val="16"/>
          <w:lang w:val="es-AR"/>
        </w:rPr>
        <w:t xml:space="preserve">ONU. </w:t>
      </w:r>
      <w:r w:rsidRPr="002570D1">
        <w:rPr>
          <w:sz w:val="16"/>
          <w:szCs w:val="16"/>
        </w:rPr>
        <w:t>Comisión de Derechos Humanos,</w:t>
      </w:r>
      <w:r w:rsidRPr="002570D1">
        <w:rPr>
          <w:rFonts w:eastAsia="Calibri"/>
          <w:sz w:val="16"/>
          <w:szCs w:val="16"/>
          <w:lang w:val="es-AR" w:eastAsia="en-US"/>
        </w:rPr>
        <w:t xml:space="preserve"> </w:t>
      </w:r>
      <w:r>
        <w:rPr>
          <w:rFonts w:eastAsia="Calibri"/>
          <w:sz w:val="16"/>
          <w:szCs w:val="16"/>
          <w:lang w:val="es-AR" w:eastAsia="en-US"/>
        </w:rPr>
        <w:t>“</w:t>
      </w:r>
      <w:r w:rsidRPr="00B1523A">
        <w:rPr>
          <w:i/>
          <w:sz w:val="16"/>
          <w:szCs w:val="16"/>
          <w:lang w:val="es-AR"/>
        </w:rPr>
        <w:t>La no Discriminación en la esfera de la Salud</w:t>
      </w:r>
      <w:r>
        <w:rPr>
          <w:i/>
          <w:sz w:val="16"/>
          <w:szCs w:val="16"/>
          <w:lang w:val="es-AR"/>
        </w:rPr>
        <w:t>”,</w:t>
      </w:r>
      <w:r w:rsidRPr="000C1FFD">
        <w:rPr>
          <w:sz w:val="16"/>
          <w:szCs w:val="16"/>
          <w:lang w:val="es-AR"/>
        </w:rPr>
        <w:t xml:space="preserve"> </w:t>
      </w:r>
      <w:r w:rsidRPr="002570D1">
        <w:rPr>
          <w:sz w:val="16"/>
          <w:szCs w:val="16"/>
          <w:lang w:val="es-AR"/>
        </w:rPr>
        <w:t>Resolución 1989/11.</w:t>
      </w:r>
      <w:r>
        <w:rPr>
          <w:sz w:val="16"/>
          <w:szCs w:val="16"/>
          <w:lang w:val="es-AR"/>
        </w:rPr>
        <w:t xml:space="preserve"> Aprobada en la 46ª Sesión de 2 de marzo de 1989. </w:t>
      </w:r>
    </w:p>
  </w:footnote>
  <w:footnote w:id="160">
    <w:p w14:paraId="70A61BA4" w14:textId="19999E73" w:rsidR="003C025E" w:rsidRPr="00930629" w:rsidRDefault="003C025E" w:rsidP="00B37825">
      <w:pPr>
        <w:pStyle w:val="FootnoteText"/>
        <w:rPr>
          <w:color w:val="000000"/>
          <w:sz w:val="16"/>
          <w:szCs w:val="16"/>
          <w:lang w:val="es-MX"/>
        </w:rPr>
      </w:pPr>
      <w:r w:rsidRPr="008A3678">
        <w:rPr>
          <w:rStyle w:val="FootnoteReference"/>
          <w:rFonts w:eastAsia="Calibri"/>
          <w:sz w:val="16"/>
          <w:szCs w:val="16"/>
          <w:lang w:eastAsia="en-US"/>
        </w:rPr>
        <w:footnoteRef/>
      </w:r>
      <w:r>
        <w:rPr>
          <w:color w:val="000000"/>
          <w:sz w:val="16"/>
          <w:szCs w:val="16"/>
          <w:lang w:val="es-MX"/>
        </w:rPr>
        <w:t xml:space="preserve"> </w:t>
      </w:r>
      <w:r>
        <w:rPr>
          <w:color w:val="000000"/>
          <w:sz w:val="16"/>
          <w:szCs w:val="16"/>
          <w:lang w:val="es-MX"/>
        </w:rPr>
        <w:tab/>
      </w:r>
      <w:r>
        <w:rPr>
          <w:i/>
          <w:color w:val="000000"/>
          <w:sz w:val="16"/>
          <w:szCs w:val="16"/>
          <w:lang w:val="es-MX"/>
        </w:rPr>
        <w:t xml:space="preserve">Cfr. </w:t>
      </w:r>
      <w:r w:rsidRPr="00930629">
        <w:rPr>
          <w:color w:val="000000"/>
          <w:sz w:val="16"/>
          <w:szCs w:val="16"/>
          <w:lang w:val="es-MX"/>
        </w:rPr>
        <w:t>ONU. Comité de Derechos Económicos, Sociales y Culturales</w:t>
      </w:r>
      <w:r>
        <w:rPr>
          <w:color w:val="000000"/>
          <w:sz w:val="16"/>
          <w:szCs w:val="16"/>
          <w:lang w:val="es-MX"/>
        </w:rPr>
        <w:t xml:space="preserve"> (Comité DESC)</w:t>
      </w:r>
      <w:r w:rsidRPr="00930629">
        <w:rPr>
          <w:color w:val="000000"/>
          <w:sz w:val="16"/>
          <w:szCs w:val="16"/>
          <w:lang w:val="es-MX"/>
        </w:rPr>
        <w:t xml:space="preserve">, </w:t>
      </w:r>
      <w:r w:rsidRPr="00B1523A">
        <w:rPr>
          <w:i/>
          <w:color w:val="000000"/>
          <w:sz w:val="16"/>
          <w:szCs w:val="16"/>
          <w:lang w:val="es-MX"/>
        </w:rPr>
        <w:t xml:space="preserve">Observación General </w:t>
      </w:r>
      <w:r>
        <w:rPr>
          <w:i/>
          <w:color w:val="000000"/>
          <w:sz w:val="16"/>
          <w:szCs w:val="16"/>
          <w:lang w:val="es-MX"/>
        </w:rPr>
        <w:t xml:space="preserve">(OG) </w:t>
      </w:r>
      <w:r w:rsidRPr="00B1523A">
        <w:rPr>
          <w:i/>
          <w:color w:val="000000"/>
          <w:sz w:val="16"/>
          <w:szCs w:val="16"/>
          <w:lang w:val="es-MX"/>
        </w:rPr>
        <w:t>No</w:t>
      </w:r>
      <w:r w:rsidRPr="00930629">
        <w:rPr>
          <w:i/>
          <w:color w:val="000000"/>
          <w:sz w:val="16"/>
          <w:szCs w:val="16"/>
          <w:lang w:val="es-MX"/>
        </w:rPr>
        <w:t>.</w:t>
      </w:r>
      <w:r w:rsidRPr="00B1523A">
        <w:rPr>
          <w:i/>
          <w:color w:val="000000"/>
          <w:sz w:val="16"/>
          <w:szCs w:val="16"/>
          <w:lang w:val="es-MX"/>
        </w:rPr>
        <w:t xml:space="preserve"> 14:</w:t>
      </w:r>
      <w:r w:rsidRPr="00930629">
        <w:rPr>
          <w:color w:val="000000"/>
          <w:sz w:val="16"/>
          <w:szCs w:val="16"/>
          <w:lang w:val="es-MX"/>
        </w:rPr>
        <w:t xml:space="preserve"> </w:t>
      </w:r>
      <w:r w:rsidRPr="00B1523A">
        <w:rPr>
          <w:i/>
          <w:color w:val="000000"/>
          <w:sz w:val="16"/>
          <w:szCs w:val="16"/>
          <w:lang w:val="es-MX"/>
        </w:rPr>
        <w:t>“El derecho al disfrute del más alto nivel posible de salud”</w:t>
      </w:r>
      <w:r w:rsidRPr="00930629">
        <w:rPr>
          <w:color w:val="000000"/>
          <w:sz w:val="16"/>
          <w:szCs w:val="16"/>
          <w:lang w:val="es-MX"/>
        </w:rPr>
        <w:t>, E/C.12/2000/4, 11 de agosto de 2000.</w:t>
      </w:r>
    </w:p>
  </w:footnote>
  <w:footnote w:id="161">
    <w:p w14:paraId="2F7F5F8F" w14:textId="57CAB203" w:rsidR="003C025E" w:rsidRPr="00B1523A" w:rsidRDefault="003C025E" w:rsidP="00B37825">
      <w:pPr>
        <w:pStyle w:val="FootnoteText"/>
        <w:rPr>
          <w:sz w:val="16"/>
          <w:szCs w:val="16"/>
        </w:rPr>
      </w:pPr>
      <w:r w:rsidRPr="00930629">
        <w:rPr>
          <w:rStyle w:val="FootnoteReference"/>
          <w:rFonts w:eastAsia="Calibri"/>
          <w:sz w:val="16"/>
          <w:szCs w:val="16"/>
          <w:lang w:eastAsia="en-US"/>
        </w:rPr>
        <w:footnoteRef/>
      </w:r>
      <w:r w:rsidRPr="00BB4919">
        <w:rPr>
          <w:sz w:val="16"/>
          <w:szCs w:val="16"/>
          <w:lang w:val="pt-BR"/>
        </w:rPr>
        <w:t xml:space="preserve"> </w:t>
      </w:r>
      <w:r w:rsidRPr="00BB4919">
        <w:rPr>
          <w:color w:val="000000"/>
          <w:sz w:val="16"/>
          <w:szCs w:val="16"/>
          <w:lang w:val="pt-BR"/>
        </w:rPr>
        <w:t xml:space="preserve"> </w:t>
      </w:r>
      <w:r w:rsidRPr="00BB4919">
        <w:rPr>
          <w:color w:val="000000"/>
          <w:sz w:val="16"/>
          <w:szCs w:val="16"/>
          <w:lang w:val="pt-BR"/>
        </w:rPr>
        <w:tab/>
      </w:r>
      <w:r w:rsidRPr="00BB4919">
        <w:rPr>
          <w:i/>
          <w:color w:val="000000"/>
          <w:sz w:val="16"/>
          <w:szCs w:val="16"/>
          <w:lang w:val="pt-BR"/>
        </w:rPr>
        <w:t xml:space="preserve">Cfr. </w:t>
      </w:r>
      <w:r w:rsidRPr="00BB4919">
        <w:rPr>
          <w:color w:val="000000"/>
          <w:sz w:val="16"/>
          <w:szCs w:val="16"/>
          <w:lang w:val="pt-BR"/>
        </w:rPr>
        <w:t xml:space="preserve">ONU. Comité DESC, </w:t>
      </w:r>
      <w:r w:rsidRPr="00BB4919">
        <w:rPr>
          <w:i/>
          <w:color w:val="000000"/>
          <w:sz w:val="16"/>
          <w:szCs w:val="16"/>
          <w:lang w:val="pt-BR"/>
        </w:rPr>
        <w:t xml:space="preserve">OG-No. </w:t>
      </w:r>
      <w:r w:rsidRPr="00B1523A">
        <w:rPr>
          <w:i/>
          <w:color w:val="000000"/>
          <w:sz w:val="16"/>
          <w:szCs w:val="16"/>
          <w:lang w:val="es-MX"/>
        </w:rPr>
        <w:t xml:space="preserve">3: “La índole de las obligaciones de los Estados </w:t>
      </w:r>
      <w:r w:rsidRPr="00930629">
        <w:rPr>
          <w:i/>
          <w:color w:val="000000"/>
          <w:sz w:val="16"/>
          <w:szCs w:val="16"/>
          <w:lang w:val="es-MX"/>
        </w:rPr>
        <w:t>Partes (párrafo 1 del art. 2 del Pacto)</w:t>
      </w:r>
      <w:r w:rsidRPr="00B1523A">
        <w:rPr>
          <w:i/>
          <w:color w:val="000000"/>
          <w:sz w:val="16"/>
          <w:szCs w:val="16"/>
          <w:lang w:val="es-MX"/>
        </w:rPr>
        <w:t>”</w:t>
      </w:r>
      <w:r w:rsidRPr="00930629">
        <w:rPr>
          <w:i/>
          <w:color w:val="000000"/>
          <w:sz w:val="16"/>
          <w:szCs w:val="16"/>
          <w:lang w:val="es-MX"/>
        </w:rPr>
        <w:t xml:space="preserve">, </w:t>
      </w:r>
      <w:r w:rsidRPr="00930629">
        <w:rPr>
          <w:color w:val="000000"/>
          <w:sz w:val="16"/>
          <w:szCs w:val="16"/>
          <w:lang w:val="es-MX"/>
        </w:rPr>
        <w:t xml:space="preserve">E/1991/23, 14 de diciembre de 1990, </w:t>
      </w:r>
      <w:proofErr w:type="spellStart"/>
      <w:r w:rsidRPr="00930629">
        <w:rPr>
          <w:color w:val="000000"/>
          <w:sz w:val="16"/>
          <w:szCs w:val="16"/>
          <w:lang w:val="es-MX"/>
        </w:rPr>
        <w:t>párrs</w:t>
      </w:r>
      <w:proofErr w:type="spellEnd"/>
      <w:r w:rsidRPr="00930629">
        <w:rPr>
          <w:color w:val="000000"/>
          <w:sz w:val="16"/>
          <w:szCs w:val="16"/>
          <w:lang w:val="es-MX"/>
        </w:rPr>
        <w:t>. 3 y 10.</w:t>
      </w:r>
    </w:p>
  </w:footnote>
  <w:footnote w:id="162">
    <w:p w14:paraId="4481C9E4" w14:textId="210E1C38" w:rsidR="003C025E" w:rsidRPr="00B1523A" w:rsidRDefault="003C025E" w:rsidP="00B37825">
      <w:pPr>
        <w:pStyle w:val="FootnoteText"/>
        <w:rPr>
          <w:sz w:val="16"/>
          <w:szCs w:val="16"/>
          <w:lang w:val="es-AR"/>
        </w:rPr>
      </w:pPr>
      <w:r w:rsidRPr="00930629">
        <w:rPr>
          <w:rStyle w:val="FootnoteReference"/>
          <w:rFonts w:eastAsia="Calibri"/>
          <w:sz w:val="16"/>
          <w:szCs w:val="16"/>
          <w:lang w:eastAsia="en-US"/>
        </w:rPr>
        <w:footnoteRef/>
      </w:r>
      <w:r w:rsidRPr="00930629">
        <w:rPr>
          <w:rStyle w:val="FootnoteReference"/>
          <w:rFonts w:eastAsia="Calibri"/>
          <w:sz w:val="16"/>
          <w:szCs w:val="16"/>
          <w:lang w:eastAsia="en-US"/>
        </w:rPr>
        <w:t xml:space="preserve"> </w:t>
      </w:r>
      <w:r w:rsidRPr="00930629">
        <w:rPr>
          <w:color w:val="000000"/>
          <w:sz w:val="16"/>
          <w:szCs w:val="16"/>
          <w:lang w:val="es-MX"/>
        </w:rPr>
        <w:t xml:space="preserve"> </w:t>
      </w:r>
      <w:r w:rsidRPr="00930629">
        <w:rPr>
          <w:color w:val="000000"/>
          <w:sz w:val="16"/>
          <w:szCs w:val="16"/>
          <w:lang w:val="es-MX"/>
        </w:rPr>
        <w:tab/>
      </w:r>
      <w:r w:rsidRPr="005D402A">
        <w:rPr>
          <w:i/>
          <w:color w:val="000000"/>
          <w:sz w:val="16"/>
          <w:szCs w:val="16"/>
          <w:lang w:val="es-MX"/>
        </w:rPr>
        <w:t xml:space="preserve">Cfr. </w:t>
      </w:r>
      <w:r w:rsidRPr="00930629">
        <w:rPr>
          <w:color w:val="000000"/>
          <w:sz w:val="16"/>
          <w:szCs w:val="16"/>
          <w:lang w:val="es-MX"/>
        </w:rPr>
        <w:t xml:space="preserve">ONU. </w:t>
      </w:r>
      <w:r>
        <w:rPr>
          <w:color w:val="000000"/>
          <w:sz w:val="16"/>
          <w:szCs w:val="16"/>
          <w:lang w:val="es-MX"/>
        </w:rPr>
        <w:t>Comité DESC</w:t>
      </w:r>
      <w:r w:rsidRPr="00930629">
        <w:rPr>
          <w:color w:val="000000"/>
          <w:sz w:val="16"/>
          <w:szCs w:val="16"/>
          <w:lang w:val="es-MX"/>
        </w:rPr>
        <w:t xml:space="preserve">, </w:t>
      </w:r>
      <w:r>
        <w:rPr>
          <w:i/>
          <w:color w:val="000000"/>
          <w:sz w:val="16"/>
          <w:szCs w:val="16"/>
          <w:lang w:val="es-MX"/>
        </w:rPr>
        <w:t>OG-</w:t>
      </w:r>
      <w:r w:rsidRPr="00B1523A">
        <w:rPr>
          <w:i/>
          <w:color w:val="000000"/>
          <w:sz w:val="16"/>
          <w:szCs w:val="16"/>
          <w:lang w:val="es-MX"/>
        </w:rPr>
        <w:t xml:space="preserve">No. 4: “El derecho a una vivienda </w:t>
      </w:r>
      <w:r w:rsidRPr="00930629">
        <w:rPr>
          <w:i/>
          <w:color w:val="000000"/>
          <w:sz w:val="16"/>
          <w:szCs w:val="16"/>
          <w:lang w:val="es-MX"/>
        </w:rPr>
        <w:t>adecuada</w:t>
      </w:r>
      <w:r w:rsidRPr="00B1523A">
        <w:rPr>
          <w:i/>
          <w:color w:val="000000"/>
          <w:sz w:val="16"/>
          <w:szCs w:val="16"/>
          <w:lang w:val="es-MX"/>
        </w:rPr>
        <w:t>”</w:t>
      </w:r>
      <w:r w:rsidRPr="00930629">
        <w:rPr>
          <w:color w:val="000000"/>
          <w:sz w:val="16"/>
          <w:szCs w:val="16"/>
          <w:lang w:val="es-MX"/>
        </w:rPr>
        <w:t>, E/1992/23, 13 de diciembre de 1991, párr. 8.</w:t>
      </w:r>
    </w:p>
  </w:footnote>
  <w:footnote w:id="163">
    <w:p w14:paraId="422AFA9B" w14:textId="2E2465C9" w:rsidR="003C025E" w:rsidRPr="00B1523A" w:rsidRDefault="003C025E" w:rsidP="00B37825">
      <w:pPr>
        <w:pStyle w:val="FootnoteText"/>
        <w:rPr>
          <w:sz w:val="16"/>
          <w:szCs w:val="16"/>
          <w:lang w:val="es-AR"/>
        </w:rPr>
      </w:pPr>
      <w:r w:rsidRPr="00930629">
        <w:rPr>
          <w:rStyle w:val="FootnoteReference"/>
          <w:rFonts w:eastAsia="Calibri"/>
          <w:sz w:val="16"/>
          <w:szCs w:val="16"/>
          <w:lang w:eastAsia="en-US"/>
        </w:rPr>
        <w:footnoteRef/>
      </w:r>
      <w:r w:rsidRPr="00B1523A">
        <w:rPr>
          <w:sz w:val="16"/>
          <w:szCs w:val="16"/>
        </w:rPr>
        <w:t xml:space="preserve"> </w:t>
      </w:r>
      <w:r w:rsidRPr="00B1523A">
        <w:rPr>
          <w:sz w:val="16"/>
          <w:szCs w:val="16"/>
        </w:rPr>
        <w:tab/>
      </w:r>
      <w:r w:rsidRPr="005D402A">
        <w:rPr>
          <w:i/>
          <w:sz w:val="16"/>
          <w:szCs w:val="16"/>
          <w:lang w:val="es-MX"/>
        </w:rPr>
        <w:t xml:space="preserve">Cfr. </w:t>
      </w:r>
      <w:r w:rsidRPr="00B1523A">
        <w:rPr>
          <w:sz w:val="16"/>
          <w:szCs w:val="16"/>
          <w:lang w:val="es-MX"/>
        </w:rPr>
        <w:t xml:space="preserve">ONU. </w:t>
      </w:r>
      <w:r>
        <w:rPr>
          <w:color w:val="000000"/>
          <w:sz w:val="16"/>
          <w:szCs w:val="16"/>
          <w:lang w:val="es-MX"/>
        </w:rPr>
        <w:t>Comité DESC</w:t>
      </w:r>
      <w:r w:rsidRPr="00B1523A">
        <w:rPr>
          <w:sz w:val="16"/>
          <w:szCs w:val="16"/>
          <w:lang w:val="es-MX"/>
        </w:rPr>
        <w:t xml:space="preserve">, </w:t>
      </w:r>
      <w:r>
        <w:rPr>
          <w:i/>
          <w:color w:val="000000"/>
          <w:sz w:val="16"/>
          <w:szCs w:val="16"/>
          <w:lang w:val="es-MX"/>
        </w:rPr>
        <w:t>OG-</w:t>
      </w:r>
      <w:r w:rsidRPr="00930629">
        <w:rPr>
          <w:i/>
          <w:color w:val="000000"/>
          <w:sz w:val="16"/>
          <w:szCs w:val="16"/>
          <w:lang w:val="es-MX"/>
        </w:rPr>
        <w:t>5:</w:t>
      </w:r>
      <w:r w:rsidRPr="00B1523A">
        <w:rPr>
          <w:i/>
          <w:sz w:val="16"/>
          <w:szCs w:val="16"/>
          <w:lang w:val="es-MX"/>
        </w:rPr>
        <w:t xml:space="preserve"> </w:t>
      </w:r>
      <w:r w:rsidRPr="00B1523A">
        <w:rPr>
          <w:i/>
          <w:color w:val="000000"/>
          <w:sz w:val="16"/>
          <w:szCs w:val="16"/>
          <w:lang w:val="es-MX"/>
        </w:rPr>
        <w:t>“Las personas con discapacidad</w:t>
      </w:r>
      <w:r w:rsidRPr="00930629">
        <w:rPr>
          <w:i/>
          <w:color w:val="000000"/>
          <w:sz w:val="16"/>
          <w:szCs w:val="16"/>
          <w:lang w:val="es-MX"/>
        </w:rPr>
        <w:t>”</w:t>
      </w:r>
      <w:r w:rsidRPr="00930629">
        <w:rPr>
          <w:color w:val="000000"/>
          <w:sz w:val="16"/>
          <w:szCs w:val="16"/>
          <w:lang w:val="es-MX"/>
        </w:rPr>
        <w:t xml:space="preserve">, </w:t>
      </w:r>
      <w:r w:rsidRPr="00B1523A">
        <w:rPr>
          <w:bCs/>
          <w:color w:val="000000"/>
          <w:sz w:val="16"/>
          <w:szCs w:val="16"/>
          <w:lang w:val="es-CR"/>
        </w:rPr>
        <w:t>E/C.12/1994/13</w:t>
      </w:r>
      <w:r w:rsidRPr="00930629">
        <w:rPr>
          <w:color w:val="000000"/>
          <w:sz w:val="16"/>
          <w:szCs w:val="16"/>
          <w:lang w:val="es-MX"/>
        </w:rPr>
        <w:t>, 1994, párr. 34.</w:t>
      </w:r>
    </w:p>
  </w:footnote>
  <w:footnote w:id="164">
    <w:p w14:paraId="05DCF0CB" w14:textId="73C88562" w:rsidR="003C025E" w:rsidRPr="00A86983" w:rsidRDefault="003C025E" w:rsidP="00B37825">
      <w:pPr>
        <w:pStyle w:val="FootnoteText"/>
      </w:pPr>
      <w:r w:rsidRPr="00930629">
        <w:rPr>
          <w:rStyle w:val="FootnoteReference"/>
          <w:rFonts w:eastAsia="Calibri"/>
          <w:sz w:val="16"/>
          <w:szCs w:val="16"/>
          <w:lang w:eastAsia="en-US"/>
        </w:rPr>
        <w:footnoteRef/>
      </w:r>
      <w:r w:rsidRPr="00B1523A">
        <w:rPr>
          <w:sz w:val="16"/>
          <w:szCs w:val="16"/>
        </w:rPr>
        <w:t xml:space="preserve"> </w:t>
      </w:r>
      <w:r w:rsidRPr="00B1523A">
        <w:rPr>
          <w:sz w:val="16"/>
          <w:szCs w:val="16"/>
        </w:rPr>
        <w:tab/>
      </w:r>
      <w:r w:rsidRPr="005D402A">
        <w:rPr>
          <w:i/>
          <w:sz w:val="16"/>
          <w:szCs w:val="16"/>
          <w:lang w:val="es-MX"/>
        </w:rPr>
        <w:t xml:space="preserve">Cfr. </w:t>
      </w:r>
      <w:r w:rsidRPr="00B1523A">
        <w:rPr>
          <w:sz w:val="16"/>
          <w:szCs w:val="16"/>
        </w:rPr>
        <w:t xml:space="preserve">ONU. </w:t>
      </w:r>
      <w:r>
        <w:rPr>
          <w:color w:val="000000"/>
          <w:sz w:val="16"/>
          <w:szCs w:val="16"/>
          <w:lang w:val="es-MX"/>
        </w:rPr>
        <w:t>Comité DESC</w:t>
      </w:r>
      <w:r w:rsidRPr="00930629">
        <w:rPr>
          <w:color w:val="000000"/>
          <w:sz w:val="16"/>
          <w:szCs w:val="16"/>
          <w:lang w:val="es-MX"/>
        </w:rPr>
        <w:t xml:space="preserve">, </w:t>
      </w:r>
      <w:r>
        <w:rPr>
          <w:i/>
          <w:color w:val="000000"/>
          <w:sz w:val="16"/>
          <w:szCs w:val="16"/>
          <w:lang w:val="es-MX"/>
        </w:rPr>
        <w:t>OG-</w:t>
      </w:r>
      <w:r w:rsidRPr="00B1523A">
        <w:rPr>
          <w:i/>
          <w:color w:val="000000"/>
          <w:sz w:val="16"/>
          <w:szCs w:val="16"/>
          <w:lang w:val="es-MX"/>
        </w:rPr>
        <w:t xml:space="preserve">6: “Los </w:t>
      </w:r>
      <w:r>
        <w:rPr>
          <w:i/>
          <w:color w:val="000000"/>
          <w:sz w:val="16"/>
          <w:szCs w:val="16"/>
          <w:lang w:val="es-MX"/>
        </w:rPr>
        <w:t>d</w:t>
      </w:r>
      <w:r w:rsidRPr="00B1523A">
        <w:rPr>
          <w:i/>
          <w:color w:val="000000"/>
          <w:sz w:val="16"/>
          <w:szCs w:val="16"/>
          <w:lang w:val="es-MX"/>
        </w:rPr>
        <w:t xml:space="preserve">erechos </w:t>
      </w:r>
      <w:r>
        <w:rPr>
          <w:i/>
          <w:color w:val="000000"/>
          <w:sz w:val="16"/>
          <w:szCs w:val="16"/>
          <w:lang w:val="es-MX"/>
        </w:rPr>
        <w:t>e</w:t>
      </w:r>
      <w:r w:rsidRPr="00B1523A">
        <w:rPr>
          <w:i/>
          <w:color w:val="000000"/>
          <w:sz w:val="16"/>
          <w:szCs w:val="16"/>
          <w:lang w:val="es-MX"/>
        </w:rPr>
        <w:t xml:space="preserve">conómicos, </w:t>
      </w:r>
      <w:r>
        <w:rPr>
          <w:i/>
          <w:color w:val="000000"/>
          <w:sz w:val="16"/>
          <w:szCs w:val="16"/>
          <w:lang w:val="es-MX"/>
        </w:rPr>
        <w:t>s</w:t>
      </w:r>
      <w:r w:rsidRPr="00B1523A">
        <w:rPr>
          <w:i/>
          <w:color w:val="000000"/>
          <w:sz w:val="16"/>
          <w:szCs w:val="16"/>
          <w:lang w:val="es-MX"/>
        </w:rPr>
        <w:t xml:space="preserve">ociales y </w:t>
      </w:r>
      <w:r>
        <w:rPr>
          <w:i/>
          <w:color w:val="000000"/>
          <w:sz w:val="16"/>
          <w:szCs w:val="16"/>
          <w:lang w:val="es-MX"/>
        </w:rPr>
        <w:t>c</w:t>
      </w:r>
      <w:r w:rsidRPr="00B1523A">
        <w:rPr>
          <w:i/>
          <w:color w:val="000000"/>
          <w:sz w:val="16"/>
          <w:szCs w:val="16"/>
          <w:lang w:val="es-MX"/>
        </w:rPr>
        <w:t>ulturales de las personas mayores”</w:t>
      </w:r>
      <w:r w:rsidRPr="00930629">
        <w:rPr>
          <w:color w:val="000000"/>
          <w:sz w:val="16"/>
          <w:szCs w:val="16"/>
          <w:lang w:val="es-MX"/>
        </w:rPr>
        <w:t xml:space="preserve">, E/1996/22, 8 de diciembre de 2015, </w:t>
      </w:r>
      <w:proofErr w:type="spellStart"/>
      <w:r w:rsidRPr="00930629">
        <w:rPr>
          <w:color w:val="000000"/>
          <w:sz w:val="16"/>
          <w:szCs w:val="16"/>
          <w:lang w:val="es-MX"/>
        </w:rPr>
        <w:t>párrs</w:t>
      </w:r>
      <w:proofErr w:type="spellEnd"/>
      <w:r w:rsidRPr="00930629">
        <w:rPr>
          <w:color w:val="000000"/>
          <w:sz w:val="16"/>
          <w:szCs w:val="16"/>
          <w:lang w:val="es-MX"/>
        </w:rPr>
        <w:t xml:space="preserve">. 5 y 34. </w:t>
      </w:r>
    </w:p>
  </w:footnote>
  <w:footnote w:id="165">
    <w:p w14:paraId="080E3F1E" w14:textId="76903395" w:rsidR="003C025E" w:rsidRPr="00A86983" w:rsidRDefault="003C025E" w:rsidP="00B37825">
      <w:pPr>
        <w:pStyle w:val="FootnoteText"/>
      </w:pPr>
      <w:r w:rsidRPr="005E480B">
        <w:rPr>
          <w:rStyle w:val="FootnoteReference"/>
          <w:rFonts w:eastAsia="Calibri"/>
          <w:sz w:val="16"/>
          <w:szCs w:val="16"/>
          <w:lang w:eastAsia="en-US"/>
        </w:rPr>
        <w:footnoteRef/>
      </w:r>
      <w:r w:rsidRPr="005E480B">
        <w:rPr>
          <w:rStyle w:val="FootnoteReference"/>
          <w:rFonts w:eastAsia="Calibri"/>
          <w:sz w:val="16"/>
          <w:szCs w:val="16"/>
          <w:lang w:eastAsia="en-US"/>
        </w:rPr>
        <w:t xml:space="preserve"> </w:t>
      </w:r>
      <w:r>
        <w:rPr>
          <w:rFonts w:eastAsia="Calibri"/>
          <w:sz w:val="16"/>
          <w:szCs w:val="16"/>
          <w:lang w:eastAsia="en-US"/>
        </w:rPr>
        <w:t xml:space="preserve"> </w:t>
      </w:r>
      <w:r>
        <w:rPr>
          <w:rFonts w:eastAsia="Calibri"/>
          <w:sz w:val="16"/>
          <w:szCs w:val="16"/>
          <w:lang w:eastAsia="en-US"/>
        </w:rPr>
        <w:tab/>
      </w:r>
      <w:r w:rsidRPr="005D402A">
        <w:rPr>
          <w:rFonts w:eastAsia="Calibri"/>
          <w:i/>
          <w:sz w:val="16"/>
          <w:szCs w:val="16"/>
          <w:lang w:val="es-MX" w:eastAsia="en-US"/>
        </w:rPr>
        <w:t xml:space="preserve">Cfr. </w:t>
      </w:r>
      <w:r>
        <w:rPr>
          <w:rFonts w:eastAsia="Calibri"/>
          <w:sz w:val="16"/>
          <w:szCs w:val="16"/>
          <w:lang w:eastAsia="en-US"/>
        </w:rPr>
        <w:t xml:space="preserve">ONU. </w:t>
      </w:r>
      <w:r>
        <w:rPr>
          <w:color w:val="000000"/>
          <w:sz w:val="16"/>
          <w:szCs w:val="16"/>
          <w:lang w:val="es-MX"/>
        </w:rPr>
        <w:t>Comité DESC</w:t>
      </w:r>
      <w:r>
        <w:rPr>
          <w:rFonts w:eastAsia="Calibri"/>
          <w:sz w:val="16"/>
          <w:szCs w:val="16"/>
          <w:lang w:val="es-MX" w:eastAsia="en-US"/>
        </w:rPr>
        <w:t>,</w:t>
      </w:r>
      <w:r w:rsidRPr="00E5621B">
        <w:rPr>
          <w:rFonts w:eastAsia="Calibri"/>
          <w:sz w:val="16"/>
          <w:szCs w:val="16"/>
          <w:lang w:val="es-MX" w:eastAsia="en-US"/>
        </w:rPr>
        <w:t xml:space="preserve"> </w:t>
      </w:r>
      <w:r>
        <w:rPr>
          <w:i/>
          <w:color w:val="000000"/>
          <w:sz w:val="16"/>
          <w:szCs w:val="16"/>
          <w:lang w:val="es-MX"/>
        </w:rPr>
        <w:t>OG-</w:t>
      </w:r>
      <w:r w:rsidRPr="00B1523A">
        <w:rPr>
          <w:rFonts w:eastAsia="Calibri"/>
          <w:i/>
          <w:sz w:val="16"/>
          <w:szCs w:val="16"/>
          <w:lang w:val="es-MX" w:eastAsia="en-US"/>
        </w:rPr>
        <w:t>15:</w:t>
      </w:r>
      <w:r w:rsidRPr="00B1523A">
        <w:rPr>
          <w:rFonts w:eastAsia="Calibri"/>
          <w:i/>
          <w:sz w:val="16"/>
          <w:szCs w:val="16"/>
          <w:lang w:val="es-CR" w:eastAsia="en-US"/>
        </w:rPr>
        <w:t xml:space="preserve"> “El derecho al agua”</w:t>
      </w:r>
      <w:r>
        <w:rPr>
          <w:rFonts w:eastAsia="Calibri"/>
          <w:sz w:val="16"/>
          <w:szCs w:val="16"/>
          <w:lang w:val="es-CR" w:eastAsia="en-US"/>
        </w:rPr>
        <w:t xml:space="preserve">, </w:t>
      </w:r>
      <w:r w:rsidRPr="00E5621B">
        <w:rPr>
          <w:rFonts w:eastAsia="Calibri"/>
          <w:sz w:val="16"/>
          <w:szCs w:val="16"/>
          <w:lang w:val="es-MX" w:eastAsia="en-US"/>
        </w:rPr>
        <w:t>E/C.12/2002/11</w:t>
      </w:r>
      <w:r>
        <w:rPr>
          <w:rFonts w:eastAsia="Calibri"/>
          <w:sz w:val="16"/>
          <w:szCs w:val="16"/>
          <w:lang w:val="es-MX" w:eastAsia="en-US"/>
        </w:rPr>
        <w:t xml:space="preserve">, 20 de enero de 2003, </w:t>
      </w:r>
      <w:proofErr w:type="spellStart"/>
      <w:r>
        <w:rPr>
          <w:rFonts w:eastAsia="Calibri"/>
          <w:sz w:val="16"/>
          <w:szCs w:val="16"/>
          <w:lang w:val="es-MX" w:eastAsia="en-US"/>
        </w:rPr>
        <w:t>párrs</w:t>
      </w:r>
      <w:proofErr w:type="spellEnd"/>
      <w:r>
        <w:rPr>
          <w:rFonts w:eastAsia="Calibri"/>
          <w:sz w:val="16"/>
          <w:szCs w:val="16"/>
          <w:lang w:val="es-MX" w:eastAsia="en-US"/>
        </w:rPr>
        <w:t>. 3 y 8.</w:t>
      </w:r>
    </w:p>
  </w:footnote>
  <w:footnote w:id="166">
    <w:p w14:paraId="25980B30" w14:textId="35E4D022" w:rsidR="003C025E" w:rsidRPr="00A86983" w:rsidRDefault="003C025E" w:rsidP="00B37825">
      <w:pPr>
        <w:pStyle w:val="FootnoteText"/>
      </w:pPr>
      <w:r w:rsidRPr="005E480B">
        <w:rPr>
          <w:rStyle w:val="FootnoteReference"/>
          <w:rFonts w:eastAsia="Calibri"/>
          <w:sz w:val="16"/>
          <w:szCs w:val="16"/>
          <w:lang w:eastAsia="en-US"/>
        </w:rPr>
        <w:footnoteRef/>
      </w:r>
      <w:r w:rsidRPr="005E480B">
        <w:rPr>
          <w:rStyle w:val="FootnoteReference"/>
          <w:rFonts w:eastAsia="Calibri"/>
          <w:sz w:val="16"/>
          <w:szCs w:val="16"/>
          <w:lang w:eastAsia="en-US"/>
        </w:rPr>
        <w:t xml:space="preserve"> </w:t>
      </w:r>
      <w:r>
        <w:rPr>
          <w:rFonts w:eastAsia="Calibri"/>
          <w:sz w:val="16"/>
          <w:szCs w:val="16"/>
          <w:lang w:eastAsia="en-US"/>
        </w:rPr>
        <w:tab/>
      </w:r>
      <w:r w:rsidRPr="005D402A">
        <w:rPr>
          <w:rFonts w:eastAsia="Calibri"/>
          <w:i/>
          <w:sz w:val="16"/>
          <w:szCs w:val="16"/>
          <w:lang w:val="es-MX" w:eastAsia="en-US"/>
        </w:rPr>
        <w:t xml:space="preserve">Cfr. </w:t>
      </w:r>
      <w:r w:rsidRPr="009444F8">
        <w:rPr>
          <w:rFonts w:eastAsia="Calibri"/>
          <w:sz w:val="16"/>
          <w:szCs w:val="16"/>
          <w:lang w:val="es-CR" w:eastAsia="en-US"/>
        </w:rPr>
        <w:t xml:space="preserve">ONU. </w:t>
      </w:r>
      <w:r>
        <w:rPr>
          <w:color w:val="000000"/>
          <w:sz w:val="16"/>
          <w:szCs w:val="16"/>
          <w:lang w:val="es-MX"/>
        </w:rPr>
        <w:t>Comité DESC</w:t>
      </w:r>
      <w:r w:rsidRPr="009444F8">
        <w:rPr>
          <w:rFonts w:eastAsia="Calibri"/>
          <w:sz w:val="16"/>
          <w:szCs w:val="16"/>
          <w:lang w:val="es-MX" w:eastAsia="en-US"/>
        </w:rPr>
        <w:t xml:space="preserve">, </w:t>
      </w:r>
      <w:r>
        <w:rPr>
          <w:i/>
          <w:color w:val="000000"/>
          <w:sz w:val="16"/>
          <w:szCs w:val="16"/>
          <w:lang w:val="es-MX"/>
        </w:rPr>
        <w:t>OG-</w:t>
      </w:r>
      <w:r w:rsidRPr="00B1523A">
        <w:rPr>
          <w:rFonts w:eastAsia="Calibri"/>
          <w:i/>
          <w:sz w:val="16"/>
          <w:szCs w:val="16"/>
          <w:lang w:val="es-MX" w:eastAsia="en-US"/>
        </w:rPr>
        <w:t>16:</w:t>
      </w:r>
      <w:r w:rsidRPr="00B1523A">
        <w:rPr>
          <w:rFonts w:eastAsia="Calibri"/>
          <w:i/>
          <w:sz w:val="16"/>
          <w:szCs w:val="16"/>
          <w:lang w:eastAsia="en-US"/>
        </w:rPr>
        <w:t xml:space="preserve"> “La igualdad de derechos del hombre y la mujer al disfrute de los derechos económicos, sociales y culturales (artículo 3 del Pacto Internacional de Derechos Económicos, Sociales y Culturales)”,</w:t>
      </w:r>
      <w:r>
        <w:rPr>
          <w:rFonts w:eastAsia="Calibri"/>
          <w:sz w:val="16"/>
          <w:szCs w:val="16"/>
          <w:lang w:eastAsia="en-US"/>
        </w:rPr>
        <w:t xml:space="preserve"> </w:t>
      </w:r>
      <w:r>
        <w:rPr>
          <w:rFonts w:eastAsia="Calibri"/>
          <w:sz w:val="16"/>
          <w:szCs w:val="16"/>
          <w:lang w:val="es-MX" w:eastAsia="en-US"/>
        </w:rPr>
        <w:t xml:space="preserve">E/C.12/2005/4, 11 de agosto de </w:t>
      </w:r>
      <w:r w:rsidRPr="00E5621B">
        <w:rPr>
          <w:rFonts w:eastAsia="Calibri"/>
          <w:sz w:val="16"/>
          <w:szCs w:val="16"/>
          <w:lang w:val="es-MX" w:eastAsia="en-US"/>
        </w:rPr>
        <w:t>2005</w:t>
      </w:r>
      <w:r>
        <w:rPr>
          <w:rFonts w:eastAsia="Calibri"/>
          <w:sz w:val="16"/>
          <w:szCs w:val="16"/>
          <w:lang w:val="es-MX" w:eastAsia="en-US"/>
        </w:rPr>
        <w:t xml:space="preserve">, párr. 29. </w:t>
      </w:r>
    </w:p>
  </w:footnote>
  <w:footnote w:id="167">
    <w:p w14:paraId="54F1E722" w14:textId="2121E077" w:rsidR="003C025E" w:rsidRPr="00A86983" w:rsidRDefault="003C025E" w:rsidP="00B37825">
      <w:pPr>
        <w:pStyle w:val="FootnoteText"/>
      </w:pPr>
      <w:r w:rsidRPr="005E480B">
        <w:rPr>
          <w:rStyle w:val="FootnoteReference"/>
          <w:rFonts w:eastAsia="Calibri"/>
          <w:sz w:val="16"/>
          <w:szCs w:val="16"/>
          <w:lang w:eastAsia="en-US"/>
        </w:rPr>
        <w:footnoteRef/>
      </w:r>
      <w:r>
        <w:t xml:space="preserve">  </w:t>
      </w:r>
      <w:r>
        <w:tab/>
      </w:r>
      <w:r w:rsidRPr="00B1523A">
        <w:rPr>
          <w:i/>
          <w:sz w:val="16"/>
          <w:szCs w:val="16"/>
          <w:lang w:val="es-MX"/>
        </w:rPr>
        <w:t>Cfr.</w:t>
      </w:r>
      <w:r w:rsidRPr="005D402A">
        <w:rPr>
          <w:i/>
          <w:lang w:val="es-MX"/>
        </w:rPr>
        <w:t xml:space="preserve"> </w:t>
      </w:r>
      <w:r w:rsidRPr="00B1523A">
        <w:rPr>
          <w:sz w:val="16"/>
          <w:szCs w:val="16"/>
          <w:lang w:val="es-CR"/>
        </w:rPr>
        <w:t xml:space="preserve">ONU. </w:t>
      </w:r>
      <w:r>
        <w:rPr>
          <w:color w:val="000000"/>
          <w:sz w:val="16"/>
          <w:szCs w:val="16"/>
          <w:lang w:val="es-MX"/>
        </w:rPr>
        <w:t>Comité DESC</w:t>
      </w:r>
      <w:r w:rsidRPr="00B1523A">
        <w:rPr>
          <w:sz w:val="16"/>
          <w:szCs w:val="16"/>
          <w:lang w:val="es-MX"/>
        </w:rPr>
        <w:t xml:space="preserve">, </w:t>
      </w:r>
      <w:r>
        <w:rPr>
          <w:i/>
          <w:color w:val="000000"/>
          <w:sz w:val="16"/>
          <w:szCs w:val="16"/>
          <w:lang w:val="es-MX"/>
        </w:rPr>
        <w:t>OG-</w:t>
      </w:r>
      <w:r w:rsidRPr="00B1523A">
        <w:rPr>
          <w:rFonts w:eastAsia="Calibri"/>
          <w:i/>
          <w:sz w:val="16"/>
          <w:szCs w:val="16"/>
          <w:lang w:eastAsia="en-US"/>
        </w:rPr>
        <w:t>18</w:t>
      </w:r>
      <w:r>
        <w:rPr>
          <w:rFonts w:eastAsia="Calibri"/>
          <w:i/>
          <w:sz w:val="16"/>
          <w:szCs w:val="16"/>
          <w:lang w:eastAsia="en-US"/>
        </w:rPr>
        <w:t xml:space="preserve">: </w:t>
      </w:r>
      <w:r w:rsidRPr="00B1523A">
        <w:rPr>
          <w:rFonts w:eastAsia="Calibri"/>
          <w:i/>
          <w:sz w:val="16"/>
          <w:szCs w:val="16"/>
          <w:lang w:eastAsia="en-US"/>
        </w:rPr>
        <w:t>“El derecho al trabajo</w:t>
      </w:r>
      <w:r>
        <w:rPr>
          <w:rFonts w:eastAsia="Calibri"/>
          <w:i/>
          <w:sz w:val="16"/>
          <w:szCs w:val="16"/>
          <w:lang w:eastAsia="en-US"/>
        </w:rPr>
        <w:t xml:space="preserve"> (artículo 6 del Pacto)</w:t>
      </w:r>
      <w:r w:rsidRPr="00B1523A">
        <w:rPr>
          <w:rFonts w:eastAsia="Calibri"/>
          <w:i/>
          <w:sz w:val="16"/>
          <w:szCs w:val="16"/>
          <w:lang w:eastAsia="en-US"/>
        </w:rPr>
        <w:t>”</w:t>
      </w:r>
      <w:r>
        <w:rPr>
          <w:rFonts w:eastAsia="Calibri"/>
          <w:sz w:val="16"/>
          <w:szCs w:val="16"/>
          <w:lang w:eastAsia="en-US"/>
        </w:rPr>
        <w:t xml:space="preserve">, E/C.12/GC/18, 6 de febrero de </w:t>
      </w:r>
      <w:r w:rsidRPr="00C64243">
        <w:rPr>
          <w:rFonts w:eastAsia="Calibri"/>
          <w:sz w:val="16"/>
          <w:szCs w:val="16"/>
          <w:lang w:eastAsia="en-US"/>
        </w:rPr>
        <w:t>200</w:t>
      </w:r>
      <w:r>
        <w:rPr>
          <w:rFonts w:eastAsia="Calibri"/>
          <w:sz w:val="16"/>
          <w:szCs w:val="16"/>
          <w:lang w:eastAsia="en-US"/>
        </w:rPr>
        <w:t>6</w:t>
      </w:r>
      <w:r w:rsidRPr="00C64243">
        <w:rPr>
          <w:rFonts w:eastAsia="Calibri"/>
          <w:sz w:val="16"/>
          <w:szCs w:val="16"/>
          <w:lang w:eastAsia="en-US"/>
        </w:rPr>
        <w:t>, párr. 12.</w:t>
      </w:r>
      <w:r>
        <w:rPr>
          <w:rFonts w:eastAsia="Calibri"/>
          <w:sz w:val="16"/>
          <w:szCs w:val="16"/>
          <w:lang w:val="es-MX" w:eastAsia="en-US"/>
        </w:rPr>
        <w:t xml:space="preserve"> </w:t>
      </w:r>
    </w:p>
  </w:footnote>
  <w:footnote w:id="168">
    <w:p w14:paraId="5F3CF41E" w14:textId="037FE20A" w:rsidR="003C025E" w:rsidRPr="00124C79" w:rsidRDefault="003C025E" w:rsidP="00B37825">
      <w:pPr>
        <w:pStyle w:val="FootnoteText"/>
      </w:pPr>
      <w:r w:rsidRPr="005E480B">
        <w:rPr>
          <w:rStyle w:val="FootnoteReference"/>
          <w:rFonts w:eastAsia="Calibri"/>
          <w:sz w:val="16"/>
          <w:szCs w:val="16"/>
          <w:lang w:eastAsia="en-US"/>
        </w:rPr>
        <w:footnoteRef/>
      </w:r>
      <w:r w:rsidRPr="005E480B">
        <w:rPr>
          <w:rStyle w:val="FootnoteReference"/>
          <w:rFonts w:eastAsia="Calibri"/>
          <w:sz w:val="16"/>
          <w:szCs w:val="16"/>
          <w:lang w:eastAsia="en-US"/>
        </w:rPr>
        <w:t xml:space="preserve"> </w:t>
      </w:r>
      <w:r>
        <w:rPr>
          <w:rStyle w:val="FootnoteReference"/>
          <w:rFonts w:eastAsia="Calibri"/>
          <w:sz w:val="16"/>
          <w:szCs w:val="16"/>
          <w:lang w:eastAsia="en-US"/>
        </w:rPr>
        <w:t xml:space="preserve">   </w:t>
      </w:r>
      <w:r>
        <w:rPr>
          <w:rFonts w:eastAsia="Calibri"/>
          <w:sz w:val="16"/>
          <w:szCs w:val="16"/>
          <w:lang w:eastAsia="en-US"/>
        </w:rPr>
        <w:tab/>
      </w:r>
      <w:r w:rsidRPr="005D402A">
        <w:rPr>
          <w:rFonts w:eastAsia="Calibri"/>
          <w:i/>
          <w:sz w:val="16"/>
          <w:szCs w:val="16"/>
          <w:lang w:val="es-MX" w:eastAsia="en-US"/>
        </w:rPr>
        <w:t xml:space="preserve">Cfr. </w:t>
      </w:r>
      <w:r w:rsidRPr="0044329F">
        <w:rPr>
          <w:sz w:val="16"/>
          <w:szCs w:val="16"/>
          <w:lang w:val="es-CR"/>
        </w:rPr>
        <w:t xml:space="preserve">ONU. </w:t>
      </w:r>
      <w:r>
        <w:rPr>
          <w:color w:val="000000"/>
          <w:sz w:val="16"/>
          <w:szCs w:val="16"/>
          <w:lang w:val="es-MX"/>
        </w:rPr>
        <w:t>Comité DESC</w:t>
      </w:r>
      <w:r w:rsidRPr="0044329F">
        <w:rPr>
          <w:sz w:val="16"/>
          <w:szCs w:val="16"/>
          <w:lang w:val="es-MX"/>
        </w:rPr>
        <w:t xml:space="preserve">, </w:t>
      </w:r>
      <w:r>
        <w:rPr>
          <w:i/>
          <w:color w:val="000000"/>
          <w:sz w:val="16"/>
          <w:szCs w:val="16"/>
          <w:lang w:val="es-MX"/>
        </w:rPr>
        <w:t>OG-</w:t>
      </w:r>
      <w:r w:rsidRPr="00B1523A">
        <w:rPr>
          <w:rFonts w:eastAsia="Calibri"/>
          <w:i/>
          <w:sz w:val="16"/>
          <w:szCs w:val="16"/>
          <w:lang w:val="es-MX" w:eastAsia="en-US"/>
        </w:rPr>
        <w:t>19:</w:t>
      </w:r>
      <w:r w:rsidRPr="00B1523A">
        <w:rPr>
          <w:rFonts w:eastAsia="Calibri"/>
          <w:i/>
          <w:sz w:val="16"/>
          <w:szCs w:val="16"/>
          <w:lang w:eastAsia="en-US"/>
        </w:rPr>
        <w:t xml:space="preserve"> “El derecho a la seguridad social”,</w:t>
      </w:r>
      <w:r w:rsidRPr="00B1523A">
        <w:rPr>
          <w:rFonts w:eastAsia="Calibri"/>
          <w:i/>
          <w:sz w:val="16"/>
          <w:szCs w:val="16"/>
          <w:lang w:val="es-MX" w:eastAsia="en-US"/>
        </w:rPr>
        <w:t xml:space="preserve"> </w:t>
      </w:r>
      <w:r w:rsidRPr="00C357B9">
        <w:rPr>
          <w:rFonts w:eastAsia="Calibri"/>
          <w:sz w:val="16"/>
          <w:szCs w:val="16"/>
          <w:lang w:val="es-ES" w:eastAsia="en-US"/>
        </w:rPr>
        <w:t>E/C.12/GC/19</w:t>
      </w:r>
      <w:r>
        <w:rPr>
          <w:rFonts w:eastAsia="Calibri"/>
          <w:sz w:val="16"/>
          <w:szCs w:val="16"/>
          <w:lang w:val="es-ES" w:eastAsia="en-US"/>
        </w:rPr>
        <w:t xml:space="preserve">, 4 de febrero de 2008, </w:t>
      </w:r>
      <w:proofErr w:type="spellStart"/>
      <w:r>
        <w:rPr>
          <w:rFonts w:eastAsia="Calibri"/>
          <w:sz w:val="16"/>
          <w:szCs w:val="16"/>
          <w:lang w:val="es-ES" w:eastAsia="en-US"/>
        </w:rPr>
        <w:t>párrs</w:t>
      </w:r>
      <w:proofErr w:type="spellEnd"/>
      <w:r>
        <w:rPr>
          <w:rFonts w:eastAsia="Calibri"/>
          <w:sz w:val="16"/>
          <w:szCs w:val="16"/>
          <w:lang w:val="es-ES" w:eastAsia="en-US"/>
        </w:rPr>
        <w:t xml:space="preserve">. 13 y 14. </w:t>
      </w:r>
    </w:p>
  </w:footnote>
  <w:footnote w:id="169">
    <w:p w14:paraId="406E0AE6" w14:textId="34436BB7" w:rsidR="003C025E" w:rsidRPr="00C357B9" w:rsidRDefault="003C025E" w:rsidP="00B37825">
      <w:pPr>
        <w:pStyle w:val="FootnoteText"/>
        <w:rPr>
          <w:lang w:val="es-AR"/>
        </w:rPr>
      </w:pPr>
      <w:r w:rsidRPr="005E480B">
        <w:rPr>
          <w:rStyle w:val="FootnoteReference"/>
          <w:rFonts w:eastAsia="Calibri"/>
          <w:sz w:val="16"/>
          <w:szCs w:val="16"/>
          <w:lang w:eastAsia="en-US"/>
        </w:rPr>
        <w:footnoteRef/>
      </w:r>
      <w:r>
        <w:t xml:space="preserve"> </w:t>
      </w:r>
      <w:r>
        <w:tab/>
      </w:r>
      <w:r w:rsidRPr="00B1523A">
        <w:rPr>
          <w:i/>
          <w:sz w:val="16"/>
          <w:szCs w:val="16"/>
          <w:lang w:val="es-MX"/>
        </w:rPr>
        <w:t>Cfr.</w:t>
      </w:r>
      <w:r w:rsidRPr="005D402A">
        <w:rPr>
          <w:i/>
          <w:lang w:val="es-MX"/>
        </w:rPr>
        <w:t xml:space="preserve"> </w:t>
      </w:r>
      <w:r w:rsidRPr="0044329F">
        <w:rPr>
          <w:sz w:val="16"/>
          <w:szCs w:val="16"/>
          <w:lang w:val="es-CR"/>
        </w:rPr>
        <w:t xml:space="preserve">ONU. </w:t>
      </w:r>
      <w:r>
        <w:rPr>
          <w:color w:val="000000"/>
          <w:sz w:val="16"/>
          <w:szCs w:val="16"/>
          <w:lang w:val="es-MX"/>
        </w:rPr>
        <w:t>Comité DESC</w:t>
      </w:r>
      <w:r w:rsidRPr="0044329F">
        <w:rPr>
          <w:sz w:val="16"/>
          <w:szCs w:val="16"/>
          <w:lang w:val="es-MX"/>
        </w:rPr>
        <w:t xml:space="preserve">, </w:t>
      </w:r>
      <w:r>
        <w:rPr>
          <w:i/>
          <w:color w:val="000000"/>
          <w:sz w:val="16"/>
          <w:szCs w:val="16"/>
          <w:lang w:val="es-MX"/>
        </w:rPr>
        <w:t>OG-</w:t>
      </w:r>
      <w:r w:rsidRPr="00B1523A">
        <w:rPr>
          <w:rFonts w:eastAsia="Calibri"/>
          <w:i/>
          <w:sz w:val="16"/>
          <w:szCs w:val="16"/>
          <w:lang w:eastAsia="en-US"/>
        </w:rPr>
        <w:t>20</w:t>
      </w:r>
      <w:r w:rsidRPr="00057F8B">
        <w:rPr>
          <w:i/>
          <w:sz w:val="16"/>
          <w:szCs w:val="16"/>
          <w:lang w:val="es-MX"/>
        </w:rPr>
        <w:t>.</w:t>
      </w:r>
      <w:r w:rsidRPr="00945CB6">
        <w:rPr>
          <w:i/>
          <w:lang w:val="es-CR"/>
        </w:rPr>
        <w:t xml:space="preserve"> </w:t>
      </w:r>
      <w:r w:rsidRPr="00B1523A">
        <w:rPr>
          <w:rFonts w:eastAsia="Calibri"/>
          <w:i/>
          <w:sz w:val="16"/>
          <w:szCs w:val="16"/>
          <w:lang w:eastAsia="en-US"/>
        </w:rPr>
        <w:t xml:space="preserve">“La no discriminación y los derechos económicos, sociales y culturales”, </w:t>
      </w:r>
      <w:r w:rsidRPr="00C64243">
        <w:rPr>
          <w:rFonts w:eastAsia="Calibri"/>
          <w:sz w:val="16"/>
          <w:szCs w:val="16"/>
          <w:lang w:eastAsia="en-US"/>
        </w:rPr>
        <w:t xml:space="preserve">E/C.12/GC/20, 2 de julio de 2009, párr. 33. </w:t>
      </w:r>
    </w:p>
  </w:footnote>
  <w:footnote w:id="170">
    <w:p w14:paraId="4BC6B39A" w14:textId="39226E2D" w:rsidR="003C025E" w:rsidRPr="004A1B76" w:rsidRDefault="003C025E" w:rsidP="00B37825">
      <w:pPr>
        <w:pStyle w:val="FootnoteText"/>
        <w:rPr>
          <w:sz w:val="16"/>
          <w:lang w:val="es-CR"/>
        </w:rPr>
      </w:pPr>
      <w:r w:rsidRPr="005E480B">
        <w:rPr>
          <w:rStyle w:val="FootnoteReference"/>
          <w:rFonts w:eastAsia="Calibri"/>
          <w:sz w:val="16"/>
          <w:szCs w:val="16"/>
          <w:lang w:eastAsia="en-US"/>
        </w:rPr>
        <w:footnoteRef/>
      </w:r>
      <w:r>
        <w:t xml:space="preserve"> </w:t>
      </w:r>
      <w:r>
        <w:rPr>
          <w:lang w:val="es-CR"/>
        </w:rPr>
        <w:tab/>
      </w:r>
      <w:r w:rsidRPr="00B1523A">
        <w:rPr>
          <w:i/>
          <w:sz w:val="16"/>
          <w:szCs w:val="16"/>
          <w:lang w:val="es-MX"/>
        </w:rPr>
        <w:t>Cfr.</w:t>
      </w:r>
      <w:r w:rsidRPr="005D402A">
        <w:rPr>
          <w:i/>
          <w:lang w:val="es-MX"/>
        </w:rPr>
        <w:t xml:space="preserve"> </w:t>
      </w:r>
      <w:r w:rsidRPr="00B1523A">
        <w:rPr>
          <w:sz w:val="16"/>
          <w:szCs w:val="16"/>
          <w:lang w:val="es-CR"/>
        </w:rPr>
        <w:t>OEA</w:t>
      </w:r>
      <w:r>
        <w:rPr>
          <w:sz w:val="16"/>
          <w:szCs w:val="16"/>
          <w:lang w:val="es-CR"/>
        </w:rPr>
        <w:t>.</w:t>
      </w:r>
      <w:r>
        <w:rPr>
          <w:lang w:val="es-CR"/>
        </w:rPr>
        <w:t xml:space="preserve"> </w:t>
      </w:r>
      <w:r w:rsidRPr="007B3C84">
        <w:rPr>
          <w:sz w:val="16"/>
          <w:lang w:val="es-CR"/>
        </w:rPr>
        <w:t>Grupo de Trabajo para el Análisis de los Informes Nacionales previstos en el Protocolo de San Salvador</w:t>
      </w:r>
      <w:r>
        <w:rPr>
          <w:sz w:val="16"/>
          <w:lang w:val="es-CR"/>
        </w:rPr>
        <w:t>,</w:t>
      </w:r>
      <w:r w:rsidRPr="007B3C84">
        <w:rPr>
          <w:sz w:val="16"/>
          <w:lang w:val="es-CR"/>
        </w:rPr>
        <w:t xml:space="preserve"> </w:t>
      </w:r>
      <w:r w:rsidRPr="00B1523A">
        <w:rPr>
          <w:i/>
          <w:sz w:val="16"/>
          <w:lang w:val="es-CR"/>
        </w:rPr>
        <w:t>“Indicadores de progreso para medición de derechos contemplados en el Protocolo de San Salvador”</w:t>
      </w:r>
      <w:r w:rsidRPr="00F505D0">
        <w:rPr>
          <w:sz w:val="16"/>
          <w:lang w:val="es-CR"/>
        </w:rPr>
        <w:t>, OEA/</w:t>
      </w:r>
      <w:proofErr w:type="spellStart"/>
      <w:r w:rsidRPr="00F505D0">
        <w:rPr>
          <w:sz w:val="16"/>
          <w:lang w:val="es-CR"/>
        </w:rPr>
        <w:t>Ser.L</w:t>
      </w:r>
      <w:proofErr w:type="spellEnd"/>
      <w:r w:rsidRPr="00F505D0">
        <w:rPr>
          <w:sz w:val="16"/>
          <w:lang w:val="es-CR"/>
        </w:rPr>
        <w:t>/XXV.2.1; GT/PSS/doc.2/11 rev.2, de 16 diciembre 2011</w:t>
      </w:r>
      <w:r>
        <w:rPr>
          <w:sz w:val="16"/>
          <w:lang w:val="es-CR"/>
        </w:rPr>
        <w:t>.</w:t>
      </w:r>
      <w:r w:rsidRPr="00F505D0">
        <w:rPr>
          <w:sz w:val="16"/>
          <w:lang w:val="es-AR"/>
        </w:rPr>
        <w:t xml:space="preserve"> </w:t>
      </w:r>
      <w:r w:rsidRPr="00B1523A">
        <w:rPr>
          <w:i/>
          <w:sz w:val="16"/>
          <w:lang w:val="es-AR"/>
        </w:rPr>
        <w:t>“Indicadores de progreso para la medición de derechos contemplados en el Protocolo Adicional a la Convención Americana sobre Derechos Humanos en materia de derechos económicos, sociales y culturales “Protocolo de San Salvador – Segundo agrupamiento de derechos”</w:t>
      </w:r>
      <w:r w:rsidRPr="00F505D0">
        <w:rPr>
          <w:sz w:val="16"/>
          <w:lang w:val="es-CR"/>
        </w:rPr>
        <w:t>, OEA/</w:t>
      </w:r>
      <w:proofErr w:type="spellStart"/>
      <w:r w:rsidRPr="00F505D0">
        <w:rPr>
          <w:sz w:val="16"/>
          <w:lang w:val="es-CR"/>
        </w:rPr>
        <w:t>Ser.L</w:t>
      </w:r>
      <w:proofErr w:type="spellEnd"/>
      <w:r w:rsidRPr="00F505D0">
        <w:rPr>
          <w:sz w:val="16"/>
          <w:lang w:val="es-CR"/>
        </w:rPr>
        <w:t>/XXV.2.1 GT/PSS/doc.9/13,</w:t>
      </w:r>
      <w:r>
        <w:rPr>
          <w:sz w:val="16"/>
          <w:lang w:val="es-CR"/>
        </w:rPr>
        <w:t xml:space="preserve"> e </w:t>
      </w:r>
      <w:r w:rsidRPr="00B1523A">
        <w:rPr>
          <w:i/>
          <w:sz w:val="16"/>
          <w:lang w:val="es-CR"/>
        </w:rPr>
        <w:t>“Indicadores de progreso para la medición de derechos contemplados en el Protocolo de San Salvador”</w:t>
      </w:r>
      <w:r w:rsidRPr="00F505D0">
        <w:rPr>
          <w:sz w:val="16"/>
          <w:lang w:val="es-CR"/>
        </w:rPr>
        <w:t>, OEA/</w:t>
      </w:r>
      <w:proofErr w:type="spellStart"/>
      <w:r w:rsidRPr="00F505D0">
        <w:rPr>
          <w:sz w:val="16"/>
          <w:lang w:val="es-CR"/>
        </w:rPr>
        <w:t>Ser.D</w:t>
      </w:r>
      <w:proofErr w:type="spellEnd"/>
      <w:r w:rsidRPr="00F505D0">
        <w:rPr>
          <w:sz w:val="16"/>
          <w:lang w:val="es-CR"/>
        </w:rPr>
        <w:t>/XXVI.11 (2015)</w:t>
      </w:r>
      <w:r>
        <w:rPr>
          <w:sz w:val="16"/>
          <w:lang w:val="es-CR"/>
        </w:rPr>
        <w:t>, págs. 43 a 53.</w:t>
      </w:r>
      <w:r w:rsidRPr="00945CB6">
        <w:rPr>
          <w:sz w:val="16"/>
          <w:lang w:val="es-CR"/>
        </w:rPr>
        <w:t xml:space="preserve"> </w:t>
      </w:r>
      <w:r w:rsidRPr="00F505D0">
        <w:rPr>
          <w:sz w:val="16"/>
          <w:lang w:val="es-CR"/>
        </w:rPr>
        <w:t xml:space="preserve">Ver </w:t>
      </w:r>
      <w:r w:rsidRPr="00F505D0">
        <w:rPr>
          <w:i/>
          <w:sz w:val="16"/>
          <w:lang w:val="es-CR"/>
        </w:rPr>
        <w:t xml:space="preserve">supra, </w:t>
      </w:r>
      <w:r w:rsidRPr="00F505D0">
        <w:rPr>
          <w:sz w:val="16"/>
          <w:lang w:val="es-CR"/>
        </w:rPr>
        <w:t>nota 133.</w:t>
      </w:r>
      <w:r>
        <w:rPr>
          <w:sz w:val="16"/>
          <w:lang w:val="es-CR"/>
        </w:rPr>
        <w:t xml:space="preserve"> Este instrumento proporciona evidencias para valorar si los programas y el accionar estatal están alineados con estándares de derechos humanos.</w:t>
      </w:r>
    </w:p>
  </w:footnote>
  <w:footnote w:id="171">
    <w:p w14:paraId="20E5099E" w14:textId="2CC0A6C7" w:rsidR="003C025E" w:rsidRPr="002570D1" w:rsidRDefault="003C025E" w:rsidP="002570D1">
      <w:pPr>
        <w:pStyle w:val="FootnoteText"/>
        <w:rPr>
          <w:sz w:val="16"/>
          <w:szCs w:val="16"/>
          <w:lang w:val="es-ES"/>
        </w:rPr>
      </w:pPr>
      <w:r w:rsidRPr="002570D1">
        <w:rPr>
          <w:rStyle w:val="FootnoteReference"/>
          <w:color w:val="000000"/>
          <w:sz w:val="16"/>
          <w:szCs w:val="16"/>
        </w:rPr>
        <w:footnoteRef/>
      </w:r>
      <w:r w:rsidRPr="00BB4919">
        <w:rPr>
          <w:sz w:val="16"/>
          <w:szCs w:val="16"/>
          <w:lang w:val="pt-BR"/>
        </w:rPr>
        <w:t xml:space="preserve">   </w:t>
      </w:r>
      <w:r w:rsidRPr="00BB4919">
        <w:rPr>
          <w:sz w:val="16"/>
          <w:szCs w:val="16"/>
          <w:lang w:val="pt-BR"/>
        </w:rPr>
        <w:tab/>
      </w:r>
      <w:r w:rsidRPr="00BB4919">
        <w:rPr>
          <w:i/>
          <w:sz w:val="16"/>
          <w:szCs w:val="16"/>
          <w:lang w:val="pt-BR"/>
        </w:rPr>
        <w:t>Cfr.</w:t>
      </w:r>
      <w:r w:rsidRPr="00BB4919">
        <w:rPr>
          <w:sz w:val="16"/>
          <w:szCs w:val="16"/>
          <w:lang w:val="pt-BR"/>
        </w:rPr>
        <w:t xml:space="preserve"> </w:t>
      </w:r>
      <w:r w:rsidRPr="006815BD">
        <w:rPr>
          <w:color w:val="000000"/>
          <w:sz w:val="16"/>
          <w:szCs w:val="16"/>
          <w:lang w:val="pt-BR" w:eastAsia="es-CR"/>
        </w:rPr>
        <w:t xml:space="preserve"> </w:t>
      </w:r>
      <w:r w:rsidRPr="006815BD">
        <w:rPr>
          <w:sz w:val="16"/>
          <w:szCs w:val="16"/>
          <w:lang w:val="pt-BR"/>
        </w:rPr>
        <w:t xml:space="preserve">ONU, Comité DESC, </w:t>
      </w:r>
      <w:r>
        <w:rPr>
          <w:i/>
          <w:sz w:val="16"/>
          <w:szCs w:val="16"/>
          <w:lang w:val="pt-BR"/>
        </w:rPr>
        <w:t>OG-</w:t>
      </w:r>
      <w:r w:rsidRPr="006815BD">
        <w:rPr>
          <w:i/>
          <w:sz w:val="16"/>
          <w:szCs w:val="16"/>
          <w:lang w:val="pt-BR"/>
        </w:rPr>
        <w:t>14</w:t>
      </w:r>
      <w:r w:rsidRPr="006815BD">
        <w:rPr>
          <w:sz w:val="16"/>
          <w:szCs w:val="16"/>
          <w:lang w:val="pt-BR"/>
        </w:rPr>
        <w:t xml:space="preserve">, </w:t>
      </w:r>
      <w:r w:rsidRPr="006815BD">
        <w:rPr>
          <w:i/>
          <w:sz w:val="16"/>
          <w:szCs w:val="16"/>
          <w:lang w:val="pt-BR"/>
        </w:rPr>
        <w:t>supra</w:t>
      </w:r>
      <w:r w:rsidRPr="00BB4919">
        <w:rPr>
          <w:i/>
          <w:sz w:val="16"/>
          <w:szCs w:val="16"/>
          <w:lang w:val="pt-BR"/>
        </w:rPr>
        <w:t xml:space="preserve">, </w:t>
      </w:r>
      <w:r w:rsidRPr="00BB4919">
        <w:rPr>
          <w:sz w:val="16"/>
          <w:szCs w:val="16"/>
          <w:lang w:val="pt-BR"/>
        </w:rPr>
        <w:t xml:space="preserve">párr. </w:t>
      </w:r>
      <w:r w:rsidRPr="002570D1">
        <w:rPr>
          <w:sz w:val="16"/>
          <w:szCs w:val="16"/>
          <w:lang w:val="es-ES"/>
        </w:rPr>
        <w:t xml:space="preserve">1. </w:t>
      </w:r>
    </w:p>
  </w:footnote>
  <w:footnote w:id="172">
    <w:p w14:paraId="2BCB965E" w14:textId="78E98A23" w:rsidR="003C025E" w:rsidRPr="004F6A4B" w:rsidRDefault="003C025E" w:rsidP="007158CA">
      <w:pPr>
        <w:pStyle w:val="FootnoteText"/>
        <w:rPr>
          <w:b/>
          <w:sz w:val="16"/>
        </w:rPr>
      </w:pPr>
      <w:r w:rsidRPr="00B1523A">
        <w:rPr>
          <w:rStyle w:val="FootnoteReference"/>
          <w:sz w:val="16"/>
          <w:szCs w:val="16"/>
        </w:rPr>
        <w:footnoteRef/>
      </w:r>
      <w:r w:rsidRPr="00B1523A">
        <w:rPr>
          <w:sz w:val="16"/>
          <w:szCs w:val="16"/>
        </w:rPr>
        <w:t xml:space="preserve"> </w:t>
      </w:r>
      <w:r w:rsidRPr="00B1523A">
        <w:rPr>
          <w:sz w:val="16"/>
          <w:szCs w:val="16"/>
        </w:rPr>
        <w:tab/>
      </w:r>
      <w:r w:rsidRPr="00B1523A">
        <w:rPr>
          <w:i/>
          <w:sz w:val="16"/>
        </w:rPr>
        <w:t xml:space="preserve">Cfr. </w:t>
      </w:r>
      <w:r>
        <w:rPr>
          <w:i/>
          <w:sz w:val="16"/>
        </w:rPr>
        <w:t>i</w:t>
      </w:r>
      <w:r w:rsidRPr="00B1523A">
        <w:rPr>
          <w:i/>
          <w:sz w:val="16"/>
        </w:rPr>
        <w:t xml:space="preserve">nter </w:t>
      </w:r>
      <w:proofErr w:type="spellStart"/>
      <w:r w:rsidRPr="00B1523A">
        <w:rPr>
          <w:i/>
          <w:sz w:val="16"/>
        </w:rPr>
        <w:t>alia</w:t>
      </w:r>
      <w:proofErr w:type="spellEnd"/>
      <w:r w:rsidRPr="00B1523A">
        <w:rPr>
          <w:i/>
          <w:sz w:val="16"/>
        </w:rPr>
        <w:t>,</w:t>
      </w:r>
      <w:r w:rsidRPr="00B1523A">
        <w:rPr>
          <w:sz w:val="16"/>
        </w:rPr>
        <w:t xml:space="preserve"> Preámbulo de la Constitución de la </w:t>
      </w:r>
      <w:r>
        <w:rPr>
          <w:sz w:val="16"/>
        </w:rPr>
        <w:t>Organización Mundial de la Salud (OMS)</w:t>
      </w:r>
      <w:r w:rsidRPr="00B1523A">
        <w:rPr>
          <w:sz w:val="16"/>
        </w:rPr>
        <w:t xml:space="preserve">. </w:t>
      </w:r>
      <w:r>
        <w:rPr>
          <w:sz w:val="16"/>
        </w:rPr>
        <w:t>A</w:t>
      </w:r>
      <w:r w:rsidRPr="00B1523A">
        <w:rPr>
          <w:sz w:val="16"/>
        </w:rPr>
        <w:t xml:space="preserve">doptada por la Conferencia Sanitaria Internacional, celebrada en Nueva York del 19 de junio al 22 de julio de 1946, firmada el 22 de julio de 1946 por los representantes de 61 Estados (Off. </w:t>
      </w:r>
      <w:r w:rsidRPr="00B1523A">
        <w:rPr>
          <w:sz w:val="16"/>
          <w:lang w:val="es-CR"/>
        </w:rPr>
        <w:t xml:space="preserve">Rec. </w:t>
      </w:r>
      <w:proofErr w:type="spellStart"/>
      <w:r w:rsidRPr="00B1523A">
        <w:rPr>
          <w:sz w:val="16"/>
          <w:lang w:val="es-CR"/>
        </w:rPr>
        <w:t>Wld</w:t>
      </w:r>
      <w:proofErr w:type="spellEnd"/>
      <w:r w:rsidRPr="00B1523A">
        <w:rPr>
          <w:sz w:val="16"/>
          <w:lang w:val="es-CR"/>
        </w:rPr>
        <w:t xml:space="preserve"> </w:t>
      </w:r>
      <w:proofErr w:type="spellStart"/>
      <w:r w:rsidRPr="00B1523A">
        <w:rPr>
          <w:sz w:val="16"/>
          <w:lang w:val="es-CR"/>
        </w:rPr>
        <w:t>Hlth</w:t>
      </w:r>
      <w:proofErr w:type="spellEnd"/>
      <w:r w:rsidRPr="00B1523A">
        <w:rPr>
          <w:sz w:val="16"/>
          <w:lang w:val="es-CR"/>
        </w:rPr>
        <w:t xml:space="preserve"> </w:t>
      </w:r>
      <w:proofErr w:type="spellStart"/>
      <w:r w:rsidRPr="00B1523A">
        <w:rPr>
          <w:sz w:val="16"/>
          <w:lang w:val="es-CR"/>
        </w:rPr>
        <w:t>Org</w:t>
      </w:r>
      <w:proofErr w:type="spellEnd"/>
      <w:r w:rsidRPr="00B1523A">
        <w:rPr>
          <w:sz w:val="16"/>
          <w:lang w:val="es-CR"/>
        </w:rPr>
        <w:t xml:space="preserve">.; </w:t>
      </w:r>
      <w:proofErr w:type="spellStart"/>
      <w:r w:rsidRPr="00B1523A">
        <w:rPr>
          <w:sz w:val="16"/>
          <w:lang w:val="es-CR"/>
        </w:rPr>
        <w:t>Actes</w:t>
      </w:r>
      <w:proofErr w:type="spellEnd"/>
      <w:r w:rsidRPr="00B1523A">
        <w:rPr>
          <w:sz w:val="16"/>
          <w:lang w:val="es-CR"/>
        </w:rPr>
        <w:t xml:space="preserve"> off. </w:t>
      </w:r>
      <w:proofErr w:type="spellStart"/>
      <w:r w:rsidRPr="00B1523A">
        <w:rPr>
          <w:sz w:val="16"/>
        </w:rPr>
        <w:t>Org</w:t>
      </w:r>
      <w:proofErr w:type="spellEnd"/>
      <w:r w:rsidRPr="00B1523A">
        <w:rPr>
          <w:sz w:val="16"/>
        </w:rPr>
        <w:t xml:space="preserve">. </w:t>
      </w:r>
      <w:proofErr w:type="spellStart"/>
      <w:r w:rsidRPr="00B1523A">
        <w:rPr>
          <w:sz w:val="16"/>
        </w:rPr>
        <w:t>mond</w:t>
      </w:r>
      <w:proofErr w:type="spellEnd"/>
      <w:r w:rsidRPr="00B1523A">
        <w:rPr>
          <w:sz w:val="16"/>
        </w:rPr>
        <w:t xml:space="preserve">. </w:t>
      </w:r>
      <w:proofErr w:type="spellStart"/>
      <w:r w:rsidRPr="00B1523A">
        <w:rPr>
          <w:sz w:val="16"/>
        </w:rPr>
        <w:t>Santé</w:t>
      </w:r>
      <w:proofErr w:type="spellEnd"/>
      <w:r w:rsidRPr="00B1523A">
        <w:rPr>
          <w:sz w:val="16"/>
        </w:rPr>
        <w:t>, 2, 100), y entró en vigor el 7 de abril de 1948.</w:t>
      </w:r>
      <w:r w:rsidRPr="004F6A4B">
        <w:rPr>
          <w:b/>
          <w:sz w:val="16"/>
        </w:rPr>
        <w:t xml:space="preserve"> </w:t>
      </w:r>
      <w:r w:rsidRPr="00B1523A">
        <w:rPr>
          <w:sz w:val="16"/>
          <w:lang w:val="es-CR"/>
        </w:rPr>
        <w:t xml:space="preserve">Las reformas adoptadas por la 26ª, la 29ª, la 39ª y la 51ª Asambleas Mundiales de la Salud (resoluciones WHA26.37, WHA29.38, WHA39.6 y WHA51.23), que entraron en vigor el 3 de febrero de 1977, el 20 de enero de 1984, el 11 de julio de 1994 y el 15 de septiembre de 2005, respectivamente, se han incorporado </w:t>
      </w:r>
      <w:r>
        <w:rPr>
          <w:sz w:val="16"/>
          <w:lang w:val="es-CR"/>
        </w:rPr>
        <w:t xml:space="preserve">sucesivamente </w:t>
      </w:r>
      <w:r w:rsidRPr="00B1523A">
        <w:rPr>
          <w:sz w:val="16"/>
          <w:lang w:val="es-CR"/>
        </w:rPr>
        <w:t>a su texto.</w:t>
      </w:r>
    </w:p>
  </w:footnote>
  <w:footnote w:id="173">
    <w:p w14:paraId="0DAEB0BE" w14:textId="3D370A9D" w:rsidR="003C025E" w:rsidRPr="008952D9" w:rsidRDefault="003C025E" w:rsidP="002570D1">
      <w:pPr>
        <w:pStyle w:val="FootnoteText"/>
        <w:rPr>
          <w:sz w:val="16"/>
          <w:szCs w:val="16"/>
          <w:lang w:val="es-MX"/>
        </w:rPr>
      </w:pPr>
      <w:r w:rsidRPr="002570D1">
        <w:rPr>
          <w:rStyle w:val="FootnoteReference"/>
          <w:color w:val="000000"/>
          <w:sz w:val="16"/>
          <w:szCs w:val="16"/>
        </w:rPr>
        <w:footnoteRef/>
      </w:r>
      <w:r w:rsidRPr="002570D1">
        <w:rPr>
          <w:rStyle w:val="FootnoteReference"/>
          <w:color w:val="000000"/>
          <w:sz w:val="16"/>
          <w:szCs w:val="16"/>
          <w:lang w:val="es-MX"/>
        </w:rPr>
        <w:t xml:space="preserve"> </w:t>
      </w:r>
      <w:r w:rsidRPr="002570D1">
        <w:rPr>
          <w:sz w:val="16"/>
          <w:szCs w:val="16"/>
          <w:lang w:val="es-MX"/>
        </w:rPr>
        <w:t xml:space="preserve"> </w:t>
      </w:r>
      <w:r>
        <w:rPr>
          <w:sz w:val="16"/>
          <w:szCs w:val="16"/>
          <w:lang w:val="es-MX"/>
        </w:rPr>
        <w:tab/>
      </w:r>
      <w:r>
        <w:rPr>
          <w:i/>
          <w:sz w:val="16"/>
          <w:szCs w:val="16"/>
          <w:lang w:val="es-MX"/>
        </w:rPr>
        <w:t xml:space="preserve">Cfr. </w:t>
      </w:r>
      <w:r w:rsidRPr="0059117C">
        <w:rPr>
          <w:i/>
          <w:sz w:val="16"/>
          <w:szCs w:val="16"/>
          <w:lang w:val="es-MX"/>
        </w:rPr>
        <w:t xml:space="preserve">Mutatis </w:t>
      </w:r>
      <w:proofErr w:type="spellStart"/>
      <w:r w:rsidRPr="0059117C">
        <w:rPr>
          <w:i/>
          <w:sz w:val="16"/>
          <w:szCs w:val="16"/>
          <w:lang w:val="es-MX"/>
        </w:rPr>
        <w:t>mutandi</w:t>
      </w:r>
      <w:proofErr w:type="spellEnd"/>
      <w:r w:rsidRPr="0059117C">
        <w:rPr>
          <w:i/>
          <w:sz w:val="16"/>
          <w:szCs w:val="16"/>
          <w:lang w:val="es-MX"/>
        </w:rPr>
        <w:t xml:space="preserve">, </w:t>
      </w:r>
      <w:r w:rsidRPr="002570D1">
        <w:rPr>
          <w:i/>
          <w:sz w:val="16"/>
          <w:szCs w:val="16"/>
          <w:lang w:val="es-MX"/>
        </w:rPr>
        <w:t>Caso</w:t>
      </w:r>
      <w:r w:rsidRPr="002570D1">
        <w:rPr>
          <w:sz w:val="16"/>
          <w:szCs w:val="16"/>
          <w:lang w:val="es-MX"/>
        </w:rPr>
        <w:t xml:space="preserve"> </w:t>
      </w:r>
      <w:proofErr w:type="spellStart"/>
      <w:r w:rsidRPr="002570D1">
        <w:rPr>
          <w:i/>
          <w:sz w:val="16"/>
          <w:szCs w:val="16"/>
          <w:lang w:val="es-MX"/>
        </w:rPr>
        <w:t>Ximenes</w:t>
      </w:r>
      <w:proofErr w:type="spellEnd"/>
      <w:r w:rsidRPr="002570D1">
        <w:rPr>
          <w:i/>
          <w:sz w:val="16"/>
          <w:szCs w:val="16"/>
          <w:lang w:val="es-MX"/>
        </w:rPr>
        <w:t xml:space="preserve"> </w:t>
      </w:r>
      <w:proofErr w:type="spellStart"/>
      <w:r w:rsidRPr="002570D1">
        <w:rPr>
          <w:i/>
          <w:sz w:val="16"/>
          <w:szCs w:val="16"/>
          <w:lang w:val="es-MX"/>
        </w:rPr>
        <w:t>Lopes</w:t>
      </w:r>
      <w:proofErr w:type="spellEnd"/>
      <w:r w:rsidRPr="002570D1">
        <w:rPr>
          <w:i/>
          <w:sz w:val="16"/>
          <w:szCs w:val="16"/>
          <w:lang w:val="es-MX"/>
        </w:rPr>
        <w:t xml:space="preserve"> Vs. Brasil</w:t>
      </w:r>
      <w:r w:rsidRPr="002570D1">
        <w:rPr>
          <w:sz w:val="16"/>
          <w:szCs w:val="16"/>
          <w:lang w:val="es-MX"/>
        </w:rPr>
        <w:t xml:space="preserve">. Sentencia de 4 de julio de 2006. Serie C No. 149, párr. </w:t>
      </w:r>
      <w:r w:rsidRPr="008952D9">
        <w:rPr>
          <w:sz w:val="16"/>
          <w:szCs w:val="16"/>
          <w:lang w:val="es-MX"/>
        </w:rPr>
        <w:t>128.</w:t>
      </w:r>
    </w:p>
  </w:footnote>
  <w:footnote w:id="174">
    <w:p w14:paraId="01BF214C" w14:textId="53167C42" w:rsidR="003C025E" w:rsidRPr="00BB4919" w:rsidRDefault="003C025E" w:rsidP="002570D1">
      <w:pPr>
        <w:pStyle w:val="FootnoteText"/>
        <w:rPr>
          <w:sz w:val="16"/>
          <w:szCs w:val="16"/>
          <w:lang w:val="es-CR"/>
        </w:rPr>
      </w:pPr>
      <w:r w:rsidRPr="008952D9">
        <w:rPr>
          <w:rStyle w:val="FootnoteReference"/>
          <w:color w:val="000000"/>
          <w:sz w:val="16"/>
          <w:szCs w:val="16"/>
        </w:rPr>
        <w:footnoteRef/>
      </w:r>
      <w:r w:rsidRPr="008952D9">
        <w:rPr>
          <w:sz w:val="16"/>
          <w:szCs w:val="16"/>
          <w:lang w:val="es-MX"/>
        </w:rPr>
        <w:t xml:space="preserve"> </w:t>
      </w:r>
      <w:r>
        <w:rPr>
          <w:sz w:val="16"/>
          <w:szCs w:val="16"/>
          <w:lang w:val="es-MX"/>
        </w:rPr>
        <w:tab/>
      </w:r>
      <w:r w:rsidRPr="008952D9">
        <w:rPr>
          <w:i/>
          <w:sz w:val="16"/>
          <w:szCs w:val="16"/>
          <w:lang w:val="es-MX"/>
        </w:rPr>
        <w:t xml:space="preserve">Cfr. </w:t>
      </w:r>
      <w:r>
        <w:rPr>
          <w:i/>
          <w:sz w:val="16"/>
          <w:szCs w:val="16"/>
          <w:lang w:val="es-GT"/>
        </w:rPr>
        <w:t>Caso Suárez Peralta Vs. Ecuador,</w:t>
      </w:r>
      <w:r w:rsidRPr="008952D9">
        <w:rPr>
          <w:i/>
          <w:sz w:val="16"/>
          <w:szCs w:val="16"/>
          <w:lang w:val="es-GT"/>
        </w:rPr>
        <w:t xml:space="preserve"> </w:t>
      </w:r>
      <w:r>
        <w:rPr>
          <w:i/>
          <w:sz w:val="16"/>
          <w:szCs w:val="16"/>
          <w:lang w:val="es-GT"/>
        </w:rPr>
        <w:t>supra</w:t>
      </w:r>
      <w:r w:rsidRPr="00BB4919">
        <w:rPr>
          <w:sz w:val="16"/>
          <w:szCs w:val="16"/>
          <w:lang w:val="es-CR"/>
        </w:rPr>
        <w:t xml:space="preserve">, párr. 134, y </w:t>
      </w:r>
      <w:r w:rsidRPr="00BB4919">
        <w:rPr>
          <w:bCs/>
          <w:sz w:val="16"/>
          <w:szCs w:val="16"/>
          <w:lang w:val="es-CR"/>
        </w:rPr>
        <w:t xml:space="preserve">Caso </w:t>
      </w:r>
      <w:proofErr w:type="spellStart"/>
      <w:r w:rsidRPr="00BB4919">
        <w:rPr>
          <w:bCs/>
          <w:i/>
          <w:sz w:val="16"/>
          <w:szCs w:val="16"/>
          <w:lang w:val="es-CR"/>
        </w:rPr>
        <w:t>Ximenes</w:t>
      </w:r>
      <w:proofErr w:type="spellEnd"/>
      <w:r w:rsidRPr="00BB4919">
        <w:rPr>
          <w:bCs/>
          <w:i/>
          <w:sz w:val="16"/>
          <w:szCs w:val="16"/>
          <w:lang w:val="es-CR"/>
        </w:rPr>
        <w:t xml:space="preserve"> </w:t>
      </w:r>
      <w:proofErr w:type="spellStart"/>
      <w:r w:rsidRPr="00BB4919">
        <w:rPr>
          <w:bCs/>
          <w:i/>
          <w:sz w:val="16"/>
          <w:szCs w:val="16"/>
          <w:lang w:val="es-CR"/>
        </w:rPr>
        <w:t>Lopes</w:t>
      </w:r>
      <w:proofErr w:type="spellEnd"/>
      <w:r w:rsidRPr="00BB4919">
        <w:rPr>
          <w:bCs/>
          <w:i/>
          <w:sz w:val="16"/>
          <w:szCs w:val="16"/>
          <w:lang w:val="es-CR"/>
        </w:rPr>
        <w:t xml:space="preserve"> Vs. Brasil, supra</w:t>
      </w:r>
      <w:r w:rsidRPr="00BB4919">
        <w:rPr>
          <w:bCs/>
          <w:sz w:val="16"/>
          <w:szCs w:val="16"/>
          <w:lang w:val="es-CR"/>
        </w:rPr>
        <w:t>, párr. 99.</w:t>
      </w:r>
    </w:p>
  </w:footnote>
  <w:footnote w:id="175">
    <w:p w14:paraId="1C6D23E6" w14:textId="0C243A87" w:rsidR="003C025E" w:rsidRPr="00D87D5F" w:rsidRDefault="003C025E" w:rsidP="009455C8">
      <w:pPr>
        <w:pStyle w:val="FootnoteText"/>
        <w:rPr>
          <w:sz w:val="16"/>
          <w:szCs w:val="16"/>
          <w:lang w:val="es-AR"/>
        </w:rPr>
      </w:pPr>
      <w:r w:rsidRPr="00A7242E">
        <w:rPr>
          <w:rStyle w:val="FootnoteReference"/>
          <w:rFonts w:eastAsia="Calibri"/>
          <w:sz w:val="16"/>
          <w:szCs w:val="16"/>
          <w:lang w:eastAsia="en-US"/>
        </w:rPr>
        <w:footnoteRef/>
      </w:r>
      <w:r w:rsidRPr="00BB4919">
        <w:rPr>
          <w:sz w:val="16"/>
          <w:szCs w:val="16"/>
          <w:lang w:val="es-CR"/>
        </w:rPr>
        <w:t xml:space="preserve"> </w:t>
      </w:r>
      <w:r w:rsidRPr="00BB4919">
        <w:rPr>
          <w:color w:val="000000"/>
          <w:sz w:val="16"/>
          <w:szCs w:val="16"/>
          <w:lang w:val="es-CR"/>
        </w:rPr>
        <w:tab/>
        <w:t xml:space="preserve">ONU, Comité DESC, </w:t>
      </w:r>
      <w:r w:rsidRPr="00BB4919">
        <w:rPr>
          <w:i/>
          <w:color w:val="000000"/>
          <w:sz w:val="16"/>
          <w:szCs w:val="16"/>
          <w:lang w:val="es-CR"/>
        </w:rPr>
        <w:t>OG-14</w:t>
      </w:r>
      <w:r w:rsidRPr="00BB4919">
        <w:rPr>
          <w:color w:val="000000"/>
          <w:sz w:val="16"/>
          <w:szCs w:val="16"/>
          <w:lang w:val="es-CR"/>
        </w:rPr>
        <w:t xml:space="preserve">, </w:t>
      </w:r>
      <w:r w:rsidRPr="00BB4919">
        <w:rPr>
          <w:i/>
          <w:color w:val="000000"/>
          <w:sz w:val="16"/>
          <w:szCs w:val="16"/>
          <w:lang w:val="es-CR"/>
        </w:rPr>
        <w:t>supra</w:t>
      </w:r>
      <w:r w:rsidRPr="00BB4919">
        <w:rPr>
          <w:color w:val="000000"/>
          <w:sz w:val="16"/>
          <w:szCs w:val="16"/>
          <w:lang w:val="es-CR"/>
        </w:rPr>
        <w:t xml:space="preserve">, párr. </w:t>
      </w:r>
      <w:r w:rsidRPr="008952D9">
        <w:rPr>
          <w:color w:val="000000"/>
          <w:sz w:val="16"/>
          <w:szCs w:val="16"/>
          <w:lang w:val="es-MX"/>
        </w:rPr>
        <w:t xml:space="preserve">12. </w:t>
      </w:r>
      <w:r w:rsidRPr="008952D9">
        <w:rPr>
          <w:sz w:val="16"/>
          <w:szCs w:val="16"/>
          <w:lang w:val="es-AR"/>
        </w:rPr>
        <w:t>A este respecto, dicho Comité señaló que [e]</w:t>
      </w:r>
      <w:r w:rsidRPr="00A7242E">
        <w:rPr>
          <w:sz w:val="16"/>
          <w:szCs w:val="16"/>
          <w:lang w:val="es-AR"/>
        </w:rPr>
        <w:t xml:space="preserve">l derecho a la salud en todas sus formas y a todos los niveles abarca los siguientes elementos esenciales e </w:t>
      </w:r>
      <w:r w:rsidRPr="00D87D5F">
        <w:rPr>
          <w:sz w:val="16"/>
          <w:szCs w:val="16"/>
          <w:lang w:val="es-AR"/>
        </w:rPr>
        <w:t>interrelacionados, cuya aplicación dependerá de las condiciones prevalecientes en un determinado Estado Parte:</w:t>
      </w:r>
    </w:p>
    <w:p w14:paraId="2206E661" w14:textId="64E60649" w:rsidR="003C025E" w:rsidRPr="009123CB" w:rsidRDefault="003C025E" w:rsidP="009455C8">
      <w:pPr>
        <w:pStyle w:val="FootnoteText"/>
        <w:rPr>
          <w:sz w:val="16"/>
          <w:szCs w:val="16"/>
          <w:lang w:val="es-AR"/>
        </w:rPr>
      </w:pPr>
      <w:r w:rsidRPr="00C801B7">
        <w:rPr>
          <w:sz w:val="16"/>
          <w:szCs w:val="16"/>
          <w:lang w:val="es-AR"/>
        </w:rPr>
        <w:t xml:space="preserve">a) Disponibilidad. Cada Estado Parte deberá contar con un número suficiente de establecimientos, bienes y servicios </w:t>
      </w:r>
      <w:r w:rsidRPr="00FF35B0">
        <w:rPr>
          <w:sz w:val="16"/>
          <w:szCs w:val="16"/>
          <w:lang w:val="es-AR"/>
        </w:rPr>
        <w:t>públicos de salud y centros de atención de la salud, así como de programas […] [E]</w:t>
      </w:r>
      <w:proofErr w:type="spellStart"/>
      <w:r w:rsidRPr="00FF35B0">
        <w:rPr>
          <w:sz w:val="16"/>
          <w:szCs w:val="16"/>
          <w:lang w:val="es-AR"/>
        </w:rPr>
        <w:t>sos</w:t>
      </w:r>
      <w:proofErr w:type="spellEnd"/>
      <w:r w:rsidRPr="00FF35B0">
        <w:rPr>
          <w:sz w:val="16"/>
          <w:szCs w:val="16"/>
          <w:lang w:val="es-AR"/>
        </w:rPr>
        <w:t xml:space="preserve"> servicios incluirán los factores determinantes básicos de la salud, como agua limpia potable y condiciones sanitarias adecuadas, hospitales, clínicas y demás establecimie</w:t>
      </w:r>
      <w:r w:rsidRPr="001A7A8E">
        <w:rPr>
          <w:sz w:val="16"/>
          <w:szCs w:val="16"/>
          <w:lang w:val="es-AR"/>
        </w:rPr>
        <w:t>ntos relacionados con la salud, personal médico y profesional capacitado […]</w:t>
      </w:r>
    </w:p>
    <w:p w14:paraId="7DC0EE14" w14:textId="4680DEE6" w:rsidR="003C025E" w:rsidRPr="00A3172B" w:rsidRDefault="003C025E" w:rsidP="009455C8">
      <w:pPr>
        <w:pStyle w:val="FootnoteText"/>
        <w:rPr>
          <w:sz w:val="16"/>
          <w:szCs w:val="16"/>
          <w:lang w:val="es-AR"/>
        </w:rPr>
      </w:pPr>
      <w:r w:rsidRPr="001620F7">
        <w:rPr>
          <w:sz w:val="16"/>
          <w:szCs w:val="16"/>
          <w:lang w:val="es-AR"/>
        </w:rPr>
        <w:t>b) Accesibilidad. Los establecimientos, bienes y servicios de salud deben ser accesibles a todos, sin discriminación alguna, dentro de la jurisdicción del Estado Parte</w:t>
      </w:r>
      <w:r w:rsidRPr="00263E42">
        <w:rPr>
          <w:sz w:val="16"/>
          <w:szCs w:val="16"/>
          <w:lang w:val="es-AR"/>
        </w:rPr>
        <w:t xml:space="preserve"> […]</w:t>
      </w:r>
      <w:r w:rsidRPr="00A3172B">
        <w:rPr>
          <w:sz w:val="16"/>
          <w:szCs w:val="16"/>
          <w:lang w:val="es-AR"/>
        </w:rPr>
        <w:t>;</w:t>
      </w:r>
    </w:p>
    <w:p w14:paraId="6D7A631C" w14:textId="77777777" w:rsidR="003C025E" w:rsidRPr="008952D9" w:rsidRDefault="003C025E" w:rsidP="009455C8">
      <w:pPr>
        <w:pStyle w:val="FootnoteText"/>
        <w:rPr>
          <w:sz w:val="16"/>
          <w:szCs w:val="16"/>
          <w:lang w:val="es-AR"/>
        </w:rPr>
      </w:pPr>
      <w:r w:rsidRPr="008952D9">
        <w:rPr>
          <w:sz w:val="16"/>
          <w:szCs w:val="16"/>
          <w:lang w:val="es-AR"/>
        </w:rPr>
        <w:t>c) Aceptabilidad. Todos los establecimientos, bienes y servicios de salud deberán ser respetuosos de la ética médica y culturalmente apropiados, […] y deberán estar concebidos para respetar la confidencialidad y mejorar el estado de salud de las personas de que se trate;</w:t>
      </w:r>
    </w:p>
    <w:p w14:paraId="0B390DF4" w14:textId="77777777" w:rsidR="003C025E" w:rsidRPr="00B1523A" w:rsidRDefault="003C025E" w:rsidP="009455C8">
      <w:pPr>
        <w:pStyle w:val="FootnoteText"/>
        <w:rPr>
          <w:sz w:val="16"/>
          <w:szCs w:val="16"/>
          <w:lang w:val="es-AR"/>
        </w:rPr>
      </w:pPr>
      <w:r w:rsidRPr="008952D9">
        <w:rPr>
          <w:sz w:val="16"/>
          <w:szCs w:val="16"/>
          <w:lang w:val="es-AR"/>
        </w:rPr>
        <w:t>d) 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p>
  </w:footnote>
  <w:footnote w:id="176">
    <w:p w14:paraId="26D908F5" w14:textId="32656018" w:rsidR="003C025E" w:rsidRPr="002570D1" w:rsidRDefault="003C025E" w:rsidP="00911089">
      <w:pPr>
        <w:pStyle w:val="FootnoteText"/>
        <w:rPr>
          <w:sz w:val="16"/>
          <w:szCs w:val="16"/>
          <w:lang w:val="es-GT"/>
        </w:rPr>
      </w:pPr>
      <w:r w:rsidRPr="008952D9">
        <w:rPr>
          <w:rStyle w:val="FootnoteReference"/>
          <w:rFonts w:eastAsia="MS ????"/>
          <w:color w:val="000000"/>
          <w:sz w:val="16"/>
          <w:szCs w:val="16"/>
        </w:rPr>
        <w:footnoteRef/>
      </w:r>
      <w:r w:rsidRPr="008952D9">
        <w:rPr>
          <w:sz w:val="16"/>
          <w:szCs w:val="16"/>
          <w:lang w:val="es-CR"/>
        </w:rPr>
        <w:t xml:space="preserve"> </w:t>
      </w:r>
      <w:r>
        <w:rPr>
          <w:sz w:val="16"/>
          <w:szCs w:val="16"/>
          <w:lang w:val="es-CR"/>
        </w:rPr>
        <w:tab/>
      </w:r>
      <w:r w:rsidRPr="008952D9">
        <w:rPr>
          <w:i/>
          <w:sz w:val="16"/>
          <w:szCs w:val="16"/>
          <w:lang w:val="es-CR"/>
        </w:rPr>
        <w:t xml:space="preserve">Cfr. </w:t>
      </w:r>
      <w:r w:rsidRPr="008952D9">
        <w:rPr>
          <w:i/>
          <w:sz w:val="16"/>
          <w:szCs w:val="16"/>
          <w:lang w:val="es-GT"/>
        </w:rPr>
        <w:t>Caso Suárez Peralta Vs. Ecuador, supra</w:t>
      </w:r>
      <w:r w:rsidRPr="008952D9">
        <w:rPr>
          <w:sz w:val="16"/>
          <w:szCs w:val="16"/>
          <w:lang w:val="es-GT"/>
        </w:rPr>
        <w:t xml:space="preserve">, párr. </w:t>
      </w:r>
      <w:r>
        <w:rPr>
          <w:sz w:val="16"/>
          <w:szCs w:val="16"/>
          <w:lang w:val="es-GT"/>
        </w:rPr>
        <w:t>152</w:t>
      </w:r>
      <w:r w:rsidRPr="00A7242E">
        <w:rPr>
          <w:sz w:val="16"/>
          <w:szCs w:val="16"/>
          <w:lang w:val="es-GT"/>
        </w:rPr>
        <w:t xml:space="preserve">, y </w:t>
      </w:r>
      <w:r w:rsidRPr="00A7242E">
        <w:rPr>
          <w:i/>
          <w:sz w:val="16"/>
          <w:szCs w:val="16"/>
          <w:lang w:val="es-GT"/>
        </w:rPr>
        <w:t xml:space="preserve">Caso Gonzales </w:t>
      </w:r>
      <w:proofErr w:type="spellStart"/>
      <w:r w:rsidRPr="00A7242E">
        <w:rPr>
          <w:i/>
          <w:sz w:val="16"/>
          <w:szCs w:val="16"/>
          <w:lang w:val="es-GT"/>
        </w:rPr>
        <w:t>Lluy</w:t>
      </w:r>
      <w:proofErr w:type="spellEnd"/>
      <w:r w:rsidRPr="00A7242E">
        <w:rPr>
          <w:i/>
          <w:sz w:val="16"/>
          <w:szCs w:val="16"/>
          <w:lang w:val="es-GT"/>
        </w:rPr>
        <w:t xml:space="preserve"> y otros Vs. Ecuador, supra, </w:t>
      </w:r>
      <w:r w:rsidRPr="00D87D5F">
        <w:rPr>
          <w:sz w:val="16"/>
          <w:szCs w:val="16"/>
          <w:lang w:val="es-GT"/>
        </w:rPr>
        <w:t>párr. 235</w:t>
      </w:r>
      <w:r>
        <w:rPr>
          <w:sz w:val="16"/>
          <w:szCs w:val="16"/>
          <w:lang w:val="es-GT"/>
        </w:rPr>
        <w:t>.</w:t>
      </w:r>
    </w:p>
  </w:footnote>
  <w:footnote w:id="177">
    <w:p w14:paraId="6F396522" w14:textId="36B94EF4" w:rsidR="003C025E" w:rsidRPr="002570D1" w:rsidRDefault="003C025E" w:rsidP="00911089">
      <w:pPr>
        <w:pStyle w:val="FootnoteText"/>
        <w:rPr>
          <w:sz w:val="16"/>
          <w:szCs w:val="16"/>
          <w:lang w:val="es-AR"/>
        </w:rPr>
      </w:pPr>
      <w:r w:rsidRPr="002570D1">
        <w:rPr>
          <w:rStyle w:val="FootnoteReference"/>
          <w:rFonts w:eastAsia="MS ????"/>
          <w:sz w:val="16"/>
          <w:szCs w:val="16"/>
        </w:rPr>
        <w:footnoteRef/>
      </w:r>
      <w:r w:rsidRPr="002570D1">
        <w:rPr>
          <w:sz w:val="16"/>
          <w:szCs w:val="16"/>
          <w:lang w:val="es-AR"/>
        </w:rPr>
        <w:t xml:space="preserve"> </w:t>
      </w:r>
      <w:r>
        <w:rPr>
          <w:sz w:val="16"/>
          <w:szCs w:val="16"/>
          <w:lang w:val="es-AR"/>
        </w:rPr>
        <w:tab/>
      </w:r>
      <w:r w:rsidRPr="002570D1">
        <w:rPr>
          <w:sz w:val="16"/>
          <w:szCs w:val="16"/>
          <w:lang w:val="es-MX"/>
        </w:rPr>
        <w:t xml:space="preserve">La Corte ha señalado que los </w:t>
      </w:r>
      <w:r>
        <w:rPr>
          <w:sz w:val="16"/>
          <w:szCs w:val="16"/>
          <w:lang w:val="es-MX"/>
        </w:rPr>
        <w:t>E</w:t>
      </w:r>
      <w:r w:rsidRPr="002570D1">
        <w:rPr>
          <w:sz w:val="16"/>
          <w:szCs w:val="16"/>
          <w:lang w:val="es-MX"/>
        </w:rPr>
        <w:t>stados tienen el deber de asegurar el acceso de las pe</w:t>
      </w:r>
      <w:r>
        <w:rPr>
          <w:sz w:val="16"/>
          <w:szCs w:val="16"/>
          <w:lang w:val="es-MX"/>
        </w:rPr>
        <w:t>r</w:t>
      </w:r>
      <w:r w:rsidRPr="002570D1">
        <w:rPr>
          <w:sz w:val="16"/>
          <w:szCs w:val="16"/>
          <w:lang w:val="es-MX"/>
        </w:rPr>
        <w:t xml:space="preserve">sonas a servicios básicos de salud. </w:t>
      </w:r>
      <w:r>
        <w:rPr>
          <w:i/>
          <w:sz w:val="16"/>
          <w:szCs w:val="16"/>
          <w:lang w:val="es-MX"/>
        </w:rPr>
        <w:t xml:space="preserve">Cfr. </w:t>
      </w:r>
      <w:r w:rsidRPr="00B1523A">
        <w:rPr>
          <w:i/>
          <w:sz w:val="16"/>
          <w:szCs w:val="16"/>
          <w:lang w:val="es-MX"/>
        </w:rPr>
        <w:t xml:space="preserve">Caso </w:t>
      </w:r>
      <w:proofErr w:type="spellStart"/>
      <w:r w:rsidRPr="00B1523A">
        <w:rPr>
          <w:i/>
          <w:sz w:val="16"/>
          <w:szCs w:val="16"/>
          <w:lang w:val="es-MX"/>
        </w:rPr>
        <w:t>Ximenes</w:t>
      </w:r>
      <w:proofErr w:type="spellEnd"/>
      <w:r w:rsidRPr="00B1523A">
        <w:rPr>
          <w:i/>
          <w:sz w:val="16"/>
          <w:szCs w:val="16"/>
          <w:lang w:val="es-MX"/>
        </w:rPr>
        <w:t xml:space="preserve"> </w:t>
      </w:r>
      <w:proofErr w:type="spellStart"/>
      <w:r w:rsidRPr="00B1523A">
        <w:rPr>
          <w:i/>
          <w:sz w:val="16"/>
          <w:szCs w:val="16"/>
          <w:lang w:val="es-MX"/>
        </w:rPr>
        <w:t>Lópes</w:t>
      </w:r>
      <w:proofErr w:type="spellEnd"/>
      <w:r w:rsidRPr="00B1523A">
        <w:rPr>
          <w:i/>
          <w:sz w:val="16"/>
          <w:szCs w:val="16"/>
          <w:lang w:val="es-MX"/>
        </w:rPr>
        <w:t xml:space="preserve"> Vs. Brasil</w:t>
      </w:r>
      <w:r>
        <w:rPr>
          <w:sz w:val="16"/>
          <w:szCs w:val="16"/>
          <w:lang w:val="es-MX"/>
        </w:rPr>
        <w:t xml:space="preserve">, </w:t>
      </w:r>
      <w:r w:rsidRPr="00B1523A">
        <w:rPr>
          <w:i/>
          <w:sz w:val="16"/>
          <w:szCs w:val="16"/>
          <w:lang w:val="es-MX"/>
        </w:rPr>
        <w:t>supra</w:t>
      </w:r>
      <w:r>
        <w:rPr>
          <w:sz w:val="16"/>
          <w:szCs w:val="16"/>
          <w:lang w:val="es-MX"/>
        </w:rPr>
        <w:t xml:space="preserve">, </w:t>
      </w:r>
      <w:r w:rsidRPr="00802B39">
        <w:rPr>
          <w:sz w:val="16"/>
          <w:szCs w:val="16"/>
          <w:lang w:val="es-MX"/>
        </w:rPr>
        <w:t>párr. 128.</w:t>
      </w:r>
    </w:p>
  </w:footnote>
  <w:footnote w:id="178">
    <w:p w14:paraId="07E9CA28" w14:textId="48F0371A" w:rsidR="003C025E" w:rsidRPr="002570D1" w:rsidRDefault="003C025E" w:rsidP="00911089">
      <w:pPr>
        <w:pStyle w:val="FootnoteText"/>
        <w:rPr>
          <w:sz w:val="16"/>
          <w:szCs w:val="16"/>
          <w:lang w:val="es-MX"/>
        </w:rPr>
      </w:pPr>
      <w:r w:rsidRPr="002570D1">
        <w:rPr>
          <w:rStyle w:val="FootnoteReference"/>
          <w:rFonts w:eastAsia="MS ????"/>
          <w:color w:val="000000"/>
          <w:sz w:val="16"/>
          <w:szCs w:val="16"/>
        </w:rPr>
        <w:footnoteRef/>
      </w:r>
      <w:r w:rsidRPr="002570D1">
        <w:rPr>
          <w:rStyle w:val="FootnoteReference"/>
          <w:rFonts w:eastAsia="MS ????"/>
          <w:color w:val="000000"/>
          <w:sz w:val="16"/>
          <w:szCs w:val="16"/>
          <w:lang w:val="es-AR"/>
        </w:rPr>
        <w:t xml:space="preserve"> </w:t>
      </w:r>
      <w:r>
        <w:rPr>
          <w:sz w:val="16"/>
          <w:szCs w:val="16"/>
          <w:lang w:val="es-AR"/>
        </w:rPr>
        <w:tab/>
      </w:r>
      <w:r w:rsidRPr="002570D1">
        <w:rPr>
          <w:sz w:val="16"/>
          <w:szCs w:val="16"/>
          <w:lang w:val="es-MX"/>
        </w:rPr>
        <w:t>Al respecto</w:t>
      </w:r>
      <w:r>
        <w:rPr>
          <w:sz w:val="16"/>
          <w:szCs w:val="16"/>
          <w:lang w:val="es-MX"/>
        </w:rPr>
        <w:t>,</w:t>
      </w:r>
      <w:r w:rsidRPr="002570D1">
        <w:rPr>
          <w:sz w:val="16"/>
          <w:szCs w:val="16"/>
          <w:lang w:val="es-MX"/>
        </w:rPr>
        <w:t xml:space="preserve"> la perita Alicia Ely </w:t>
      </w:r>
      <w:proofErr w:type="spellStart"/>
      <w:r w:rsidRPr="002570D1">
        <w:rPr>
          <w:sz w:val="16"/>
          <w:szCs w:val="16"/>
          <w:lang w:val="es-MX"/>
        </w:rPr>
        <w:t>Yamin</w:t>
      </w:r>
      <w:proofErr w:type="spellEnd"/>
      <w:r w:rsidRPr="002570D1">
        <w:rPr>
          <w:sz w:val="16"/>
          <w:szCs w:val="16"/>
          <w:lang w:val="es-MX"/>
        </w:rPr>
        <w:t xml:space="preserve"> destacó </w:t>
      </w:r>
      <w:r w:rsidRPr="0065542C">
        <w:rPr>
          <w:sz w:val="16"/>
          <w:szCs w:val="16"/>
          <w:lang w:val="es-MX"/>
        </w:rPr>
        <w:t xml:space="preserve">en el documento complementario de su declaración pericial </w:t>
      </w:r>
      <w:r w:rsidRPr="002570D1">
        <w:rPr>
          <w:sz w:val="16"/>
          <w:szCs w:val="16"/>
          <w:lang w:val="es-MX"/>
        </w:rPr>
        <w:t>que un enfoque de derechos humanos en las políticas de salud exige que el sistema de salud garantice acceso equitativo y disponibilidad de servicios aceptables, en conjunto con una atención de calidad</w:t>
      </w:r>
      <w:r>
        <w:rPr>
          <w:sz w:val="16"/>
          <w:szCs w:val="16"/>
          <w:lang w:val="es-MX"/>
        </w:rPr>
        <w:t xml:space="preserve"> (expediente de fondo, f. 754).</w:t>
      </w:r>
      <w:r w:rsidRPr="002570D1">
        <w:rPr>
          <w:sz w:val="16"/>
          <w:szCs w:val="16"/>
          <w:lang w:val="es-MX"/>
        </w:rPr>
        <w:t xml:space="preserve"> </w:t>
      </w:r>
    </w:p>
  </w:footnote>
  <w:footnote w:id="179">
    <w:p w14:paraId="2EFD1D4D" w14:textId="6ADB1C66" w:rsidR="003C025E" w:rsidRPr="0059117C" w:rsidRDefault="003C025E" w:rsidP="00EA385D">
      <w:pPr>
        <w:pStyle w:val="FootnoteText"/>
        <w:rPr>
          <w:sz w:val="16"/>
          <w:szCs w:val="16"/>
          <w:lang w:val="es-AR"/>
        </w:rPr>
      </w:pPr>
      <w:r w:rsidRPr="0059117C">
        <w:rPr>
          <w:rStyle w:val="FootnoteReference"/>
          <w:rFonts w:eastAsia="Calibri"/>
          <w:sz w:val="16"/>
          <w:szCs w:val="16"/>
          <w:lang w:eastAsia="en-US"/>
        </w:rPr>
        <w:footnoteRef/>
      </w:r>
      <w:r>
        <w:t xml:space="preserve"> </w:t>
      </w:r>
      <w:r>
        <w:tab/>
      </w:r>
      <w:r w:rsidRPr="0059117C">
        <w:rPr>
          <w:sz w:val="16"/>
          <w:szCs w:val="16"/>
          <w:lang w:val="es-AR"/>
        </w:rPr>
        <w:t>V</w:t>
      </w:r>
      <w:r>
        <w:rPr>
          <w:sz w:val="16"/>
          <w:szCs w:val="16"/>
          <w:lang w:val="es-AR"/>
        </w:rPr>
        <w:t>éase:</w:t>
      </w:r>
      <w:r w:rsidRPr="0059117C">
        <w:rPr>
          <w:sz w:val="16"/>
          <w:szCs w:val="16"/>
          <w:lang w:val="es-AR"/>
        </w:rPr>
        <w:t xml:space="preserve"> </w:t>
      </w:r>
      <w:r>
        <w:rPr>
          <w:sz w:val="16"/>
          <w:szCs w:val="16"/>
          <w:lang w:val="es-AR"/>
        </w:rPr>
        <w:t xml:space="preserve">ONU. </w:t>
      </w:r>
      <w:r w:rsidRPr="0059117C">
        <w:rPr>
          <w:sz w:val="16"/>
          <w:szCs w:val="16"/>
          <w:lang w:val="es-AR"/>
        </w:rPr>
        <w:t>Comité DESC</w:t>
      </w:r>
      <w:r>
        <w:rPr>
          <w:sz w:val="16"/>
          <w:szCs w:val="16"/>
          <w:lang w:val="es-AR"/>
        </w:rPr>
        <w:t xml:space="preserve">, </w:t>
      </w:r>
      <w:r w:rsidRPr="00B1523A">
        <w:rPr>
          <w:i/>
          <w:sz w:val="16"/>
          <w:szCs w:val="16"/>
          <w:lang w:val="es-AR"/>
        </w:rPr>
        <w:t>Observación General No</w:t>
      </w:r>
      <w:r>
        <w:rPr>
          <w:i/>
          <w:sz w:val="16"/>
          <w:szCs w:val="16"/>
          <w:lang w:val="es-AR"/>
        </w:rPr>
        <w:t>.</w:t>
      </w:r>
      <w:r w:rsidRPr="00B1523A">
        <w:rPr>
          <w:i/>
          <w:sz w:val="16"/>
          <w:szCs w:val="16"/>
          <w:lang w:val="es-AR"/>
        </w:rPr>
        <w:t xml:space="preserve"> </w:t>
      </w:r>
      <w:r w:rsidRPr="00B1523A">
        <w:rPr>
          <w:i/>
          <w:color w:val="000000"/>
          <w:sz w:val="16"/>
          <w:lang w:val="es-MX"/>
        </w:rPr>
        <w:t>14</w:t>
      </w:r>
      <w:r w:rsidRPr="005430FF">
        <w:rPr>
          <w:color w:val="000000"/>
          <w:sz w:val="16"/>
          <w:lang w:val="es-MX"/>
        </w:rPr>
        <w:t>,</w:t>
      </w:r>
      <w:r w:rsidRPr="005430FF">
        <w:rPr>
          <w:color w:val="000000"/>
          <w:sz w:val="16"/>
          <w:lang w:val="es-CR"/>
        </w:rPr>
        <w:t xml:space="preserve"> </w:t>
      </w:r>
      <w:r w:rsidRPr="00B1523A">
        <w:rPr>
          <w:i/>
          <w:color w:val="000000"/>
          <w:sz w:val="16"/>
          <w:lang w:val="es-MX"/>
        </w:rPr>
        <w:t>supra</w:t>
      </w:r>
      <w:r w:rsidRPr="0059117C">
        <w:rPr>
          <w:sz w:val="16"/>
          <w:szCs w:val="16"/>
          <w:lang w:val="es-AR"/>
        </w:rPr>
        <w:t>,</w:t>
      </w:r>
      <w:r>
        <w:rPr>
          <w:sz w:val="16"/>
          <w:szCs w:val="16"/>
          <w:lang w:val="es-AR"/>
        </w:rPr>
        <w:t xml:space="preserve"> párr. 12. Al respecto, se expresa en la misma que la </w:t>
      </w:r>
      <w:r w:rsidRPr="003F0801">
        <w:rPr>
          <w:sz w:val="16"/>
          <w:szCs w:val="16"/>
          <w:lang w:val="es-AR"/>
        </w:rPr>
        <w:t>accesibilidad presenta cuatro</w:t>
      </w:r>
      <w:r>
        <w:rPr>
          <w:sz w:val="16"/>
          <w:szCs w:val="16"/>
          <w:lang w:val="es-AR"/>
        </w:rPr>
        <w:t xml:space="preserve"> </w:t>
      </w:r>
      <w:r w:rsidRPr="003F0801">
        <w:rPr>
          <w:sz w:val="16"/>
          <w:szCs w:val="16"/>
          <w:lang w:val="es-AR"/>
        </w:rPr>
        <w:t>dimensiones superpuestas</w:t>
      </w:r>
      <w:r>
        <w:rPr>
          <w:sz w:val="16"/>
          <w:szCs w:val="16"/>
          <w:lang w:val="es-AR"/>
        </w:rPr>
        <w:t>, una de ellas es la n</w:t>
      </w:r>
      <w:r w:rsidRPr="003F0801">
        <w:rPr>
          <w:sz w:val="16"/>
          <w:szCs w:val="16"/>
          <w:lang w:val="es-AR"/>
        </w:rPr>
        <w:t>o discriminación</w:t>
      </w:r>
      <w:r>
        <w:rPr>
          <w:sz w:val="16"/>
          <w:szCs w:val="16"/>
          <w:lang w:val="es-AR"/>
        </w:rPr>
        <w:t>, la cual consiste en que</w:t>
      </w:r>
      <w:r w:rsidRPr="0059117C">
        <w:rPr>
          <w:sz w:val="16"/>
          <w:szCs w:val="16"/>
          <w:lang w:val="es-AR"/>
        </w:rPr>
        <w:t xml:space="preserve"> los establecimientos, bienes y servicios de salud debe</w:t>
      </w:r>
      <w:r w:rsidRPr="003F0801">
        <w:rPr>
          <w:sz w:val="16"/>
          <w:szCs w:val="16"/>
          <w:lang w:val="es-AR"/>
        </w:rPr>
        <w:t>n ser accesibles, de hecho y de</w:t>
      </w:r>
      <w:r>
        <w:rPr>
          <w:sz w:val="16"/>
          <w:szCs w:val="16"/>
          <w:lang w:val="es-AR"/>
        </w:rPr>
        <w:t xml:space="preserve"> </w:t>
      </w:r>
      <w:r w:rsidRPr="0059117C">
        <w:rPr>
          <w:sz w:val="16"/>
          <w:szCs w:val="16"/>
          <w:lang w:val="es-AR"/>
        </w:rPr>
        <w:t>derecho, a los sectores más vulnerables y marginados de la población, sin discriminación alguna por</w:t>
      </w:r>
      <w:r>
        <w:rPr>
          <w:sz w:val="16"/>
          <w:szCs w:val="16"/>
          <w:lang w:val="es-AR"/>
        </w:rPr>
        <w:t xml:space="preserve"> </w:t>
      </w:r>
      <w:r w:rsidRPr="0059117C">
        <w:rPr>
          <w:sz w:val="16"/>
          <w:szCs w:val="16"/>
          <w:lang w:val="es-AR"/>
        </w:rPr>
        <w:t>cualquiera de los motivos prohibidos</w:t>
      </w:r>
      <w:r>
        <w:rPr>
          <w:sz w:val="16"/>
          <w:szCs w:val="16"/>
          <w:lang w:val="es-AR"/>
        </w:rPr>
        <w:t>.</w:t>
      </w:r>
    </w:p>
  </w:footnote>
  <w:footnote w:id="180">
    <w:p w14:paraId="3F78F5B6" w14:textId="6834D7C9" w:rsidR="003C025E" w:rsidRPr="004A2E72" w:rsidRDefault="003C025E" w:rsidP="005D383C">
      <w:pPr>
        <w:pStyle w:val="FootnoteText"/>
      </w:pPr>
      <w:r w:rsidRPr="00383565">
        <w:rPr>
          <w:rStyle w:val="FootnoteReference"/>
          <w:rFonts w:eastAsia="Calibri"/>
          <w:sz w:val="16"/>
          <w:szCs w:val="16"/>
          <w:lang w:eastAsia="en-US"/>
        </w:rPr>
        <w:footnoteRef/>
      </w:r>
      <w:r w:rsidRPr="00383565">
        <w:rPr>
          <w:rStyle w:val="FootnoteReference"/>
          <w:rFonts w:eastAsia="Calibri"/>
          <w:sz w:val="16"/>
          <w:szCs w:val="16"/>
          <w:lang w:eastAsia="en-US"/>
        </w:rPr>
        <w:t xml:space="preserve"> </w:t>
      </w:r>
      <w:r>
        <w:rPr>
          <w:rFonts w:eastAsia="Calibri"/>
          <w:sz w:val="16"/>
          <w:szCs w:val="16"/>
          <w:lang w:eastAsia="en-US"/>
        </w:rPr>
        <w:t xml:space="preserve">  </w:t>
      </w:r>
      <w:r>
        <w:rPr>
          <w:rFonts w:eastAsia="Calibri"/>
          <w:sz w:val="16"/>
          <w:szCs w:val="16"/>
          <w:lang w:eastAsia="en-US"/>
        </w:rPr>
        <w:tab/>
      </w:r>
      <w:r w:rsidRPr="00062586">
        <w:rPr>
          <w:rFonts w:eastAsia="Calibri"/>
          <w:i/>
          <w:sz w:val="16"/>
          <w:szCs w:val="16"/>
          <w:lang w:eastAsia="en-US"/>
        </w:rPr>
        <w:t>Cfr.</w:t>
      </w:r>
      <w:r>
        <w:rPr>
          <w:rFonts w:eastAsia="Calibri"/>
          <w:sz w:val="16"/>
          <w:szCs w:val="16"/>
          <w:lang w:eastAsia="en-US"/>
        </w:rPr>
        <w:t xml:space="preserve"> </w:t>
      </w:r>
      <w:r w:rsidRPr="006E25EC">
        <w:rPr>
          <w:rFonts w:eastAsia="Calibri"/>
          <w:sz w:val="16"/>
          <w:szCs w:val="16"/>
          <w:lang w:val="es-CR" w:eastAsia="en-US"/>
        </w:rPr>
        <w:t xml:space="preserve">Convención Interamericana </w:t>
      </w:r>
      <w:r>
        <w:rPr>
          <w:rFonts w:eastAsia="Calibri"/>
          <w:sz w:val="16"/>
          <w:szCs w:val="16"/>
          <w:lang w:val="es-CR" w:eastAsia="en-US"/>
        </w:rPr>
        <w:t>sobre</w:t>
      </w:r>
      <w:r w:rsidRPr="006E25EC">
        <w:rPr>
          <w:rFonts w:eastAsia="Calibri"/>
          <w:sz w:val="16"/>
          <w:szCs w:val="16"/>
          <w:lang w:val="es-CR" w:eastAsia="en-US"/>
        </w:rPr>
        <w:t xml:space="preserve"> la Protección de los Derechos </w:t>
      </w:r>
      <w:r>
        <w:rPr>
          <w:rFonts w:eastAsia="Calibri"/>
          <w:sz w:val="16"/>
          <w:szCs w:val="16"/>
          <w:lang w:val="es-CR" w:eastAsia="en-US"/>
        </w:rPr>
        <w:t xml:space="preserve">Humanos de las Personas Mayores, </w:t>
      </w:r>
      <w:r w:rsidRPr="00B1523A">
        <w:rPr>
          <w:rFonts w:eastAsia="Calibri"/>
          <w:i/>
          <w:sz w:val="16"/>
          <w:szCs w:val="16"/>
          <w:lang w:val="es-CR" w:eastAsia="en-US"/>
        </w:rPr>
        <w:t>supra</w:t>
      </w:r>
      <w:r>
        <w:rPr>
          <w:rFonts w:eastAsia="Calibri"/>
          <w:sz w:val="16"/>
          <w:szCs w:val="16"/>
          <w:lang w:val="es-CR" w:eastAsia="en-US"/>
        </w:rPr>
        <w:t xml:space="preserve">, Preámbulo y artículo 5. </w:t>
      </w:r>
      <w:r>
        <w:rPr>
          <w:sz w:val="16"/>
          <w:szCs w:val="16"/>
          <w:lang w:val="es-CR"/>
        </w:rPr>
        <w:t xml:space="preserve">Véase también el </w:t>
      </w:r>
      <w:r w:rsidRPr="000203F0">
        <w:rPr>
          <w:sz w:val="16"/>
          <w:szCs w:val="16"/>
          <w:lang w:val="es-CR"/>
        </w:rPr>
        <w:t xml:space="preserve">Preámbulo de la Constitución de la OMS, </w:t>
      </w:r>
      <w:r w:rsidRPr="000203F0">
        <w:rPr>
          <w:i/>
          <w:sz w:val="16"/>
          <w:szCs w:val="16"/>
          <w:lang w:val="es-CR"/>
        </w:rPr>
        <w:t xml:space="preserve">supra, </w:t>
      </w:r>
      <w:r w:rsidRPr="000203F0">
        <w:rPr>
          <w:sz w:val="16"/>
          <w:szCs w:val="16"/>
          <w:lang w:val="es-CR"/>
        </w:rPr>
        <w:t xml:space="preserve">párr. </w:t>
      </w:r>
      <w:r>
        <w:rPr>
          <w:sz w:val="16"/>
          <w:szCs w:val="16"/>
          <w:lang w:val="es-CR"/>
        </w:rPr>
        <w:t>3, que establece que [e]</w:t>
      </w:r>
      <w:r w:rsidRPr="00057C01">
        <w:rPr>
          <w:sz w:val="16"/>
        </w:rPr>
        <w:t>l goce del grado máximo de salud que se pueda lograr es uno de los derechos fundamentales de todo ser humano sin distinción de raza, religión, ideología política o condición económica o social.</w:t>
      </w:r>
    </w:p>
  </w:footnote>
  <w:footnote w:id="181">
    <w:p w14:paraId="1E771964" w14:textId="6E867AC2" w:rsidR="003C025E" w:rsidRPr="00B1523A" w:rsidRDefault="003C025E" w:rsidP="005D383C">
      <w:pPr>
        <w:pStyle w:val="FootnoteText"/>
        <w:rPr>
          <w:sz w:val="16"/>
          <w:szCs w:val="16"/>
          <w:highlight w:val="yellow"/>
          <w:lang w:val="es-CR"/>
        </w:rPr>
      </w:pPr>
      <w:r w:rsidRPr="00B1523A">
        <w:rPr>
          <w:rStyle w:val="FootnoteReference"/>
          <w:rFonts w:eastAsia="MS ????"/>
          <w:sz w:val="16"/>
          <w:szCs w:val="16"/>
        </w:rPr>
        <w:footnoteRef/>
      </w:r>
      <w:r w:rsidRPr="00B1523A">
        <w:rPr>
          <w:sz w:val="16"/>
          <w:szCs w:val="16"/>
        </w:rPr>
        <w:t xml:space="preserve"> </w:t>
      </w:r>
      <w:r>
        <w:tab/>
      </w:r>
      <w:r w:rsidRPr="00A1071C">
        <w:rPr>
          <w:i/>
          <w:sz w:val="16"/>
          <w:szCs w:val="16"/>
          <w:lang w:val="es-GT"/>
        </w:rPr>
        <w:t>Cfr.</w:t>
      </w:r>
      <w:r>
        <w:rPr>
          <w:i/>
          <w:sz w:val="16"/>
          <w:szCs w:val="16"/>
          <w:lang w:val="es-GT"/>
        </w:rPr>
        <w:t xml:space="preserve"> Inter </w:t>
      </w:r>
      <w:proofErr w:type="spellStart"/>
      <w:r>
        <w:rPr>
          <w:i/>
          <w:sz w:val="16"/>
          <w:szCs w:val="16"/>
          <w:lang w:val="es-GT"/>
        </w:rPr>
        <w:t>alia</w:t>
      </w:r>
      <w:proofErr w:type="spellEnd"/>
      <w:r>
        <w:rPr>
          <w:i/>
          <w:sz w:val="16"/>
          <w:szCs w:val="16"/>
          <w:lang w:val="es-GT"/>
        </w:rPr>
        <w:t>:</w:t>
      </w:r>
      <w:r w:rsidRPr="00B1523A">
        <w:rPr>
          <w:sz w:val="16"/>
          <w:szCs w:val="16"/>
          <w:lang w:val="es-GT"/>
        </w:rPr>
        <w:t xml:space="preserve"> </w:t>
      </w:r>
      <w:r w:rsidRPr="00B1523A">
        <w:rPr>
          <w:i/>
          <w:sz w:val="16"/>
          <w:szCs w:val="16"/>
          <w:lang w:val="es-GT"/>
        </w:rPr>
        <w:t xml:space="preserve">Caso Veliz Franco y Otros Vs. </w:t>
      </w:r>
      <w:r>
        <w:rPr>
          <w:i/>
          <w:sz w:val="16"/>
          <w:szCs w:val="16"/>
          <w:lang w:val="es-GT"/>
        </w:rPr>
        <w:t>Guatemala</w:t>
      </w:r>
      <w:r w:rsidRPr="00B1523A">
        <w:rPr>
          <w:i/>
          <w:sz w:val="16"/>
          <w:szCs w:val="16"/>
          <w:lang w:val="es-GT"/>
        </w:rPr>
        <w:t xml:space="preserve">. Excepciones Preliminares, Fondo, Reparaciones y Costas. </w:t>
      </w:r>
      <w:r w:rsidRPr="00B1523A">
        <w:rPr>
          <w:sz w:val="16"/>
          <w:szCs w:val="16"/>
          <w:lang w:val="es-GT"/>
        </w:rPr>
        <w:t xml:space="preserve">Sentencia de 19 de mayo de 2014. Serie C No. 277, párr. 204;  </w:t>
      </w:r>
      <w:r w:rsidRPr="00B1523A">
        <w:rPr>
          <w:i/>
          <w:sz w:val="16"/>
          <w:szCs w:val="16"/>
          <w:lang w:val="es-GT"/>
        </w:rPr>
        <w:t xml:space="preserve">Caso </w:t>
      </w:r>
      <w:proofErr w:type="spellStart"/>
      <w:r w:rsidRPr="00B1523A">
        <w:rPr>
          <w:i/>
          <w:sz w:val="16"/>
          <w:szCs w:val="16"/>
          <w:lang w:val="es-GT"/>
        </w:rPr>
        <w:t>Caso</w:t>
      </w:r>
      <w:proofErr w:type="spellEnd"/>
      <w:r w:rsidRPr="00B1523A">
        <w:rPr>
          <w:i/>
          <w:sz w:val="16"/>
          <w:szCs w:val="16"/>
          <w:lang w:val="es-GT"/>
        </w:rPr>
        <w:t xml:space="preserve"> Gonzales </w:t>
      </w:r>
      <w:proofErr w:type="spellStart"/>
      <w:r w:rsidRPr="00B1523A">
        <w:rPr>
          <w:i/>
          <w:sz w:val="16"/>
          <w:szCs w:val="16"/>
          <w:lang w:val="es-GT"/>
        </w:rPr>
        <w:t>Lluy</w:t>
      </w:r>
      <w:proofErr w:type="spellEnd"/>
      <w:r w:rsidRPr="00B1523A">
        <w:rPr>
          <w:i/>
          <w:sz w:val="16"/>
          <w:szCs w:val="16"/>
          <w:lang w:val="es-GT"/>
        </w:rPr>
        <w:t xml:space="preserve"> y otros Vs. Ecuador, supra, </w:t>
      </w:r>
      <w:r w:rsidRPr="005415CD">
        <w:rPr>
          <w:sz w:val="16"/>
          <w:szCs w:val="16"/>
          <w:lang w:val="es-GT"/>
        </w:rPr>
        <w:t>párr. 288;</w:t>
      </w:r>
      <w:r w:rsidRPr="00B1523A">
        <w:rPr>
          <w:i/>
          <w:sz w:val="16"/>
          <w:szCs w:val="16"/>
          <w:lang w:val="es-GT"/>
        </w:rPr>
        <w:t xml:space="preserve"> Caso Velásquez </w:t>
      </w:r>
      <w:proofErr w:type="spellStart"/>
      <w:r w:rsidRPr="00B1523A">
        <w:rPr>
          <w:i/>
          <w:sz w:val="16"/>
          <w:szCs w:val="16"/>
          <w:lang w:val="es-GT"/>
        </w:rPr>
        <w:t>Paiz</w:t>
      </w:r>
      <w:proofErr w:type="spellEnd"/>
      <w:r w:rsidRPr="00B1523A">
        <w:rPr>
          <w:i/>
          <w:sz w:val="16"/>
          <w:szCs w:val="16"/>
          <w:lang w:val="es-GT"/>
        </w:rPr>
        <w:t xml:space="preserve"> y Otros Vs. Guatemala, Excepciones Preliminares, Fondo, Reparaciones y Costas. </w:t>
      </w:r>
      <w:r w:rsidRPr="00B1523A">
        <w:rPr>
          <w:sz w:val="16"/>
          <w:szCs w:val="16"/>
          <w:lang w:val="es-GT"/>
        </w:rPr>
        <w:t xml:space="preserve">Sentencia de 19 de noviembre de 2015. Serie C No. 307, </w:t>
      </w:r>
      <w:proofErr w:type="spellStart"/>
      <w:r w:rsidRPr="00B1523A">
        <w:rPr>
          <w:sz w:val="16"/>
          <w:szCs w:val="16"/>
          <w:lang w:val="es-GT"/>
        </w:rPr>
        <w:t>párrs</w:t>
      </w:r>
      <w:proofErr w:type="spellEnd"/>
      <w:r w:rsidRPr="00B1523A">
        <w:rPr>
          <w:sz w:val="16"/>
          <w:szCs w:val="16"/>
          <w:lang w:val="es-GT"/>
        </w:rPr>
        <w:t xml:space="preserve">. 173 y 174; </w:t>
      </w:r>
      <w:r w:rsidRPr="00B1523A">
        <w:rPr>
          <w:i/>
          <w:sz w:val="16"/>
          <w:szCs w:val="16"/>
          <w:lang w:val="es-GT"/>
        </w:rPr>
        <w:t xml:space="preserve">Caso Duque Vs. Colombia, Excepciones Preliminares, Fondo, Reparaciones y Costas. </w:t>
      </w:r>
      <w:r w:rsidRPr="00B1523A">
        <w:rPr>
          <w:sz w:val="16"/>
          <w:szCs w:val="16"/>
          <w:lang w:val="es-GT"/>
        </w:rPr>
        <w:t xml:space="preserve">Sentencia de 26 de febrero de 2016. Serie C No. 310, párr. 90, </w:t>
      </w:r>
      <w:r w:rsidRPr="00B1523A">
        <w:rPr>
          <w:i/>
          <w:sz w:val="16"/>
          <w:szCs w:val="16"/>
          <w:lang w:val="es-GT"/>
        </w:rPr>
        <w:t xml:space="preserve">Caso Flor Freire Vs. Ecuador. Excepción Preliminar, Fondo, Reparaciones y Costas. </w:t>
      </w:r>
      <w:r w:rsidRPr="00B1523A">
        <w:rPr>
          <w:sz w:val="16"/>
          <w:szCs w:val="16"/>
          <w:lang w:val="es-GT"/>
        </w:rPr>
        <w:t xml:space="preserve">Sentencia de 31 de agosto de 2016. Serie C No. 315, </w:t>
      </w:r>
      <w:proofErr w:type="spellStart"/>
      <w:r w:rsidRPr="00B1523A">
        <w:rPr>
          <w:sz w:val="16"/>
          <w:szCs w:val="16"/>
          <w:lang w:val="es-GT"/>
        </w:rPr>
        <w:t>párrs</w:t>
      </w:r>
      <w:proofErr w:type="spellEnd"/>
      <w:r w:rsidRPr="00B1523A">
        <w:rPr>
          <w:sz w:val="16"/>
          <w:szCs w:val="16"/>
          <w:lang w:val="es-GT"/>
        </w:rPr>
        <w:t xml:space="preserve">. 111 y 112; </w:t>
      </w:r>
      <w:r w:rsidRPr="00B1523A">
        <w:rPr>
          <w:i/>
          <w:sz w:val="16"/>
          <w:szCs w:val="16"/>
          <w:lang w:val="es-GT"/>
        </w:rPr>
        <w:t xml:space="preserve">Caso Trabajadores de la Hacienda Verde Vs. Brasil. Excepciones Preliminares, Fondo, Reparaciones y Costas. </w:t>
      </w:r>
      <w:r w:rsidRPr="00B1523A">
        <w:rPr>
          <w:sz w:val="16"/>
          <w:szCs w:val="16"/>
          <w:lang w:val="es-GT"/>
        </w:rPr>
        <w:t xml:space="preserve">Sentencia de 20 de octubre de 2016. Serie C No. 318, párr. </w:t>
      </w:r>
      <w:r>
        <w:rPr>
          <w:sz w:val="16"/>
          <w:szCs w:val="16"/>
          <w:lang w:val="es-GT"/>
        </w:rPr>
        <w:t>335</w:t>
      </w:r>
      <w:r w:rsidRPr="00B1523A">
        <w:rPr>
          <w:sz w:val="16"/>
          <w:szCs w:val="16"/>
          <w:lang w:val="es-GT"/>
        </w:rPr>
        <w:t xml:space="preserve">, </w:t>
      </w:r>
      <w:r w:rsidRPr="0035747D">
        <w:rPr>
          <w:i/>
          <w:sz w:val="16"/>
          <w:szCs w:val="16"/>
          <w:lang w:val="es-GT"/>
        </w:rPr>
        <w:t xml:space="preserve">Caso I.V. Vs. Bolivia. Excepciones Preliminares, Fondo, Reparaciones y Costas. </w:t>
      </w:r>
      <w:r w:rsidRPr="0035747D">
        <w:rPr>
          <w:sz w:val="16"/>
          <w:szCs w:val="16"/>
          <w:lang w:val="es-GT"/>
        </w:rPr>
        <w:t>Sentencia de 30 de noviembre de 2016. Serie C No. 329, párr. 240</w:t>
      </w:r>
      <w:r>
        <w:rPr>
          <w:sz w:val="16"/>
          <w:szCs w:val="16"/>
          <w:lang w:val="es-GT"/>
        </w:rPr>
        <w:t xml:space="preserve">, </w:t>
      </w:r>
      <w:r w:rsidRPr="00B1523A">
        <w:rPr>
          <w:sz w:val="16"/>
          <w:szCs w:val="16"/>
          <w:lang w:val="es-GT"/>
        </w:rPr>
        <w:t xml:space="preserve">e </w:t>
      </w:r>
      <w:r w:rsidRPr="00B1523A">
        <w:rPr>
          <w:sz w:val="16"/>
          <w:szCs w:val="16"/>
        </w:rPr>
        <w:t xml:space="preserve">Identidad de género, e igualdad y no discriminación a parejas del mismo sexo. </w:t>
      </w:r>
      <w:r w:rsidRPr="00B1523A">
        <w:rPr>
          <w:i/>
          <w:sz w:val="16"/>
          <w:szCs w:val="16"/>
          <w:lang w:val="es-GT"/>
        </w:rPr>
        <w:t xml:space="preserve"> </w:t>
      </w:r>
      <w:r w:rsidRPr="00B1523A">
        <w:rPr>
          <w:i/>
          <w:sz w:val="16"/>
          <w:szCs w:val="16"/>
          <w:lang w:val="es-CR"/>
        </w:rPr>
        <w:t>Opinión Consultiva OC-24/17</w:t>
      </w:r>
      <w:r w:rsidRPr="00B1523A">
        <w:rPr>
          <w:sz w:val="16"/>
          <w:szCs w:val="16"/>
          <w:lang w:val="es-CR"/>
        </w:rPr>
        <w:t xml:space="preserve"> de 24 de noviembre de 2017. Serie A No. 24, párr. 67. </w:t>
      </w:r>
    </w:p>
  </w:footnote>
  <w:footnote w:id="182">
    <w:p w14:paraId="04E0001B" w14:textId="3EF02649" w:rsidR="003C025E" w:rsidRPr="00FB16E0" w:rsidRDefault="003C025E" w:rsidP="00895BF1">
      <w:pPr>
        <w:pStyle w:val="FootnoteText"/>
        <w:rPr>
          <w:lang w:val="es-AR"/>
        </w:rPr>
      </w:pPr>
      <w:r w:rsidRPr="005D0E21">
        <w:rPr>
          <w:rStyle w:val="FootnoteReference"/>
          <w:rFonts w:eastAsia="MS ????"/>
          <w:sz w:val="16"/>
        </w:rPr>
        <w:footnoteRef/>
      </w:r>
      <w:r w:rsidRPr="005D0E21">
        <w:rPr>
          <w:sz w:val="16"/>
        </w:rPr>
        <w:t xml:space="preserve"> </w:t>
      </w:r>
      <w:r w:rsidRPr="00060589">
        <w:rPr>
          <w:sz w:val="16"/>
          <w:lang w:val="es-AR"/>
        </w:rPr>
        <w:t xml:space="preserve">  </w:t>
      </w:r>
      <w:r w:rsidRPr="00B1523A">
        <w:rPr>
          <w:sz w:val="16"/>
          <w:lang w:val="es-AR"/>
        </w:rPr>
        <w:tab/>
      </w:r>
      <w:r w:rsidRPr="00B1523A">
        <w:rPr>
          <w:i/>
          <w:sz w:val="16"/>
          <w:lang w:val="es-AR"/>
        </w:rPr>
        <w:t>Cfr</w:t>
      </w:r>
      <w:r w:rsidRPr="00B1523A">
        <w:rPr>
          <w:sz w:val="16"/>
          <w:lang w:val="es-AR"/>
        </w:rPr>
        <w:t xml:space="preserve">. </w:t>
      </w:r>
      <w:r w:rsidRPr="00B1523A">
        <w:rPr>
          <w:bCs/>
          <w:sz w:val="16"/>
          <w:lang w:val="es-CR"/>
        </w:rPr>
        <w:t xml:space="preserve">Caso </w:t>
      </w:r>
      <w:proofErr w:type="spellStart"/>
      <w:r w:rsidRPr="00B1523A">
        <w:rPr>
          <w:bCs/>
          <w:i/>
          <w:sz w:val="16"/>
          <w:lang w:val="es-CR"/>
        </w:rPr>
        <w:t>Atala</w:t>
      </w:r>
      <w:proofErr w:type="spellEnd"/>
      <w:r w:rsidRPr="00B1523A">
        <w:rPr>
          <w:bCs/>
          <w:i/>
          <w:sz w:val="16"/>
          <w:lang w:val="es-CR"/>
        </w:rPr>
        <w:t xml:space="preserve"> </w:t>
      </w:r>
      <w:proofErr w:type="spellStart"/>
      <w:r w:rsidRPr="00B1523A">
        <w:rPr>
          <w:bCs/>
          <w:i/>
          <w:sz w:val="16"/>
          <w:lang w:val="es-CR"/>
        </w:rPr>
        <w:t>Riffo</w:t>
      </w:r>
      <w:proofErr w:type="spellEnd"/>
      <w:r w:rsidRPr="00B1523A">
        <w:rPr>
          <w:bCs/>
          <w:i/>
          <w:sz w:val="16"/>
          <w:lang w:val="es-CR"/>
        </w:rPr>
        <w:t xml:space="preserve"> y niñas Vs. Chile</w:t>
      </w:r>
      <w:r w:rsidRPr="00B1523A">
        <w:rPr>
          <w:bCs/>
          <w:sz w:val="16"/>
          <w:lang w:val="es-CR"/>
        </w:rPr>
        <w:t xml:space="preserve">, </w:t>
      </w:r>
      <w:r w:rsidRPr="00B1523A">
        <w:rPr>
          <w:bCs/>
          <w:i/>
          <w:sz w:val="16"/>
          <w:lang w:val="es-CR"/>
        </w:rPr>
        <w:t xml:space="preserve">supra, </w:t>
      </w:r>
      <w:r w:rsidRPr="00B1523A">
        <w:rPr>
          <w:bCs/>
          <w:sz w:val="16"/>
          <w:lang w:val="es-CR"/>
        </w:rPr>
        <w:t xml:space="preserve"> párr. 85</w:t>
      </w:r>
      <w:r w:rsidRPr="005D0E21">
        <w:rPr>
          <w:sz w:val="16"/>
          <w:lang w:val="es-AR"/>
        </w:rPr>
        <w:t>.</w:t>
      </w:r>
      <w:r>
        <w:rPr>
          <w:sz w:val="16"/>
          <w:lang w:val="es-AR"/>
        </w:rPr>
        <w:t xml:space="preserve"> </w:t>
      </w:r>
    </w:p>
  </w:footnote>
  <w:footnote w:id="183">
    <w:p w14:paraId="6F7108B5" w14:textId="1E2AE0A3" w:rsidR="003C025E" w:rsidRPr="00AB1E03" w:rsidRDefault="003C025E" w:rsidP="00E3242A">
      <w:pPr>
        <w:pStyle w:val="FootnoteText"/>
        <w:rPr>
          <w:b/>
          <w:sz w:val="16"/>
          <w:szCs w:val="16"/>
        </w:rPr>
      </w:pPr>
      <w:r w:rsidRPr="00B1523A">
        <w:rPr>
          <w:rStyle w:val="FootnoteReference"/>
          <w:rFonts w:eastAsia="MS ????"/>
          <w:sz w:val="16"/>
        </w:rPr>
        <w:footnoteRef/>
      </w:r>
      <w:r w:rsidRPr="00B1523A">
        <w:rPr>
          <w:sz w:val="16"/>
        </w:rPr>
        <w:t xml:space="preserve"> </w:t>
      </w:r>
      <w:r>
        <w:rPr>
          <w:sz w:val="16"/>
        </w:rPr>
        <w:tab/>
      </w:r>
      <w:r w:rsidRPr="00B1523A">
        <w:rPr>
          <w:i/>
          <w:sz w:val="16"/>
        </w:rPr>
        <w:t>Cfr.</w:t>
      </w:r>
      <w:r w:rsidRPr="00AB1E03">
        <w:rPr>
          <w:i/>
          <w:sz w:val="16"/>
        </w:rPr>
        <w:t xml:space="preserve"> </w:t>
      </w:r>
      <w:r w:rsidRPr="00B1523A">
        <w:rPr>
          <w:i/>
          <w:sz w:val="16"/>
          <w:szCs w:val="16"/>
        </w:rPr>
        <w:t>Condición jurídica y derechos de los migrantes indocumentados. Opinión Consultiva OC-18/03</w:t>
      </w:r>
      <w:r w:rsidRPr="00B1523A">
        <w:rPr>
          <w:sz w:val="16"/>
          <w:szCs w:val="16"/>
        </w:rPr>
        <w:t xml:space="preserve"> de 17 de septiembre de 2003. Serie A No. 18</w:t>
      </w:r>
      <w:r>
        <w:rPr>
          <w:sz w:val="16"/>
          <w:szCs w:val="16"/>
        </w:rPr>
        <w:t>,</w:t>
      </w:r>
      <w:r w:rsidRPr="00B1523A">
        <w:rPr>
          <w:sz w:val="16"/>
          <w:szCs w:val="16"/>
        </w:rPr>
        <w:t xml:space="preserve"> </w:t>
      </w:r>
      <w:r w:rsidRPr="00B1523A">
        <w:rPr>
          <w:sz w:val="16"/>
          <w:szCs w:val="16"/>
          <w:lang w:val="es-AR"/>
        </w:rPr>
        <w:t>párr. 101</w:t>
      </w:r>
      <w:r>
        <w:rPr>
          <w:sz w:val="16"/>
          <w:szCs w:val="16"/>
          <w:lang w:val="es-CR"/>
        </w:rPr>
        <w:t xml:space="preserve">, y </w:t>
      </w:r>
      <w:r w:rsidRPr="00B1523A">
        <w:rPr>
          <w:sz w:val="16"/>
          <w:szCs w:val="16"/>
          <w:lang w:val="es-CR"/>
        </w:rPr>
        <w:t xml:space="preserve">Comité DESC. </w:t>
      </w:r>
      <w:r w:rsidRPr="00B1523A">
        <w:rPr>
          <w:i/>
          <w:sz w:val="16"/>
          <w:szCs w:val="16"/>
          <w:lang w:val="es-CR"/>
        </w:rPr>
        <w:t>Observación General No. 20</w:t>
      </w:r>
      <w:r>
        <w:rPr>
          <w:sz w:val="16"/>
          <w:szCs w:val="16"/>
          <w:lang w:val="es-CR"/>
        </w:rPr>
        <w:t xml:space="preserve">, </w:t>
      </w:r>
      <w:r w:rsidRPr="00B1523A">
        <w:rPr>
          <w:i/>
          <w:sz w:val="16"/>
          <w:szCs w:val="16"/>
          <w:lang w:val="es-CR"/>
        </w:rPr>
        <w:t>supra</w:t>
      </w:r>
      <w:r>
        <w:rPr>
          <w:i/>
          <w:sz w:val="16"/>
          <w:szCs w:val="16"/>
          <w:lang w:val="es-CR"/>
        </w:rPr>
        <w:t xml:space="preserve">, </w:t>
      </w:r>
      <w:proofErr w:type="spellStart"/>
      <w:r>
        <w:rPr>
          <w:i/>
          <w:sz w:val="16"/>
          <w:szCs w:val="16"/>
          <w:lang w:val="es-CR"/>
        </w:rPr>
        <w:t>párrs</w:t>
      </w:r>
      <w:proofErr w:type="spellEnd"/>
      <w:r>
        <w:rPr>
          <w:i/>
          <w:sz w:val="16"/>
          <w:szCs w:val="16"/>
          <w:lang w:val="es-CR"/>
        </w:rPr>
        <w:t>. 27 y 29</w:t>
      </w:r>
      <w:r w:rsidRPr="00B1523A">
        <w:rPr>
          <w:sz w:val="16"/>
          <w:szCs w:val="16"/>
          <w:lang w:val="es-CR"/>
        </w:rPr>
        <w:t>. Por su parte, el Comité DESC ha encuadrado esta categoría también dentro de</w:t>
      </w:r>
      <w:r>
        <w:rPr>
          <w:sz w:val="16"/>
          <w:szCs w:val="16"/>
          <w:lang w:val="es-CR"/>
        </w:rPr>
        <w:t xml:space="preserve"> la enunciación</w:t>
      </w:r>
      <w:r w:rsidRPr="00B1523A">
        <w:rPr>
          <w:sz w:val="16"/>
          <w:szCs w:val="16"/>
          <w:lang w:val="es-CR"/>
        </w:rPr>
        <w:t xml:space="preserve"> “otra condición social”</w:t>
      </w:r>
      <w:r>
        <w:rPr>
          <w:sz w:val="16"/>
          <w:szCs w:val="16"/>
          <w:lang w:val="es-CR"/>
        </w:rPr>
        <w:t>.</w:t>
      </w:r>
    </w:p>
  </w:footnote>
  <w:footnote w:id="184">
    <w:p w14:paraId="73E806E2" w14:textId="78B9405F" w:rsidR="003C025E" w:rsidRPr="002570D1" w:rsidRDefault="003C025E" w:rsidP="002570D1">
      <w:pPr>
        <w:pStyle w:val="FootnoteText"/>
        <w:rPr>
          <w:sz w:val="16"/>
          <w:szCs w:val="16"/>
          <w:lang w:val="es-GT"/>
        </w:rPr>
      </w:pPr>
      <w:r w:rsidRPr="002570D1">
        <w:rPr>
          <w:rStyle w:val="FootnoteReference"/>
          <w:rFonts w:eastAsia="Calibri"/>
          <w:sz w:val="16"/>
          <w:szCs w:val="16"/>
          <w:lang w:eastAsia="en-US"/>
        </w:rPr>
        <w:footnoteRef/>
      </w:r>
      <w:r w:rsidRPr="002570D1">
        <w:rPr>
          <w:rStyle w:val="FootnoteReference"/>
          <w:rFonts w:eastAsia="Calibri"/>
          <w:sz w:val="16"/>
          <w:szCs w:val="16"/>
          <w:lang w:eastAsia="en-US"/>
        </w:rPr>
        <w:t xml:space="preserve"> </w:t>
      </w:r>
      <w:r w:rsidRPr="002570D1">
        <w:rPr>
          <w:sz w:val="16"/>
          <w:szCs w:val="16"/>
          <w:lang w:val="es-GT"/>
        </w:rPr>
        <w:t xml:space="preserve">  </w:t>
      </w:r>
      <w:r>
        <w:rPr>
          <w:sz w:val="16"/>
          <w:szCs w:val="16"/>
          <w:lang w:val="es-GT"/>
        </w:rPr>
        <w:tab/>
      </w:r>
      <w:r w:rsidRPr="00062586">
        <w:rPr>
          <w:i/>
          <w:sz w:val="16"/>
          <w:szCs w:val="16"/>
          <w:lang w:val="es-GT"/>
        </w:rPr>
        <w:t>Cfr.</w:t>
      </w:r>
      <w:r w:rsidRPr="002570D1">
        <w:rPr>
          <w:sz w:val="16"/>
          <w:szCs w:val="16"/>
          <w:lang w:val="es-GT"/>
        </w:rPr>
        <w:t xml:space="preserve"> </w:t>
      </w:r>
      <w:r w:rsidRPr="002570D1">
        <w:rPr>
          <w:i/>
          <w:sz w:val="16"/>
          <w:szCs w:val="16"/>
          <w:lang w:val="es-GT"/>
        </w:rPr>
        <w:t xml:space="preserve">Mutatis </w:t>
      </w:r>
      <w:proofErr w:type="spellStart"/>
      <w:r w:rsidRPr="002570D1">
        <w:rPr>
          <w:i/>
          <w:sz w:val="16"/>
          <w:szCs w:val="16"/>
          <w:lang w:val="es-GT"/>
        </w:rPr>
        <w:t>mutandi</w:t>
      </w:r>
      <w:proofErr w:type="spellEnd"/>
      <w:r w:rsidRPr="002570D1">
        <w:rPr>
          <w:sz w:val="16"/>
          <w:szCs w:val="16"/>
          <w:lang w:val="es-GT"/>
        </w:rPr>
        <w:t xml:space="preserve">, </w:t>
      </w:r>
      <w:r w:rsidRPr="002570D1">
        <w:rPr>
          <w:i/>
          <w:sz w:val="16"/>
          <w:szCs w:val="16"/>
          <w:lang w:val="es-GT"/>
        </w:rPr>
        <w:t xml:space="preserve">Caso Comunidad indígena </w:t>
      </w:r>
      <w:proofErr w:type="spellStart"/>
      <w:r w:rsidRPr="002570D1">
        <w:rPr>
          <w:i/>
          <w:sz w:val="16"/>
          <w:szCs w:val="16"/>
          <w:lang w:val="es-GT"/>
        </w:rPr>
        <w:t>Yakye</w:t>
      </w:r>
      <w:proofErr w:type="spellEnd"/>
      <w:r w:rsidRPr="002570D1">
        <w:rPr>
          <w:i/>
          <w:sz w:val="16"/>
          <w:szCs w:val="16"/>
          <w:lang w:val="es-GT"/>
        </w:rPr>
        <w:t xml:space="preserve"> Axa Vs. Paraguay</w:t>
      </w:r>
      <w:r>
        <w:rPr>
          <w:i/>
          <w:sz w:val="16"/>
          <w:szCs w:val="16"/>
          <w:lang w:val="es-GT"/>
        </w:rPr>
        <w:t xml:space="preserve">. Fondo, Reparaciones y Costas. </w:t>
      </w:r>
      <w:r>
        <w:rPr>
          <w:sz w:val="16"/>
          <w:szCs w:val="16"/>
          <w:lang w:val="es-GT"/>
        </w:rPr>
        <w:t>Sentencia de 17 de junio de 2005. Serie C No. 125</w:t>
      </w:r>
      <w:r w:rsidRPr="002570D1">
        <w:rPr>
          <w:sz w:val="16"/>
          <w:szCs w:val="16"/>
          <w:lang w:val="es-GT"/>
        </w:rPr>
        <w:t xml:space="preserve">, párr. 164; </w:t>
      </w:r>
      <w:r w:rsidRPr="005430FF">
        <w:rPr>
          <w:i/>
          <w:sz w:val="16"/>
          <w:szCs w:val="16"/>
          <w:lang w:val="es-GT"/>
        </w:rPr>
        <w:t xml:space="preserve">Caso Comunidad Indígena </w:t>
      </w:r>
      <w:proofErr w:type="spellStart"/>
      <w:r w:rsidRPr="005430FF">
        <w:rPr>
          <w:i/>
          <w:sz w:val="16"/>
          <w:szCs w:val="16"/>
          <w:lang w:val="es-GT"/>
        </w:rPr>
        <w:t>Xákmok</w:t>
      </w:r>
      <w:proofErr w:type="spellEnd"/>
      <w:r w:rsidRPr="005430FF">
        <w:rPr>
          <w:i/>
          <w:sz w:val="16"/>
          <w:szCs w:val="16"/>
          <w:lang w:val="es-GT"/>
        </w:rPr>
        <w:t xml:space="preserve"> </w:t>
      </w:r>
      <w:proofErr w:type="spellStart"/>
      <w:r w:rsidRPr="005430FF">
        <w:rPr>
          <w:i/>
          <w:sz w:val="16"/>
          <w:szCs w:val="16"/>
          <w:lang w:val="es-GT"/>
        </w:rPr>
        <w:t>Kásek</w:t>
      </w:r>
      <w:proofErr w:type="spellEnd"/>
      <w:r w:rsidRPr="005430FF">
        <w:rPr>
          <w:i/>
          <w:sz w:val="16"/>
          <w:szCs w:val="16"/>
          <w:lang w:val="es-GT"/>
        </w:rPr>
        <w:t>. vs. Paraguay. Fondo, Reparaciones y Costas.</w:t>
      </w:r>
      <w:r w:rsidRPr="002570D1">
        <w:rPr>
          <w:sz w:val="16"/>
          <w:szCs w:val="16"/>
          <w:lang w:val="es-GT"/>
        </w:rPr>
        <w:t xml:space="preserve"> Sentencia de 24 de agosto de 2010</w:t>
      </w:r>
      <w:r>
        <w:rPr>
          <w:sz w:val="16"/>
          <w:szCs w:val="16"/>
          <w:lang w:val="es-GT"/>
        </w:rPr>
        <w:t>.</w:t>
      </w:r>
      <w:r w:rsidRPr="002570D1">
        <w:rPr>
          <w:sz w:val="16"/>
          <w:szCs w:val="16"/>
          <w:lang w:val="es-GT"/>
        </w:rPr>
        <w:t xml:space="preserve"> Serie C Nº 214</w:t>
      </w:r>
      <w:r>
        <w:rPr>
          <w:sz w:val="16"/>
          <w:szCs w:val="16"/>
          <w:lang w:val="es-GT"/>
        </w:rPr>
        <w:t>, párr. 233</w:t>
      </w:r>
      <w:r w:rsidRPr="002570D1">
        <w:rPr>
          <w:sz w:val="16"/>
          <w:szCs w:val="16"/>
          <w:lang w:val="es-GT"/>
        </w:rPr>
        <w:t>.</w:t>
      </w:r>
    </w:p>
  </w:footnote>
  <w:footnote w:id="185">
    <w:p w14:paraId="275D08C9" w14:textId="431E41D8" w:rsidR="003C025E" w:rsidRPr="002A64C9" w:rsidRDefault="003C025E" w:rsidP="002570D1">
      <w:pPr>
        <w:pStyle w:val="FootnoteText"/>
        <w:rPr>
          <w:sz w:val="16"/>
          <w:szCs w:val="16"/>
          <w:lang w:val="es-CR"/>
        </w:rPr>
      </w:pPr>
      <w:r w:rsidRPr="002570D1">
        <w:rPr>
          <w:rStyle w:val="FootnoteReference"/>
          <w:rFonts w:eastAsia="Calibri"/>
          <w:sz w:val="16"/>
          <w:szCs w:val="16"/>
          <w:lang w:eastAsia="en-US"/>
        </w:rPr>
        <w:footnoteRef/>
      </w:r>
      <w:r w:rsidRPr="002570D1">
        <w:rPr>
          <w:sz w:val="16"/>
          <w:szCs w:val="16"/>
          <w:lang w:val="es-AR"/>
        </w:rPr>
        <w:t xml:space="preserve">   </w:t>
      </w:r>
      <w:r>
        <w:rPr>
          <w:sz w:val="16"/>
          <w:szCs w:val="16"/>
          <w:lang w:val="es-AR"/>
        </w:rPr>
        <w:tab/>
      </w:r>
      <w:r w:rsidRPr="00B1523A">
        <w:rPr>
          <w:i/>
          <w:sz w:val="16"/>
          <w:szCs w:val="16"/>
          <w:lang w:val="es-AR"/>
        </w:rPr>
        <w:t>Cfr.</w:t>
      </w:r>
      <w:r>
        <w:rPr>
          <w:sz w:val="16"/>
          <w:szCs w:val="16"/>
          <w:lang w:val="es-AR"/>
        </w:rPr>
        <w:t xml:space="preserve"> </w:t>
      </w:r>
      <w:r w:rsidRPr="002570D1">
        <w:rPr>
          <w:i/>
          <w:sz w:val="16"/>
          <w:szCs w:val="16"/>
          <w:lang w:val="es-AR"/>
        </w:rPr>
        <w:t xml:space="preserve">Caso </w:t>
      </w:r>
      <w:proofErr w:type="spellStart"/>
      <w:r w:rsidRPr="002570D1">
        <w:rPr>
          <w:i/>
          <w:sz w:val="16"/>
          <w:szCs w:val="16"/>
          <w:lang w:val="es-AR"/>
        </w:rPr>
        <w:t>Furlan</w:t>
      </w:r>
      <w:proofErr w:type="spellEnd"/>
      <w:r w:rsidRPr="002570D1">
        <w:rPr>
          <w:i/>
          <w:sz w:val="16"/>
          <w:szCs w:val="16"/>
          <w:lang w:val="es-AR"/>
        </w:rPr>
        <w:t xml:space="preserve"> y familiares Vs. Argentina</w:t>
      </w:r>
      <w:r>
        <w:rPr>
          <w:i/>
          <w:sz w:val="16"/>
          <w:szCs w:val="16"/>
          <w:lang w:val="es-AR"/>
        </w:rPr>
        <w:t xml:space="preserve">, supra, </w:t>
      </w:r>
      <w:r w:rsidRPr="002A64C9">
        <w:rPr>
          <w:sz w:val="16"/>
          <w:szCs w:val="16"/>
          <w:lang w:val="es-CR"/>
        </w:rPr>
        <w:t>párr. 267.</w:t>
      </w:r>
    </w:p>
  </w:footnote>
  <w:footnote w:id="186">
    <w:p w14:paraId="08EF9ACB" w14:textId="541061D2" w:rsidR="003C025E" w:rsidRPr="009F7F67" w:rsidRDefault="003C025E" w:rsidP="00832A80">
      <w:pPr>
        <w:pStyle w:val="FootnoteText"/>
        <w:rPr>
          <w:sz w:val="16"/>
          <w:szCs w:val="16"/>
          <w:lang w:val="es-CR"/>
        </w:rPr>
      </w:pPr>
      <w:r w:rsidRPr="002570D1">
        <w:rPr>
          <w:rStyle w:val="FootnoteReference"/>
          <w:rFonts w:eastAsia="Calibri"/>
          <w:sz w:val="16"/>
          <w:szCs w:val="16"/>
          <w:lang w:eastAsia="en-US"/>
        </w:rPr>
        <w:footnoteRef/>
      </w:r>
      <w:r w:rsidRPr="002A64C9">
        <w:rPr>
          <w:rStyle w:val="FootnoteReference"/>
          <w:rFonts w:eastAsia="Calibri"/>
          <w:sz w:val="16"/>
          <w:szCs w:val="16"/>
          <w:lang w:val="es-CR" w:eastAsia="en-US"/>
        </w:rPr>
        <w:t xml:space="preserve"> </w:t>
      </w:r>
      <w:r w:rsidRPr="002A64C9">
        <w:rPr>
          <w:rFonts w:eastAsia="Calibri"/>
          <w:sz w:val="16"/>
          <w:szCs w:val="16"/>
          <w:lang w:val="es-CR" w:eastAsia="en-US"/>
        </w:rPr>
        <w:t xml:space="preserve">  </w:t>
      </w:r>
      <w:r>
        <w:rPr>
          <w:rFonts w:eastAsia="Calibri"/>
          <w:sz w:val="16"/>
          <w:szCs w:val="16"/>
          <w:lang w:val="es-CR" w:eastAsia="en-US"/>
        </w:rPr>
        <w:tab/>
      </w:r>
      <w:r w:rsidRPr="00B1523A">
        <w:rPr>
          <w:rFonts w:eastAsia="Calibri"/>
          <w:i/>
          <w:sz w:val="16"/>
          <w:szCs w:val="16"/>
          <w:lang w:val="es-CR" w:eastAsia="en-US"/>
        </w:rPr>
        <w:t>Cfr</w:t>
      </w:r>
      <w:r>
        <w:rPr>
          <w:rFonts w:eastAsia="Calibri"/>
          <w:sz w:val="16"/>
          <w:szCs w:val="16"/>
          <w:lang w:val="es-CR" w:eastAsia="en-US"/>
        </w:rPr>
        <w:t xml:space="preserve">. </w:t>
      </w:r>
      <w:r w:rsidRPr="002570D1">
        <w:rPr>
          <w:i/>
          <w:sz w:val="16"/>
          <w:szCs w:val="16"/>
          <w:lang w:val="es-MX"/>
        </w:rPr>
        <w:t>Caso Suárez Peralta Vs. Ecuador</w:t>
      </w:r>
      <w:r>
        <w:rPr>
          <w:sz w:val="16"/>
          <w:szCs w:val="16"/>
          <w:lang w:val="es-MX"/>
        </w:rPr>
        <w:t xml:space="preserve">, </w:t>
      </w:r>
      <w:r>
        <w:rPr>
          <w:i/>
          <w:sz w:val="16"/>
          <w:szCs w:val="16"/>
          <w:lang w:val="es-MX"/>
        </w:rPr>
        <w:t>supra</w:t>
      </w:r>
      <w:r w:rsidRPr="002570D1">
        <w:rPr>
          <w:sz w:val="16"/>
          <w:szCs w:val="16"/>
          <w:lang w:val="es-MX"/>
        </w:rPr>
        <w:t>, párr. 149</w:t>
      </w:r>
      <w:r>
        <w:rPr>
          <w:sz w:val="16"/>
          <w:szCs w:val="16"/>
          <w:lang w:val="es-MX"/>
        </w:rPr>
        <w:t xml:space="preserve">, y </w:t>
      </w:r>
      <w:r w:rsidRPr="00B1523A">
        <w:rPr>
          <w:bCs/>
          <w:i/>
          <w:sz w:val="16"/>
          <w:szCs w:val="16"/>
          <w:lang w:val="es-CR"/>
        </w:rPr>
        <w:t xml:space="preserve">Caso </w:t>
      </w:r>
      <w:proofErr w:type="spellStart"/>
      <w:r w:rsidRPr="00D17186">
        <w:rPr>
          <w:bCs/>
          <w:i/>
          <w:sz w:val="16"/>
          <w:szCs w:val="16"/>
          <w:lang w:val="es-CR"/>
        </w:rPr>
        <w:t>Ximenes</w:t>
      </w:r>
      <w:proofErr w:type="spellEnd"/>
      <w:r w:rsidRPr="00D17186">
        <w:rPr>
          <w:bCs/>
          <w:i/>
          <w:sz w:val="16"/>
          <w:szCs w:val="16"/>
          <w:lang w:val="es-CR"/>
        </w:rPr>
        <w:t xml:space="preserve"> </w:t>
      </w:r>
      <w:proofErr w:type="spellStart"/>
      <w:r w:rsidRPr="00D17186">
        <w:rPr>
          <w:bCs/>
          <w:i/>
          <w:sz w:val="16"/>
          <w:szCs w:val="16"/>
          <w:lang w:val="es-CR"/>
        </w:rPr>
        <w:t>Lopes</w:t>
      </w:r>
      <w:proofErr w:type="spellEnd"/>
      <w:r w:rsidRPr="00D17186">
        <w:rPr>
          <w:bCs/>
          <w:i/>
          <w:sz w:val="16"/>
          <w:szCs w:val="16"/>
          <w:lang w:val="es-CR"/>
        </w:rPr>
        <w:t xml:space="preserve"> Vs. Brasil</w:t>
      </w:r>
      <w:r w:rsidRPr="002A64C9">
        <w:rPr>
          <w:bCs/>
          <w:i/>
          <w:sz w:val="16"/>
          <w:szCs w:val="16"/>
          <w:lang w:val="es-CR"/>
        </w:rPr>
        <w:t xml:space="preserve">, </w:t>
      </w:r>
      <w:r>
        <w:rPr>
          <w:bCs/>
          <w:i/>
          <w:sz w:val="16"/>
          <w:szCs w:val="16"/>
          <w:lang w:val="es-CR"/>
        </w:rPr>
        <w:t>supra</w:t>
      </w:r>
      <w:r w:rsidRPr="002A64C9">
        <w:rPr>
          <w:bCs/>
          <w:sz w:val="16"/>
          <w:szCs w:val="16"/>
          <w:lang w:val="es-CR"/>
        </w:rPr>
        <w:t xml:space="preserve">, párr. </w:t>
      </w:r>
      <w:r w:rsidRPr="009F7F67">
        <w:rPr>
          <w:bCs/>
          <w:sz w:val="16"/>
          <w:szCs w:val="16"/>
          <w:lang w:val="es-CR"/>
        </w:rPr>
        <w:t>141.</w:t>
      </w:r>
    </w:p>
  </w:footnote>
  <w:footnote w:id="187">
    <w:p w14:paraId="6B1214D1" w14:textId="56ADB137" w:rsidR="003C025E" w:rsidRPr="002570D1" w:rsidRDefault="003C025E" w:rsidP="00B1523A">
      <w:pPr>
        <w:pStyle w:val="FootnoteText"/>
        <w:rPr>
          <w:bCs/>
          <w:sz w:val="16"/>
          <w:szCs w:val="16"/>
          <w:lang w:val="es-CR"/>
        </w:rPr>
      </w:pPr>
      <w:r w:rsidRPr="002570D1">
        <w:rPr>
          <w:rStyle w:val="FootnoteReference"/>
          <w:rFonts w:eastAsia="Calibri"/>
          <w:sz w:val="16"/>
          <w:szCs w:val="16"/>
          <w:lang w:eastAsia="en-US"/>
        </w:rPr>
        <w:footnoteRef/>
      </w:r>
      <w:r w:rsidRPr="002570D1">
        <w:rPr>
          <w:rFonts w:eastAsia="Calibri"/>
          <w:sz w:val="16"/>
          <w:szCs w:val="16"/>
          <w:lang w:eastAsia="en-US"/>
        </w:rPr>
        <w:t xml:space="preserve">  </w:t>
      </w:r>
      <w:r w:rsidRPr="002570D1">
        <w:rPr>
          <w:rStyle w:val="FootnoteReference"/>
          <w:rFonts w:eastAsia="Calibri"/>
          <w:sz w:val="16"/>
          <w:szCs w:val="16"/>
          <w:lang w:eastAsia="en-US"/>
        </w:rPr>
        <w:t xml:space="preserve">  </w:t>
      </w:r>
      <w:r>
        <w:rPr>
          <w:rFonts w:eastAsia="Calibri"/>
          <w:sz w:val="16"/>
          <w:szCs w:val="16"/>
          <w:lang w:eastAsia="en-US"/>
        </w:rPr>
        <w:tab/>
      </w:r>
      <w:r>
        <w:rPr>
          <w:rFonts w:eastAsia="Calibri"/>
          <w:i/>
          <w:sz w:val="16"/>
          <w:szCs w:val="16"/>
          <w:lang w:eastAsia="en-US"/>
        </w:rPr>
        <w:t xml:space="preserve">Cfr. </w:t>
      </w:r>
      <w:r w:rsidRPr="002570D1">
        <w:rPr>
          <w:bCs/>
          <w:i/>
          <w:sz w:val="16"/>
          <w:szCs w:val="16"/>
        </w:rPr>
        <w:t>Caso Albán Cornejo y otros Vs. Ecuador</w:t>
      </w:r>
      <w:r>
        <w:rPr>
          <w:bCs/>
          <w:i/>
          <w:sz w:val="16"/>
          <w:szCs w:val="16"/>
        </w:rPr>
        <w:t xml:space="preserve">. Fondo, Reparaciones y Costas. </w:t>
      </w:r>
      <w:r>
        <w:rPr>
          <w:bCs/>
          <w:sz w:val="16"/>
          <w:szCs w:val="16"/>
        </w:rPr>
        <w:t>Sentencia de 22 de noviembre de 2007. Serie C No. 171,</w:t>
      </w:r>
      <w:r w:rsidRPr="002570D1">
        <w:rPr>
          <w:bCs/>
          <w:sz w:val="16"/>
          <w:szCs w:val="16"/>
        </w:rPr>
        <w:t xml:space="preserve"> párr. 119. </w:t>
      </w:r>
    </w:p>
  </w:footnote>
  <w:footnote w:id="188">
    <w:p w14:paraId="2FB5832C" w14:textId="6074747A" w:rsidR="003C025E" w:rsidRPr="002570D1" w:rsidRDefault="003C025E" w:rsidP="00832A80">
      <w:pPr>
        <w:pStyle w:val="FootnoteText"/>
        <w:rPr>
          <w:sz w:val="16"/>
          <w:szCs w:val="16"/>
          <w:lang w:val="es-MX"/>
        </w:rPr>
      </w:pPr>
      <w:r w:rsidRPr="002570D1">
        <w:rPr>
          <w:rStyle w:val="FootnoteReference"/>
          <w:sz w:val="16"/>
          <w:szCs w:val="16"/>
        </w:rPr>
        <w:footnoteRef/>
      </w:r>
      <w:r w:rsidRPr="002570D1">
        <w:rPr>
          <w:sz w:val="16"/>
          <w:szCs w:val="16"/>
          <w:lang w:val="es-MX"/>
        </w:rPr>
        <w:t xml:space="preserve">   </w:t>
      </w:r>
      <w:r>
        <w:rPr>
          <w:sz w:val="16"/>
          <w:szCs w:val="16"/>
          <w:lang w:val="es-MX"/>
        </w:rPr>
        <w:tab/>
      </w:r>
      <w:r w:rsidRPr="002570D1">
        <w:rPr>
          <w:i/>
          <w:sz w:val="16"/>
          <w:szCs w:val="16"/>
          <w:lang w:val="es-MX"/>
        </w:rPr>
        <w:t>Caso Suárez Peralta Vs. Ecuador</w:t>
      </w:r>
      <w:r>
        <w:rPr>
          <w:sz w:val="16"/>
          <w:szCs w:val="16"/>
          <w:lang w:val="es-MX"/>
        </w:rPr>
        <w:t xml:space="preserve">, </w:t>
      </w:r>
      <w:r w:rsidRPr="00B1523A">
        <w:rPr>
          <w:i/>
          <w:sz w:val="16"/>
          <w:szCs w:val="16"/>
          <w:lang w:val="es-MX"/>
        </w:rPr>
        <w:t>supra</w:t>
      </w:r>
      <w:r>
        <w:rPr>
          <w:sz w:val="16"/>
          <w:szCs w:val="16"/>
          <w:lang w:val="es-MX"/>
        </w:rPr>
        <w:t xml:space="preserve">, </w:t>
      </w:r>
      <w:r w:rsidRPr="002570D1">
        <w:rPr>
          <w:sz w:val="16"/>
          <w:szCs w:val="16"/>
          <w:lang w:val="es-MX"/>
        </w:rPr>
        <w:t>párr. 149.</w:t>
      </w:r>
    </w:p>
  </w:footnote>
  <w:footnote w:id="189">
    <w:p w14:paraId="07462373" w14:textId="499ABE14" w:rsidR="003C025E" w:rsidRPr="002570D1" w:rsidRDefault="003C025E" w:rsidP="006823B8">
      <w:pPr>
        <w:pStyle w:val="FootnoteText"/>
        <w:rPr>
          <w:sz w:val="16"/>
          <w:szCs w:val="16"/>
          <w:lang w:val="es-CR"/>
        </w:rPr>
      </w:pPr>
      <w:r w:rsidRPr="002570D1">
        <w:rPr>
          <w:rStyle w:val="FootnoteReference"/>
          <w:rFonts w:eastAsia="Calibri"/>
          <w:sz w:val="16"/>
          <w:szCs w:val="16"/>
          <w:lang w:eastAsia="en-US"/>
        </w:rPr>
        <w:footnoteRef/>
      </w:r>
      <w:r w:rsidRPr="002570D1">
        <w:rPr>
          <w:i/>
          <w:sz w:val="16"/>
          <w:szCs w:val="16"/>
          <w:lang w:val="es-AR"/>
        </w:rPr>
        <w:t xml:space="preserve">  </w:t>
      </w:r>
      <w:r>
        <w:rPr>
          <w:i/>
          <w:sz w:val="16"/>
          <w:szCs w:val="16"/>
          <w:lang w:val="es-AR"/>
        </w:rPr>
        <w:t xml:space="preserve"> </w:t>
      </w:r>
      <w:r>
        <w:rPr>
          <w:i/>
          <w:sz w:val="16"/>
          <w:szCs w:val="16"/>
          <w:lang w:val="es-AR"/>
        </w:rPr>
        <w:tab/>
      </w:r>
      <w:r w:rsidRPr="00062586">
        <w:rPr>
          <w:i/>
          <w:sz w:val="16"/>
          <w:szCs w:val="16"/>
          <w:lang w:val="es-AR"/>
        </w:rPr>
        <w:t>Cfr.</w:t>
      </w:r>
      <w:r w:rsidRPr="002570D1">
        <w:rPr>
          <w:i/>
          <w:sz w:val="16"/>
          <w:szCs w:val="16"/>
          <w:lang w:val="es-AR"/>
        </w:rPr>
        <w:t xml:space="preserve"> Caso Suárez Peralta Vs. Ecuador</w:t>
      </w:r>
      <w:r w:rsidRPr="002570D1">
        <w:rPr>
          <w:sz w:val="16"/>
          <w:szCs w:val="16"/>
          <w:lang w:val="es-AR"/>
        </w:rPr>
        <w:t xml:space="preserve">, </w:t>
      </w:r>
      <w:r w:rsidRPr="00062586">
        <w:rPr>
          <w:i/>
          <w:sz w:val="16"/>
          <w:szCs w:val="16"/>
          <w:lang w:val="es-AR"/>
        </w:rPr>
        <w:t>supra</w:t>
      </w:r>
      <w:r w:rsidRPr="002570D1">
        <w:rPr>
          <w:sz w:val="16"/>
          <w:szCs w:val="16"/>
          <w:lang w:val="es-AR"/>
        </w:rPr>
        <w:t xml:space="preserve">, párr. 152. </w:t>
      </w:r>
    </w:p>
  </w:footnote>
  <w:footnote w:id="190">
    <w:p w14:paraId="720BBC90" w14:textId="7377CA99" w:rsidR="003C025E" w:rsidRPr="00515C87" w:rsidRDefault="003C025E" w:rsidP="00D80DE7">
      <w:pPr>
        <w:pStyle w:val="FootnoteText"/>
        <w:rPr>
          <w:sz w:val="16"/>
        </w:rPr>
      </w:pPr>
      <w:r w:rsidRPr="00AB1E03">
        <w:rPr>
          <w:rStyle w:val="FootnoteReference"/>
          <w:sz w:val="16"/>
          <w:szCs w:val="16"/>
        </w:rPr>
        <w:footnoteRef/>
      </w:r>
      <w:r w:rsidRPr="00AB1E03">
        <w:rPr>
          <w:sz w:val="16"/>
          <w:szCs w:val="16"/>
        </w:rPr>
        <w:t xml:space="preserve"> </w:t>
      </w:r>
      <w:r w:rsidRPr="00AB1E03">
        <w:rPr>
          <w:sz w:val="16"/>
          <w:szCs w:val="16"/>
        </w:rPr>
        <w:tab/>
      </w:r>
      <w:r w:rsidRPr="00B1523A">
        <w:rPr>
          <w:sz w:val="16"/>
          <w:szCs w:val="16"/>
        </w:rPr>
        <w:t>Si bien el señor Poblete Vilches tenía 76 años al momento de los hechos, a manera ilustrativa, se hace alusión a la</w:t>
      </w:r>
      <w:r w:rsidRPr="00AB1E03">
        <w:rPr>
          <w:b/>
          <w:sz w:val="16"/>
          <w:szCs w:val="16"/>
        </w:rPr>
        <w:t xml:space="preserve"> </w:t>
      </w:r>
      <w:r>
        <w:rPr>
          <w:sz w:val="16"/>
          <w:szCs w:val="16"/>
        </w:rPr>
        <w:t>d</w:t>
      </w:r>
      <w:r w:rsidRPr="007864DA">
        <w:rPr>
          <w:sz w:val="16"/>
          <w:szCs w:val="16"/>
        </w:rPr>
        <w:t>efinición “</w:t>
      </w:r>
      <w:r>
        <w:rPr>
          <w:sz w:val="16"/>
          <w:szCs w:val="16"/>
        </w:rPr>
        <w:t>p</w:t>
      </w:r>
      <w:r w:rsidRPr="007864DA">
        <w:rPr>
          <w:sz w:val="16"/>
          <w:szCs w:val="16"/>
        </w:rPr>
        <w:t>ersona mayor”</w:t>
      </w:r>
      <w:r>
        <w:rPr>
          <w:sz w:val="16"/>
          <w:szCs w:val="16"/>
        </w:rPr>
        <w:t>,</w:t>
      </w:r>
      <w:r w:rsidRPr="00AB1E03">
        <w:rPr>
          <w:b/>
          <w:sz w:val="16"/>
          <w:szCs w:val="16"/>
        </w:rPr>
        <w:t xml:space="preserve"> </w:t>
      </w:r>
      <w:r w:rsidRPr="00B1523A">
        <w:rPr>
          <w:sz w:val="16"/>
          <w:szCs w:val="16"/>
        </w:rPr>
        <w:t>contenida en el artículo 2 de la Convención Interamericana</w:t>
      </w:r>
      <w:r>
        <w:rPr>
          <w:sz w:val="16"/>
          <w:szCs w:val="16"/>
        </w:rPr>
        <w:t xml:space="preserve">, </w:t>
      </w:r>
      <w:r w:rsidRPr="00B1523A">
        <w:rPr>
          <w:i/>
          <w:sz w:val="16"/>
          <w:szCs w:val="16"/>
        </w:rPr>
        <w:t>supra</w:t>
      </w:r>
      <w:r w:rsidRPr="00B1523A">
        <w:rPr>
          <w:sz w:val="16"/>
          <w:szCs w:val="16"/>
        </w:rPr>
        <w:t>:</w:t>
      </w:r>
      <w:r>
        <w:rPr>
          <w:i/>
          <w:sz w:val="16"/>
          <w:szCs w:val="16"/>
        </w:rPr>
        <w:t xml:space="preserve"> “</w:t>
      </w:r>
      <w:r w:rsidRPr="00B1523A">
        <w:rPr>
          <w:sz w:val="16"/>
        </w:rPr>
        <w:t>Artículo 2.</w:t>
      </w:r>
      <w:r w:rsidRPr="00B11479">
        <w:rPr>
          <w:sz w:val="24"/>
          <w:szCs w:val="24"/>
          <w:lang w:val="es-CR" w:eastAsia="es-CR"/>
        </w:rPr>
        <w:t xml:space="preserve"> </w:t>
      </w:r>
      <w:r w:rsidRPr="00B11479">
        <w:rPr>
          <w:sz w:val="16"/>
          <w:lang w:val="es-CR"/>
        </w:rPr>
        <w:t>Definiciones</w:t>
      </w:r>
      <w:r>
        <w:rPr>
          <w:sz w:val="16"/>
          <w:lang w:val="es-CR"/>
        </w:rPr>
        <w:t>.</w:t>
      </w:r>
      <w:r w:rsidRPr="00B11479">
        <w:rPr>
          <w:sz w:val="16"/>
          <w:lang w:val="es-CR"/>
        </w:rPr>
        <w:t xml:space="preserve"> A los efectos de la pres</w:t>
      </w:r>
      <w:r>
        <w:rPr>
          <w:sz w:val="16"/>
          <w:lang w:val="es-CR"/>
        </w:rPr>
        <w:t>ente Convención se entiende por […]</w:t>
      </w:r>
      <w:r w:rsidRPr="00B11479">
        <w:rPr>
          <w:sz w:val="16"/>
          <w:lang w:val="es-CR"/>
        </w:rPr>
        <w:t xml:space="preserve"> “Persona mayor”:</w:t>
      </w:r>
      <w:r>
        <w:rPr>
          <w:sz w:val="16"/>
          <w:lang w:val="es-CR"/>
        </w:rPr>
        <w:t xml:space="preserve"> </w:t>
      </w:r>
      <w:r w:rsidRPr="00515C87">
        <w:rPr>
          <w:sz w:val="16"/>
        </w:rPr>
        <w:t>Aquella de 60 años o más, salvo que la ley interna determine una edad base menor o mayor, siempre que esta no sea superior a los 65 años. Este concepto incluye, entre otros, el de persona adulta mayor</w:t>
      </w:r>
      <w:r>
        <w:rPr>
          <w:sz w:val="16"/>
        </w:rPr>
        <w:t xml:space="preserve"> […]”</w:t>
      </w:r>
      <w:r w:rsidRPr="00515C87">
        <w:rPr>
          <w:sz w:val="16"/>
        </w:rPr>
        <w:t>.</w:t>
      </w:r>
    </w:p>
  </w:footnote>
  <w:footnote w:id="191">
    <w:p w14:paraId="7B619FA7" w14:textId="5ADA198C" w:rsidR="003C025E" w:rsidRPr="002A64C9" w:rsidRDefault="003C025E">
      <w:pPr>
        <w:pStyle w:val="FootnoteText"/>
        <w:rPr>
          <w:sz w:val="16"/>
          <w:szCs w:val="16"/>
          <w:lang w:val="es-AR"/>
        </w:rPr>
      </w:pPr>
      <w:r w:rsidRPr="00B1523A">
        <w:rPr>
          <w:rStyle w:val="FootnoteReference"/>
          <w:sz w:val="16"/>
          <w:szCs w:val="16"/>
        </w:rPr>
        <w:footnoteRef/>
      </w:r>
      <w:r w:rsidRPr="00B1523A">
        <w:rPr>
          <w:sz w:val="16"/>
          <w:szCs w:val="16"/>
        </w:rPr>
        <w:t xml:space="preserve"> </w:t>
      </w:r>
      <w:r>
        <w:tab/>
      </w:r>
      <w:r w:rsidRPr="002A64C9">
        <w:rPr>
          <w:sz w:val="16"/>
          <w:szCs w:val="16"/>
        </w:rPr>
        <w:t xml:space="preserve">Cabe señalar que en el </w:t>
      </w:r>
      <w:r w:rsidRPr="00EE6B63">
        <w:rPr>
          <w:i/>
          <w:sz w:val="16"/>
          <w:szCs w:val="16"/>
          <w:lang w:val="es-AR"/>
        </w:rPr>
        <w:t xml:space="preserve">Caso Comunidad Indígena </w:t>
      </w:r>
      <w:proofErr w:type="spellStart"/>
      <w:r w:rsidRPr="00EE6B63">
        <w:rPr>
          <w:i/>
          <w:sz w:val="16"/>
          <w:szCs w:val="16"/>
          <w:lang w:val="es-AR"/>
        </w:rPr>
        <w:t>Yake</w:t>
      </w:r>
      <w:proofErr w:type="spellEnd"/>
      <w:r w:rsidRPr="00EE6B63">
        <w:rPr>
          <w:i/>
          <w:sz w:val="16"/>
          <w:szCs w:val="16"/>
          <w:lang w:val="es-AR"/>
        </w:rPr>
        <w:t xml:space="preserve"> Axa Vs. Paragua</w:t>
      </w:r>
      <w:r>
        <w:rPr>
          <w:i/>
          <w:sz w:val="16"/>
          <w:szCs w:val="16"/>
          <w:lang w:val="es-AR"/>
        </w:rPr>
        <w:t>y</w:t>
      </w:r>
      <w:r w:rsidRPr="00EE6B63">
        <w:rPr>
          <w:sz w:val="16"/>
          <w:szCs w:val="16"/>
          <w:lang w:val="es-AR"/>
        </w:rPr>
        <w:t xml:space="preserve">, la </w:t>
      </w:r>
      <w:r>
        <w:rPr>
          <w:sz w:val="16"/>
          <w:szCs w:val="16"/>
          <w:lang w:val="es-AR"/>
        </w:rPr>
        <w:t>s</w:t>
      </w:r>
      <w:r w:rsidRPr="00EE6B63">
        <w:rPr>
          <w:sz w:val="16"/>
          <w:szCs w:val="16"/>
          <w:lang w:val="es-AR"/>
        </w:rPr>
        <w:t xml:space="preserve">entencia hizo alusión somera </w:t>
      </w:r>
      <w:r>
        <w:rPr>
          <w:sz w:val="16"/>
          <w:szCs w:val="16"/>
          <w:lang w:val="es-AR"/>
        </w:rPr>
        <w:t xml:space="preserve">con relación a </w:t>
      </w:r>
      <w:r w:rsidRPr="002A64C9">
        <w:rPr>
          <w:rFonts w:eastAsia="Calibri"/>
          <w:sz w:val="16"/>
          <w:szCs w:val="16"/>
          <w:lang w:val="es-ES" w:eastAsia="en-US"/>
        </w:rPr>
        <w:t>“que las personas de edad avanzada deben tener protegida su salud en caso de enfermedades crónicas y en fase terminal”.</w:t>
      </w:r>
      <w:r w:rsidRPr="008134CF">
        <w:rPr>
          <w:rFonts w:eastAsia="Calibri"/>
          <w:sz w:val="16"/>
          <w:szCs w:val="16"/>
          <w:lang w:val="es-ES" w:eastAsia="en-US"/>
        </w:rPr>
        <w:t xml:space="preserve"> </w:t>
      </w:r>
      <w:r w:rsidRPr="00AB3C21">
        <w:rPr>
          <w:rFonts w:eastAsia="Calibri"/>
          <w:sz w:val="16"/>
          <w:szCs w:val="16"/>
          <w:lang w:val="es-ES" w:eastAsia="en-US"/>
        </w:rPr>
        <w:t xml:space="preserve">Por su parte, </w:t>
      </w:r>
      <w:r w:rsidRPr="00B1523A">
        <w:rPr>
          <w:rFonts w:eastAsia="Calibri"/>
          <w:sz w:val="16"/>
          <w:szCs w:val="16"/>
          <w:lang w:val="es-ES" w:eastAsia="en-US"/>
        </w:rPr>
        <w:t xml:space="preserve">en el caso </w:t>
      </w:r>
      <w:r w:rsidRPr="00B1523A">
        <w:rPr>
          <w:rFonts w:eastAsia="Calibri"/>
          <w:i/>
          <w:sz w:val="16"/>
          <w:szCs w:val="16"/>
          <w:lang w:val="es-ES" w:eastAsia="en-US"/>
        </w:rPr>
        <w:t>García Lucero</w:t>
      </w:r>
      <w:r w:rsidRPr="00B1523A">
        <w:rPr>
          <w:rFonts w:eastAsia="Calibri"/>
          <w:sz w:val="16"/>
          <w:szCs w:val="16"/>
          <w:lang w:val="es-ES" w:eastAsia="en-US"/>
        </w:rPr>
        <w:t xml:space="preserve"> </w:t>
      </w:r>
      <w:r w:rsidRPr="00B1523A">
        <w:rPr>
          <w:rFonts w:eastAsia="Calibri"/>
          <w:i/>
          <w:sz w:val="16"/>
          <w:szCs w:val="16"/>
          <w:lang w:val="es-ES" w:eastAsia="en-US"/>
        </w:rPr>
        <w:t>y Otras Vs. Chile</w:t>
      </w:r>
      <w:r w:rsidRPr="00B1523A">
        <w:rPr>
          <w:rFonts w:eastAsia="Calibri"/>
          <w:sz w:val="16"/>
          <w:szCs w:val="16"/>
          <w:lang w:val="es-ES" w:eastAsia="en-US"/>
        </w:rPr>
        <w:t xml:space="preserve">,  la Corte reconoció, en el rubro de reparaciones, la situación de vulnerabilidad de la víctima por su condición de adulto mayor. </w:t>
      </w:r>
      <w:r w:rsidRPr="00B1523A">
        <w:rPr>
          <w:rFonts w:eastAsia="Calibri"/>
          <w:i/>
          <w:sz w:val="16"/>
          <w:szCs w:val="16"/>
          <w:lang w:val="es-ES" w:eastAsia="en-US"/>
        </w:rPr>
        <w:t>Cfr.</w:t>
      </w:r>
      <w:r w:rsidRPr="00B1523A">
        <w:rPr>
          <w:rFonts w:eastAsia="Calibri"/>
          <w:sz w:val="16"/>
          <w:szCs w:val="16"/>
          <w:lang w:val="es-ES" w:eastAsia="en-US"/>
        </w:rPr>
        <w:t xml:space="preserve"> </w:t>
      </w:r>
      <w:r w:rsidRPr="00B1523A">
        <w:rPr>
          <w:rFonts w:eastAsia="Calibri"/>
          <w:i/>
          <w:sz w:val="16"/>
          <w:szCs w:val="16"/>
          <w:lang w:val="es-AR" w:eastAsia="en-US"/>
        </w:rPr>
        <w:t xml:space="preserve">Caso Comunidad Indígena </w:t>
      </w:r>
      <w:proofErr w:type="spellStart"/>
      <w:r w:rsidRPr="00B1523A">
        <w:rPr>
          <w:rFonts w:eastAsia="Calibri"/>
          <w:i/>
          <w:sz w:val="16"/>
          <w:szCs w:val="16"/>
          <w:lang w:val="es-AR" w:eastAsia="en-US"/>
        </w:rPr>
        <w:t>Yake</w:t>
      </w:r>
      <w:proofErr w:type="spellEnd"/>
      <w:r w:rsidRPr="00B1523A">
        <w:rPr>
          <w:rFonts w:eastAsia="Calibri"/>
          <w:i/>
          <w:sz w:val="16"/>
          <w:szCs w:val="16"/>
          <w:lang w:val="es-AR" w:eastAsia="en-US"/>
        </w:rPr>
        <w:t xml:space="preserve"> Axa Vs. Paraguay, supra, </w:t>
      </w:r>
      <w:r w:rsidRPr="00B1523A">
        <w:rPr>
          <w:rFonts w:eastAsia="Calibri"/>
          <w:sz w:val="16"/>
          <w:szCs w:val="16"/>
          <w:lang w:val="es-AR" w:eastAsia="en-US"/>
        </w:rPr>
        <w:t xml:space="preserve">párr. 175, y </w:t>
      </w:r>
      <w:r w:rsidRPr="00B1523A">
        <w:rPr>
          <w:rFonts w:eastAsia="Calibri"/>
          <w:i/>
          <w:sz w:val="16"/>
          <w:szCs w:val="16"/>
          <w:lang w:val="es-ES" w:eastAsia="en-US"/>
        </w:rPr>
        <w:t>Caso García Lucero y otras Vs. Chile. Excepción Preliminar, Fondo y Reparaciones.</w:t>
      </w:r>
      <w:r w:rsidRPr="00B1523A">
        <w:rPr>
          <w:rFonts w:eastAsia="Calibri"/>
          <w:sz w:val="16"/>
          <w:szCs w:val="16"/>
          <w:lang w:val="es-ES" w:eastAsia="en-US"/>
        </w:rPr>
        <w:t xml:space="preserve"> Sentencia de 28 de agosto de 2013. Serie C No. 267, párr. </w:t>
      </w:r>
      <w:r>
        <w:rPr>
          <w:rFonts w:eastAsia="Calibri"/>
          <w:sz w:val="16"/>
          <w:szCs w:val="16"/>
          <w:lang w:val="es-ES" w:eastAsia="en-US"/>
        </w:rPr>
        <w:t>2</w:t>
      </w:r>
      <w:r w:rsidRPr="00B1523A">
        <w:rPr>
          <w:rFonts w:eastAsia="Calibri"/>
          <w:sz w:val="16"/>
          <w:szCs w:val="16"/>
          <w:lang w:val="es-ES" w:eastAsia="en-US"/>
        </w:rPr>
        <w:t>31.</w:t>
      </w:r>
    </w:p>
  </w:footnote>
  <w:footnote w:id="192">
    <w:p w14:paraId="119F54AE" w14:textId="7DBBBCC3" w:rsidR="003C025E" w:rsidRPr="005430FF" w:rsidRDefault="003C025E" w:rsidP="00911089">
      <w:pPr>
        <w:pStyle w:val="FootnoteText"/>
        <w:rPr>
          <w:sz w:val="16"/>
        </w:rPr>
      </w:pPr>
      <w:r w:rsidRPr="005430FF">
        <w:rPr>
          <w:rStyle w:val="FootnoteReference"/>
          <w:sz w:val="16"/>
        </w:rPr>
        <w:footnoteRef/>
      </w:r>
      <w:r w:rsidRPr="005430FF">
        <w:rPr>
          <w:sz w:val="16"/>
        </w:rPr>
        <w:t xml:space="preserve"> </w:t>
      </w:r>
      <w:r>
        <w:rPr>
          <w:sz w:val="16"/>
        </w:rPr>
        <w:t xml:space="preserve"> </w:t>
      </w:r>
      <w:r w:rsidRPr="0000041A">
        <w:rPr>
          <w:sz w:val="16"/>
        </w:rPr>
        <w:t xml:space="preserve">    </w:t>
      </w:r>
      <w:r>
        <w:rPr>
          <w:sz w:val="16"/>
        </w:rPr>
        <w:tab/>
        <w:t xml:space="preserve">OEA. Protocolo Adicional a la Convención Americana sobre Derechos Humanos en materia de Derechos Económicos, Sociales y Culturales “Protocolo de San Salvador”. </w:t>
      </w:r>
      <w:r w:rsidRPr="0000041A">
        <w:rPr>
          <w:sz w:val="16"/>
        </w:rPr>
        <w:t xml:space="preserve">Adoptado por la Asamblea General de la Organización de Estados Americanos el 17 de noviembre de 1988 en San Salvador. Entrada en </w:t>
      </w:r>
      <w:r>
        <w:rPr>
          <w:sz w:val="16"/>
        </w:rPr>
        <w:t>v</w:t>
      </w:r>
      <w:r w:rsidRPr="0000041A">
        <w:rPr>
          <w:sz w:val="16"/>
        </w:rPr>
        <w:t xml:space="preserve">igor </w:t>
      </w:r>
      <w:r>
        <w:rPr>
          <w:sz w:val="16"/>
        </w:rPr>
        <w:t xml:space="preserve">el </w:t>
      </w:r>
      <w:r w:rsidRPr="0000041A">
        <w:rPr>
          <w:sz w:val="16"/>
        </w:rPr>
        <w:t>16 de Noviembre de 1999. Hasta la actualidad no ha sido ratificado por el Estado de Chile.</w:t>
      </w:r>
      <w:r w:rsidRPr="0000041A">
        <w:t xml:space="preserve"> </w:t>
      </w:r>
      <w:r>
        <w:rPr>
          <w:sz w:val="16"/>
        </w:rPr>
        <w:t xml:space="preserve">Artículo 17. </w:t>
      </w:r>
      <w:r w:rsidRPr="0000041A">
        <w:rPr>
          <w:sz w:val="16"/>
        </w:rPr>
        <w:t>Toda persona tiene derecho a protección especial durante su ancianidad. En tal cometido, los Estados partes se comprometen a adoptar de manera progresiva las medidas necesarias a fin de llevar este derecho a</w:t>
      </w:r>
      <w:r>
        <w:rPr>
          <w:sz w:val="16"/>
        </w:rPr>
        <w:t xml:space="preserve"> la práctica y en particular a: a) </w:t>
      </w:r>
      <w:r w:rsidRPr="0000041A">
        <w:rPr>
          <w:sz w:val="16"/>
        </w:rPr>
        <w:t xml:space="preserve">proporcionar instalaciones adecuadas, así como alimentación y atención médica especializada a las personas de edad avanzada que carezcan de ella y no se encuentren en condiciones de </w:t>
      </w:r>
      <w:r>
        <w:rPr>
          <w:sz w:val="16"/>
        </w:rPr>
        <w:t>proporcionársela por sí mismas; b)</w:t>
      </w:r>
      <w:r w:rsidRPr="0000041A">
        <w:rPr>
          <w:sz w:val="16"/>
        </w:rPr>
        <w:t xml:space="preserve"> ejecutar programas laborales específicos destinados a conceder a los ancianos la posibilidad de realizar una actividad productiva adecuada a sus capacidades r</w:t>
      </w:r>
      <w:r>
        <w:rPr>
          <w:sz w:val="16"/>
        </w:rPr>
        <w:t>espetando su vocación o deseos; c)</w:t>
      </w:r>
      <w:r w:rsidRPr="0000041A">
        <w:rPr>
          <w:sz w:val="16"/>
        </w:rPr>
        <w:t xml:space="preserve"> estimular la formación de organizaciones sociales destinadas a mejorar la calidad de vida de los ancianos</w:t>
      </w:r>
      <w:r>
        <w:rPr>
          <w:sz w:val="16"/>
        </w:rPr>
        <w:t xml:space="preserve"> </w:t>
      </w:r>
      <w:r w:rsidRPr="00221FF8">
        <w:rPr>
          <w:sz w:val="16"/>
          <w:lang w:val="es-CR"/>
        </w:rPr>
        <w:t>∞</w:t>
      </w:r>
      <w:r w:rsidRPr="0000041A">
        <w:rPr>
          <w:sz w:val="16"/>
        </w:rPr>
        <w:t>.</w:t>
      </w:r>
    </w:p>
  </w:footnote>
  <w:footnote w:id="193">
    <w:p w14:paraId="2880624A" w14:textId="4C1D7CE7" w:rsidR="003C025E" w:rsidRPr="0036020D" w:rsidRDefault="003C025E" w:rsidP="00DB08E9">
      <w:pPr>
        <w:pStyle w:val="FootnoteText"/>
      </w:pPr>
      <w:r w:rsidRPr="0043255A">
        <w:rPr>
          <w:rStyle w:val="FootnoteReference"/>
          <w:color w:val="000000"/>
          <w:sz w:val="16"/>
          <w:szCs w:val="16"/>
        </w:rPr>
        <w:footnoteRef/>
      </w:r>
      <w:r>
        <w:t xml:space="preserve"> </w:t>
      </w:r>
      <w:r>
        <w:tab/>
      </w:r>
      <w:r>
        <w:rPr>
          <w:sz w:val="16"/>
          <w:szCs w:val="16"/>
          <w:lang w:val="es-AR"/>
        </w:rPr>
        <w:t xml:space="preserve">Adoptado en la 26ª Sesión Ordinaria de la Asamblea de la Unión Africana celebrada en Addis Abeba, Etiopía, el 31 de junio de 2016. En su artículo 15.1 dispone la obligación de los Estados africanos </w:t>
      </w:r>
      <w:r>
        <w:br/>
      </w:r>
      <w:r>
        <w:rPr>
          <w:rFonts w:cs="Arial"/>
          <w:color w:val="212121"/>
          <w:sz w:val="16"/>
          <w:szCs w:val="16"/>
          <w:shd w:val="clear" w:color="auto" w:fill="FFFFFF"/>
        </w:rPr>
        <w:t xml:space="preserve">de “[…] </w:t>
      </w:r>
      <w:r w:rsidRPr="00255B98">
        <w:rPr>
          <w:rFonts w:cs="Arial"/>
          <w:color w:val="212121"/>
          <w:sz w:val="16"/>
          <w:szCs w:val="16"/>
          <w:shd w:val="clear" w:color="auto" w:fill="FFFFFF"/>
        </w:rPr>
        <w:t>garantizar los derechos de las personas mayores a acceder a servicios de salud que satisfagan sus necesidades específicas</w:t>
      </w:r>
      <w:r>
        <w:rPr>
          <w:rFonts w:cs="Arial"/>
          <w:color w:val="212121"/>
          <w:sz w:val="16"/>
          <w:szCs w:val="16"/>
          <w:shd w:val="clear" w:color="auto" w:fill="FFFFFF"/>
        </w:rPr>
        <w:t xml:space="preserve"> […]”. </w:t>
      </w:r>
    </w:p>
  </w:footnote>
  <w:footnote w:id="194">
    <w:p w14:paraId="2993C449" w14:textId="14232B60" w:rsidR="003C025E" w:rsidRPr="009172C6" w:rsidRDefault="003C025E" w:rsidP="005D383C">
      <w:pPr>
        <w:pStyle w:val="FootnoteText"/>
        <w:rPr>
          <w:b/>
          <w:sz w:val="16"/>
          <w:szCs w:val="16"/>
          <w:lang w:val="es-CR"/>
        </w:rPr>
      </w:pPr>
      <w:r w:rsidRPr="009172C6">
        <w:rPr>
          <w:rStyle w:val="FootnoteReference"/>
          <w:rFonts w:eastAsia="MS ????"/>
          <w:color w:val="000000"/>
          <w:sz w:val="16"/>
          <w:szCs w:val="16"/>
        </w:rPr>
        <w:footnoteRef/>
      </w:r>
      <w:r w:rsidRPr="009172C6">
        <w:rPr>
          <w:b/>
        </w:rPr>
        <w:t xml:space="preserve">  </w:t>
      </w:r>
      <w:r>
        <w:rPr>
          <w:b/>
        </w:rPr>
        <w:tab/>
      </w:r>
      <w:r w:rsidRPr="00ED5EC1">
        <w:rPr>
          <w:sz w:val="16"/>
          <w:szCs w:val="16"/>
          <w:lang w:val="es-AR"/>
        </w:rPr>
        <w:t>Consejo de Europa</w:t>
      </w:r>
      <w:r w:rsidRPr="001A7A8E">
        <w:rPr>
          <w:sz w:val="16"/>
          <w:szCs w:val="16"/>
          <w:lang w:val="es-AR"/>
        </w:rPr>
        <w:t xml:space="preserve"> (Estrasburgo</w:t>
      </w:r>
      <w:r w:rsidRPr="00B1523A">
        <w:rPr>
          <w:i/>
          <w:sz w:val="16"/>
          <w:szCs w:val="16"/>
          <w:lang w:val="es-AR"/>
        </w:rPr>
        <w:t>). Carta Social Europea</w:t>
      </w:r>
      <w:r w:rsidRPr="00B1523A">
        <w:rPr>
          <w:sz w:val="16"/>
          <w:szCs w:val="16"/>
          <w:lang w:val="es-AR"/>
        </w:rPr>
        <w:t xml:space="preserve">, </w:t>
      </w:r>
      <w:r w:rsidRPr="00B1523A">
        <w:rPr>
          <w:i/>
          <w:sz w:val="16"/>
          <w:szCs w:val="16"/>
          <w:lang w:val="es-AR"/>
        </w:rPr>
        <w:t>supra</w:t>
      </w:r>
      <w:r w:rsidRPr="00ED5EC1">
        <w:rPr>
          <w:sz w:val="16"/>
          <w:szCs w:val="16"/>
          <w:lang w:val="es-AR"/>
        </w:rPr>
        <w:t xml:space="preserve">. </w:t>
      </w:r>
      <w:r w:rsidRPr="001A7A8E">
        <w:rPr>
          <w:sz w:val="16"/>
          <w:szCs w:val="16"/>
          <w:lang w:val="es-AR"/>
        </w:rPr>
        <w:t xml:space="preserve">En su </w:t>
      </w:r>
      <w:r w:rsidRPr="00B1523A">
        <w:rPr>
          <w:sz w:val="16"/>
          <w:szCs w:val="16"/>
          <w:lang w:val="es-AR"/>
        </w:rPr>
        <w:t xml:space="preserve">artículo 23, dispone el </w:t>
      </w:r>
      <w:r w:rsidRPr="00B1523A">
        <w:rPr>
          <w:sz w:val="16"/>
          <w:szCs w:val="16"/>
          <w:lang w:val="es-CR"/>
        </w:rPr>
        <w:t>derecho de las personas de edad avanzada a protección social</w:t>
      </w:r>
      <w:r>
        <w:rPr>
          <w:sz w:val="16"/>
          <w:szCs w:val="16"/>
          <w:lang w:val="es-CR"/>
        </w:rPr>
        <w:t xml:space="preserve"> y establece el compromiso de los Estados </w:t>
      </w:r>
      <w:r w:rsidRPr="001A7A8E">
        <w:rPr>
          <w:sz w:val="16"/>
          <w:szCs w:val="16"/>
          <w:lang w:val="es-CR"/>
        </w:rPr>
        <w:t xml:space="preserve">Partes </w:t>
      </w:r>
      <w:r>
        <w:rPr>
          <w:sz w:val="16"/>
          <w:szCs w:val="16"/>
          <w:lang w:val="es-CR"/>
        </w:rPr>
        <w:t xml:space="preserve">para </w:t>
      </w:r>
      <w:r w:rsidRPr="001A7A8E">
        <w:rPr>
          <w:sz w:val="16"/>
          <w:szCs w:val="16"/>
          <w:lang w:val="es-CR"/>
        </w:rPr>
        <w:t>adoptar o promover medidas apropiadas orientadas</w:t>
      </w:r>
      <w:r>
        <w:rPr>
          <w:sz w:val="16"/>
          <w:szCs w:val="16"/>
          <w:lang w:val="es-CR"/>
        </w:rPr>
        <w:t xml:space="preserve"> a</w:t>
      </w:r>
      <w:r w:rsidRPr="001A7A8E">
        <w:rPr>
          <w:sz w:val="16"/>
          <w:szCs w:val="16"/>
          <w:lang w:val="es-CR"/>
        </w:rPr>
        <w:t xml:space="preserve"> garantizar el ejercicio efectivo de</w:t>
      </w:r>
      <w:r>
        <w:rPr>
          <w:sz w:val="16"/>
          <w:szCs w:val="16"/>
          <w:lang w:val="es-CR"/>
        </w:rPr>
        <w:t xml:space="preserve"> este</w:t>
      </w:r>
      <w:r w:rsidRPr="001A7A8E">
        <w:rPr>
          <w:sz w:val="16"/>
          <w:szCs w:val="16"/>
          <w:lang w:val="es-CR"/>
        </w:rPr>
        <w:t xml:space="preserve"> derecho</w:t>
      </w:r>
      <w:r w:rsidRPr="00B1523A">
        <w:rPr>
          <w:sz w:val="16"/>
          <w:szCs w:val="16"/>
          <w:lang w:val="es-CR"/>
        </w:rPr>
        <w:t>.</w:t>
      </w:r>
      <w:r>
        <w:rPr>
          <w:b/>
          <w:sz w:val="16"/>
          <w:szCs w:val="16"/>
          <w:lang w:val="es-CR"/>
        </w:rPr>
        <w:t xml:space="preserve"> </w:t>
      </w:r>
    </w:p>
  </w:footnote>
  <w:footnote w:id="195">
    <w:p w14:paraId="33A76C9F" w14:textId="5ACA297D" w:rsidR="003C025E" w:rsidRPr="002570D1" w:rsidRDefault="003C025E" w:rsidP="001218A0">
      <w:pPr>
        <w:pStyle w:val="FootnoteText"/>
        <w:rPr>
          <w:sz w:val="16"/>
          <w:szCs w:val="16"/>
          <w:lang w:val="es-AR"/>
        </w:rPr>
      </w:pPr>
      <w:r w:rsidRPr="00C64243">
        <w:rPr>
          <w:rStyle w:val="FootnoteReference"/>
          <w:sz w:val="16"/>
        </w:rPr>
        <w:footnoteRef/>
      </w:r>
      <w:r>
        <w:rPr>
          <w:sz w:val="16"/>
          <w:szCs w:val="16"/>
          <w:lang w:val="es-AR"/>
        </w:rPr>
        <w:t xml:space="preserve"> </w:t>
      </w:r>
      <w:r>
        <w:rPr>
          <w:sz w:val="16"/>
          <w:szCs w:val="16"/>
          <w:lang w:val="es-AR"/>
        </w:rPr>
        <w:tab/>
        <w:t xml:space="preserve">OEA. </w:t>
      </w:r>
      <w:r w:rsidRPr="00B1523A">
        <w:rPr>
          <w:i/>
          <w:sz w:val="16"/>
          <w:szCs w:val="16"/>
          <w:lang w:val="es-MX"/>
        </w:rPr>
        <w:t>Convención Interamericana sobre la Protección de los Derechos Humanos de las Personas Mayores</w:t>
      </w:r>
      <w:r w:rsidRPr="00B1523A">
        <w:rPr>
          <w:i/>
          <w:sz w:val="16"/>
          <w:szCs w:val="16"/>
          <w:lang w:val="es-AR"/>
        </w:rPr>
        <w:t>,</w:t>
      </w:r>
      <w:r>
        <w:rPr>
          <w:sz w:val="16"/>
          <w:szCs w:val="16"/>
          <w:lang w:val="es-AR"/>
        </w:rPr>
        <w:t xml:space="preserve"> </w:t>
      </w:r>
      <w:r>
        <w:rPr>
          <w:i/>
          <w:sz w:val="16"/>
          <w:szCs w:val="16"/>
          <w:lang w:val="es-AR"/>
        </w:rPr>
        <w:t>supra</w:t>
      </w:r>
      <w:r>
        <w:rPr>
          <w:sz w:val="16"/>
          <w:szCs w:val="16"/>
          <w:lang w:val="es-AR"/>
        </w:rPr>
        <w:t xml:space="preserve">. </w:t>
      </w:r>
      <w:r w:rsidRPr="0000041A">
        <w:rPr>
          <w:sz w:val="16"/>
          <w:szCs w:val="16"/>
          <w:lang w:val="es-AR"/>
        </w:rPr>
        <w:t xml:space="preserve">Ratificada por </w:t>
      </w:r>
      <w:r>
        <w:rPr>
          <w:sz w:val="16"/>
          <w:szCs w:val="16"/>
          <w:lang w:val="es-AR"/>
        </w:rPr>
        <w:t>C</w:t>
      </w:r>
      <w:r w:rsidRPr="0000041A">
        <w:rPr>
          <w:sz w:val="16"/>
          <w:szCs w:val="16"/>
          <w:lang w:val="es-AR"/>
        </w:rPr>
        <w:t>hile</w:t>
      </w:r>
      <w:r>
        <w:rPr>
          <w:sz w:val="16"/>
          <w:szCs w:val="16"/>
          <w:lang w:val="es-AR"/>
        </w:rPr>
        <w:t xml:space="preserve"> el 7 de noviembre de 2017. </w:t>
      </w:r>
      <w:r>
        <w:rPr>
          <w:i/>
          <w:sz w:val="16"/>
          <w:szCs w:val="16"/>
          <w:lang w:val="es-AR"/>
        </w:rPr>
        <w:t>s</w:t>
      </w:r>
      <w:r w:rsidRPr="00B1523A">
        <w:rPr>
          <w:i/>
          <w:sz w:val="16"/>
          <w:szCs w:val="16"/>
          <w:lang w:val="es-AR"/>
        </w:rPr>
        <w:t>upra</w:t>
      </w:r>
      <w:r>
        <w:rPr>
          <w:sz w:val="16"/>
          <w:szCs w:val="16"/>
          <w:lang w:val="es-AR"/>
        </w:rPr>
        <w:t xml:space="preserve">. </w:t>
      </w:r>
    </w:p>
  </w:footnote>
  <w:footnote w:id="196">
    <w:p w14:paraId="38FEE0E9" w14:textId="702A4F9A" w:rsidR="003C025E" w:rsidRPr="00D727A2" w:rsidRDefault="003C025E" w:rsidP="001218A0">
      <w:pPr>
        <w:pStyle w:val="FootnoteText"/>
      </w:pPr>
      <w:r w:rsidRPr="00C64243">
        <w:rPr>
          <w:rStyle w:val="FootnoteReference"/>
          <w:sz w:val="16"/>
        </w:rPr>
        <w:footnoteRef/>
      </w:r>
      <w:r>
        <w:t xml:space="preserve">    </w:t>
      </w:r>
      <w:r>
        <w:rPr>
          <w:sz w:val="16"/>
          <w:szCs w:val="16"/>
          <w:lang w:val="es-MX"/>
        </w:rPr>
        <w:tab/>
      </w:r>
      <w:r w:rsidRPr="00543E84">
        <w:rPr>
          <w:sz w:val="16"/>
          <w:szCs w:val="16"/>
          <w:lang w:val="es-AR"/>
        </w:rPr>
        <w:t>Artículo 19</w:t>
      </w:r>
      <w:r w:rsidRPr="001F1858">
        <w:rPr>
          <w:sz w:val="16"/>
          <w:szCs w:val="16"/>
          <w:lang w:val="es-AR"/>
        </w:rPr>
        <w:t>.</w:t>
      </w:r>
      <w:r w:rsidRPr="00B1523A">
        <w:rPr>
          <w:sz w:val="16"/>
          <w:szCs w:val="16"/>
        </w:rPr>
        <w:t xml:space="preserve"> Derecho a la salud. </w:t>
      </w:r>
      <w:r w:rsidRPr="00543E84">
        <w:rPr>
          <w:sz w:val="16"/>
          <w:szCs w:val="16"/>
          <w:lang w:val="es-AR"/>
        </w:rPr>
        <w:t>La persona mayor tiene derecho a su salud física y mental, si</w:t>
      </w:r>
      <w:r w:rsidRPr="00D3538B">
        <w:rPr>
          <w:sz w:val="16"/>
          <w:szCs w:val="16"/>
          <w:lang w:val="es-AR"/>
        </w:rPr>
        <w:t>n ningún tipo de discriminación […].</w:t>
      </w:r>
      <w:r>
        <w:rPr>
          <w:sz w:val="16"/>
          <w:szCs w:val="16"/>
          <w:lang w:val="es-AR"/>
        </w:rPr>
        <w:t xml:space="preserve"> </w:t>
      </w:r>
    </w:p>
  </w:footnote>
  <w:footnote w:id="197">
    <w:p w14:paraId="2507199F" w14:textId="455865AB" w:rsidR="003C025E" w:rsidRPr="002570D1" w:rsidRDefault="003C025E" w:rsidP="0027467C">
      <w:pPr>
        <w:pStyle w:val="FootnoteText"/>
        <w:rPr>
          <w:sz w:val="16"/>
          <w:szCs w:val="16"/>
          <w:lang w:val="es-AR"/>
        </w:rPr>
      </w:pPr>
      <w:r w:rsidRPr="002570D1">
        <w:rPr>
          <w:rStyle w:val="FootnoteReference"/>
          <w:color w:val="000000"/>
          <w:sz w:val="16"/>
          <w:szCs w:val="16"/>
        </w:rPr>
        <w:footnoteRef/>
      </w:r>
      <w:r w:rsidRPr="002570D1">
        <w:rPr>
          <w:sz w:val="16"/>
          <w:szCs w:val="16"/>
          <w:lang w:val="es-AR"/>
        </w:rPr>
        <w:t xml:space="preserve">  </w:t>
      </w:r>
      <w:r>
        <w:rPr>
          <w:sz w:val="16"/>
          <w:szCs w:val="16"/>
          <w:lang w:val="es-AR"/>
        </w:rPr>
        <w:tab/>
        <w:t xml:space="preserve">ONU. Asamblea General, </w:t>
      </w:r>
      <w:r w:rsidRPr="00B1523A">
        <w:rPr>
          <w:i/>
          <w:sz w:val="16"/>
          <w:szCs w:val="16"/>
          <w:lang w:val="es-AR"/>
        </w:rPr>
        <w:t>Principios de las Naciones Unidas en Favor de las Personas de Edad.</w:t>
      </w:r>
      <w:r>
        <w:rPr>
          <w:sz w:val="16"/>
          <w:szCs w:val="16"/>
          <w:lang w:val="es-AR"/>
        </w:rPr>
        <w:t xml:space="preserve"> A</w:t>
      </w:r>
      <w:r w:rsidRPr="002570D1">
        <w:rPr>
          <w:sz w:val="16"/>
          <w:szCs w:val="16"/>
          <w:lang w:val="es-AR"/>
        </w:rPr>
        <w:t xml:space="preserve">probados </w:t>
      </w:r>
      <w:r>
        <w:rPr>
          <w:sz w:val="16"/>
          <w:szCs w:val="16"/>
          <w:lang w:val="es-AR"/>
        </w:rPr>
        <w:t>mediante R</w:t>
      </w:r>
      <w:r w:rsidRPr="002570D1">
        <w:rPr>
          <w:sz w:val="16"/>
          <w:szCs w:val="16"/>
          <w:lang w:val="es-AR"/>
        </w:rPr>
        <w:t>esolución 46/91</w:t>
      </w:r>
      <w:r>
        <w:rPr>
          <w:sz w:val="16"/>
          <w:szCs w:val="16"/>
          <w:lang w:val="es-AR"/>
        </w:rPr>
        <w:t xml:space="preserve"> de </w:t>
      </w:r>
      <w:r w:rsidRPr="002570D1">
        <w:rPr>
          <w:sz w:val="16"/>
          <w:szCs w:val="16"/>
          <w:lang w:val="es-AR"/>
        </w:rPr>
        <w:t>16 de diciembre de 1991</w:t>
      </w:r>
      <w:r>
        <w:rPr>
          <w:sz w:val="16"/>
          <w:szCs w:val="16"/>
          <w:lang w:val="es-AR"/>
        </w:rPr>
        <w:t>.</w:t>
      </w:r>
    </w:p>
  </w:footnote>
  <w:footnote w:id="198">
    <w:p w14:paraId="1C6EAD79" w14:textId="5EA72AF3" w:rsidR="003C025E" w:rsidRPr="00FC0DE8" w:rsidRDefault="003C025E" w:rsidP="00911089">
      <w:pPr>
        <w:pStyle w:val="FootnoteText"/>
      </w:pPr>
      <w:r w:rsidRPr="00C64243">
        <w:rPr>
          <w:rStyle w:val="FootnoteReference"/>
          <w:color w:val="000000"/>
          <w:sz w:val="16"/>
          <w:szCs w:val="16"/>
        </w:rPr>
        <w:footnoteRef/>
      </w:r>
      <w:r w:rsidRPr="00C64243">
        <w:rPr>
          <w:rStyle w:val="FootnoteReference"/>
          <w:color w:val="000000"/>
          <w:sz w:val="16"/>
          <w:szCs w:val="16"/>
        </w:rPr>
        <w:t xml:space="preserve"> </w:t>
      </w:r>
      <w:r>
        <w:rPr>
          <w:color w:val="000000"/>
          <w:sz w:val="16"/>
          <w:szCs w:val="16"/>
        </w:rPr>
        <w:t xml:space="preserve">   </w:t>
      </w:r>
      <w:r>
        <w:t xml:space="preserve"> </w:t>
      </w:r>
      <w:r>
        <w:tab/>
      </w:r>
      <w:r w:rsidRPr="00B1523A">
        <w:rPr>
          <w:sz w:val="16"/>
          <w:szCs w:val="16"/>
        </w:rPr>
        <w:t xml:space="preserve">Adoptado en la </w:t>
      </w:r>
      <w:r>
        <w:rPr>
          <w:sz w:val="16"/>
          <w:szCs w:val="16"/>
        </w:rPr>
        <w:t>“</w:t>
      </w:r>
      <w:r w:rsidRPr="00E03F6D">
        <w:rPr>
          <w:sz w:val="16"/>
          <w:szCs w:val="16"/>
          <w:lang w:val="es-AR"/>
        </w:rPr>
        <w:t>Asamblea Mundial sobre el Envejecimiento</w:t>
      </w:r>
      <w:r>
        <w:rPr>
          <w:sz w:val="16"/>
          <w:szCs w:val="16"/>
          <w:lang w:val="es-AR"/>
        </w:rPr>
        <w:t>”</w:t>
      </w:r>
      <w:r w:rsidRPr="00E03F6D">
        <w:rPr>
          <w:sz w:val="16"/>
          <w:szCs w:val="16"/>
          <w:lang w:val="es-AR"/>
        </w:rPr>
        <w:t xml:space="preserve"> el 6 de agosto de 1982 y aprobado por la Asamblea General de la</w:t>
      </w:r>
      <w:r>
        <w:rPr>
          <w:sz w:val="16"/>
          <w:szCs w:val="16"/>
          <w:lang w:val="es-AR"/>
        </w:rPr>
        <w:t xml:space="preserve"> Organización de las</w:t>
      </w:r>
      <w:r w:rsidRPr="00E03F6D">
        <w:rPr>
          <w:sz w:val="16"/>
          <w:szCs w:val="16"/>
          <w:lang w:val="es-AR"/>
        </w:rPr>
        <w:t xml:space="preserve"> Naciones Unidas mediante Resolución 37/51.</w:t>
      </w:r>
    </w:p>
  </w:footnote>
  <w:footnote w:id="199">
    <w:p w14:paraId="5D01C416" w14:textId="1BDEF867" w:rsidR="003C025E" w:rsidRPr="002570D1" w:rsidRDefault="003C025E" w:rsidP="00911089">
      <w:pPr>
        <w:pStyle w:val="FootnoteText"/>
        <w:rPr>
          <w:sz w:val="16"/>
          <w:szCs w:val="16"/>
          <w:lang w:val="es-AR"/>
        </w:rPr>
      </w:pPr>
      <w:r w:rsidRPr="002570D1">
        <w:rPr>
          <w:rStyle w:val="FootnoteReference"/>
          <w:color w:val="000000"/>
          <w:sz w:val="16"/>
          <w:szCs w:val="16"/>
        </w:rPr>
        <w:footnoteRef/>
      </w:r>
      <w:r w:rsidRPr="002570D1">
        <w:rPr>
          <w:rStyle w:val="FootnoteReference"/>
          <w:color w:val="000000"/>
          <w:sz w:val="16"/>
          <w:szCs w:val="16"/>
          <w:lang w:val="es-AR"/>
        </w:rPr>
        <w:t xml:space="preserve"> </w:t>
      </w:r>
      <w:r w:rsidRPr="002570D1">
        <w:rPr>
          <w:color w:val="000000"/>
          <w:sz w:val="16"/>
          <w:szCs w:val="16"/>
          <w:lang w:val="es-AR"/>
        </w:rPr>
        <w:t xml:space="preserve">  </w:t>
      </w:r>
      <w:r>
        <w:rPr>
          <w:color w:val="000000"/>
          <w:sz w:val="16"/>
          <w:szCs w:val="16"/>
          <w:lang w:val="es-AR"/>
        </w:rPr>
        <w:tab/>
        <w:t xml:space="preserve">ONU. Asamblea General, </w:t>
      </w:r>
      <w:r w:rsidRPr="00B1523A">
        <w:rPr>
          <w:i/>
          <w:sz w:val="16"/>
          <w:szCs w:val="16"/>
          <w:lang w:val="es-AR"/>
        </w:rPr>
        <w:t>Proclamación sobre el Envejecimiento</w:t>
      </w:r>
      <w:r>
        <w:rPr>
          <w:sz w:val="16"/>
          <w:szCs w:val="16"/>
          <w:lang w:val="es-AR"/>
        </w:rPr>
        <w:t>. Aprobada mediante Re</w:t>
      </w:r>
      <w:r w:rsidRPr="002570D1">
        <w:rPr>
          <w:sz w:val="16"/>
          <w:szCs w:val="16"/>
          <w:lang w:val="es-AR"/>
        </w:rPr>
        <w:t>solución 47/5</w:t>
      </w:r>
      <w:r>
        <w:rPr>
          <w:sz w:val="16"/>
          <w:szCs w:val="16"/>
          <w:lang w:val="es-AR"/>
        </w:rPr>
        <w:t xml:space="preserve"> de </w:t>
      </w:r>
      <w:r w:rsidRPr="002570D1">
        <w:rPr>
          <w:sz w:val="16"/>
          <w:szCs w:val="16"/>
          <w:lang w:val="es-AR"/>
        </w:rPr>
        <w:t>16 de octubre de 1992.</w:t>
      </w:r>
    </w:p>
  </w:footnote>
  <w:footnote w:id="200">
    <w:p w14:paraId="27CC649F" w14:textId="5E8F2D2B" w:rsidR="003C025E" w:rsidRPr="002570D1" w:rsidRDefault="003C025E" w:rsidP="00911089">
      <w:pPr>
        <w:pStyle w:val="FootnoteText"/>
        <w:rPr>
          <w:sz w:val="16"/>
          <w:szCs w:val="16"/>
          <w:lang w:val="es-AR"/>
        </w:rPr>
      </w:pPr>
      <w:r w:rsidRPr="002570D1">
        <w:rPr>
          <w:rStyle w:val="FootnoteReference"/>
          <w:color w:val="000000"/>
          <w:sz w:val="16"/>
          <w:szCs w:val="16"/>
        </w:rPr>
        <w:footnoteRef/>
      </w:r>
      <w:r w:rsidRPr="002570D1">
        <w:rPr>
          <w:sz w:val="16"/>
          <w:szCs w:val="16"/>
          <w:lang w:val="es-AR"/>
        </w:rPr>
        <w:t xml:space="preserve"> </w:t>
      </w:r>
      <w:r>
        <w:rPr>
          <w:sz w:val="16"/>
          <w:szCs w:val="16"/>
          <w:lang w:val="es-AR"/>
        </w:rPr>
        <w:t xml:space="preserve"> </w:t>
      </w:r>
      <w:r>
        <w:rPr>
          <w:sz w:val="16"/>
          <w:szCs w:val="16"/>
          <w:lang w:val="es-AR"/>
        </w:rPr>
        <w:tab/>
        <w:t>ONU. Asamblea General</w:t>
      </w:r>
      <w:r w:rsidRPr="00B1523A">
        <w:rPr>
          <w:i/>
          <w:sz w:val="16"/>
          <w:szCs w:val="16"/>
          <w:lang w:val="es-AR"/>
        </w:rPr>
        <w:t>, Declaración Política y Plan de Acción Internacional de Madrid sobre el Envejecimiento</w:t>
      </w:r>
      <w:r>
        <w:rPr>
          <w:sz w:val="16"/>
          <w:szCs w:val="16"/>
          <w:lang w:val="es-AR"/>
        </w:rPr>
        <w:t xml:space="preserve">.  </w:t>
      </w:r>
      <w:r w:rsidRPr="002570D1">
        <w:rPr>
          <w:sz w:val="16"/>
          <w:szCs w:val="16"/>
          <w:lang w:val="es-AR"/>
        </w:rPr>
        <w:t>Informe de la Segunda Asamblea Mundial sobre el Envejecimiento</w:t>
      </w:r>
      <w:r>
        <w:rPr>
          <w:sz w:val="16"/>
          <w:szCs w:val="16"/>
          <w:lang w:val="es-AR"/>
        </w:rPr>
        <w:t xml:space="preserve">, A/CONF.197/9, </w:t>
      </w:r>
      <w:r w:rsidRPr="002570D1">
        <w:rPr>
          <w:sz w:val="16"/>
          <w:szCs w:val="16"/>
          <w:lang w:val="es-AR"/>
        </w:rPr>
        <w:t>12 de abril de 2002.</w:t>
      </w:r>
    </w:p>
  </w:footnote>
  <w:footnote w:id="201">
    <w:p w14:paraId="673CFF6D" w14:textId="763F9E9F" w:rsidR="003C025E" w:rsidRPr="002570D1" w:rsidRDefault="003C025E" w:rsidP="00911089">
      <w:pPr>
        <w:pStyle w:val="FootnoteText"/>
        <w:rPr>
          <w:sz w:val="16"/>
          <w:szCs w:val="16"/>
          <w:lang w:val="es-AR"/>
        </w:rPr>
      </w:pPr>
      <w:r w:rsidRPr="002570D1">
        <w:rPr>
          <w:rStyle w:val="FootnoteReference"/>
          <w:color w:val="000000"/>
          <w:sz w:val="16"/>
          <w:szCs w:val="16"/>
        </w:rPr>
        <w:footnoteRef/>
      </w:r>
      <w:r>
        <w:rPr>
          <w:sz w:val="16"/>
          <w:szCs w:val="16"/>
          <w:lang w:val="es-AR"/>
        </w:rPr>
        <w:t xml:space="preserve">  </w:t>
      </w:r>
      <w:r w:rsidRPr="002570D1">
        <w:rPr>
          <w:sz w:val="16"/>
          <w:szCs w:val="16"/>
          <w:lang w:val="es-AR"/>
        </w:rPr>
        <w:t xml:space="preserve"> </w:t>
      </w:r>
      <w:r>
        <w:rPr>
          <w:sz w:val="16"/>
          <w:szCs w:val="16"/>
          <w:lang w:val="es-AR"/>
        </w:rPr>
        <w:t xml:space="preserve"> </w:t>
      </w:r>
      <w:r>
        <w:rPr>
          <w:sz w:val="16"/>
          <w:szCs w:val="16"/>
          <w:lang w:val="es-AR"/>
        </w:rPr>
        <w:tab/>
        <w:t xml:space="preserve">ONU. CEPAL, </w:t>
      </w:r>
      <w:r w:rsidRPr="00B1523A">
        <w:rPr>
          <w:i/>
          <w:sz w:val="16"/>
          <w:szCs w:val="16"/>
          <w:lang w:val="es-AR"/>
        </w:rPr>
        <w:t>E</w:t>
      </w:r>
      <w:proofErr w:type="spellStart"/>
      <w:r w:rsidRPr="00B1523A">
        <w:rPr>
          <w:i/>
          <w:sz w:val="16"/>
          <w:szCs w:val="16"/>
          <w:lang w:val="es-CR"/>
        </w:rPr>
        <w:t>strategia</w:t>
      </w:r>
      <w:proofErr w:type="spellEnd"/>
      <w:r w:rsidRPr="00B1523A">
        <w:rPr>
          <w:i/>
          <w:sz w:val="16"/>
          <w:szCs w:val="16"/>
          <w:lang w:val="es-CR"/>
        </w:rPr>
        <w:t xml:space="preserve"> </w:t>
      </w:r>
      <w:r>
        <w:rPr>
          <w:i/>
          <w:sz w:val="16"/>
          <w:szCs w:val="16"/>
          <w:lang w:val="es-CR"/>
        </w:rPr>
        <w:t>R</w:t>
      </w:r>
      <w:r w:rsidRPr="00B1523A">
        <w:rPr>
          <w:i/>
          <w:sz w:val="16"/>
          <w:szCs w:val="16"/>
          <w:lang w:val="es-CR"/>
        </w:rPr>
        <w:t>egional de Implementación para América Latina y el Caribe del Plan de Acción Internacional de Madrid sobre el Envejecimiento</w:t>
      </w:r>
      <w:r>
        <w:rPr>
          <w:sz w:val="16"/>
          <w:szCs w:val="16"/>
          <w:lang w:val="es-CR"/>
        </w:rPr>
        <w:t xml:space="preserve">, LC/G.2228. Adoptada en la </w:t>
      </w:r>
      <w:r w:rsidRPr="009713B7">
        <w:rPr>
          <w:sz w:val="16"/>
          <w:szCs w:val="16"/>
          <w:lang w:val="es-CR"/>
        </w:rPr>
        <w:t xml:space="preserve">Conferencia </w:t>
      </w:r>
      <w:r>
        <w:rPr>
          <w:sz w:val="16"/>
          <w:szCs w:val="16"/>
          <w:lang w:val="es-CR"/>
        </w:rPr>
        <w:t>R</w:t>
      </w:r>
      <w:r w:rsidRPr="009713B7">
        <w:rPr>
          <w:sz w:val="16"/>
          <w:szCs w:val="16"/>
          <w:lang w:val="es-CR"/>
        </w:rPr>
        <w:t xml:space="preserve">egional </w:t>
      </w:r>
      <w:r>
        <w:rPr>
          <w:sz w:val="16"/>
          <w:szCs w:val="16"/>
          <w:lang w:val="es-CR"/>
        </w:rPr>
        <w:t>I</w:t>
      </w:r>
      <w:r w:rsidRPr="009713B7">
        <w:rPr>
          <w:sz w:val="16"/>
          <w:szCs w:val="16"/>
          <w:lang w:val="es-CR"/>
        </w:rPr>
        <w:t xml:space="preserve">ntergubernamental </w:t>
      </w:r>
      <w:r>
        <w:rPr>
          <w:sz w:val="16"/>
          <w:szCs w:val="16"/>
          <w:lang w:val="es-CR"/>
        </w:rPr>
        <w:t>s</w:t>
      </w:r>
      <w:r w:rsidRPr="009713B7">
        <w:rPr>
          <w:sz w:val="16"/>
          <w:szCs w:val="16"/>
          <w:lang w:val="es-CR"/>
        </w:rPr>
        <w:t xml:space="preserve">obre </w:t>
      </w:r>
      <w:r>
        <w:rPr>
          <w:sz w:val="16"/>
          <w:szCs w:val="16"/>
          <w:lang w:val="es-CR"/>
        </w:rPr>
        <w:t>E</w:t>
      </w:r>
      <w:r w:rsidRPr="009713B7">
        <w:rPr>
          <w:sz w:val="16"/>
          <w:szCs w:val="16"/>
          <w:lang w:val="es-CR"/>
        </w:rPr>
        <w:t>nvejecimiento</w:t>
      </w:r>
      <w:r>
        <w:rPr>
          <w:sz w:val="16"/>
          <w:szCs w:val="16"/>
          <w:lang w:val="es-CR"/>
        </w:rPr>
        <w:t xml:space="preserve"> el </w:t>
      </w:r>
      <w:r w:rsidRPr="009713B7">
        <w:rPr>
          <w:sz w:val="16"/>
          <w:szCs w:val="16"/>
          <w:lang w:val="es-CR"/>
        </w:rPr>
        <w:t>21 de noviembre de 2003</w:t>
      </w:r>
      <w:r>
        <w:rPr>
          <w:sz w:val="16"/>
          <w:szCs w:val="16"/>
          <w:lang w:val="es-CR"/>
        </w:rPr>
        <w:t>.</w:t>
      </w:r>
      <w:r w:rsidRPr="009713B7" w:rsidDel="009713B7">
        <w:rPr>
          <w:sz w:val="16"/>
          <w:szCs w:val="16"/>
          <w:lang w:val="es-AR"/>
        </w:rPr>
        <w:t xml:space="preserve"> </w:t>
      </w:r>
    </w:p>
  </w:footnote>
  <w:footnote w:id="202">
    <w:p w14:paraId="2A1FE65F" w14:textId="02CBE4C7" w:rsidR="003C025E" w:rsidRPr="002570D1" w:rsidRDefault="003C025E" w:rsidP="00911089">
      <w:pPr>
        <w:pStyle w:val="FootnoteText"/>
        <w:rPr>
          <w:sz w:val="16"/>
          <w:szCs w:val="16"/>
          <w:lang w:val="es-AR"/>
        </w:rPr>
      </w:pPr>
      <w:r w:rsidRPr="002570D1">
        <w:rPr>
          <w:rStyle w:val="FootnoteReference"/>
          <w:color w:val="000000"/>
          <w:sz w:val="16"/>
          <w:szCs w:val="16"/>
        </w:rPr>
        <w:footnoteRef/>
      </w:r>
      <w:r w:rsidRPr="002570D1">
        <w:rPr>
          <w:rStyle w:val="FootnoteReference"/>
          <w:color w:val="000000"/>
          <w:sz w:val="16"/>
          <w:szCs w:val="16"/>
          <w:lang w:val="es-AR"/>
        </w:rPr>
        <w:t xml:space="preserve"> </w:t>
      </w:r>
      <w:r>
        <w:rPr>
          <w:color w:val="000000"/>
          <w:sz w:val="16"/>
          <w:szCs w:val="16"/>
          <w:lang w:val="es-AR"/>
        </w:rPr>
        <w:t xml:space="preserve">   </w:t>
      </w:r>
      <w:r>
        <w:rPr>
          <w:color w:val="000000"/>
          <w:sz w:val="16"/>
          <w:szCs w:val="16"/>
          <w:lang w:val="es-AR"/>
        </w:rPr>
        <w:tab/>
        <w:t xml:space="preserve">ONU. CEPAL, </w:t>
      </w:r>
      <w:r w:rsidRPr="00B1523A">
        <w:rPr>
          <w:i/>
          <w:color w:val="000000"/>
          <w:sz w:val="16"/>
          <w:szCs w:val="16"/>
          <w:lang w:val="es-AR"/>
        </w:rPr>
        <w:t>Declaración de Brasilia</w:t>
      </w:r>
      <w:r>
        <w:rPr>
          <w:color w:val="000000"/>
          <w:sz w:val="16"/>
          <w:szCs w:val="16"/>
          <w:lang w:val="es-AR"/>
        </w:rPr>
        <w:t xml:space="preserve">. Adoptada en la </w:t>
      </w:r>
      <w:r w:rsidRPr="002570D1">
        <w:rPr>
          <w:sz w:val="16"/>
          <w:szCs w:val="16"/>
          <w:lang w:val="es-AR"/>
        </w:rPr>
        <w:t xml:space="preserve">Segunda Conferencia </w:t>
      </w:r>
      <w:r>
        <w:rPr>
          <w:sz w:val="16"/>
          <w:szCs w:val="16"/>
          <w:lang w:val="es-AR"/>
        </w:rPr>
        <w:t>R</w:t>
      </w:r>
      <w:r w:rsidRPr="002570D1">
        <w:rPr>
          <w:sz w:val="16"/>
          <w:szCs w:val="16"/>
          <w:lang w:val="es-AR"/>
        </w:rPr>
        <w:t xml:space="preserve">egional </w:t>
      </w:r>
      <w:r>
        <w:rPr>
          <w:sz w:val="16"/>
          <w:szCs w:val="16"/>
          <w:lang w:val="es-AR"/>
        </w:rPr>
        <w:t>I</w:t>
      </w:r>
      <w:r w:rsidRPr="002570D1">
        <w:rPr>
          <w:sz w:val="16"/>
          <w:szCs w:val="16"/>
          <w:lang w:val="es-AR"/>
        </w:rPr>
        <w:t xml:space="preserve">ntergubernamental sobre </w:t>
      </w:r>
      <w:r>
        <w:rPr>
          <w:sz w:val="16"/>
          <w:szCs w:val="16"/>
          <w:lang w:val="es-AR"/>
        </w:rPr>
        <w:t>E</w:t>
      </w:r>
      <w:r w:rsidRPr="002570D1">
        <w:rPr>
          <w:sz w:val="16"/>
          <w:szCs w:val="16"/>
          <w:lang w:val="es-AR"/>
        </w:rPr>
        <w:t xml:space="preserve">nvejecimiento en América Latina y el </w:t>
      </w:r>
      <w:proofErr w:type="spellStart"/>
      <w:r w:rsidRPr="002570D1">
        <w:rPr>
          <w:sz w:val="16"/>
          <w:szCs w:val="16"/>
          <w:lang w:val="es-AR"/>
        </w:rPr>
        <w:t>Caribe</w:t>
      </w:r>
      <w:proofErr w:type="gramStart"/>
      <w:r>
        <w:rPr>
          <w:sz w:val="16"/>
          <w:szCs w:val="16"/>
          <w:lang w:val="es-AR"/>
        </w:rPr>
        <w:t>,el</w:t>
      </w:r>
      <w:proofErr w:type="spellEnd"/>
      <w:proofErr w:type="gramEnd"/>
      <w:r>
        <w:rPr>
          <w:sz w:val="16"/>
          <w:szCs w:val="16"/>
          <w:lang w:val="es-AR"/>
        </w:rPr>
        <w:t xml:space="preserve"> </w:t>
      </w:r>
      <w:r w:rsidRPr="002570D1">
        <w:rPr>
          <w:sz w:val="16"/>
          <w:szCs w:val="16"/>
          <w:lang w:val="es-AR"/>
        </w:rPr>
        <w:t>6 de diciembre de 2007</w:t>
      </w:r>
      <w:r>
        <w:rPr>
          <w:sz w:val="16"/>
          <w:szCs w:val="16"/>
          <w:lang w:val="es-AR"/>
        </w:rPr>
        <w:t>, LC/G.2359/Rev.1</w:t>
      </w:r>
      <w:r w:rsidRPr="002570D1">
        <w:rPr>
          <w:sz w:val="16"/>
          <w:szCs w:val="16"/>
          <w:lang w:val="es-AR"/>
        </w:rPr>
        <w:t>.</w:t>
      </w:r>
      <w:r>
        <w:rPr>
          <w:sz w:val="16"/>
          <w:szCs w:val="16"/>
          <w:lang w:val="es-AR"/>
        </w:rPr>
        <w:t xml:space="preserve"> </w:t>
      </w:r>
    </w:p>
  </w:footnote>
  <w:footnote w:id="203">
    <w:p w14:paraId="24D581F6" w14:textId="0E51B353" w:rsidR="003C025E" w:rsidRPr="002570D1" w:rsidRDefault="003C025E" w:rsidP="00911089">
      <w:pPr>
        <w:pStyle w:val="FootnoteText"/>
        <w:rPr>
          <w:sz w:val="16"/>
          <w:szCs w:val="16"/>
          <w:lang w:val="es-AR"/>
        </w:rPr>
      </w:pPr>
      <w:r w:rsidRPr="002570D1">
        <w:rPr>
          <w:rStyle w:val="FootnoteReference"/>
          <w:color w:val="000000"/>
          <w:sz w:val="16"/>
          <w:szCs w:val="16"/>
        </w:rPr>
        <w:footnoteRef/>
      </w:r>
      <w:r w:rsidRPr="002570D1">
        <w:rPr>
          <w:sz w:val="16"/>
          <w:szCs w:val="16"/>
          <w:lang w:val="es-AR"/>
        </w:rPr>
        <w:t xml:space="preserve"> </w:t>
      </w:r>
      <w:r>
        <w:rPr>
          <w:sz w:val="16"/>
          <w:szCs w:val="16"/>
          <w:lang w:val="es-AR"/>
        </w:rPr>
        <w:t xml:space="preserve">   </w:t>
      </w:r>
      <w:r>
        <w:rPr>
          <w:sz w:val="16"/>
          <w:szCs w:val="16"/>
          <w:lang w:val="es-AR"/>
        </w:rPr>
        <w:tab/>
        <w:t xml:space="preserve">OMS. </w:t>
      </w:r>
      <w:r w:rsidRPr="002570D1">
        <w:rPr>
          <w:sz w:val="16"/>
          <w:szCs w:val="16"/>
          <w:lang w:val="es-AR"/>
        </w:rPr>
        <w:t>Organización Panamericana de la Salud</w:t>
      </w:r>
      <w:r>
        <w:rPr>
          <w:sz w:val="16"/>
          <w:szCs w:val="16"/>
          <w:lang w:val="es-AR"/>
        </w:rPr>
        <w:t>, Informe Final del 49º Consejo D</w:t>
      </w:r>
      <w:r w:rsidRPr="002570D1">
        <w:rPr>
          <w:sz w:val="16"/>
          <w:szCs w:val="16"/>
          <w:lang w:val="es-AR"/>
        </w:rPr>
        <w:t>irectivo</w:t>
      </w:r>
      <w:r>
        <w:rPr>
          <w:sz w:val="16"/>
          <w:szCs w:val="16"/>
          <w:lang w:val="es-AR"/>
        </w:rPr>
        <w:t xml:space="preserve"> en la </w:t>
      </w:r>
      <w:r w:rsidRPr="002570D1">
        <w:rPr>
          <w:sz w:val="16"/>
          <w:szCs w:val="16"/>
          <w:lang w:val="es-AR"/>
        </w:rPr>
        <w:t>61</w:t>
      </w:r>
      <w:r>
        <w:rPr>
          <w:sz w:val="16"/>
          <w:szCs w:val="16"/>
          <w:lang w:val="es-AR"/>
        </w:rPr>
        <w:t xml:space="preserve">ª </w:t>
      </w:r>
      <w:r w:rsidRPr="002570D1">
        <w:rPr>
          <w:sz w:val="16"/>
          <w:szCs w:val="16"/>
          <w:lang w:val="es-AR"/>
        </w:rPr>
        <w:t>Sesión del Comité Regional</w:t>
      </w:r>
      <w:r>
        <w:rPr>
          <w:sz w:val="16"/>
          <w:szCs w:val="16"/>
          <w:lang w:val="es-AR" w:eastAsia="es-CR"/>
        </w:rPr>
        <w:t xml:space="preserve">, </w:t>
      </w:r>
      <w:r w:rsidRPr="00F17CED">
        <w:rPr>
          <w:sz w:val="16"/>
          <w:szCs w:val="16"/>
          <w:lang w:val="es-AR"/>
        </w:rPr>
        <w:t xml:space="preserve">Res. CD49.R15, </w:t>
      </w:r>
      <w:r w:rsidRPr="002570D1">
        <w:rPr>
          <w:sz w:val="16"/>
          <w:szCs w:val="16"/>
          <w:lang w:val="es-AR"/>
        </w:rPr>
        <w:t xml:space="preserve"> 2 de octubre del 2009.</w:t>
      </w:r>
    </w:p>
  </w:footnote>
  <w:footnote w:id="204">
    <w:p w14:paraId="2DE77DBB" w14:textId="4C859FFC" w:rsidR="003C025E" w:rsidRPr="002570D1" w:rsidRDefault="003C025E" w:rsidP="00911089">
      <w:pPr>
        <w:pStyle w:val="FootnoteText"/>
        <w:rPr>
          <w:sz w:val="16"/>
          <w:szCs w:val="16"/>
          <w:lang w:val="es-AR"/>
        </w:rPr>
      </w:pPr>
      <w:r w:rsidRPr="002570D1">
        <w:rPr>
          <w:rStyle w:val="FootnoteReference"/>
          <w:color w:val="000000"/>
          <w:sz w:val="16"/>
          <w:szCs w:val="16"/>
        </w:rPr>
        <w:footnoteRef/>
      </w:r>
      <w:r w:rsidRPr="002570D1">
        <w:rPr>
          <w:rStyle w:val="FootnoteReference"/>
          <w:color w:val="000000"/>
          <w:sz w:val="16"/>
          <w:szCs w:val="16"/>
          <w:lang w:val="es-AR"/>
        </w:rPr>
        <w:t xml:space="preserve"> </w:t>
      </w:r>
      <w:r>
        <w:rPr>
          <w:color w:val="000000"/>
          <w:sz w:val="16"/>
          <w:szCs w:val="16"/>
          <w:lang w:val="es-AR"/>
        </w:rPr>
        <w:t xml:space="preserve">   </w:t>
      </w:r>
      <w:r>
        <w:rPr>
          <w:color w:val="000000"/>
          <w:sz w:val="16"/>
          <w:szCs w:val="16"/>
          <w:lang w:val="es-AR"/>
        </w:rPr>
        <w:tab/>
        <w:t xml:space="preserve">Adoptada en la </w:t>
      </w:r>
      <w:r w:rsidRPr="002570D1">
        <w:rPr>
          <w:sz w:val="16"/>
          <w:szCs w:val="16"/>
          <w:lang w:val="es-AR"/>
        </w:rPr>
        <w:t>Quinta Cumbre de las Américas</w:t>
      </w:r>
      <w:r>
        <w:rPr>
          <w:sz w:val="16"/>
          <w:szCs w:val="16"/>
          <w:lang w:val="es-AR"/>
        </w:rPr>
        <w:t xml:space="preserve"> celebrada en </w:t>
      </w:r>
      <w:r w:rsidRPr="002570D1">
        <w:rPr>
          <w:sz w:val="16"/>
          <w:szCs w:val="16"/>
          <w:lang w:val="es-AR"/>
        </w:rPr>
        <w:t>Puerto España, Trinidad y Tobago</w:t>
      </w:r>
      <w:r>
        <w:rPr>
          <w:sz w:val="16"/>
          <w:szCs w:val="16"/>
          <w:lang w:val="es-AR"/>
        </w:rPr>
        <w:t>, el</w:t>
      </w:r>
      <w:r w:rsidRPr="002570D1">
        <w:rPr>
          <w:sz w:val="16"/>
          <w:szCs w:val="16"/>
          <w:lang w:val="es-AR"/>
        </w:rPr>
        <w:t xml:space="preserve"> 19 de abril de 2009</w:t>
      </w:r>
      <w:r>
        <w:rPr>
          <w:sz w:val="16"/>
          <w:szCs w:val="16"/>
          <w:lang w:val="es-AR"/>
        </w:rPr>
        <w:t>, OEA/</w:t>
      </w:r>
      <w:proofErr w:type="spellStart"/>
      <w:r>
        <w:rPr>
          <w:sz w:val="16"/>
          <w:szCs w:val="16"/>
          <w:lang w:val="es-AR"/>
        </w:rPr>
        <w:t>Ser.E</w:t>
      </w:r>
      <w:proofErr w:type="spellEnd"/>
      <w:r>
        <w:rPr>
          <w:sz w:val="16"/>
          <w:szCs w:val="16"/>
          <w:lang w:val="es-AR"/>
        </w:rPr>
        <w:t xml:space="preserve"> CA-V/DEC.1/09</w:t>
      </w:r>
      <w:r w:rsidRPr="002570D1">
        <w:rPr>
          <w:sz w:val="16"/>
          <w:szCs w:val="16"/>
          <w:lang w:val="es-AR"/>
        </w:rPr>
        <w:t>.</w:t>
      </w:r>
    </w:p>
  </w:footnote>
  <w:footnote w:id="205">
    <w:p w14:paraId="24CF2DBA" w14:textId="5775BB9E" w:rsidR="003C025E" w:rsidRPr="002570D1" w:rsidRDefault="003C025E" w:rsidP="00911089">
      <w:pPr>
        <w:pStyle w:val="FootnoteText"/>
        <w:rPr>
          <w:sz w:val="16"/>
          <w:szCs w:val="16"/>
          <w:lang w:val="es-AR"/>
        </w:rPr>
      </w:pPr>
      <w:r w:rsidRPr="002570D1">
        <w:rPr>
          <w:rStyle w:val="FootnoteReference"/>
          <w:color w:val="000000"/>
          <w:sz w:val="16"/>
          <w:szCs w:val="16"/>
        </w:rPr>
        <w:footnoteRef/>
      </w:r>
      <w:r w:rsidRPr="002570D1">
        <w:rPr>
          <w:sz w:val="16"/>
          <w:szCs w:val="16"/>
          <w:lang w:val="es-AR"/>
        </w:rPr>
        <w:t xml:space="preserve"> </w:t>
      </w:r>
      <w:r>
        <w:rPr>
          <w:sz w:val="16"/>
          <w:szCs w:val="16"/>
          <w:lang w:val="es-AR"/>
        </w:rPr>
        <w:t xml:space="preserve">  </w:t>
      </w:r>
      <w:r>
        <w:rPr>
          <w:sz w:val="16"/>
          <w:szCs w:val="16"/>
          <w:lang w:val="es-AR"/>
        </w:rPr>
        <w:tab/>
        <w:t xml:space="preserve">ONU. CEPAL, </w:t>
      </w:r>
      <w:r w:rsidRPr="00B1523A">
        <w:rPr>
          <w:i/>
          <w:sz w:val="16"/>
          <w:szCs w:val="16"/>
          <w:lang w:val="es-MX"/>
        </w:rPr>
        <w:t>Carta de San José sobre los Derechos de las Personas Mayores de América Latina y el Caribe</w:t>
      </w:r>
      <w:r>
        <w:rPr>
          <w:i/>
          <w:sz w:val="16"/>
          <w:szCs w:val="16"/>
          <w:lang w:val="es-MX"/>
        </w:rPr>
        <w:t xml:space="preserve">. </w:t>
      </w:r>
      <w:r w:rsidRPr="002570D1">
        <w:rPr>
          <w:sz w:val="16"/>
          <w:szCs w:val="16"/>
          <w:lang w:val="es-AR"/>
        </w:rPr>
        <w:t xml:space="preserve">Adoptada en la </w:t>
      </w:r>
      <w:r>
        <w:rPr>
          <w:sz w:val="16"/>
          <w:szCs w:val="16"/>
          <w:lang w:val="es-AR"/>
        </w:rPr>
        <w:t>T</w:t>
      </w:r>
      <w:r w:rsidRPr="002570D1">
        <w:rPr>
          <w:sz w:val="16"/>
          <w:szCs w:val="16"/>
          <w:lang w:val="es-AR"/>
        </w:rPr>
        <w:t xml:space="preserve">ercera Conferencia </w:t>
      </w:r>
      <w:r>
        <w:rPr>
          <w:sz w:val="16"/>
          <w:szCs w:val="16"/>
          <w:lang w:val="es-AR"/>
        </w:rPr>
        <w:t>R</w:t>
      </w:r>
      <w:r w:rsidRPr="002570D1">
        <w:rPr>
          <w:sz w:val="16"/>
          <w:szCs w:val="16"/>
          <w:lang w:val="es-AR"/>
        </w:rPr>
        <w:t xml:space="preserve">egional </w:t>
      </w:r>
      <w:r>
        <w:rPr>
          <w:sz w:val="16"/>
          <w:szCs w:val="16"/>
          <w:lang w:val="es-AR"/>
        </w:rPr>
        <w:t>I</w:t>
      </w:r>
      <w:r w:rsidRPr="002570D1">
        <w:rPr>
          <w:sz w:val="16"/>
          <w:szCs w:val="16"/>
          <w:lang w:val="es-AR"/>
        </w:rPr>
        <w:t xml:space="preserve">ntergubernamental sobre </w:t>
      </w:r>
      <w:r>
        <w:rPr>
          <w:sz w:val="16"/>
          <w:szCs w:val="16"/>
          <w:lang w:val="es-AR"/>
        </w:rPr>
        <w:t>E</w:t>
      </w:r>
      <w:r w:rsidRPr="002570D1">
        <w:rPr>
          <w:sz w:val="16"/>
          <w:szCs w:val="16"/>
          <w:lang w:val="es-AR"/>
        </w:rPr>
        <w:t>nvejecimiento en América Latina y el Caribe</w:t>
      </w:r>
      <w:r w:rsidRPr="004A1FCA">
        <w:rPr>
          <w:sz w:val="16"/>
          <w:szCs w:val="16"/>
          <w:lang w:val="es-AR"/>
        </w:rPr>
        <w:t xml:space="preserve"> </w:t>
      </w:r>
      <w:r>
        <w:rPr>
          <w:sz w:val="16"/>
          <w:szCs w:val="16"/>
          <w:lang w:val="es-AR"/>
        </w:rPr>
        <w:t xml:space="preserve">el </w:t>
      </w:r>
      <w:r w:rsidRPr="002570D1">
        <w:rPr>
          <w:sz w:val="16"/>
          <w:szCs w:val="16"/>
          <w:lang w:val="es-AR"/>
        </w:rPr>
        <w:t>11 de mayo de 2012</w:t>
      </w:r>
      <w:r>
        <w:rPr>
          <w:sz w:val="16"/>
          <w:szCs w:val="16"/>
          <w:lang w:val="es-AR"/>
        </w:rPr>
        <w:t>, LC/G.2537</w:t>
      </w:r>
      <w:r w:rsidRPr="002570D1">
        <w:rPr>
          <w:sz w:val="16"/>
          <w:szCs w:val="16"/>
          <w:lang w:val="es-AR"/>
        </w:rPr>
        <w:t>.</w:t>
      </w:r>
    </w:p>
  </w:footnote>
  <w:footnote w:id="206">
    <w:p w14:paraId="3B19F44A" w14:textId="6975E3AE" w:rsidR="003C025E" w:rsidRPr="008F39F3" w:rsidRDefault="003C025E" w:rsidP="00911089">
      <w:pPr>
        <w:pStyle w:val="FootnoteText"/>
        <w:rPr>
          <w:lang w:val="es-AR"/>
        </w:rPr>
      </w:pPr>
      <w:r w:rsidRPr="00C64243">
        <w:rPr>
          <w:rStyle w:val="FootnoteReference"/>
          <w:color w:val="000000"/>
          <w:sz w:val="16"/>
          <w:szCs w:val="16"/>
        </w:rPr>
        <w:footnoteRef/>
      </w:r>
      <w:r>
        <w:rPr>
          <w:lang w:val="es-AR"/>
        </w:rPr>
        <w:t xml:space="preserve"> </w:t>
      </w:r>
      <w:r>
        <w:rPr>
          <w:lang w:val="es-AR"/>
        </w:rPr>
        <w:tab/>
      </w:r>
      <w:r w:rsidRPr="00C64243">
        <w:rPr>
          <w:sz w:val="16"/>
          <w:szCs w:val="16"/>
          <w:lang w:val="es-AR"/>
        </w:rPr>
        <w:t>Algunos de ellos son el derecho a la salud</w:t>
      </w:r>
      <w:r>
        <w:rPr>
          <w:sz w:val="16"/>
          <w:szCs w:val="16"/>
          <w:lang w:val="es-AR"/>
        </w:rPr>
        <w:t>,</w:t>
      </w:r>
      <w:r w:rsidRPr="00C64243">
        <w:rPr>
          <w:sz w:val="16"/>
          <w:szCs w:val="16"/>
          <w:lang w:val="es-AR"/>
        </w:rPr>
        <w:t xml:space="preserve"> a la vida</w:t>
      </w:r>
      <w:r>
        <w:rPr>
          <w:sz w:val="16"/>
          <w:szCs w:val="16"/>
          <w:lang w:val="es-AR"/>
        </w:rPr>
        <w:t>,</w:t>
      </w:r>
      <w:r w:rsidRPr="00C64243">
        <w:rPr>
          <w:sz w:val="16"/>
          <w:szCs w:val="16"/>
          <w:lang w:val="es-AR"/>
        </w:rPr>
        <w:t xml:space="preserve"> a la no discriminación basada en </w:t>
      </w:r>
      <w:r>
        <w:rPr>
          <w:sz w:val="16"/>
          <w:szCs w:val="16"/>
          <w:lang w:val="es-AR"/>
        </w:rPr>
        <w:t xml:space="preserve">la </w:t>
      </w:r>
      <w:r w:rsidRPr="00C64243">
        <w:rPr>
          <w:sz w:val="16"/>
          <w:szCs w:val="16"/>
          <w:lang w:val="es-AR"/>
        </w:rPr>
        <w:t>edad</w:t>
      </w:r>
      <w:r>
        <w:rPr>
          <w:sz w:val="16"/>
          <w:szCs w:val="16"/>
          <w:lang w:val="es-AR"/>
        </w:rPr>
        <w:t>,</w:t>
      </w:r>
      <w:r w:rsidRPr="00C64243">
        <w:rPr>
          <w:sz w:val="16"/>
          <w:szCs w:val="16"/>
          <w:lang w:val="es-AR"/>
        </w:rPr>
        <w:t xml:space="preserve"> a un trato digno</w:t>
      </w:r>
      <w:r>
        <w:rPr>
          <w:sz w:val="16"/>
          <w:szCs w:val="16"/>
          <w:lang w:val="es-AR"/>
        </w:rPr>
        <w:t>,</w:t>
      </w:r>
      <w:r w:rsidRPr="00C64243">
        <w:rPr>
          <w:sz w:val="16"/>
          <w:szCs w:val="16"/>
          <w:lang w:val="es-AR"/>
        </w:rPr>
        <w:t xml:space="preserve"> la prohibición de tratos crueles o degradantes</w:t>
      </w:r>
      <w:r>
        <w:rPr>
          <w:sz w:val="16"/>
          <w:szCs w:val="16"/>
          <w:lang w:val="es-AR"/>
        </w:rPr>
        <w:t>,</w:t>
      </w:r>
      <w:r w:rsidRPr="00C64243">
        <w:rPr>
          <w:sz w:val="16"/>
          <w:szCs w:val="16"/>
          <w:lang w:val="es-AR"/>
        </w:rPr>
        <w:t xml:space="preserve"> y el derecho de acceso a la información personal.</w:t>
      </w:r>
    </w:p>
  </w:footnote>
  <w:footnote w:id="207">
    <w:p w14:paraId="6DBD8BCE" w14:textId="5BA1D9F8" w:rsidR="003C025E" w:rsidRPr="0059117C" w:rsidRDefault="003C025E" w:rsidP="00911089">
      <w:pPr>
        <w:pStyle w:val="FootnoteText"/>
        <w:rPr>
          <w:sz w:val="16"/>
          <w:szCs w:val="16"/>
          <w:highlight w:val="yellow"/>
          <w:lang w:val="es-AR"/>
        </w:rPr>
      </w:pPr>
      <w:r w:rsidRPr="00C64243">
        <w:rPr>
          <w:rStyle w:val="FootnoteReference"/>
          <w:color w:val="000000"/>
          <w:sz w:val="16"/>
          <w:szCs w:val="16"/>
        </w:rPr>
        <w:footnoteRef/>
      </w:r>
      <w:r w:rsidRPr="006E2093">
        <w:rPr>
          <w:lang w:val="es-AR"/>
        </w:rPr>
        <w:t xml:space="preserve"> </w:t>
      </w:r>
      <w:r>
        <w:rPr>
          <w:lang w:val="es-AR"/>
        </w:rPr>
        <w:t xml:space="preserve"> </w:t>
      </w:r>
      <w:r>
        <w:rPr>
          <w:lang w:val="es-AR"/>
        </w:rPr>
        <w:tab/>
      </w:r>
      <w:r w:rsidRPr="00C64243">
        <w:rPr>
          <w:sz w:val="16"/>
          <w:szCs w:val="16"/>
          <w:lang w:val="es-AR"/>
        </w:rPr>
        <w:t>La comunidad internacional comenzó a subrayar la situación de las personas de edad en el Plan de Acción Internacional de Viena sobre el Envejecimiento y las siguientes declaraciones siguieron fomentando la concienciación internacional sobre las necesidades esenciales para el bi</w:t>
      </w:r>
      <w:r w:rsidRPr="000951AE">
        <w:rPr>
          <w:sz w:val="16"/>
          <w:szCs w:val="16"/>
          <w:lang w:val="es-AR"/>
        </w:rPr>
        <w:t xml:space="preserve">enestar de las personas de edad, entre las medidas </w:t>
      </w:r>
      <w:r w:rsidRPr="00B1523A">
        <w:rPr>
          <w:sz w:val="16"/>
          <w:szCs w:val="16"/>
          <w:lang w:val="es-AR"/>
        </w:rPr>
        <w:t xml:space="preserve">diferenciadas </w:t>
      </w:r>
      <w:r w:rsidRPr="005039E4">
        <w:rPr>
          <w:sz w:val="16"/>
          <w:szCs w:val="16"/>
          <w:lang w:val="es-AR"/>
        </w:rPr>
        <w:t>que se adoptaron se destacan tanto en el Sistema Universal como en el Sistema Regional. Respecto al Sistema Universal, se mencionan medidas</w:t>
      </w:r>
      <w:r w:rsidRPr="00B1523A">
        <w:rPr>
          <w:sz w:val="16"/>
          <w:szCs w:val="16"/>
          <w:lang w:val="es-AR"/>
        </w:rPr>
        <w:t xml:space="preserve"> particulares</w:t>
      </w:r>
      <w:r>
        <w:rPr>
          <w:sz w:val="16"/>
          <w:szCs w:val="16"/>
          <w:lang w:val="es-AR"/>
        </w:rPr>
        <w:t>,</w:t>
      </w:r>
      <w:r w:rsidRPr="005039E4">
        <w:rPr>
          <w:sz w:val="16"/>
          <w:szCs w:val="16"/>
          <w:lang w:val="es-AR"/>
        </w:rPr>
        <w:t xml:space="preserve"> </w:t>
      </w:r>
      <w:r>
        <w:rPr>
          <w:sz w:val="16"/>
          <w:szCs w:val="16"/>
          <w:lang w:val="es-AR"/>
        </w:rPr>
        <w:t xml:space="preserve">como </w:t>
      </w:r>
      <w:r w:rsidRPr="00AC3AB3">
        <w:rPr>
          <w:sz w:val="16"/>
          <w:szCs w:val="16"/>
          <w:lang w:val="es-AR"/>
        </w:rPr>
        <w:t>promover y proteger los derechos humanos y eliminar la discriminación, el abandono, el abuso y la violencia contra las personas mayores</w:t>
      </w:r>
      <w:r>
        <w:rPr>
          <w:sz w:val="16"/>
          <w:szCs w:val="16"/>
          <w:lang w:val="es-AR"/>
        </w:rPr>
        <w:t>;</w:t>
      </w:r>
      <w:r w:rsidRPr="00AC3AB3">
        <w:rPr>
          <w:rFonts w:asciiTheme="minorHAnsi" w:eastAsiaTheme="minorHAnsi" w:hAnsiTheme="minorHAnsi" w:cstheme="minorBidi"/>
          <w:sz w:val="22"/>
          <w:szCs w:val="22"/>
          <w:lang w:val="es-AR" w:eastAsia="en-US"/>
        </w:rPr>
        <w:t xml:space="preserve"> </w:t>
      </w:r>
      <w:r w:rsidRPr="00AC3AB3">
        <w:rPr>
          <w:sz w:val="16"/>
          <w:szCs w:val="16"/>
          <w:lang w:val="es-AR"/>
        </w:rPr>
        <w:t>actividades de promoción de la salud y el acceso universal de las personas de edad a los servicios d</w:t>
      </w:r>
      <w:r>
        <w:rPr>
          <w:sz w:val="16"/>
          <w:szCs w:val="16"/>
          <w:lang w:val="es-AR"/>
        </w:rPr>
        <w:t>e salud durante toda la vida como</w:t>
      </w:r>
      <w:r w:rsidRPr="00AC3AB3">
        <w:rPr>
          <w:sz w:val="16"/>
          <w:szCs w:val="16"/>
          <w:lang w:val="es-AR"/>
        </w:rPr>
        <w:t xml:space="preserve"> pilar del envejecimiento con salud</w:t>
      </w:r>
      <w:r>
        <w:rPr>
          <w:sz w:val="16"/>
          <w:szCs w:val="16"/>
          <w:lang w:val="es-AR"/>
        </w:rPr>
        <w:t xml:space="preserve">. Respecto al Sistema Regional, se mencionan medidas </w:t>
      </w:r>
      <w:r w:rsidRPr="00B1523A">
        <w:rPr>
          <w:sz w:val="16"/>
          <w:szCs w:val="16"/>
          <w:lang w:val="es-AR"/>
        </w:rPr>
        <w:t>tales como</w:t>
      </w:r>
      <w:r>
        <w:rPr>
          <w:sz w:val="16"/>
          <w:szCs w:val="16"/>
          <w:lang w:val="es-AR"/>
        </w:rPr>
        <w:t>, p</w:t>
      </w:r>
      <w:r w:rsidRPr="004F523B">
        <w:rPr>
          <w:sz w:val="16"/>
          <w:szCs w:val="16"/>
          <w:lang w:val="es-AR"/>
        </w:rPr>
        <w:t>romoción de una cobertura universal de las personas mayores a los servicios de salud, incorporando el envejecimiento como componente esencial de las legislaciones y políticas nacionales de salud</w:t>
      </w:r>
      <w:r>
        <w:rPr>
          <w:sz w:val="16"/>
          <w:szCs w:val="16"/>
          <w:lang w:val="es-AR"/>
        </w:rPr>
        <w:t xml:space="preserve">; </w:t>
      </w:r>
      <w:r w:rsidRPr="004F523B">
        <w:rPr>
          <w:sz w:val="16"/>
          <w:szCs w:val="16"/>
          <w:lang w:val="es-AR"/>
        </w:rPr>
        <w:t>impulsar el acceso equitativo a los servicios de salud integral, oportuna y de calidad, de acuerdo con las políticas públicas de cada país, y fomentar el acceso a los medicamentos básicos de uso continuado para las personas de edad</w:t>
      </w:r>
      <w:r>
        <w:rPr>
          <w:sz w:val="16"/>
          <w:szCs w:val="16"/>
          <w:lang w:val="es-AR"/>
        </w:rPr>
        <w:t>; f</w:t>
      </w:r>
      <w:r w:rsidRPr="004F523B">
        <w:rPr>
          <w:sz w:val="16"/>
          <w:szCs w:val="16"/>
          <w:lang w:val="es-AR"/>
        </w:rPr>
        <w:t>ortalecimiento de la prevención y el manejo de enfermedades crónicas y otros problemas de salud de las personas mayores.</w:t>
      </w:r>
    </w:p>
  </w:footnote>
  <w:footnote w:id="208">
    <w:p w14:paraId="1BA93E45" w14:textId="42B690B9" w:rsidR="003C025E" w:rsidRPr="00CF5CAF" w:rsidRDefault="003C025E" w:rsidP="0027467C">
      <w:pPr>
        <w:pStyle w:val="FootnoteText"/>
        <w:rPr>
          <w:lang w:val="es-AR"/>
        </w:rPr>
      </w:pPr>
      <w:r w:rsidRPr="00A33492">
        <w:rPr>
          <w:rStyle w:val="FootnoteReference"/>
          <w:color w:val="000000"/>
          <w:sz w:val="16"/>
          <w:szCs w:val="16"/>
        </w:rPr>
        <w:footnoteRef/>
      </w:r>
      <w:r w:rsidRPr="00CF5CAF">
        <w:rPr>
          <w:lang w:val="es-AR"/>
        </w:rPr>
        <w:t xml:space="preserve">   </w:t>
      </w:r>
      <w:r>
        <w:rPr>
          <w:lang w:val="es-AR"/>
        </w:rPr>
        <w:tab/>
      </w:r>
      <w:r w:rsidRPr="00B1523A">
        <w:rPr>
          <w:i/>
          <w:sz w:val="16"/>
          <w:szCs w:val="16"/>
          <w:lang w:val="es-AR"/>
        </w:rPr>
        <w:t xml:space="preserve">Cfr. </w:t>
      </w:r>
      <w:r w:rsidRPr="003D2C15">
        <w:rPr>
          <w:sz w:val="16"/>
          <w:szCs w:val="16"/>
          <w:lang w:val="es-AR"/>
        </w:rPr>
        <w:t xml:space="preserve">OEA. </w:t>
      </w:r>
      <w:r w:rsidRPr="003D2C15">
        <w:rPr>
          <w:i/>
          <w:sz w:val="16"/>
          <w:szCs w:val="16"/>
          <w:lang w:val="es-MX"/>
        </w:rPr>
        <w:t>Convención Interamericana sobre la Protección de los Derechos Humanos de las Personas Mayores</w:t>
      </w:r>
      <w:r w:rsidRPr="003D2C15">
        <w:rPr>
          <w:i/>
          <w:sz w:val="16"/>
          <w:szCs w:val="16"/>
          <w:lang w:val="es-AR"/>
        </w:rPr>
        <w:t>,</w:t>
      </w:r>
      <w:r w:rsidRPr="003D2C15">
        <w:rPr>
          <w:sz w:val="16"/>
          <w:szCs w:val="16"/>
          <w:lang w:val="es-AR"/>
        </w:rPr>
        <w:t xml:space="preserve"> </w:t>
      </w:r>
      <w:r w:rsidRPr="003D2C15">
        <w:rPr>
          <w:i/>
          <w:sz w:val="16"/>
          <w:szCs w:val="16"/>
          <w:lang w:val="es-AR"/>
        </w:rPr>
        <w:t>supra</w:t>
      </w:r>
      <w:r w:rsidRPr="003D2C15">
        <w:rPr>
          <w:sz w:val="16"/>
          <w:szCs w:val="16"/>
          <w:lang w:val="es-AR"/>
        </w:rPr>
        <w:t>. Ratificada por Chile el 7 de noviembre de 2017</w:t>
      </w:r>
      <w:r>
        <w:rPr>
          <w:sz w:val="16"/>
          <w:szCs w:val="16"/>
          <w:lang w:val="es-AR"/>
        </w:rPr>
        <w:t>.</w:t>
      </w:r>
    </w:p>
  </w:footnote>
  <w:footnote w:id="209">
    <w:p w14:paraId="46C6AE37" w14:textId="1882DFCB" w:rsidR="003C025E" w:rsidRPr="00461B4F" w:rsidRDefault="003C025E" w:rsidP="00911089">
      <w:pPr>
        <w:pStyle w:val="FootnoteText"/>
        <w:rPr>
          <w:lang w:val="es-AR"/>
        </w:rPr>
      </w:pPr>
      <w:r w:rsidRPr="00C64243">
        <w:rPr>
          <w:rStyle w:val="FootnoteReference"/>
          <w:color w:val="000000"/>
          <w:sz w:val="16"/>
          <w:szCs w:val="16"/>
        </w:rPr>
        <w:footnoteRef/>
      </w:r>
      <w:r w:rsidRPr="000951AE">
        <w:rPr>
          <w:lang w:val="es-AR"/>
        </w:rPr>
        <w:t xml:space="preserve">  </w:t>
      </w:r>
      <w:r>
        <w:rPr>
          <w:lang w:val="es-AR"/>
        </w:rPr>
        <w:tab/>
      </w:r>
      <w:r w:rsidRPr="00C64243">
        <w:rPr>
          <w:sz w:val="16"/>
          <w:szCs w:val="16"/>
          <w:lang w:val="es-AR"/>
        </w:rPr>
        <w:t xml:space="preserve">Se destaca la Convención Interamericana sobre </w:t>
      </w:r>
      <w:r>
        <w:rPr>
          <w:sz w:val="16"/>
          <w:szCs w:val="16"/>
          <w:lang w:val="es-AR"/>
        </w:rPr>
        <w:t xml:space="preserve">la </w:t>
      </w:r>
      <w:r w:rsidRPr="00C64243">
        <w:rPr>
          <w:sz w:val="16"/>
          <w:szCs w:val="16"/>
          <w:lang w:val="es-AR"/>
        </w:rPr>
        <w:t>Protección de los Derechos Humanos de las Personas Mayores</w:t>
      </w:r>
      <w:r>
        <w:rPr>
          <w:sz w:val="16"/>
          <w:szCs w:val="16"/>
          <w:lang w:val="es-AR"/>
        </w:rPr>
        <w:t>, que</w:t>
      </w:r>
      <w:r w:rsidRPr="00F02E77">
        <w:rPr>
          <w:rFonts w:asciiTheme="minorHAnsi" w:eastAsiaTheme="minorHAnsi" w:hAnsiTheme="minorHAnsi" w:cstheme="minorBidi"/>
          <w:sz w:val="22"/>
          <w:szCs w:val="22"/>
          <w:lang w:val="es-AR" w:eastAsia="en-US"/>
        </w:rPr>
        <w:t xml:space="preserve"> </w:t>
      </w:r>
      <w:r w:rsidRPr="00F02E77">
        <w:rPr>
          <w:sz w:val="16"/>
          <w:szCs w:val="16"/>
          <w:lang w:val="es-AR"/>
        </w:rPr>
        <w:t>estandariza garantías muy relevantes que ningún otro instrumento internacional vinculante había considerado anteriormente de manera explícita en el caso de las personas mayores, como la conjunción entre el derecho a la vida y la dignidad en la vejez, o el derecho a la independencia y la autonomía.</w:t>
      </w:r>
      <w:r>
        <w:rPr>
          <w:sz w:val="16"/>
          <w:szCs w:val="16"/>
          <w:lang w:val="es-AR"/>
        </w:rPr>
        <w:t xml:space="preserve">  </w:t>
      </w:r>
    </w:p>
  </w:footnote>
  <w:footnote w:id="210">
    <w:p w14:paraId="4F1642F4" w14:textId="19F441A3" w:rsidR="003C025E" w:rsidRPr="00F46A97" w:rsidRDefault="003C025E" w:rsidP="00911089">
      <w:pPr>
        <w:pStyle w:val="FootnoteText"/>
        <w:rPr>
          <w:lang w:val="es-AR"/>
        </w:rPr>
      </w:pPr>
      <w:r w:rsidRPr="001E10A6">
        <w:rPr>
          <w:rStyle w:val="FootnoteReference"/>
          <w:color w:val="000000"/>
          <w:sz w:val="16"/>
          <w:szCs w:val="16"/>
        </w:rPr>
        <w:footnoteRef/>
      </w:r>
      <w:r>
        <w:rPr>
          <w:color w:val="000000"/>
          <w:sz w:val="16"/>
          <w:szCs w:val="16"/>
        </w:rPr>
        <w:t xml:space="preserve">  </w:t>
      </w:r>
      <w:r w:rsidRPr="001E10A6">
        <w:rPr>
          <w:rStyle w:val="FootnoteReference"/>
          <w:color w:val="000000"/>
          <w:sz w:val="16"/>
          <w:szCs w:val="16"/>
        </w:rPr>
        <w:t xml:space="preserve"> </w:t>
      </w:r>
      <w:r>
        <w:rPr>
          <w:color w:val="000000"/>
          <w:sz w:val="16"/>
          <w:szCs w:val="16"/>
        </w:rPr>
        <w:tab/>
      </w:r>
      <w:r w:rsidRPr="00327657">
        <w:rPr>
          <w:color w:val="000000"/>
          <w:sz w:val="16"/>
          <w:szCs w:val="16"/>
        </w:rPr>
        <w:t>El Mercado Común del Sur (MERCOSUR) forma parte la Reunión de Altas Autoridades sobre Derechos Humanos y Cancillerías d</w:t>
      </w:r>
      <w:r>
        <w:rPr>
          <w:color w:val="000000"/>
          <w:sz w:val="16"/>
          <w:szCs w:val="16"/>
        </w:rPr>
        <w:t>el MERCOSUR y Estados Asociados</w:t>
      </w:r>
      <w:r w:rsidRPr="00327657">
        <w:rPr>
          <w:color w:val="000000"/>
          <w:sz w:val="16"/>
          <w:szCs w:val="16"/>
        </w:rPr>
        <w:t xml:space="preserve">. </w:t>
      </w:r>
      <w:r>
        <w:rPr>
          <w:color w:val="000000"/>
          <w:sz w:val="16"/>
          <w:szCs w:val="16"/>
        </w:rPr>
        <w:t>En el 2016</w:t>
      </w:r>
      <w:r w:rsidRPr="00327657">
        <w:rPr>
          <w:color w:val="000000"/>
          <w:sz w:val="16"/>
          <w:szCs w:val="16"/>
        </w:rPr>
        <w:t xml:space="preserve"> el Instituto de Políticas Públicas en Derechos Humanos (IPPDH) del MERCOSUR realizó una publicación</w:t>
      </w:r>
      <w:r>
        <w:rPr>
          <w:color w:val="000000"/>
          <w:sz w:val="16"/>
          <w:szCs w:val="16"/>
        </w:rPr>
        <w:t xml:space="preserve"> titulada: “Personas</w:t>
      </w:r>
      <w:r w:rsidRPr="00D2636D">
        <w:rPr>
          <w:color w:val="000000"/>
          <w:sz w:val="16"/>
          <w:szCs w:val="16"/>
        </w:rPr>
        <w:t xml:space="preserve"> mayores: hacia una agenda regional de derechos</w:t>
      </w:r>
      <w:r>
        <w:rPr>
          <w:color w:val="000000"/>
          <w:sz w:val="16"/>
          <w:szCs w:val="16"/>
        </w:rPr>
        <w:t>”,</w:t>
      </w:r>
      <w:r w:rsidRPr="00327657">
        <w:rPr>
          <w:color w:val="000000"/>
          <w:sz w:val="16"/>
          <w:szCs w:val="16"/>
        </w:rPr>
        <w:t xml:space="preserve">  en la cual se puede apreciar los avances de los países miembros en la consolidación de los derechos de los adultos mayores en la región.</w:t>
      </w:r>
      <w:r w:rsidRPr="00327657">
        <w:rPr>
          <w:sz w:val="16"/>
          <w:szCs w:val="16"/>
          <w:lang w:val="es-AR"/>
        </w:rPr>
        <w:t xml:space="preserve"> </w:t>
      </w:r>
      <w:r w:rsidRPr="00B1523A">
        <w:rPr>
          <w:i/>
          <w:sz w:val="16"/>
          <w:szCs w:val="16"/>
          <w:lang w:val="es-AR"/>
        </w:rPr>
        <w:t>Cfr.</w:t>
      </w:r>
      <w:r>
        <w:rPr>
          <w:sz w:val="16"/>
          <w:szCs w:val="16"/>
          <w:lang w:val="es-AR"/>
        </w:rPr>
        <w:t xml:space="preserve"> </w:t>
      </w:r>
      <w:r w:rsidRPr="00D2636D">
        <w:rPr>
          <w:sz w:val="16"/>
          <w:szCs w:val="16"/>
          <w:lang w:val="es-AR"/>
        </w:rPr>
        <w:t>IPPDH</w:t>
      </w:r>
      <w:r>
        <w:rPr>
          <w:sz w:val="16"/>
          <w:szCs w:val="16"/>
          <w:lang w:val="es-AR"/>
        </w:rPr>
        <w:t>-MERCOSUR</w:t>
      </w:r>
      <w:r w:rsidRPr="00D2636D">
        <w:rPr>
          <w:sz w:val="16"/>
          <w:szCs w:val="16"/>
          <w:lang w:val="es-AR"/>
        </w:rPr>
        <w:t xml:space="preserve">, </w:t>
      </w:r>
      <w:r w:rsidRPr="00B1523A">
        <w:rPr>
          <w:i/>
          <w:sz w:val="16"/>
          <w:szCs w:val="16"/>
          <w:lang w:val="es-AR"/>
        </w:rPr>
        <w:t>“Personas mayores: hacia una agenda regional de derechos</w:t>
      </w:r>
      <w:r>
        <w:rPr>
          <w:sz w:val="16"/>
          <w:szCs w:val="16"/>
          <w:lang w:val="es-AR"/>
        </w:rPr>
        <w:t>”</w:t>
      </w:r>
      <w:r w:rsidRPr="00D2636D">
        <w:rPr>
          <w:sz w:val="16"/>
          <w:szCs w:val="16"/>
          <w:lang w:val="es-AR"/>
        </w:rPr>
        <w:t xml:space="preserve">, </w:t>
      </w:r>
      <w:r>
        <w:rPr>
          <w:sz w:val="16"/>
          <w:szCs w:val="16"/>
          <w:lang w:val="es-AR"/>
        </w:rPr>
        <w:t xml:space="preserve">noviembre de </w:t>
      </w:r>
      <w:r w:rsidRPr="00D2636D">
        <w:rPr>
          <w:sz w:val="16"/>
          <w:szCs w:val="16"/>
          <w:lang w:val="es-AR"/>
        </w:rPr>
        <w:t>2016, pág</w:t>
      </w:r>
      <w:r>
        <w:rPr>
          <w:sz w:val="16"/>
          <w:szCs w:val="16"/>
          <w:lang w:val="es-AR"/>
        </w:rPr>
        <w:t>s</w:t>
      </w:r>
      <w:r w:rsidRPr="00D2636D">
        <w:rPr>
          <w:sz w:val="16"/>
          <w:szCs w:val="16"/>
          <w:lang w:val="es-AR"/>
        </w:rPr>
        <w:t>. 55 a 156.</w:t>
      </w:r>
    </w:p>
  </w:footnote>
  <w:footnote w:id="211">
    <w:p w14:paraId="241375B7" w14:textId="2F3ABAEA" w:rsidR="003C025E" w:rsidRPr="00B1523A" w:rsidRDefault="003C025E" w:rsidP="00911089">
      <w:pPr>
        <w:pStyle w:val="FootnoteText"/>
        <w:rPr>
          <w:sz w:val="16"/>
          <w:szCs w:val="16"/>
          <w:lang w:val="es-AR"/>
        </w:rPr>
      </w:pPr>
      <w:r w:rsidRPr="00C64243">
        <w:rPr>
          <w:rStyle w:val="FootnoteReference"/>
          <w:color w:val="000000"/>
          <w:sz w:val="16"/>
          <w:szCs w:val="16"/>
        </w:rPr>
        <w:footnoteRef/>
      </w:r>
      <w:r w:rsidRPr="000A3F34">
        <w:rPr>
          <w:lang w:val="es-AR"/>
        </w:rPr>
        <w:t xml:space="preserve"> </w:t>
      </w:r>
      <w:r>
        <w:rPr>
          <w:lang w:val="es-AR"/>
        </w:rPr>
        <w:t xml:space="preserve"> </w:t>
      </w:r>
      <w:r>
        <w:rPr>
          <w:lang w:val="es-AR"/>
        </w:rPr>
        <w:tab/>
      </w:r>
      <w:r w:rsidRPr="00B1523A">
        <w:rPr>
          <w:i/>
          <w:sz w:val="16"/>
          <w:szCs w:val="16"/>
          <w:lang w:val="es-AR"/>
        </w:rPr>
        <w:t xml:space="preserve">Cfr. </w:t>
      </w:r>
      <w:r w:rsidRPr="00B1523A">
        <w:rPr>
          <w:sz w:val="16"/>
          <w:szCs w:val="16"/>
          <w:lang w:val="es-AR"/>
        </w:rPr>
        <w:t xml:space="preserve">ONU. </w:t>
      </w:r>
      <w:r w:rsidRPr="00CB145D">
        <w:rPr>
          <w:sz w:val="16"/>
          <w:szCs w:val="16"/>
          <w:lang w:val="es-AR"/>
        </w:rPr>
        <w:t xml:space="preserve">Comité </w:t>
      </w:r>
      <w:r w:rsidRPr="00676FAA">
        <w:rPr>
          <w:sz w:val="16"/>
          <w:szCs w:val="16"/>
          <w:lang w:val="es-AR"/>
        </w:rPr>
        <w:t xml:space="preserve">DESC, </w:t>
      </w:r>
      <w:r w:rsidRPr="00B1523A">
        <w:rPr>
          <w:i/>
          <w:sz w:val="16"/>
          <w:szCs w:val="16"/>
          <w:lang w:val="es-AR"/>
        </w:rPr>
        <w:t>Observación General No. 6</w:t>
      </w:r>
      <w:r w:rsidRPr="00676FAA">
        <w:rPr>
          <w:sz w:val="16"/>
          <w:szCs w:val="16"/>
          <w:lang w:val="es-AR"/>
        </w:rPr>
        <w:t xml:space="preserve">, </w:t>
      </w:r>
      <w:r w:rsidRPr="00B1523A">
        <w:rPr>
          <w:i/>
          <w:sz w:val="16"/>
          <w:szCs w:val="16"/>
          <w:lang w:val="es-AR"/>
        </w:rPr>
        <w:t>supra</w:t>
      </w:r>
      <w:r w:rsidRPr="00CB145D">
        <w:rPr>
          <w:sz w:val="16"/>
          <w:szCs w:val="16"/>
          <w:lang w:val="es-AR"/>
        </w:rPr>
        <w:t>.</w:t>
      </w:r>
    </w:p>
  </w:footnote>
  <w:footnote w:id="212">
    <w:p w14:paraId="1997B69D" w14:textId="413B84D6" w:rsidR="003C025E" w:rsidRPr="00C64243" w:rsidRDefault="003C025E" w:rsidP="00911089">
      <w:pPr>
        <w:pStyle w:val="FootnoteText"/>
        <w:rPr>
          <w:strike/>
          <w:lang w:val="es-AR"/>
        </w:rPr>
      </w:pPr>
      <w:r w:rsidRPr="00C64243">
        <w:rPr>
          <w:rStyle w:val="FootnoteReference"/>
          <w:color w:val="000000"/>
          <w:sz w:val="16"/>
          <w:szCs w:val="16"/>
        </w:rPr>
        <w:footnoteRef/>
      </w:r>
      <w:r w:rsidRPr="00B572AD">
        <w:rPr>
          <w:lang w:val="es-AR"/>
        </w:rPr>
        <w:t xml:space="preserve"> </w:t>
      </w:r>
      <w:r>
        <w:rPr>
          <w:lang w:val="es-AR"/>
        </w:rPr>
        <w:t xml:space="preserve"> </w:t>
      </w:r>
      <w:r>
        <w:rPr>
          <w:lang w:val="es-AR"/>
        </w:rPr>
        <w:tab/>
      </w:r>
      <w:r w:rsidRPr="00676FAA">
        <w:rPr>
          <w:i/>
          <w:sz w:val="16"/>
          <w:szCs w:val="16"/>
          <w:lang w:val="es-AR"/>
        </w:rPr>
        <w:t xml:space="preserve">Cfr. </w:t>
      </w:r>
      <w:r w:rsidRPr="00676FAA">
        <w:rPr>
          <w:sz w:val="16"/>
          <w:szCs w:val="16"/>
          <w:lang w:val="es-AR"/>
        </w:rPr>
        <w:t xml:space="preserve">ONU. Comité DESC, </w:t>
      </w:r>
      <w:r w:rsidRPr="00676FAA">
        <w:rPr>
          <w:i/>
          <w:sz w:val="16"/>
          <w:szCs w:val="16"/>
          <w:lang w:val="es-AR"/>
        </w:rPr>
        <w:t>Observación General No. 6</w:t>
      </w:r>
      <w:r w:rsidRPr="00676FAA">
        <w:rPr>
          <w:sz w:val="16"/>
          <w:szCs w:val="16"/>
          <w:lang w:val="es-AR"/>
        </w:rPr>
        <w:t xml:space="preserve">, </w:t>
      </w:r>
      <w:r w:rsidRPr="00676FAA">
        <w:rPr>
          <w:i/>
          <w:sz w:val="16"/>
          <w:szCs w:val="16"/>
          <w:lang w:val="es-AR"/>
        </w:rPr>
        <w:t>supra</w:t>
      </w:r>
      <w:r>
        <w:rPr>
          <w:sz w:val="16"/>
          <w:szCs w:val="16"/>
          <w:lang w:val="es-AR"/>
        </w:rPr>
        <w:t>, párr. 35.</w:t>
      </w:r>
    </w:p>
  </w:footnote>
  <w:footnote w:id="213">
    <w:p w14:paraId="6C45634C" w14:textId="16771720" w:rsidR="003C025E" w:rsidRPr="00B1523A" w:rsidRDefault="003C025E" w:rsidP="00911089">
      <w:pPr>
        <w:pStyle w:val="FootnoteText"/>
        <w:rPr>
          <w:lang w:val="es-MX"/>
        </w:rPr>
      </w:pPr>
      <w:r w:rsidRPr="00C64243">
        <w:rPr>
          <w:rStyle w:val="FootnoteReference"/>
          <w:color w:val="000000"/>
          <w:sz w:val="16"/>
          <w:szCs w:val="16"/>
        </w:rPr>
        <w:footnoteRef/>
      </w:r>
      <w:r w:rsidRPr="00C64243">
        <w:rPr>
          <w:rStyle w:val="FootnoteReference"/>
          <w:color w:val="000000"/>
          <w:sz w:val="16"/>
          <w:szCs w:val="16"/>
        </w:rPr>
        <w:t xml:space="preserve"> </w:t>
      </w:r>
      <w:r>
        <w:rPr>
          <w:color w:val="000000"/>
          <w:sz w:val="16"/>
          <w:szCs w:val="16"/>
        </w:rPr>
        <w:t xml:space="preserve">  </w:t>
      </w:r>
      <w:r>
        <w:rPr>
          <w:color w:val="000000"/>
          <w:sz w:val="16"/>
          <w:szCs w:val="16"/>
        </w:rPr>
        <w:tab/>
      </w:r>
      <w:r w:rsidRPr="00676FAA">
        <w:rPr>
          <w:i/>
          <w:color w:val="000000"/>
          <w:sz w:val="16"/>
          <w:szCs w:val="16"/>
          <w:lang w:val="es-AR"/>
        </w:rPr>
        <w:t xml:space="preserve">Cfr. </w:t>
      </w:r>
      <w:r w:rsidRPr="00676FAA">
        <w:rPr>
          <w:color w:val="000000"/>
          <w:sz w:val="16"/>
          <w:szCs w:val="16"/>
          <w:lang w:val="es-AR"/>
        </w:rPr>
        <w:t xml:space="preserve">ONU. Comité DESC, </w:t>
      </w:r>
      <w:r w:rsidRPr="00676FAA">
        <w:rPr>
          <w:i/>
          <w:color w:val="000000"/>
          <w:sz w:val="16"/>
          <w:szCs w:val="16"/>
          <w:lang w:val="es-AR"/>
        </w:rPr>
        <w:t xml:space="preserve">Observación General No. </w:t>
      </w:r>
      <w:r>
        <w:rPr>
          <w:i/>
          <w:color w:val="000000"/>
          <w:sz w:val="16"/>
          <w:szCs w:val="16"/>
          <w:lang w:val="es-AR"/>
        </w:rPr>
        <w:t>14</w:t>
      </w:r>
      <w:r w:rsidRPr="00676FAA">
        <w:rPr>
          <w:color w:val="000000"/>
          <w:sz w:val="16"/>
          <w:szCs w:val="16"/>
          <w:lang w:val="es-AR"/>
        </w:rPr>
        <w:t xml:space="preserve">, </w:t>
      </w:r>
      <w:r w:rsidRPr="00676FAA">
        <w:rPr>
          <w:i/>
          <w:color w:val="000000"/>
          <w:sz w:val="16"/>
          <w:szCs w:val="16"/>
          <w:lang w:val="es-AR"/>
        </w:rPr>
        <w:t>supra</w:t>
      </w:r>
      <w:r w:rsidRPr="00676FAA">
        <w:rPr>
          <w:color w:val="000000"/>
          <w:sz w:val="16"/>
          <w:szCs w:val="16"/>
          <w:lang w:val="es-AR"/>
        </w:rPr>
        <w:t>, párr. 35.</w:t>
      </w:r>
    </w:p>
  </w:footnote>
  <w:footnote w:id="214">
    <w:p w14:paraId="2AF852FD" w14:textId="3D43260A" w:rsidR="003C025E" w:rsidRPr="00B1523A" w:rsidRDefault="003C025E" w:rsidP="00911089">
      <w:pPr>
        <w:pStyle w:val="FootnoteText"/>
        <w:rPr>
          <w:i/>
          <w:color w:val="000000"/>
          <w:sz w:val="16"/>
          <w:szCs w:val="16"/>
          <w:lang w:val="es-AR"/>
        </w:rPr>
      </w:pPr>
      <w:r w:rsidRPr="00FF184A">
        <w:rPr>
          <w:rStyle w:val="FootnoteReference"/>
          <w:color w:val="000000"/>
          <w:sz w:val="16"/>
          <w:szCs w:val="16"/>
        </w:rPr>
        <w:footnoteRef/>
      </w:r>
      <w:r w:rsidRPr="00B1523A">
        <w:rPr>
          <w:rStyle w:val="FootnoteReference"/>
          <w:color w:val="000000"/>
          <w:sz w:val="16"/>
          <w:szCs w:val="16"/>
          <w:lang w:val="es-MX"/>
        </w:rPr>
        <w:t xml:space="preserve"> </w:t>
      </w:r>
      <w:r w:rsidRPr="00B1523A">
        <w:rPr>
          <w:color w:val="000000"/>
          <w:sz w:val="16"/>
          <w:szCs w:val="16"/>
          <w:lang w:val="es-MX"/>
        </w:rPr>
        <w:t xml:space="preserve">   </w:t>
      </w:r>
      <w:r w:rsidRPr="00B1523A">
        <w:rPr>
          <w:color w:val="000000"/>
          <w:sz w:val="16"/>
          <w:szCs w:val="16"/>
          <w:lang w:val="es-MX"/>
        </w:rPr>
        <w:tab/>
      </w:r>
      <w:r>
        <w:rPr>
          <w:i/>
          <w:color w:val="000000"/>
          <w:sz w:val="16"/>
          <w:szCs w:val="16"/>
          <w:lang w:val="es-MX"/>
        </w:rPr>
        <w:t xml:space="preserve">Cfr. </w:t>
      </w:r>
      <w:r w:rsidRPr="00B1523A">
        <w:rPr>
          <w:color w:val="000000"/>
          <w:sz w:val="16"/>
          <w:szCs w:val="16"/>
          <w:lang w:val="es-MX"/>
        </w:rPr>
        <w:t xml:space="preserve">TEDH, </w:t>
      </w:r>
      <w:r w:rsidRPr="00B1523A">
        <w:rPr>
          <w:i/>
          <w:color w:val="000000"/>
          <w:sz w:val="16"/>
          <w:szCs w:val="16"/>
          <w:lang w:val="es-MX"/>
        </w:rPr>
        <w:t xml:space="preserve">Caso </w:t>
      </w:r>
      <w:proofErr w:type="spellStart"/>
      <w:r w:rsidRPr="00B1523A">
        <w:rPr>
          <w:i/>
          <w:color w:val="000000"/>
          <w:sz w:val="16"/>
          <w:szCs w:val="16"/>
          <w:lang w:val="es-MX"/>
        </w:rPr>
        <w:t>Sawoniuk</w:t>
      </w:r>
      <w:proofErr w:type="spellEnd"/>
      <w:r w:rsidRPr="00B1523A">
        <w:rPr>
          <w:i/>
          <w:color w:val="000000"/>
          <w:sz w:val="16"/>
          <w:szCs w:val="16"/>
          <w:lang w:val="es-MX"/>
        </w:rPr>
        <w:t xml:space="preserve"> Vs. Reino Unido</w:t>
      </w:r>
      <w:r>
        <w:rPr>
          <w:i/>
          <w:color w:val="000000"/>
          <w:sz w:val="16"/>
          <w:szCs w:val="16"/>
          <w:lang w:val="es-MX"/>
        </w:rPr>
        <w:t xml:space="preserve">, </w:t>
      </w:r>
      <w:r>
        <w:rPr>
          <w:color w:val="000000"/>
          <w:sz w:val="16"/>
          <w:szCs w:val="16"/>
          <w:lang w:val="es-MX"/>
        </w:rPr>
        <w:t xml:space="preserve">No. 63716/00. </w:t>
      </w:r>
      <w:r w:rsidRPr="00FF184A">
        <w:rPr>
          <w:color w:val="000000"/>
          <w:sz w:val="16"/>
          <w:szCs w:val="16"/>
          <w:lang w:val="es-AR"/>
        </w:rPr>
        <w:t>Sentencia de 20 de mayo de 2001;</w:t>
      </w:r>
      <w:r w:rsidRPr="00FF184A">
        <w:rPr>
          <w:color w:val="000000"/>
          <w:sz w:val="16"/>
          <w:szCs w:val="16"/>
          <w:lang w:val="es-AR" w:eastAsia="es-CR"/>
        </w:rPr>
        <w:t xml:space="preserve"> </w:t>
      </w:r>
      <w:r w:rsidRPr="00FF184A">
        <w:rPr>
          <w:i/>
          <w:color w:val="000000"/>
          <w:sz w:val="16"/>
          <w:szCs w:val="16"/>
          <w:lang w:val="es-AR"/>
        </w:rPr>
        <w:t>Cas</w:t>
      </w:r>
      <w:r>
        <w:rPr>
          <w:i/>
          <w:color w:val="000000"/>
          <w:sz w:val="16"/>
          <w:szCs w:val="16"/>
          <w:lang w:val="es-AR"/>
        </w:rPr>
        <w:t>o</w:t>
      </w:r>
      <w:r w:rsidRPr="00FF184A">
        <w:rPr>
          <w:i/>
          <w:color w:val="000000"/>
          <w:sz w:val="16"/>
          <w:szCs w:val="16"/>
          <w:lang w:val="es-AR"/>
        </w:rPr>
        <w:t xml:space="preserve"> </w:t>
      </w:r>
      <w:proofErr w:type="spellStart"/>
      <w:r w:rsidRPr="00FF184A">
        <w:rPr>
          <w:i/>
          <w:color w:val="000000"/>
          <w:sz w:val="16"/>
          <w:szCs w:val="16"/>
          <w:lang w:val="es-AR"/>
        </w:rPr>
        <w:t>Farbtuhs</w:t>
      </w:r>
      <w:proofErr w:type="spellEnd"/>
      <w:r w:rsidRPr="00FF184A">
        <w:rPr>
          <w:i/>
          <w:color w:val="000000"/>
          <w:sz w:val="16"/>
          <w:szCs w:val="16"/>
          <w:lang w:val="es-AR"/>
        </w:rPr>
        <w:t xml:space="preserve"> Vs. L</w:t>
      </w:r>
      <w:r>
        <w:rPr>
          <w:i/>
          <w:color w:val="000000"/>
          <w:sz w:val="16"/>
          <w:szCs w:val="16"/>
          <w:lang w:val="es-AR"/>
        </w:rPr>
        <w:t>e</w:t>
      </w:r>
      <w:r w:rsidRPr="00FF184A">
        <w:rPr>
          <w:i/>
          <w:color w:val="000000"/>
          <w:sz w:val="16"/>
          <w:szCs w:val="16"/>
          <w:lang w:val="es-AR"/>
        </w:rPr>
        <w:t>t</w:t>
      </w:r>
      <w:r>
        <w:rPr>
          <w:i/>
          <w:color w:val="000000"/>
          <w:sz w:val="16"/>
          <w:szCs w:val="16"/>
          <w:lang w:val="es-AR"/>
        </w:rPr>
        <w:t>oni</w:t>
      </w:r>
      <w:r w:rsidRPr="00FF184A">
        <w:rPr>
          <w:i/>
          <w:color w:val="000000"/>
          <w:sz w:val="16"/>
          <w:szCs w:val="16"/>
          <w:lang w:val="es-AR"/>
        </w:rPr>
        <w:t>a</w:t>
      </w:r>
      <w:r>
        <w:rPr>
          <w:i/>
          <w:color w:val="000000"/>
          <w:sz w:val="16"/>
          <w:szCs w:val="16"/>
          <w:lang w:val="es-AR"/>
        </w:rPr>
        <w:t xml:space="preserve"> (Fondo y Satisfacción Equitativa), </w:t>
      </w:r>
      <w:r>
        <w:rPr>
          <w:color w:val="000000"/>
          <w:sz w:val="16"/>
          <w:szCs w:val="16"/>
          <w:lang w:val="es-AR"/>
        </w:rPr>
        <w:t>No. 4672/02</w:t>
      </w:r>
      <w:r w:rsidRPr="00FF184A">
        <w:rPr>
          <w:color w:val="000000"/>
          <w:sz w:val="16"/>
          <w:szCs w:val="16"/>
          <w:lang w:val="es-AR"/>
        </w:rPr>
        <w:t>. Sentencia de 2 de diciembre de 2004</w:t>
      </w:r>
      <w:r>
        <w:rPr>
          <w:color w:val="000000"/>
          <w:sz w:val="16"/>
          <w:szCs w:val="16"/>
          <w:lang w:val="es-AR"/>
        </w:rPr>
        <w:t>, y</w:t>
      </w:r>
      <w:r>
        <w:rPr>
          <w:i/>
          <w:color w:val="000000"/>
          <w:sz w:val="16"/>
          <w:szCs w:val="16"/>
          <w:lang w:val="es-AR"/>
        </w:rPr>
        <w:t xml:space="preserve"> C</w:t>
      </w:r>
      <w:r w:rsidRPr="00FF184A">
        <w:rPr>
          <w:i/>
          <w:color w:val="000000"/>
          <w:sz w:val="16"/>
          <w:szCs w:val="16"/>
          <w:lang w:val="es-AR"/>
        </w:rPr>
        <w:t>as</w:t>
      </w:r>
      <w:r>
        <w:rPr>
          <w:i/>
          <w:color w:val="000000"/>
          <w:sz w:val="16"/>
          <w:szCs w:val="16"/>
          <w:lang w:val="es-AR"/>
        </w:rPr>
        <w:t>o</w:t>
      </w:r>
      <w:r w:rsidRPr="00FF184A">
        <w:rPr>
          <w:i/>
          <w:color w:val="000000"/>
          <w:sz w:val="16"/>
          <w:szCs w:val="16"/>
          <w:lang w:val="es-AR"/>
        </w:rPr>
        <w:t xml:space="preserve"> </w:t>
      </w:r>
      <w:proofErr w:type="spellStart"/>
      <w:r w:rsidRPr="00FF184A">
        <w:rPr>
          <w:i/>
          <w:color w:val="000000"/>
          <w:sz w:val="16"/>
          <w:szCs w:val="16"/>
          <w:lang w:val="es-AR"/>
        </w:rPr>
        <w:t>Dodov</w:t>
      </w:r>
      <w:proofErr w:type="spellEnd"/>
      <w:r w:rsidRPr="00FF184A">
        <w:rPr>
          <w:i/>
          <w:color w:val="000000"/>
          <w:sz w:val="16"/>
          <w:szCs w:val="16"/>
          <w:lang w:val="es-AR"/>
        </w:rPr>
        <w:t xml:space="preserve"> Vs. Bulgaria</w:t>
      </w:r>
      <w:r>
        <w:rPr>
          <w:color w:val="000000"/>
          <w:sz w:val="16"/>
          <w:szCs w:val="16"/>
          <w:lang w:val="es-AR"/>
        </w:rPr>
        <w:t xml:space="preserve">, No. 59548/00. </w:t>
      </w:r>
      <w:r w:rsidRPr="00FF184A">
        <w:rPr>
          <w:color w:val="000000"/>
          <w:sz w:val="16"/>
          <w:szCs w:val="16"/>
          <w:lang w:val="es-AR"/>
        </w:rPr>
        <w:t>Sentencia de</w:t>
      </w:r>
      <w:r>
        <w:rPr>
          <w:color w:val="000000"/>
          <w:sz w:val="16"/>
          <w:szCs w:val="16"/>
          <w:lang w:val="es-AR"/>
        </w:rPr>
        <w:t xml:space="preserve"> 17 de enero de 2008, </w:t>
      </w:r>
      <w:proofErr w:type="spellStart"/>
      <w:r>
        <w:rPr>
          <w:color w:val="000000"/>
          <w:sz w:val="16"/>
          <w:szCs w:val="16"/>
          <w:lang w:val="es-AR"/>
        </w:rPr>
        <w:t>párrs</w:t>
      </w:r>
      <w:proofErr w:type="spellEnd"/>
      <w:r>
        <w:rPr>
          <w:color w:val="000000"/>
          <w:sz w:val="16"/>
          <w:szCs w:val="16"/>
          <w:lang w:val="es-AR"/>
        </w:rPr>
        <w:t>. 80 y</w:t>
      </w:r>
      <w:r w:rsidRPr="00FF184A">
        <w:rPr>
          <w:color w:val="000000"/>
          <w:sz w:val="16"/>
          <w:szCs w:val="16"/>
          <w:lang w:val="es-AR"/>
        </w:rPr>
        <w:t xml:space="preserve"> 8</w:t>
      </w:r>
      <w:r w:rsidRPr="007D74E2">
        <w:rPr>
          <w:color w:val="000000"/>
          <w:sz w:val="16"/>
          <w:szCs w:val="16"/>
          <w:lang w:val="es-AR"/>
        </w:rPr>
        <w:t>1.</w:t>
      </w:r>
      <w:r w:rsidRPr="00FF184A">
        <w:rPr>
          <w:color w:val="000000"/>
          <w:sz w:val="16"/>
          <w:szCs w:val="16"/>
          <w:lang w:val="es-AR"/>
        </w:rPr>
        <w:t xml:space="preserve"> </w:t>
      </w:r>
    </w:p>
  </w:footnote>
  <w:footnote w:id="215">
    <w:p w14:paraId="03345A44" w14:textId="7723F8B6" w:rsidR="003C025E" w:rsidRDefault="003C025E" w:rsidP="003E2F69">
      <w:pPr>
        <w:pStyle w:val="FootnoteText"/>
        <w:rPr>
          <w:sz w:val="16"/>
          <w:szCs w:val="16"/>
          <w:lang w:val="es-AR"/>
        </w:rPr>
      </w:pPr>
      <w:r w:rsidRPr="002570D1">
        <w:rPr>
          <w:rStyle w:val="FootnoteReference"/>
          <w:color w:val="000000"/>
          <w:sz w:val="16"/>
          <w:szCs w:val="16"/>
        </w:rPr>
        <w:footnoteRef/>
      </w:r>
      <w:r w:rsidRPr="00C27894">
        <w:rPr>
          <w:rStyle w:val="FootnoteReference"/>
          <w:color w:val="000000"/>
          <w:sz w:val="16"/>
          <w:szCs w:val="16"/>
          <w:lang w:val="es-CR"/>
        </w:rPr>
        <w:t xml:space="preserve"> </w:t>
      </w:r>
      <w:r>
        <w:rPr>
          <w:sz w:val="16"/>
          <w:szCs w:val="16"/>
          <w:lang w:val="es-CR"/>
        </w:rPr>
        <w:tab/>
      </w:r>
      <w:r w:rsidRPr="00B1523A">
        <w:rPr>
          <w:sz w:val="16"/>
          <w:szCs w:val="16"/>
        </w:rPr>
        <w:t>A manera de ejemplo:</w:t>
      </w:r>
      <w:r w:rsidRPr="00AB1E03">
        <w:rPr>
          <w:b/>
          <w:sz w:val="16"/>
          <w:szCs w:val="16"/>
        </w:rPr>
        <w:t xml:space="preserve"> </w:t>
      </w:r>
      <w:r w:rsidRPr="00C11DEB">
        <w:rPr>
          <w:sz w:val="16"/>
          <w:szCs w:val="16"/>
          <w:lang w:val="es-MX"/>
        </w:rPr>
        <w:t>Corte Constitucional de Colombia</w:t>
      </w:r>
      <w:r>
        <w:rPr>
          <w:sz w:val="16"/>
          <w:szCs w:val="16"/>
          <w:lang w:val="es-MX"/>
        </w:rPr>
        <w:t xml:space="preserve">. </w:t>
      </w:r>
      <w:r w:rsidRPr="00C11DEB">
        <w:rPr>
          <w:sz w:val="16"/>
          <w:szCs w:val="16"/>
          <w:lang w:val="es-MX"/>
        </w:rPr>
        <w:t>Sentencia T-149 de</w:t>
      </w:r>
      <w:r>
        <w:rPr>
          <w:sz w:val="16"/>
          <w:szCs w:val="16"/>
          <w:lang w:val="es-MX"/>
        </w:rPr>
        <w:t xml:space="preserve"> 1 de marzo de</w:t>
      </w:r>
      <w:r w:rsidRPr="00C11DEB">
        <w:rPr>
          <w:sz w:val="16"/>
          <w:szCs w:val="16"/>
          <w:lang w:val="es-MX"/>
        </w:rPr>
        <w:t xml:space="preserve"> 2002</w:t>
      </w:r>
      <w:r>
        <w:rPr>
          <w:sz w:val="16"/>
          <w:szCs w:val="16"/>
          <w:lang w:val="es-MX"/>
        </w:rPr>
        <w:t>:</w:t>
      </w:r>
      <w:r w:rsidRPr="00C11DEB">
        <w:rPr>
          <w:sz w:val="16"/>
          <w:szCs w:val="16"/>
          <w:lang w:val="es-MX"/>
        </w:rPr>
        <w:t xml:space="preserve"> “La escasez de recursos ni es un argumento constitucionalmente admisible para negar la atención básica en salud a personas en situación de debilidad manifiesta como los adultos mayores […]. Existe un deber de protección especial del adulto mayor” […]</w:t>
      </w:r>
      <w:r>
        <w:rPr>
          <w:sz w:val="16"/>
          <w:szCs w:val="16"/>
          <w:lang w:val="es-MX"/>
        </w:rPr>
        <w:t xml:space="preserve">; </w:t>
      </w:r>
      <w:r w:rsidRPr="00C11DEB">
        <w:rPr>
          <w:sz w:val="16"/>
          <w:szCs w:val="16"/>
          <w:lang w:val="es-MX"/>
        </w:rPr>
        <w:t>Sentencia T-056</w:t>
      </w:r>
      <w:r>
        <w:rPr>
          <w:sz w:val="16"/>
          <w:szCs w:val="16"/>
          <w:lang w:val="es-MX"/>
        </w:rPr>
        <w:t xml:space="preserve"> de</w:t>
      </w:r>
      <w:r w:rsidRPr="00C11DEB">
        <w:rPr>
          <w:sz w:val="16"/>
          <w:szCs w:val="16"/>
          <w:lang w:val="es-MX"/>
        </w:rPr>
        <w:t xml:space="preserve"> 12 de febrero de 2015</w:t>
      </w:r>
      <w:r>
        <w:rPr>
          <w:sz w:val="16"/>
          <w:szCs w:val="16"/>
          <w:lang w:val="es-MX"/>
        </w:rPr>
        <w:t>:</w:t>
      </w:r>
      <w:r w:rsidRPr="00C11DEB">
        <w:rPr>
          <w:sz w:val="16"/>
          <w:szCs w:val="16"/>
          <w:lang w:val="es-MX"/>
        </w:rPr>
        <w:t xml:space="preserve"> </w:t>
      </w:r>
      <w:r w:rsidRPr="00C11DEB">
        <w:rPr>
          <w:sz w:val="16"/>
          <w:szCs w:val="16"/>
          <w:lang w:val="es-CR"/>
        </w:rPr>
        <w:t xml:space="preserve">“En relación con el derecho a la salud de las personas que hacen parte del grupo de los sujetos de especial protección constitucional es preciso considerar que a partir de normas constitucionales se impone mayor celo en el cumplimiento de los deberes de protección y garantía por parte de las autoridades y de los particulares en la atención de las enfermedades o alteraciones de salud que padezcan. Dentro de tales destinatarios se </w:t>
      </w:r>
      <w:r>
        <w:rPr>
          <w:sz w:val="16"/>
          <w:szCs w:val="16"/>
          <w:lang w:val="es-CR"/>
        </w:rPr>
        <w:t xml:space="preserve">encuentran </w:t>
      </w:r>
      <w:r w:rsidRPr="00C11DEB">
        <w:rPr>
          <w:sz w:val="16"/>
          <w:szCs w:val="16"/>
          <w:lang w:val="es-CR"/>
        </w:rPr>
        <w:t>[…] las personas de la tercera edad</w:t>
      </w:r>
      <w:r>
        <w:rPr>
          <w:sz w:val="16"/>
          <w:szCs w:val="16"/>
          <w:lang w:val="es-CR"/>
        </w:rPr>
        <w:t xml:space="preserve"> […] [d]</w:t>
      </w:r>
      <w:proofErr w:type="spellStart"/>
      <w:r w:rsidRPr="00C11DEB">
        <w:rPr>
          <w:sz w:val="16"/>
          <w:szCs w:val="16"/>
          <w:lang w:val="es-CR"/>
        </w:rPr>
        <w:t>ado</w:t>
      </w:r>
      <w:proofErr w:type="spellEnd"/>
      <w:r w:rsidRPr="00C11DEB">
        <w:rPr>
          <w:sz w:val="16"/>
          <w:szCs w:val="16"/>
          <w:lang w:val="es-CR"/>
        </w:rPr>
        <w:t xml:space="preserve"> que las personas de la tercera edad tienen derecho a una protección reforzada en salud y las entidades prestadoras de salud están obligadas a prestarles la atención médica que requieran […]. En efecto, la protección reforzada se materializa con la garantía de una prestación continúa, permanente y eficiente de los servicios de salud que el usuario requiera, lo cual implica, de ser necesario el suministro de medicamentos, insumos o prestación de servicios excluidos del Plan Obligatorio de Salud”</w:t>
      </w:r>
      <w:r>
        <w:rPr>
          <w:sz w:val="16"/>
          <w:szCs w:val="16"/>
          <w:lang w:val="es-CR"/>
        </w:rPr>
        <w:t>.</w:t>
      </w:r>
      <w:r w:rsidRPr="00C11DEB">
        <w:rPr>
          <w:sz w:val="16"/>
          <w:szCs w:val="16"/>
          <w:lang w:val="es-CR"/>
        </w:rPr>
        <w:t xml:space="preserve"> </w:t>
      </w:r>
      <w:r w:rsidRPr="00923D87">
        <w:rPr>
          <w:sz w:val="16"/>
          <w:szCs w:val="16"/>
          <w:lang w:val="pt-BR"/>
        </w:rPr>
        <w:t xml:space="preserve">Corte Suprema de Justicia de Costa Rica. Sala Constitucional. Exp: 15-016089-0007-CO. </w:t>
      </w:r>
      <w:proofErr w:type="spellStart"/>
      <w:r w:rsidRPr="00BB4919">
        <w:rPr>
          <w:sz w:val="16"/>
          <w:szCs w:val="16"/>
          <w:lang w:val="es-CR"/>
        </w:rPr>
        <w:t>Res.No</w:t>
      </w:r>
      <w:proofErr w:type="spellEnd"/>
      <w:r w:rsidRPr="00BB4919">
        <w:rPr>
          <w:sz w:val="16"/>
          <w:szCs w:val="16"/>
          <w:lang w:val="es-CR"/>
        </w:rPr>
        <w:t xml:space="preserve">: 2015017512. Sentencia de 6 de noviembre de 2015; </w:t>
      </w:r>
      <w:proofErr w:type="spellStart"/>
      <w:r w:rsidRPr="00BB4919">
        <w:rPr>
          <w:sz w:val="16"/>
          <w:szCs w:val="16"/>
          <w:lang w:val="es-CR"/>
        </w:rPr>
        <w:t>Exp</w:t>
      </w:r>
      <w:proofErr w:type="spellEnd"/>
      <w:r w:rsidRPr="00BB4919">
        <w:rPr>
          <w:sz w:val="16"/>
          <w:szCs w:val="16"/>
          <w:lang w:val="es-CR"/>
        </w:rPr>
        <w:t xml:space="preserve">: 15-001311-0007-CO. </w:t>
      </w:r>
      <w:proofErr w:type="spellStart"/>
      <w:r w:rsidRPr="00BB4919">
        <w:rPr>
          <w:sz w:val="16"/>
          <w:szCs w:val="16"/>
          <w:lang w:val="es-CR"/>
        </w:rPr>
        <w:t>Res.No</w:t>
      </w:r>
      <w:proofErr w:type="spellEnd"/>
      <w:r w:rsidRPr="00BB4919">
        <w:rPr>
          <w:sz w:val="16"/>
          <w:szCs w:val="16"/>
          <w:lang w:val="es-CR"/>
        </w:rPr>
        <w:t xml:space="preserve">: 2015002392. Sentencia de 20 de febrero de 2015, y </w:t>
      </w:r>
      <w:proofErr w:type="spellStart"/>
      <w:r w:rsidRPr="00C11DEB">
        <w:rPr>
          <w:sz w:val="16"/>
          <w:szCs w:val="16"/>
          <w:lang w:val="es-AR"/>
        </w:rPr>
        <w:t>Exp</w:t>
      </w:r>
      <w:proofErr w:type="spellEnd"/>
      <w:r w:rsidRPr="00C11DEB">
        <w:rPr>
          <w:sz w:val="16"/>
          <w:szCs w:val="16"/>
          <w:lang w:val="es-AR"/>
        </w:rPr>
        <w:t>: 15-015890-0007-CO. Res. No: 2015018610. Sentencia de 27 de noviembre de 2015</w:t>
      </w:r>
      <w:r>
        <w:rPr>
          <w:sz w:val="16"/>
          <w:szCs w:val="16"/>
          <w:lang w:val="es-AR"/>
        </w:rPr>
        <w:t xml:space="preserve">. </w:t>
      </w:r>
    </w:p>
    <w:p w14:paraId="24261FBF" w14:textId="35F876DF" w:rsidR="003C025E" w:rsidRDefault="003C025E" w:rsidP="003E2F69">
      <w:pPr>
        <w:pStyle w:val="FootnoteText"/>
        <w:rPr>
          <w:sz w:val="16"/>
          <w:szCs w:val="16"/>
          <w:lang w:val="es-AR"/>
        </w:rPr>
      </w:pPr>
      <w:r w:rsidRPr="00062586">
        <w:rPr>
          <w:i/>
          <w:sz w:val="16"/>
          <w:szCs w:val="16"/>
          <w:lang w:val="es-CR"/>
        </w:rPr>
        <w:t>Cfr.</w:t>
      </w:r>
      <w:r w:rsidRPr="001E145A">
        <w:rPr>
          <w:sz w:val="16"/>
          <w:szCs w:val="16"/>
          <w:lang w:val="es-CR"/>
        </w:rPr>
        <w:t xml:space="preserve"> </w:t>
      </w:r>
      <w:r w:rsidRPr="001E145A">
        <w:rPr>
          <w:i/>
          <w:sz w:val="16"/>
          <w:szCs w:val="16"/>
          <w:lang w:val="es-CR"/>
        </w:rPr>
        <w:t xml:space="preserve">Mutatis </w:t>
      </w:r>
      <w:proofErr w:type="spellStart"/>
      <w:r w:rsidRPr="001E145A">
        <w:rPr>
          <w:i/>
          <w:sz w:val="16"/>
          <w:szCs w:val="16"/>
          <w:lang w:val="es-CR"/>
        </w:rPr>
        <w:t>mutandi</w:t>
      </w:r>
      <w:proofErr w:type="spellEnd"/>
      <w:r w:rsidRPr="001E145A">
        <w:rPr>
          <w:sz w:val="16"/>
          <w:szCs w:val="16"/>
          <w:lang w:val="es-CR"/>
        </w:rPr>
        <w:t xml:space="preserve">, Corte Constitucional </w:t>
      </w:r>
      <w:r>
        <w:rPr>
          <w:sz w:val="16"/>
          <w:szCs w:val="16"/>
          <w:lang w:val="es-CR"/>
        </w:rPr>
        <w:t xml:space="preserve">de </w:t>
      </w:r>
      <w:r w:rsidRPr="001E145A">
        <w:rPr>
          <w:sz w:val="16"/>
          <w:szCs w:val="16"/>
          <w:lang w:val="es-CR"/>
        </w:rPr>
        <w:t>Colombia,</w:t>
      </w:r>
      <w:r w:rsidRPr="001E145A">
        <w:rPr>
          <w:sz w:val="16"/>
          <w:szCs w:val="16"/>
          <w:lang w:val="es-AR"/>
        </w:rPr>
        <w:t xml:space="preserve"> </w:t>
      </w:r>
      <w:r w:rsidRPr="001E145A">
        <w:rPr>
          <w:sz w:val="16"/>
          <w:szCs w:val="16"/>
          <w:lang w:val="es-CR"/>
        </w:rPr>
        <w:t>Sentencia T-716/17</w:t>
      </w:r>
      <w:r>
        <w:rPr>
          <w:sz w:val="16"/>
          <w:szCs w:val="16"/>
          <w:lang w:val="es-AR"/>
        </w:rPr>
        <w:t>. En ésta, a</w:t>
      </w:r>
      <w:r w:rsidRPr="001E145A">
        <w:rPr>
          <w:sz w:val="16"/>
          <w:szCs w:val="16"/>
          <w:lang w:val="es-AR"/>
        </w:rPr>
        <w:t xml:space="preserve">l resolver una tutela sobre el mínimo vital de un adulto mayor que fue retirado del programa de asistencia </w:t>
      </w:r>
      <w:r>
        <w:rPr>
          <w:sz w:val="16"/>
          <w:szCs w:val="16"/>
          <w:lang w:val="es-AR"/>
        </w:rPr>
        <w:t>‘</w:t>
      </w:r>
      <w:r w:rsidRPr="001E145A">
        <w:rPr>
          <w:sz w:val="16"/>
          <w:szCs w:val="16"/>
          <w:lang w:val="es-AR"/>
        </w:rPr>
        <w:t>Colombia Mayor</w:t>
      </w:r>
      <w:r>
        <w:rPr>
          <w:sz w:val="16"/>
          <w:szCs w:val="16"/>
          <w:lang w:val="es-AR"/>
        </w:rPr>
        <w:t>’</w:t>
      </w:r>
      <w:r w:rsidRPr="001E145A">
        <w:rPr>
          <w:sz w:val="16"/>
          <w:szCs w:val="16"/>
          <w:lang w:val="es-AR"/>
        </w:rPr>
        <w:t>, la Corte Constitucional ordenó verificar las condiciones reales de vulnerabilidad para determinar la afectación de la medida. Asimismo en casos análogos se destacan: Sentencia T- 010/17</w:t>
      </w:r>
      <w:r>
        <w:rPr>
          <w:sz w:val="16"/>
          <w:szCs w:val="16"/>
          <w:lang w:val="es-AR"/>
        </w:rPr>
        <w:t>;</w:t>
      </w:r>
      <w:r w:rsidRPr="001E145A">
        <w:rPr>
          <w:sz w:val="16"/>
          <w:szCs w:val="16"/>
          <w:lang w:val="es-AR"/>
        </w:rPr>
        <w:t xml:space="preserve"> Sentencia T-025/16</w:t>
      </w:r>
      <w:r>
        <w:rPr>
          <w:sz w:val="16"/>
          <w:szCs w:val="16"/>
          <w:lang w:val="es-AR"/>
        </w:rPr>
        <w:t xml:space="preserve">, y </w:t>
      </w:r>
      <w:r w:rsidRPr="001E145A">
        <w:rPr>
          <w:sz w:val="16"/>
          <w:szCs w:val="16"/>
          <w:lang w:val="es-AR"/>
        </w:rPr>
        <w:t>Sentencia T-348/09</w:t>
      </w:r>
      <w:r>
        <w:rPr>
          <w:sz w:val="16"/>
          <w:szCs w:val="16"/>
          <w:lang w:val="es-AR"/>
        </w:rPr>
        <w:t>,</w:t>
      </w:r>
      <w:r w:rsidRPr="001E145A">
        <w:rPr>
          <w:sz w:val="16"/>
          <w:szCs w:val="16"/>
          <w:lang w:val="es-AR"/>
        </w:rPr>
        <w:t xml:space="preserve"> en l</w:t>
      </w:r>
      <w:r>
        <w:rPr>
          <w:sz w:val="16"/>
          <w:szCs w:val="16"/>
          <w:lang w:val="es-AR"/>
        </w:rPr>
        <w:t>a</w:t>
      </w:r>
      <w:r w:rsidRPr="001E145A">
        <w:rPr>
          <w:sz w:val="16"/>
          <w:szCs w:val="16"/>
          <w:lang w:val="es-AR"/>
        </w:rPr>
        <w:t xml:space="preserve">s cuales la Corte hizo énfasis </w:t>
      </w:r>
      <w:r>
        <w:rPr>
          <w:sz w:val="16"/>
          <w:szCs w:val="16"/>
          <w:lang w:val="es-AR"/>
        </w:rPr>
        <w:t xml:space="preserve">en </w:t>
      </w:r>
      <w:r w:rsidRPr="001E145A">
        <w:rPr>
          <w:iCs/>
          <w:sz w:val="16"/>
          <w:szCs w:val="16"/>
          <w:lang w:val="es-CO"/>
        </w:rPr>
        <w:t>que “‘por la disminución de sus capacidades físicas, la reducción de las expectativas de vida y la mayor afectación en sus condiciones de salud, [los adultos mayores] constituyen uno de los grupos de especial protección constitucional”.</w:t>
      </w:r>
    </w:p>
    <w:p w14:paraId="434C97A6" w14:textId="3A095D1F" w:rsidR="003C025E" w:rsidRDefault="003C025E" w:rsidP="003E2F69">
      <w:pPr>
        <w:pStyle w:val="FootnoteText"/>
        <w:rPr>
          <w:sz w:val="16"/>
          <w:szCs w:val="16"/>
          <w:lang w:val="es-AR"/>
        </w:rPr>
      </w:pPr>
      <w:r w:rsidRPr="00B1523A">
        <w:rPr>
          <w:i/>
          <w:sz w:val="16"/>
          <w:szCs w:val="16"/>
          <w:lang w:val="es-AR"/>
        </w:rPr>
        <w:t>Cfr</w:t>
      </w:r>
      <w:r>
        <w:rPr>
          <w:sz w:val="16"/>
          <w:szCs w:val="16"/>
          <w:lang w:val="es-AR"/>
        </w:rPr>
        <w:t xml:space="preserve">. </w:t>
      </w:r>
      <w:r w:rsidRPr="00C11DEB">
        <w:rPr>
          <w:sz w:val="16"/>
          <w:szCs w:val="16"/>
          <w:lang w:val="es-AR"/>
        </w:rPr>
        <w:t>Corte Suprema de Justicia de la Nación Argentina. Fallos: 329:1638. Sentencia de 16 de mayo de 2006</w:t>
      </w:r>
      <w:r>
        <w:rPr>
          <w:sz w:val="16"/>
          <w:szCs w:val="16"/>
          <w:lang w:val="es-AR"/>
        </w:rPr>
        <w:t xml:space="preserve">. </w:t>
      </w:r>
    </w:p>
    <w:p w14:paraId="323E3348" w14:textId="7CB09F5F" w:rsidR="003C025E" w:rsidRPr="00BB4919" w:rsidRDefault="003C025E" w:rsidP="003E2F69">
      <w:pPr>
        <w:pStyle w:val="FootnoteText"/>
        <w:rPr>
          <w:sz w:val="16"/>
          <w:szCs w:val="16"/>
          <w:highlight w:val="lightGray"/>
          <w:lang w:val="pt-BR"/>
        </w:rPr>
      </w:pPr>
      <w:r w:rsidRPr="00255B98">
        <w:rPr>
          <w:sz w:val="16"/>
          <w:szCs w:val="16"/>
          <w:lang w:val="es-AR"/>
        </w:rPr>
        <w:t>Por su parte, en México, la Primera Sala de la Suprema Corte de Justicia de la Nación, en la sentencia de amparo directo en revisión 1399/2013,</w:t>
      </w:r>
      <w:r>
        <w:rPr>
          <w:sz w:val="16"/>
          <w:szCs w:val="16"/>
          <w:lang w:val="es-AR"/>
        </w:rPr>
        <w:t xml:space="preserve"> </w:t>
      </w:r>
      <w:r w:rsidRPr="00255B98">
        <w:rPr>
          <w:sz w:val="16"/>
          <w:szCs w:val="16"/>
          <w:lang w:val="es-AR"/>
        </w:rPr>
        <w:t>determinó que “[las personas mayores] debido a [su] vulnerabilidad merecen una especial protección, lo cual incluso se ve robustecido por el hecho de que los instrumentos internacionales y los regímenes jurídicos modernos han venido marcando una línea [para su] protección, con el objeto de procurarles mejores condiciones en el entramado social, lo que pretende lograrse garantizándoles el derecho a: […] iii) [la] no discriminación tratándose de empleo, acceso a vivienda, cuidado de la salud y servicios sociales; iv) servicios de salud” […].</w:t>
      </w:r>
      <w:r w:rsidRPr="00B1523A">
        <w:rPr>
          <w:i/>
          <w:sz w:val="16"/>
          <w:szCs w:val="16"/>
          <w:lang w:val="es-AR"/>
        </w:rPr>
        <w:t xml:space="preserve">  Cfr. </w:t>
      </w:r>
      <w:r w:rsidRPr="00255B98">
        <w:rPr>
          <w:sz w:val="16"/>
          <w:szCs w:val="16"/>
          <w:lang w:val="es-AR"/>
        </w:rPr>
        <w:t xml:space="preserve">Suprema Corte de Justicia de la Nación </w:t>
      </w:r>
      <w:r>
        <w:rPr>
          <w:sz w:val="16"/>
          <w:szCs w:val="16"/>
          <w:lang w:val="es-AR"/>
        </w:rPr>
        <w:t>(</w:t>
      </w:r>
      <w:r w:rsidRPr="00255B98">
        <w:rPr>
          <w:sz w:val="16"/>
          <w:szCs w:val="16"/>
          <w:lang w:val="es-AR"/>
        </w:rPr>
        <w:t>México</w:t>
      </w:r>
      <w:r>
        <w:rPr>
          <w:sz w:val="16"/>
          <w:szCs w:val="16"/>
          <w:lang w:val="es-AR"/>
        </w:rPr>
        <w:t>)</w:t>
      </w:r>
      <w:r w:rsidRPr="00255B98">
        <w:rPr>
          <w:sz w:val="16"/>
          <w:szCs w:val="16"/>
          <w:lang w:val="es-AR"/>
        </w:rPr>
        <w:t xml:space="preserve">, Tesis 1ª. </w:t>
      </w:r>
      <w:r w:rsidRPr="00BB4919">
        <w:rPr>
          <w:sz w:val="16"/>
          <w:szCs w:val="16"/>
          <w:lang w:val="pt-BR"/>
        </w:rPr>
        <w:t>CXXXIV/2016, Décima Época, Libro 29, Tomo II, abril de 2016.</w:t>
      </w:r>
    </w:p>
  </w:footnote>
  <w:footnote w:id="216">
    <w:p w14:paraId="17422215" w14:textId="3206677F" w:rsidR="003C025E" w:rsidRPr="001C452D" w:rsidRDefault="003C025E" w:rsidP="00911089">
      <w:pPr>
        <w:pStyle w:val="FootnoteText"/>
        <w:rPr>
          <w:lang w:val="es-AR"/>
        </w:rPr>
      </w:pPr>
      <w:r w:rsidRPr="00C64243">
        <w:rPr>
          <w:rStyle w:val="FootnoteReference"/>
          <w:color w:val="000000"/>
          <w:sz w:val="16"/>
          <w:szCs w:val="16"/>
        </w:rPr>
        <w:footnoteRef/>
      </w:r>
      <w:r w:rsidRPr="00BB4919">
        <w:rPr>
          <w:lang w:val="pt-BR"/>
        </w:rPr>
        <w:t xml:space="preserve"> </w:t>
      </w:r>
      <w:r w:rsidRPr="00BB4919">
        <w:rPr>
          <w:lang w:val="pt-BR"/>
        </w:rPr>
        <w:tab/>
      </w:r>
      <w:r w:rsidRPr="00BB4919">
        <w:rPr>
          <w:i/>
          <w:sz w:val="16"/>
          <w:szCs w:val="16"/>
          <w:lang w:val="pt-BR"/>
        </w:rPr>
        <w:t>Cfr.</w:t>
      </w:r>
      <w:r w:rsidRPr="00BB4919">
        <w:rPr>
          <w:sz w:val="16"/>
          <w:szCs w:val="16"/>
          <w:lang w:val="pt-BR"/>
        </w:rPr>
        <w:t xml:space="preserve"> </w:t>
      </w:r>
      <w:r w:rsidRPr="00BB4919">
        <w:rPr>
          <w:sz w:val="16"/>
          <w:lang w:val="pt-BR"/>
        </w:rPr>
        <w:t xml:space="preserve">ONU. </w:t>
      </w:r>
      <w:r w:rsidRPr="00C64243">
        <w:rPr>
          <w:sz w:val="16"/>
          <w:lang w:val="es-MX"/>
        </w:rPr>
        <w:t xml:space="preserve">Alto Comisionado de </w:t>
      </w:r>
      <w:r>
        <w:rPr>
          <w:sz w:val="16"/>
          <w:lang w:val="es-MX"/>
        </w:rPr>
        <w:t>la ONU para los Derechos Humanos</w:t>
      </w:r>
      <w:r w:rsidRPr="00C64243">
        <w:rPr>
          <w:sz w:val="16"/>
          <w:lang w:val="es-MX"/>
        </w:rPr>
        <w:t xml:space="preserve">, </w:t>
      </w:r>
      <w:r w:rsidRPr="00B1523A">
        <w:rPr>
          <w:i/>
          <w:sz w:val="16"/>
          <w:lang w:val="es-MX"/>
        </w:rPr>
        <w:t>“Estándares normativos en el Derecho Internacional de los Derechos Humanos en relación con las personas de edad”</w:t>
      </w:r>
      <w:r w:rsidRPr="00C64243">
        <w:rPr>
          <w:sz w:val="16"/>
          <w:lang w:val="es-MX"/>
        </w:rPr>
        <w:t>, A/HRC/18/37</w:t>
      </w:r>
      <w:r>
        <w:rPr>
          <w:sz w:val="16"/>
          <w:lang w:val="es-MX"/>
        </w:rPr>
        <w:t>,</w:t>
      </w:r>
      <w:r w:rsidRPr="0097177B">
        <w:rPr>
          <w:sz w:val="16"/>
          <w:lang w:val="es-MX"/>
        </w:rPr>
        <w:t xml:space="preserve"> </w:t>
      </w:r>
      <w:r>
        <w:rPr>
          <w:sz w:val="16"/>
          <w:lang w:val="es-MX"/>
        </w:rPr>
        <w:t>a</w:t>
      </w:r>
      <w:r w:rsidRPr="00C64243">
        <w:rPr>
          <w:sz w:val="16"/>
          <w:lang w:val="es-MX"/>
        </w:rPr>
        <w:t>gosto de 2012, párr. 9.  Al respecto</w:t>
      </w:r>
      <w:r>
        <w:rPr>
          <w:sz w:val="16"/>
          <w:lang w:val="es-MX"/>
        </w:rPr>
        <w:t>,</w:t>
      </w:r>
      <w:r w:rsidRPr="00C64243">
        <w:rPr>
          <w:sz w:val="16"/>
          <w:lang w:val="es-MX"/>
        </w:rPr>
        <w:t xml:space="preserve"> el Relator Especial destaca que el problema más importante que plantea el envejecimiento mundial es el de garantizar el ejercicio de los derechos humanos a las personas mayores, para lo cual es imprescindible que se tomen medidas para erradicar </w:t>
      </w:r>
      <w:r>
        <w:rPr>
          <w:sz w:val="16"/>
          <w:lang w:val="es-MX"/>
        </w:rPr>
        <w:t xml:space="preserve">su </w:t>
      </w:r>
      <w:r w:rsidRPr="00C64243">
        <w:rPr>
          <w:sz w:val="16"/>
          <w:lang w:val="es-MX"/>
        </w:rPr>
        <w:t>discriminación y exclusión.</w:t>
      </w:r>
      <w:r>
        <w:t xml:space="preserve"> </w:t>
      </w:r>
    </w:p>
  </w:footnote>
  <w:footnote w:id="217">
    <w:p w14:paraId="5F2239B2" w14:textId="5322E4C4" w:rsidR="003C025E" w:rsidRPr="00B1523A" w:rsidRDefault="003C025E" w:rsidP="00911089">
      <w:pPr>
        <w:pStyle w:val="FootnoteText"/>
        <w:rPr>
          <w:lang w:val="en-US"/>
        </w:rPr>
      </w:pPr>
      <w:r w:rsidRPr="00C64243">
        <w:rPr>
          <w:rStyle w:val="FootnoteReference"/>
          <w:color w:val="000000"/>
          <w:sz w:val="16"/>
          <w:szCs w:val="16"/>
        </w:rPr>
        <w:footnoteRef/>
      </w:r>
      <w:r w:rsidRPr="00B1523A">
        <w:rPr>
          <w:lang w:val="en-US"/>
        </w:rPr>
        <w:t xml:space="preserve"> </w:t>
      </w:r>
      <w:r w:rsidRPr="00B1523A">
        <w:rPr>
          <w:lang w:val="en-US"/>
        </w:rPr>
        <w:tab/>
      </w:r>
      <w:proofErr w:type="spellStart"/>
      <w:r w:rsidRPr="00B1523A">
        <w:rPr>
          <w:i/>
          <w:sz w:val="16"/>
          <w:szCs w:val="16"/>
          <w:lang w:val="en-US"/>
        </w:rPr>
        <w:t>Cfr</w:t>
      </w:r>
      <w:proofErr w:type="spellEnd"/>
      <w:r w:rsidRPr="00B1523A">
        <w:rPr>
          <w:i/>
          <w:sz w:val="16"/>
          <w:szCs w:val="16"/>
          <w:lang w:val="en-US"/>
        </w:rPr>
        <w:t xml:space="preserve">. </w:t>
      </w:r>
      <w:r w:rsidRPr="00B1523A">
        <w:rPr>
          <w:sz w:val="16"/>
          <w:lang w:val="en-US"/>
        </w:rPr>
        <w:t>OMS,</w:t>
      </w:r>
      <w:r w:rsidRPr="00B1523A">
        <w:rPr>
          <w:i/>
          <w:sz w:val="16"/>
          <w:lang w:val="en-US"/>
        </w:rPr>
        <w:t xml:space="preserve"> “Social Development and Ageing: Crisis or Opportunity”</w:t>
      </w:r>
      <w:r w:rsidRPr="00B1523A">
        <w:rPr>
          <w:sz w:val="16"/>
          <w:lang w:val="en-US"/>
        </w:rPr>
        <w:t xml:space="preserve">. </w:t>
      </w:r>
      <w:r w:rsidRPr="00B1523A">
        <w:rPr>
          <w:sz w:val="16"/>
          <w:lang w:val="es-MX"/>
        </w:rPr>
        <w:t xml:space="preserve">Panel especial sobre envejecimiento </w:t>
      </w:r>
      <w:r w:rsidRPr="00512E12">
        <w:rPr>
          <w:sz w:val="16"/>
          <w:lang w:val="es-MX"/>
        </w:rPr>
        <w:t xml:space="preserve">y desarrollo social dentro del </w:t>
      </w:r>
      <w:r>
        <w:rPr>
          <w:sz w:val="16"/>
          <w:lang w:val="es-MX"/>
        </w:rPr>
        <w:t>F</w:t>
      </w:r>
      <w:r w:rsidRPr="00B1523A">
        <w:rPr>
          <w:sz w:val="16"/>
          <w:lang w:val="es-MX"/>
        </w:rPr>
        <w:t xml:space="preserve">oro 2000 celebrado en </w:t>
      </w:r>
      <w:r w:rsidRPr="00512E12">
        <w:rPr>
          <w:sz w:val="16"/>
          <w:lang w:val="es-MX"/>
        </w:rPr>
        <w:t xml:space="preserve">Ginebra, pág. 4, y ONU. </w:t>
      </w:r>
      <w:proofErr w:type="spellStart"/>
      <w:proofErr w:type="gramStart"/>
      <w:r w:rsidRPr="00B1523A">
        <w:rPr>
          <w:sz w:val="16"/>
          <w:lang w:val="en-US"/>
        </w:rPr>
        <w:t>Comité</w:t>
      </w:r>
      <w:proofErr w:type="spellEnd"/>
      <w:r w:rsidRPr="00B1523A">
        <w:rPr>
          <w:sz w:val="16"/>
          <w:lang w:val="en-US"/>
        </w:rPr>
        <w:t xml:space="preserve"> DESC, </w:t>
      </w:r>
      <w:r>
        <w:rPr>
          <w:i/>
          <w:sz w:val="16"/>
          <w:lang w:val="en-US"/>
        </w:rPr>
        <w:t>OG-</w:t>
      </w:r>
      <w:r w:rsidRPr="00B1523A">
        <w:rPr>
          <w:i/>
          <w:sz w:val="16"/>
          <w:lang w:val="en-US"/>
        </w:rPr>
        <w:t xml:space="preserve"> 6</w:t>
      </w:r>
      <w:r w:rsidRPr="00B1523A">
        <w:rPr>
          <w:sz w:val="16"/>
          <w:lang w:val="en-US"/>
        </w:rPr>
        <w:t xml:space="preserve">, </w:t>
      </w:r>
      <w:r w:rsidRPr="00B1523A">
        <w:rPr>
          <w:i/>
          <w:sz w:val="16"/>
          <w:lang w:val="en-US"/>
        </w:rPr>
        <w:t>supra</w:t>
      </w:r>
      <w:r w:rsidRPr="00B1523A">
        <w:rPr>
          <w:sz w:val="16"/>
          <w:lang w:val="en-US"/>
        </w:rPr>
        <w:t xml:space="preserve">, </w:t>
      </w:r>
      <w:proofErr w:type="spellStart"/>
      <w:r w:rsidRPr="00B1523A">
        <w:rPr>
          <w:sz w:val="16"/>
          <w:lang w:val="en-US"/>
        </w:rPr>
        <w:t>párr</w:t>
      </w:r>
      <w:proofErr w:type="spellEnd"/>
      <w:r w:rsidRPr="00B1523A">
        <w:rPr>
          <w:sz w:val="16"/>
          <w:lang w:val="en-US"/>
        </w:rPr>
        <w:t>.</w:t>
      </w:r>
      <w:proofErr w:type="gramEnd"/>
      <w:r w:rsidRPr="00B1523A">
        <w:rPr>
          <w:sz w:val="16"/>
          <w:lang w:val="en-US"/>
        </w:rPr>
        <w:t xml:space="preserve"> 1.</w:t>
      </w:r>
    </w:p>
  </w:footnote>
  <w:footnote w:id="218">
    <w:p w14:paraId="612A25B4" w14:textId="09550FDE" w:rsidR="003C025E" w:rsidRDefault="003C025E" w:rsidP="00911089">
      <w:pPr>
        <w:pStyle w:val="FootnoteText"/>
        <w:rPr>
          <w:sz w:val="16"/>
          <w:szCs w:val="16"/>
          <w:lang w:val="es-MX"/>
        </w:rPr>
      </w:pPr>
      <w:r w:rsidRPr="00C64243">
        <w:rPr>
          <w:rStyle w:val="FootnoteReference"/>
          <w:color w:val="000000"/>
          <w:sz w:val="16"/>
          <w:szCs w:val="16"/>
        </w:rPr>
        <w:footnoteRef/>
      </w:r>
      <w:r w:rsidRPr="00B1523A">
        <w:rPr>
          <w:lang w:val="en-US"/>
        </w:rPr>
        <w:t xml:space="preserve"> </w:t>
      </w:r>
      <w:r w:rsidRPr="00B1523A">
        <w:rPr>
          <w:lang w:val="en-US"/>
        </w:rPr>
        <w:tab/>
      </w:r>
      <w:proofErr w:type="spellStart"/>
      <w:r w:rsidRPr="00B1523A">
        <w:rPr>
          <w:i/>
          <w:sz w:val="16"/>
          <w:szCs w:val="16"/>
          <w:lang w:val="en-US"/>
        </w:rPr>
        <w:t>Cfr</w:t>
      </w:r>
      <w:proofErr w:type="spellEnd"/>
      <w:r w:rsidRPr="00B1523A">
        <w:rPr>
          <w:i/>
          <w:sz w:val="16"/>
          <w:szCs w:val="16"/>
          <w:lang w:val="en-US"/>
        </w:rPr>
        <w:t xml:space="preserve">. </w:t>
      </w:r>
      <w:r w:rsidRPr="00B1523A">
        <w:rPr>
          <w:sz w:val="16"/>
          <w:szCs w:val="16"/>
          <w:lang w:val="en-US"/>
        </w:rPr>
        <w:t xml:space="preserve">ONU. </w:t>
      </w:r>
      <w:proofErr w:type="spellStart"/>
      <w:r w:rsidRPr="00B1523A">
        <w:rPr>
          <w:sz w:val="16"/>
          <w:szCs w:val="16"/>
          <w:lang w:val="en-US"/>
        </w:rPr>
        <w:t>División</w:t>
      </w:r>
      <w:proofErr w:type="spellEnd"/>
      <w:r w:rsidRPr="00B1523A">
        <w:rPr>
          <w:sz w:val="16"/>
          <w:szCs w:val="16"/>
          <w:lang w:val="en-US"/>
        </w:rPr>
        <w:t xml:space="preserve"> de </w:t>
      </w:r>
      <w:proofErr w:type="spellStart"/>
      <w:r w:rsidRPr="00B1523A">
        <w:rPr>
          <w:sz w:val="16"/>
          <w:szCs w:val="16"/>
          <w:lang w:val="en-US"/>
        </w:rPr>
        <w:t>Población</w:t>
      </w:r>
      <w:proofErr w:type="spellEnd"/>
      <w:r w:rsidRPr="00B1523A">
        <w:rPr>
          <w:sz w:val="16"/>
          <w:szCs w:val="16"/>
          <w:lang w:val="en-US"/>
        </w:rPr>
        <w:t xml:space="preserve">, </w:t>
      </w:r>
      <w:r w:rsidRPr="00B1523A">
        <w:rPr>
          <w:i/>
          <w:sz w:val="16"/>
          <w:szCs w:val="16"/>
          <w:lang w:val="en-US"/>
        </w:rPr>
        <w:t>“World Population Prospects: The 2015 Revision, Key Findings and Advance Tables”</w:t>
      </w:r>
      <w:r w:rsidRPr="00B1523A">
        <w:rPr>
          <w:sz w:val="16"/>
          <w:szCs w:val="16"/>
          <w:lang w:val="en-US"/>
        </w:rPr>
        <w:t xml:space="preserve">, Working Paper, Nº 241. </w:t>
      </w:r>
      <w:r w:rsidRPr="003B547B">
        <w:rPr>
          <w:sz w:val="16"/>
          <w:szCs w:val="16"/>
          <w:lang w:val="es-MX"/>
        </w:rPr>
        <w:t>ESA/P/WP.241, 2015</w:t>
      </w:r>
      <w:r>
        <w:rPr>
          <w:sz w:val="16"/>
          <w:szCs w:val="16"/>
          <w:lang w:val="es-MX"/>
        </w:rPr>
        <w:t xml:space="preserve">. Disponible en: </w:t>
      </w:r>
      <w:hyperlink r:id="rId6" w:history="1">
        <w:r w:rsidRPr="00EE15BE">
          <w:rPr>
            <w:rStyle w:val="Hyperlink"/>
            <w:sz w:val="16"/>
            <w:szCs w:val="16"/>
            <w:lang w:val="es-MX"/>
          </w:rPr>
          <w:t>http://esa.un.org/unpd/wpp/</w:t>
        </w:r>
      </w:hyperlink>
      <w:r>
        <w:rPr>
          <w:sz w:val="16"/>
          <w:szCs w:val="16"/>
          <w:lang w:val="es-MX"/>
        </w:rPr>
        <w:t xml:space="preserve"> </w:t>
      </w:r>
    </w:p>
    <w:p w14:paraId="3F0C591A" w14:textId="157F7AF3" w:rsidR="003C025E" w:rsidRPr="00B1523A" w:rsidRDefault="003C025E" w:rsidP="00911089">
      <w:pPr>
        <w:pStyle w:val="FootnoteText"/>
        <w:rPr>
          <w:sz w:val="16"/>
          <w:szCs w:val="16"/>
          <w:lang w:val="es-AR"/>
        </w:rPr>
      </w:pPr>
      <w:r>
        <w:rPr>
          <w:sz w:val="16"/>
          <w:szCs w:val="16"/>
          <w:lang w:val="es-MX"/>
        </w:rPr>
        <w:t xml:space="preserve">Asimismo: ONU. CEPAL, </w:t>
      </w:r>
      <w:r w:rsidRPr="00B1523A">
        <w:rPr>
          <w:i/>
          <w:sz w:val="16"/>
          <w:szCs w:val="16"/>
          <w:lang w:val="es-MX"/>
        </w:rPr>
        <w:t>“Derechos de las personas mayores: retos para la interdependencia y autonomía”</w:t>
      </w:r>
      <w:r>
        <w:rPr>
          <w:sz w:val="16"/>
          <w:szCs w:val="16"/>
          <w:lang w:val="es-MX"/>
        </w:rPr>
        <w:t xml:space="preserve">, </w:t>
      </w:r>
      <w:r w:rsidRPr="003B547B">
        <w:rPr>
          <w:sz w:val="16"/>
          <w:szCs w:val="16"/>
          <w:lang w:val="es-MX"/>
        </w:rPr>
        <w:t>LC/CRE.4/3, 2017, pág</w:t>
      </w:r>
      <w:r>
        <w:rPr>
          <w:sz w:val="16"/>
          <w:szCs w:val="16"/>
          <w:lang w:val="es-MX"/>
        </w:rPr>
        <w:t>s</w:t>
      </w:r>
      <w:r w:rsidRPr="003B547B">
        <w:rPr>
          <w:sz w:val="16"/>
          <w:szCs w:val="16"/>
          <w:lang w:val="es-MX"/>
        </w:rPr>
        <w:t>. 15 a 50</w:t>
      </w:r>
      <w:r w:rsidRPr="00B1523A">
        <w:rPr>
          <w:sz w:val="16"/>
          <w:szCs w:val="16"/>
          <w:lang w:val="es-AR"/>
        </w:rPr>
        <w:t>.</w:t>
      </w:r>
    </w:p>
  </w:footnote>
  <w:footnote w:id="219">
    <w:p w14:paraId="57C30273" w14:textId="7003DDCA" w:rsidR="003C025E" w:rsidRPr="002768B7" w:rsidRDefault="003C025E" w:rsidP="00911089">
      <w:pPr>
        <w:pStyle w:val="FootnoteText"/>
        <w:rPr>
          <w:lang w:val="es-MX"/>
        </w:rPr>
      </w:pPr>
      <w:r w:rsidRPr="00C1725C">
        <w:rPr>
          <w:rStyle w:val="FootnoteReference"/>
          <w:rFonts w:eastAsia="Calibri"/>
          <w:sz w:val="16"/>
          <w:lang w:eastAsia="en-US"/>
        </w:rPr>
        <w:footnoteRef/>
      </w:r>
      <w:r w:rsidRPr="003E5B75">
        <w:rPr>
          <w:lang w:val="es-MX"/>
        </w:rPr>
        <w:t xml:space="preserve"> </w:t>
      </w:r>
      <w:r>
        <w:rPr>
          <w:lang w:val="es-MX"/>
        </w:rPr>
        <w:tab/>
      </w:r>
      <w:r w:rsidRPr="005E01F5">
        <w:rPr>
          <w:sz w:val="16"/>
          <w:lang w:val="es-MX"/>
        </w:rPr>
        <w:t xml:space="preserve">Declaración </w:t>
      </w:r>
      <w:r>
        <w:rPr>
          <w:sz w:val="16"/>
          <w:lang w:val="es-MX"/>
        </w:rPr>
        <w:t xml:space="preserve">rendida por </w:t>
      </w:r>
      <w:r w:rsidRPr="005E01F5">
        <w:rPr>
          <w:sz w:val="16"/>
          <w:lang w:val="es-MX"/>
        </w:rPr>
        <w:t>el perito</w:t>
      </w:r>
      <w:r>
        <w:rPr>
          <w:sz w:val="16"/>
          <w:lang w:val="es-MX"/>
        </w:rPr>
        <w:t>,</w:t>
      </w:r>
      <w:r w:rsidRPr="005E01F5">
        <w:rPr>
          <w:sz w:val="16"/>
          <w:lang w:val="es-MX"/>
        </w:rPr>
        <w:t xml:space="preserve"> Dr. Javier Alejandro Santos, especialista en geriatría y gerontología, </w:t>
      </w:r>
      <w:r>
        <w:rPr>
          <w:sz w:val="16"/>
          <w:lang w:val="es-MX"/>
        </w:rPr>
        <w:t xml:space="preserve">ante la Corte </w:t>
      </w:r>
      <w:r w:rsidRPr="005E01F5">
        <w:rPr>
          <w:sz w:val="16"/>
          <w:lang w:val="es-MX"/>
        </w:rPr>
        <w:t xml:space="preserve">en </w:t>
      </w:r>
      <w:r>
        <w:rPr>
          <w:sz w:val="16"/>
          <w:lang w:val="es-MX"/>
        </w:rPr>
        <w:t xml:space="preserve">la </w:t>
      </w:r>
      <w:r w:rsidRPr="005E01F5">
        <w:rPr>
          <w:sz w:val="16"/>
          <w:lang w:val="es-MX"/>
        </w:rPr>
        <w:t xml:space="preserve">audiencia </w:t>
      </w:r>
      <w:r>
        <w:rPr>
          <w:sz w:val="16"/>
          <w:lang w:val="es-MX"/>
        </w:rPr>
        <w:t xml:space="preserve">pública </w:t>
      </w:r>
      <w:r w:rsidRPr="005E01F5">
        <w:rPr>
          <w:sz w:val="16"/>
          <w:lang w:val="es-MX"/>
        </w:rPr>
        <w:t>del</w:t>
      </w:r>
      <w:r w:rsidRPr="005E01F5">
        <w:rPr>
          <w:i/>
          <w:sz w:val="16"/>
          <w:lang w:val="es-MX"/>
        </w:rPr>
        <w:t xml:space="preserve"> Caso Poblete Vilches Vs. Chile</w:t>
      </w:r>
      <w:r w:rsidRPr="005E01F5">
        <w:rPr>
          <w:sz w:val="16"/>
          <w:lang w:val="es-MX"/>
        </w:rPr>
        <w:t xml:space="preserve">, </w:t>
      </w:r>
      <w:r>
        <w:rPr>
          <w:sz w:val="16"/>
          <w:lang w:val="es-MX"/>
        </w:rPr>
        <w:t xml:space="preserve">el </w:t>
      </w:r>
      <w:r w:rsidRPr="005E01F5">
        <w:rPr>
          <w:sz w:val="16"/>
          <w:lang w:val="es-MX"/>
        </w:rPr>
        <w:t>19 de octubre de 2017</w:t>
      </w:r>
      <w:r>
        <w:rPr>
          <w:sz w:val="16"/>
          <w:lang w:val="es-MX"/>
        </w:rPr>
        <w:t xml:space="preserve"> (Transcripción de audiencia pública, pág. 96)</w:t>
      </w:r>
      <w:r w:rsidRPr="005E01F5">
        <w:rPr>
          <w:sz w:val="16"/>
          <w:lang w:val="es-MX"/>
        </w:rPr>
        <w:t>.</w:t>
      </w:r>
    </w:p>
  </w:footnote>
  <w:footnote w:id="220">
    <w:p w14:paraId="6F41E4F8" w14:textId="40B03E12" w:rsidR="003C025E" w:rsidRPr="009341CC" w:rsidRDefault="003C025E" w:rsidP="00911089">
      <w:pPr>
        <w:pStyle w:val="FootnoteText"/>
        <w:rPr>
          <w:lang w:val="es-AR"/>
        </w:rPr>
      </w:pPr>
      <w:r w:rsidRPr="00603440">
        <w:rPr>
          <w:rStyle w:val="FootnoteReference"/>
          <w:color w:val="000000"/>
          <w:sz w:val="16"/>
          <w:szCs w:val="16"/>
        </w:rPr>
        <w:footnoteRef/>
      </w:r>
      <w:r w:rsidRPr="009341CC">
        <w:rPr>
          <w:lang w:val="es-AR"/>
        </w:rPr>
        <w:t xml:space="preserve"> </w:t>
      </w:r>
      <w:r>
        <w:rPr>
          <w:lang w:val="es-AR"/>
        </w:rPr>
        <w:tab/>
      </w:r>
      <w:r w:rsidRPr="005E01F5">
        <w:rPr>
          <w:sz w:val="16"/>
          <w:lang w:val="es-MX"/>
        </w:rPr>
        <w:t xml:space="preserve">Declaración </w:t>
      </w:r>
      <w:r>
        <w:rPr>
          <w:sz w:val="16"/>
          <w:lang w:val="es-MX"/>
        </w:rPr>
        <w:t xml:space="preserve">rendida por </w:t>
      </w:r>
      <w:r w:rsidRPr="005E01F5">
        <w:rPr>
          <w:sz w:val="16"/>
          <w:lang w:val="es-MX"/>
        </w:rPr>
        <w:t>el perito</w:t>
      </w:r>
      <w:r>
        <w:rPr>
          <w:sz w:val="16"/>
          <w:lang w:val="es-MX"/>
        </w:rPr>
        <w:t>,</w:t>
      </w:r>
      <w:r w:rsidRPr="005E01F5">
        <w:rPr>
          <w:sz w:val="16"/>
          <w:lang w:val="es-MX"/>
        </w:rPr>
        <w:t xml:space="preserve"> Dr. Javier Alejandro Santos</w:t>
      </w:r>
      <w:r>
        <w:rPr>
          <w:sz w:val="16"/>
          <w:lang w:val="es-MX"/>
        </w:rPr>
        <w:t xml:space="preserve">, </w:t>
      </w:r>
      <w:r w:rsidRPr="00B1523A">
        <w:rPr>
          <w:i/>
          <w:sz w:val="16"/>
          <w:lang w:val="es-MX"/>
        </w:rPr>
        <w:t>supra</w:t>
      </w:r>
      <w:r>
        <w:rPr>
          <w:sz w:val="16"/>
          <w:lang w:val="es-MX"/>
        </w:rPr>
        <w:t xml:space="preserve">, </w:t>
      </w:r>
      <w:r w:rsidRPr="00603440">
        <w:rPr>
          <w:sz w:val="16"/>
          <w:lang w:val="es-MX"/>
        </w:rPr>
        <w:t>pág</w:t>
      </w:r>
      <w:r>
        <w:rPr>
          <w:sz w:val="16"/>
          <w:lang w:val="es-MX"/>
        </w:rPr>
        <w:t>s</w:t>
      </w:r>
      <w:r w:rsidRPr="00603440">
        <w:rPr>
          <w:sz w:val="16"/>
          <w:lang w:val="es-MX"/>
        </w:rPr>
        <w:t>.</w:t>
      </w:r>
      <w:r>
        <w:rPr>
          <w:sz w:val="16"/>
          <w:lang w:val="es-MX"/>
        </w:rPr>
        <w:t xml:space="preserve"> </w:t>
      </w:r>
      <w:r w:rsidRPr="00603440">
        <w:rPr>
          <w:sz w:val="16"/>
          <w:lang w:val="es-MX"/>
        </w:rPr>
        <w:t>55</w:t>
      </w:r>
      <w:r>
        <w:rPr>
          <w:sz w:val="16"/>
          <w:lang w:val="es-MX"/>
        </w:rPr>
        <w:t xml:space="preserve"> y 60</w:t>
      </w:r>
      <w:r w:rsidRPr="00603440">
        <w:rPr>
          <w:sz w:val="16"/>
          <w:lang w:val="es-MX"/>
        </w:rPr>
        <w:t xml:space="preserve">. </w:t>
      </w:r>
    </w:p>
  </w:footnote>
  <w:footnote w:id="221">
    <w:p w14:paraId="53C17210" w14:textId="5C794A31" w:rsidR="003C025E" w:rsidRPr="002570D1" w:rsidRDefault="003C025E" w:rsidP="002570D1">
      <w:pPr>
        <w:pStyle w:val="FootnoteText"/>
        <w:rPr>
          <w:sz w:val="16"/>
          <w:szCs w:val="16"/>
          <w:lang w:val="es-CR"/>
        </w:rPr>
      </w:pPr>
      <w:r w:rsidRPr="002570D1">
        <w:rPr>
          <w:rStyle w:val="FootnoteReference"/>
          <w:sz w:val="16"/>
          <w:szCs w:val="16"/>
        </w:rPr>
        <w:footnoteRef/>
      </w:r>
      <w:r w:rsidRPr="002570D1">
        <w:rPr>
          <w:rStyle w:val="FootnoteReference"/>
          <w:sz w:val="16"/>
          <w:szCs w:val="16"/>
          <w:lang w:val="es-AR"/>
        </w:rPr>
        <w:t xml:space="preserve"> </w:t>
      </w:r>
      <w:r w:rsidRPr="002570D1">
        <w:rPr>
          <w:sz w:val="16"/>
          <w:szCs w:val="16"/>
          <w:lang w:val="es-CR"/>
        </w:rPr>
        <w:t xml:space="preserve">  </w:t>
      </w:r>
      <w:r>
        <w:rPr>
          <w:sz w:val="16"/>
          <w:szCs w:val="16"/>
          <w:lang w:val="es-CR"/>
        </w:rPr>
        <w:tab/>
      </w:r>
      <w:r>
        <w:rPr>
          <w:i/>
          <w:sz w:val="16"/>
          <w:szCs w:val="16"/>
          <w:lang w:val="es-CR"/>
        </w:rPr>
        <w:t xml:space="preserve">Cfr. </w:t>
      </w:r>
      <w:r>
        <w:rPr>
          <w:sz w:val="16"/>
          <w:szCs w:val="16"/>
          <w:lang w:val="es-CR"/>
        </w:rPr>
        <w:t>D</w:t>
      </w:r>
      <w:r w:rsidRPr="002570D1">
        <w:rPr>
          <w:sz w:val="16"/>
          <w:szCs w:val="16"/>
          <w:lang w:val="es-CR"/>
        </w:rPr>
        <w:t>ocumento complementario</w:t>
      </w:r>
      <w:r>
        <w:rPr>
          <w:sz w:val="16"/>
          <w:szCs w:val="16"/>
          <w:lang w:val="es-CR"/>
        </w:rPr>
        <w:t xml:space="preserve"> a la</w:t>
      </w:r>
      <w:r w:rsidRPr="002570D1">
        <w:rPr>
          <w:sz w:val="16"/>
          <w:szCs w:val="16"/>
          <w:lang w:val="es-CR"/>
        </w:rPr>
        <w:t xml:space="preserve"> declaración pericial</w:t>
      </w:r>
      <w:r w:rsidRPr="009E0B68">
        <w:rPr>
          <w:sz w:val="16"/>
          <w:szCs w:val="16"/>
          <w:lang w:val="es-CR"/>
        </w:rPr>
        <w:t xml:space="preserve"> </w:t>
      </w:r>
      <w:r>
        <w:rPr>
          <w:sz w:val="16"/>
          <w:szCs w:val="16"/>
          <w:lang w:val="es-CR"/>
        </w:rPr>
        <w:t xml:space="preserve">de la perita </w:t>
      </w:r>
      <w:r w:rsidRPr="002570D1">
        <w:rPr>
          <w:sz w:val="16"/>
          <w:szCs w:val="16"/>
          <w:lang w:val="es-CR"/>
        </w:rPr>
        <w:t xml:space="preserve">Alicia Ely </w:t>
      </w:r>
      <w:proofErr w:type="spellStart"/>
      <w:r w:rsidRPr="002570D1">
        <w:rPr>
          <w:sz w:val="16"/>
          <w:szCs w:val="16"/>
          <w:lang w:val="es-CR"/>
        </w:rPr>
        <w:t>Yamin</w:t>
      </w:r>
      <w:proofErr w:type="spellEnd"/>
      <w:r>
        <w:rPr>
          <w:sz w:val="16"/>
          <w:szCs w:val="16"/>
          <w:lang w:val="es-CR"/>
        </w:rPr>
        <w:t xml:space="preserve">, </w:t>
      </w:r>
      <w:r w:rsidRPr="00B1523A">
        <w:rPr>
          <w:i/>
          <w:sz w:val="16"/>
          <w:szCs w:val="16"/>
          <w:lang w:val="es-CR"/>
        </w:rPr>
        <w:t>supra</w:t>
      </w:r>
      <w:r>
        <w:rPr>
          <w:sz w:val="16"/>
          <w:szCs w:val="16"/>
          <w:lang w:val="es-CR"/>
        </w:rPr>
        <w:t xml:space="preserve"> (expediente de fondo, </w:t>
      </w:r>
      <w:r w:rsidRPr="00101845">
        <w:rPr>
          <w:sz w:val="16"/>
          <w:szCs w:val="16"/>
          <w:lang w:val="es-CR"/>
        </w:rPr>
        <w:t>f. 762</w:t>
      </w:r>
      <w:r>
        <w:rPr>
          <w:sz w:val="16"/>
          <w:szCs w:val="16"/>
          <w:lang w:val="es-CR"/>
        </w:rPr>
        <w:t xml:space="preserve">). En el mismo, la especialista destacó que “[…] </w:t>
      </w:r>
      <w:r w:rsidRPr="002570D1">
        <w:rPr>
          <w:sz w:val="16"/>
          <w:szCs w:val="16"/>
          <w:lang w:val="es-CR"/>
        </w:rPr>
        <w:t>la relación desigual de poder entre el médico y el paciente puede verse exacerbada</w:t>
      </w:r>
      <w:r>
        <w:rPr>
          <w:sz w:val="16"/>
          <w:szCs w:val="16"/>
          <w:lang w:val="es-CR"/>
        </w:rPr>
        <w:t xml:space="preserve"> </w:t>
      </w:r>
      <w:r w:rsidRPr="002570D1">
        <w:rPr>
          <w:sz w:val="16"/>
          <w:szCs w:val="16"/>
          <w:lang w:val="es-CR"/>
        </w:rPr>
        <w:t>por las relaciones desiguales de poder que históricamente han contribuido a la marginalización, exclusión y/o discriminación de grupos vulnerables en virtud de la condición o situación social o económica. Estas relaciones estructurales de poder tienen el potencial de exacerbar la posición dominante y persistente, que constituye de forma consciente o inconsciente la base de prácticas que refuerzan la posición de los pacientes como dependientes y subordinadas, en lugar de seres humanos con autonomía y dignidad</w:t>
      </w:r>
      <w:r>
        <w:rPr>
          <w:sz w:val="16"/>
          <w:szCs w:val="16"/>
          <w:lang w:val="es-CR"/>
        </w:rPr>
        <w:t xml:space="preserve"> […]</w:t>
      </w:r>
      <w:r w:rsidRPr="008A114C">
        <w:rPr>
          <w:sz w:val="16"/>
          <w:szCs w:val="16"/>
          <w:lang w:val="es-CR"/>
        </w:rPr>
        <w:t>”.  V</w:t>
      </w:r>
      <w:r>
        <w:rPr>
          <w:sz w:val="16"/>
          <w:szCs w:val="16"/>
          <w:lang w:val="es-CR"/>
        </w:rPr>
        <w:t>éase</w:t>
      </w:r>
      <w:r w:rsidRPr="008A114C">
        <w:rPr>
          <w:sz w:val="16"/>
          <w:szCs w:val="16"/>
          <w:lang w:val="es-CR"/>
        </w:rPr>
        <w:t xml:space="preserve"> también </w:t>
      </w:r>
      <w:r w:rsidRPr="008A114C">
        <w:rPr>
          <w:rStyle w:val="Strong"/>
          <w:b w:val="0"/>
          <w:i/>
          <w:color w:val="000000"/>
          <w:sz w:val="16"/>
          <w:szCs w:val="16"/>
          <w:shd w:val="clear" w:color="auto" w:fill="FFFFFF"/>
          <w:lang w:val="es-CR"/>
        </w:rPr>
        <w:t xml:space="preserve">Caso I.V. Vs. Bolivia, </w:t>
      </w:r>
      <w:r w:rsidRPr="00062586">
        <w:rPr>
          <w:rStyle w:val="Strong"/>
          <w:b w:val="0"/>
          <w:i/>
          <w:color w:val="000000"/>
          <w:sz w:val="16"/>
          <w:szCs w:val="16"/>
          <w:shd w:val="clear" w:color="auto" w:fill="FFFFFF"/>
          <w:lang w:val="es-CR"/>
        </w:rPr>
        <w:t>supra</w:t>
      </w:r>
      <w:r w:rsidRPr="008A114C">
        <w:rPr>
          <w:rStyle w:val="Strong"/>
          <w:b w:val="0"/>
          <w:i/>
          <w:color w:val="000000"/>
          <w:sz w:val="16"/>
          <w:szCs w:val="16"/>
          <w:shd w:val="clear" w:color="auto" w:fill="FFFFFF"/>
          <w:lang w:val="es-CR"/>
        </w:rPr>
        <w:t xml:space="preserve">, </w:t>
      </w:r>
      <w:r w:rsidRPr="008A114C">
        <w:rPr>
          <w:rStyle w:val="Strong"/>
          <w:b w:val="0"/>
          <w:color w:val="000000"/>
          <w:sz w:val="16"/>
          <w:szCs w:val="16"/>
          <w:shd w:val="clear" w:color="auto" w:fill="FFFFFF"/>
          <w:lang w:val="es-CR"/>
        </w:rPr>
        <w:t xml:space="preserve">párr. </w:t>
      </w:r>
      <w:r w:rsidRPr="00EF55E3">
        <w:rPr>
          <w:rStyle w:val="Strong"/>
          <w:b w:val="0"/>
          <w:color w:val="000000"/>
          <w:sz w:val="16"/>
          <w:szCs w:val="16"/>
          <w:shd w:val="clear" w:color="auto" w:fill="FFFFFF"/>
          <w:lang w:val="es-CR"/>
        </w:rPr>
        <w:t>160.</w:t>
      </w:r>
    </w:p>
  </w:footnote>
  <w:footnote w:id="222">
    <w:p w14:paraId="3F41BD5C" w14:textId="34201909" w:rsidR="003C025E" w:rsidRPr="00B1523A" w:rsidRDefault="003C025E" w:rsidP="00D24D12">
      <w:pPr>
        <w:pStyle w:val="FootnoteText"/>
        <w:rPr>
          <w:sz w:val="16"/>
          <w:szCs w:val="16"/>
          <w:lang w:val="es-AR"/>
        </w:rPr>
      </w:pPr>
      <w:r w:rsidRPr="0043255A">
        <w:rPr>
          <w:rStyle w:val="FootnoteReference"/>
          <w:color w:val="000000"/>
          <w:sz w:val="16"/>
          <w:szCs w:val="16"/>
        </w:rPr>
        <w:footnoteRef/>
      </w:r>
      <w:r w:rsidRPr="007A770F">
        <w:rPr>
          <w:lang w:val="es-AR"/>
        </w:rPr>
        <w:t xml:space="preserve"> </w:t>
      </w:r>
      <w:r>
        <w:rPr>
          <w:lang w:val="es-AR"/>
        </w:rPr>
        <w:t xml:space="preserve">  </w:t>
      </w:r>
      <w:r>
        <w:rPr>
          <w:lang w:val="es-AR"/>
        </w:rPr>
        <w:tab/>
      </w:r>
      <w:r w:rsidRPr="00B1523A">
        <w:rPr>
          <w:i/>
          <w:sz w:val="16"/>
          <w:szCs w:val="16"/>
          <w:lang w:val="es-AR"/>
        </w:rPr>
        <w:t xml:space="preserve">Cfr. </w:t>
      </w:r>
      <w:r w:rsidRPr="00B1523A">
        <w:rPr>
          <w:sz w:val="16"/>
          <w:szCs w:val="16"/>
          <w:lang w:val="es-AR"/>
        </w:rPr>
        <w:t>MERCOSUR</w:t>
      </w:r>
      <w:r>
        <w:rPr>
          <w:sz w:val="16"/>
          <w:szCs w:val="16"/>
          <w:lang w:val="es-AR"/>
        </w:rPr>
        <w:t xml:space="preserve">. </w:t>
      </w:r>
      <w:r w:rsidRPr="008079FB">
        <w:rPr>
          <w:sz w:val="16"/>
          <w:szCs w:val="16"/>
          <w:lang w:val="es-AR"/>
        </w:rPr>
        <w:t xml:space="preserve">Comisión Permanente sobre Personas Adultas Mayores, </w:t>
      </w:r>
      <w:r w:rsidRPr="00B1523A">
        <w:rPr>
          <w:i/>
          <w:sz w:val="16"/>
          <w:szCs w:val="16"/>
          <w:lang w:val="es-AR"/>
        </w:rPr>
        <w:t>“Campaña Regional: Vivir con dignidad y derechos a todas las edades”</w:t>
      </w:r>
      <w:r w:rsidRPr="008079FB">
        <w:rPr>
          <w:sz w:val="16"/>
          <w:szCs w:val="16"/>
          <w:lang w:val="es-AR"/>
        </w:rPr>
        <w:t xml:space="preserve">, Acta </w:t>
      </w:r>
      <w:r>
        <w:rPr>
          <w:sz w:val="16"/>
          <w:szCs w:val="16"/>
          <w:lang w:val="es-AR"/>
        </w:rPr>
        <w:t xml:space="preserve">de Plenario </w:t>
      </w:r>
      <w:r w:rsidRPr="008079FB">
        <w:rPr>
          <w:sz w:val="16"/>
          <w:szCs w:val="16"/>
          <w:lang w:val="es-AR"/>
        </w:rPr>
        <w:t>XXX, MERCOSUR/RAADH/ACTA N° 02/17.</w:t>
      </w:r>
    </w:p>
  </w:footnote>
  <w:footnote w:id="223">
    <w:p w14:paraId="580A3B53" w14:textId="13C97A6B" w:rsidR="003C025E" w:rsidRPr="002570D1" w:rsidRDefault="003C025E" w:rsidP="00D24D12">
      <w:pPr>
        <w:pStyle w:val="FootnoteText"/>
        <w:rPr>
          <w:sz w:val="16"/>
          <w:szCs w:val="16"/>
          <w:lang w:val="es-AR"/>
        </w:rPr>
      </w:pPr>
      <w:r w:rsidRPr="002570D1">
        <w:rPr>
          <w:rStyle w:val="FootnoteReference"/>
          <w:sz w:val="16"/>
          <w:szCs w:val="16"/>
        </w:rPr>
        <w:footnoteRef/>
      </w:r>
      <w:r w:rsidRPr="002570D1">
        <w:rPr>
          <w:rStyle w:val="FootnoteReference"/>
          <w:sz w:val="16"/>
          <w:szCs w:val="16"/>
          <w:lang w:val="es-AR"/>
        </w:rPr>
        <w:t xml:space="preserve"> </w:t>
      </w:r>
      <w:r w:rsidRPr="002570D1">
        <w:rPr>
          <w:sz w:val="16"/>
          <w:szCs w:val="16"/>
          <w:lang w:val="es-AR"/>
        </w:rPr>
        <w:t xml:space="preserve"> </w:t>
      </w:r>
      <w:r w:rsidRPr="002570D1">
        <w:rPr>
          <w:rStyle w:val="FootnoteReference"/>
          <w:sz w:val="16"/>
          <w:szCs w:val="16"/>
          <w:lang w:val="es-AR"/>
        </w:rPr>
        <w:t xml:space="preserve"> </w:t>
      </w:r>
      <w:r>
        <w:rPr>
          <w:sz w:val="16"/>
          <w:szCs w:val="16"/>
          <w:lang w:val="es-AR"/>
        </w:rPr>
        <w:tab/>
      </w:r>
      <w:r w:rsidRPr="002570D1">
        <w:rPr>
          <w:i/>
          <w:sz w:val="16"/>
          <w:szCs w:val="16"/>
          <w:lang w:val="es-AR"/>
        </w:rPr>
        <w:t xml:space="preserve">Caso Comunidad Indígena </w:t>
      </w:r>
      <w:proofErr w:type="spellStart"/>
      <w:r w:rsidRPr="002570D1">
        <w:rPr>
          <w:i/>
          <w:sz w:val="16"/>
          <w:szCs w:val="16"/>
          <w:lang w:val="es-AR"/>
        </w:rPr>
        <w:t>Yake</w:t>
      </w:r>
      <w:proofErr w:type="spellEnd"/>
      <w:r w:rsidRPr="002570D1">
        <w:rPr>
          <w:i/>
          <w:sz w:val="16"/>
          <w:szCs w:val="16"/>
          <w:lang w:val="es-AR"/>
        </w:rPr>
        <w:t xml:space="preserve"> Axa Vs. Paraguay</w:t>
      </w:r>
      <w:r>
        <w:rPr>
          <w:i/>
          <w:sz w:val="16"/>
          <w:szCs w:val="16"/>
          <w:lang w:val="es-AR"/>
        </w:rPr>
        <w:t xml:space="preserve">, supra, </w:t>
      </w:r>
      <w:r w:rsidRPr="002570D1">
        <w:rPr>
          <w:sz w:val="16"/>
          <w:szCs w:val="16"/>
          <w:lang w:val="es-AR"/>
        </w:rPr>
        <w:t>párr. 175.</w:t>
      </w:r>
    </w:p>
  </w:footnote>
  <w:footnote w:id="224">
    <w:p w14:paraId="1B92D53E" w14:textId="541722AD" w:rsidR="003C025E" w:rsidRPr="00C27894" w:rsidRDefault="003C025E" w:rsidP="00D24D12">
      <w:pPr>
        <w:pStyle w:val="FootnoteText"/>
        <w:rPr>
          <w:sz w:val="16"/>
          <w:szCs w:val="16"/>
          <w:lang w:val="es-AR"/>
        </w:rPr>
      </w:pPr>
      <w:r w:rsidRPr="002570D1">
        <w:rPr>
          <w:rStyle w:val="FootnoteReference"/>
          <w:rFonts w:eastAsia="Calibri"/>
          <w:sz w:val="16"/>
          <w:szCs w:val="16"/>
          <w:lang w:eastAsia="en-US"/>
        </w:rPr>
        <w:footnoteRef/>
      </w:r>
      <w:r w:rsidRPr="002570D1">
        <w:rPr>
          <w:sz w:val="16"/>
          <w:szCs w:val="16"/>
          <w:lang w:val="es-AR"/>
        </w:rPr>
        <w:t xml:space="preserve">   </w:t>
      </w:r>
      <w:r>
        <w:rPr>
          <w:sz w:val="16"/>
          <w:szCs w:val="16"/>
          <w:lang w:val="es-AR"/>
        </w:rPr>
        <w:tab/>
      </w:r>
      <w:r w:rsidRPr="00B1523A">
        <w:rPr>
          <w:i/>
          <w:sz w:val="16"/>
          <w:szCs w:val="16"/>
          <w:lang w:val="es-AR"/>
        </w:rPr>
        <w:t>Cfr.</w:t>
      </w:r>
      <w:r>
        <w:rPr>
          <w:sz w:val="16"/>
          <w:szCs w:val="16"/>
          <w:lang w:val="es-AR"/>
        </w:rPr>
        <w:t xml:space="preserve"> </w:t>
      </w:r>
      <w:r w:rsidRPr="00383565">
        <w:rPr>
          <w:i/>
          <w:sz w:val="16"/>
          <w:lang w:val="es-AR"/>
        </w:rPr>
        <w:t xml:space="preserve">Mutatis </w:t>
      </w:r>
      <w:proofErr w:type="spellStart"/>
      <w:r w:rsidRPr="00383565">
        <w:rPr>
          <w:i/>
          <w:sz w:val="16"/>
          <w:lang w:val="es-AR"/>
        </w:rPr>
        <w:t>mutandi</w:t>
      </w:r>
      <w:proofErr w:type="spellEnd"/>
      <w:r w:rsidRPr="002570D1">
        <w:rPr>
          <w:sz w:val="16"/>
          <w:szCs w:val="16"/>
          <w:lang w:val="es-AR"/>
        </w:rPr>
        <w:t xml:space="preserve">, </w:t>
      </w:r>
      <w:r w:rsidRPr="002570D1">
        <w:rPr>
          <w:i/>
          <w:sz w:val="16"/>
          <w:szCs w:val="16"/>
          <w:lang w:val="es-AR"/>
        </w:rPr>
        <w:t xml:space="preserve">Caso </w:t>
      </w:r>
      <w:proofErr w:type="spellStart"/>
      <w:r w:rsidRPr="002570D1">
        <w:rPr>
          <w:i/>
          <w:sz w:val="16"/>
          <w:szCs w:val="16"/>
          <w:lang w:val="es-AR"/>
        </w:rPr>
        <w:t>Furlan</w:t>
      </w:r>
      <w:proofErr w:type="spellEnd"/>
      <w:r w:rsidRPr="002570D1">
        <w:rPr>
          <w:i/>
          <w:sz w:val="16"/>
          <w:szCs w:val="16"/>
          <w:lang w:val="es-AR"/>
        </w:rPr>
        <w:t xml:space="preserve"> y familiares Vs. Argentina</w:t>
      </w:r>
      <w:r>
        <w:rPr>
          <w:i/>
          <w:sz w:val="16"/>
          <w:szCs w:val="16"/>
          <w:lang w:val="es-AR"/>
        </w:rPr>
        <w:t xml:space="preserve">, supra, </w:t>
      </w:r>
      <w:r w:rsidRPr="002570D1">
        <w:rPr>
          <w:sz w:val="16"/>
          <w:szCs w:val="16"/>
          <w:lang w:val="es-AR"/>
        </w:rPr>
        <w:t>párr. 201</w:t>
      </w:r>
      <w:r>
        <w:rPr>
          <w:sz w:val="16"/>
          <w:szCs w:val="16"/>
          <w:lang w:val="es-AR"/>
        </w:rPr>
        <w:t xml:space="preserve">, y </w:t>
      </w:r>
      <w:r w:rsidRPr="002570D1">
        <w:rPr>
          <w:i/>
          <w:sz w:val="16"/>
          <w:szCs w:val="16"/>
          <w:lang w:val="es-AR"/>
        </w:rPr>
        <w:t xml:space="preserve">Caso Gonzales </w:t>
      </w:r>
      <w:proofErr w:type="spellStart"/>
      <w:r w:rsidRPr="002570D1">
        <w:rPr>
          <w:i/>
          <w:sz w:val="16"/>
          <w:szCs w:val="16"/>
          <w:lang w:val="es-AR"/>
        </w:rPr>
        <w:t>Lluy</w:t>
      </w:r>
      <w:proofErr w:type="spellEnd"/>
      <w:r w:rsidRPr="002570D1">
        <w:rPr>
          <w:i/>
          <w:sz w:val="16"/>
          <w:szCs w:val="16"/>
          <w:lang w:val="es-AR"/>
        </w:rPr>
        <w:t xml:space="preserve"> y otros Vs. Ecuador</w:t>
      </w:r>
      <w:r>
        <w:rPr>
          <w:i/>
          <w:sz w:val="16"/>
          <w:szCs w:val="16"/>
          <w:lang w:val="es-AR"/>
        </w:rPr>
        <w:t xml:space="preserve">, supra, </w:t>
      </w:r>
      <w:r w:rsidRPr="00C27894">
        <w:rPr>
          <w:sz w:val="16"/>
          <w:szCs w:val="16"/>
          <w:lang w:val="es-AR"/>
        </w:rPr>
        <w:t>párr. 311.</w:t>
      </w:r>
    </w:p>
  </w:footnote>
  <w:footnote w:id="225">
    <w:p w14:paraId="6B0B6930" w14:textId="567D034A" w:rsidR="003C025E" w:rsidRPr="002570D1" w:rsidRDefault="003C025E" w:rsidP="00EF55E3">
      <w:pPr>
        <w:pStyle w:val="FootnoteText"/>
        <w:rPr>
          <w:sz w:val="16"/>
          <w:szCs w:val="16"/>
          <w:lang w:val="es-AR"/>
        </w:rPr>
      </w:pPr>
      <w:r w:rsidRPr="002570D1">
        <w:rPr>
          <w:rStyle w:val="FootnoteReference"/>
          <w:rFonts w:eastAsia="Calibri"/>
          <w:sz w:val="16"/>
          <w:szCs w:val="16"/>
          <w:lang w:eastAsia="en-US"/>
        </w:rPr>
        <w:footnoteRef/>
      </w:r>
      <w:r w:rsidRPr="002570D1">
        <w:rPr>
          <w:rStyle w:val="FootnoteReference"/>
          <w:rFonts w:eastAsia="Calibri"/>
          <w:sz w:val="16"/>
          <w:szCs w:val="16"/>
          <w:lang w:eastAsia="en-US"/>
        </w:rPr>
        <w:t xml:space="preserve"> </w:t>
      </w:r>
      <w:r w:rsidRPr="002570D1">
        <w:rPr>
          <w:rFonts w:eastAsia="Calibri"/>
          <w:sz w:val="16"/>
          <w:szCs w:val="16"/>
          <w:lang w:eastAsia="en-US"/>
        </w:rPr>
        <w:t xml:space="preserve">  </w:t>
      </w:r>
      <w:r>
        <w:rPr>
          <w:rFonts w:eastAsia="Calibri"/>
          <w:sz w:val="16"/>
          <w:szCs w:val="16"/>
          <w:lang w:eastAsia="en-US"/>
        </w:rPr>
        <w:tab/>
      </w:r>
      <w:r>
        <w:rPr>
          <w:rFonts w:eastAsia="Calibri"/>
          <w:i/>
          <w:sz w:val="16"/>
          <w:szCs w:val="16"/>
          <w:lang w:eastAsia="en-US"/>
        </w:rPr>
        <w:t xml:space="preserve">Cfr. </w:t>
      </w:r>
      <w:r w:rsidRPr="000B285B">
        <w:rPr>
          <w:rFonts w:eastAsia="Calibri"/>
          <w:sz w:val="16"/>
          <w:szCs w:val="16"/>
          <w:lang w:val="es-MX" w:eastAsia="en-US"/>
        </w:rPr>
        <w:t>Declaración rendida por el perito</w:t>
      </w:r>
      <w:r>
        <w:rPr>
          <w:rFonts w:eastAsia="Calibri"/>
          <w:sz w:val="16"/>
          <w:szCs w:val="16"/>
          <w:lang w:val="es-MX" w:eastAsia="en-US"/>
        </w:rPr>
        <w:t>,</w:t>
      </w:r>
      <w:r w:rsidRPr="000B285B">
        <w:rPr>
          <w:rFonts w:eastAsia="Calibri"/>
          <w:sz w:val="16"/>
          <w:szCs w:val="16"/>
          <w:lang w:val="es-MX" w:eastAsia="en-US"/>
        </w:rPr>
        <w:t xml:space="preserve"> Dr. Javier Alejandro Santos, </w:t>
      </w:r>
      <w:r w:rsidRPr="000B285B">
        <w:rPr>
          <w:rFonts w:eastAsia="Calibri"/>
          <w:i/>
          <w:sz w:val="16"/>
          <w:szCs w:val="16"/>
          <w:lang w:val="es-MX" w:eastAsia="en-US"/>
        </w:rPr>
        <w:t>supra</w:t>
      </w:r>
      <w:r>
        <w:rPr>
          <w:rFonts w:eastAsia="Calibri"/>
          <w:sz w:val="16"/>
          <w:szCs w:val="16"/>
          <w:lang w:val="es-MX" w:eastAsia="en-US"/>
        </w:rPr>
        <w:t>, pág. 47.</w:t>
      </w:r>
      <w:r w:rsidRPr="002570D1">
        <w:rPr>
          <w:rFonts w:eastAsia="Calibri"/>
          <w:sz w:val="16"/>
          <w:szCs w:val="16"/>
          <w:lang w:val="es-MX" w:eastAsia="en-US"/>
        </w:rPr>
        <w:t xml:space="preserve"> </w:t>
      </w:r>
      <w:r w:rsidRPr="002570D1">
        <w:rPr>
          <w:sz w:val="16"/>
          <w:szCs w:val="16"/>
          <w:lang w:val="es-AR"/>
        </w:rPr>
        <w:t xml:space="preserve">El perito agregó al respecto que “era un paciente muy vulnerable </w:t>
      </w:r>
      <w:r>
        <w:rPr>
          <w:sz w:val="16"/>
          <w:szCs w:val="16"/>
          <w:lang w:val="es-AR"/>
        </w:rPr>
        <w:t>[</w:t>
      </w:r>
      <w:r w:rsidRPr="002570D1">
        <w:rPr>
          <w:sz w:val="16"/>
          <w:szCs w:val="16"/>
          <w:lang w:val="es-AR"/>
        </w:rPr>
        <w:t>y que se externó</w:t>
      </w:r>
      <w:r>
        <w:rPr>
          <w:sz w:val="16"/>
          <w:szCs w:val="16"/>
          <w:lang w:val="es-AR"/>
        </w:rPr>
        <w:t>]</w:t>
      </w:r>
      <w:r w:rsidRPr="002570D1">
        <w:rPr>
          <w:sz w:val="16"/>
          <w:szCs w:val="16"/>
          <w:lang w:val="es-AR"/>
        </w:rPr>
        <w:t xml:space="preserve"> a las 72 horas </w:t>
      </w:r>
      <w:r>
        <w:rPr>
          <w:sz w:val="16"/>
          <w:szCs w:val="16"/>
          <w:lang w:val="es-AR"/>
        </w:rPr>
        <w:t>[</w:t>
      </w:r>
      <w:r w:rsidRPr="002570D1">
        <w:rPr>
          <w:sz w:val="16"/>
          <w:szCs w:val="16"/>
          <w:lang w:val="es-AR"/>
        </w:rPr>
        <w:t>del primer ingreso</w:t>
      </w:r>
      <w:r>
        <w:rPr>
          <w:sz w:val="16"/>
          <w:szCs w:val="16"/>
          <w:lang w:val="es-AR"/>
        </w:rPr>
        <w:t>]</w:t>
      </w:r>
      <w:r w:rsidRPr="002570D1">
        <w:rPr>
          <w:sz w:val="16"/>
          <w:szCs w:val="16"/>
          <w:lang w:val="es-AR"/>
        </w:rPr>
        <w:t xml:space="preserve">”. </w:t>
      </w:r>
      <w:r>
        <w:rPr>
          <w:sz w:val="16"/>
          <w:szCs w:val="16"/>
          <w:lang w:val="es-AR"/>
        </w:rPr>
        <w:t>El perito s</w:t>
      </w:r>
      <w:r w:rsidRPr="002570D1">
        <w:rPr>
          <w:sz w:val="16"/>
          <w:szCs w:val="16"/>
          <w:lang w:val="es-AR"/>
        </w:rPr>
        <w:t>ostuvo</w:t>
      </w:r>
      <w:r>
        <w:rPr>
          <w:sz w:val="16"/>
          <w:szCs w:val="16"/>
          <w:lang w:val="es-AR"/>
        </w:rPr>
        <w:t>,</w:t>
      </w:r>
      <w:r w:rsidRPr="002570D1">
        <w:rPr>
          <w:sz w:val="16"/>
          <w:szCs w:val="16"/>
          <w:lang w:val="es-AR"/>
        </w:rPr>
        <w:t xml:space="preserve"> as</w:t>
      </w:r>
      <w:r>
        <w:rPr>
          <w:sz w:val="16"/>
          <w:szCs w:val="16"/>
          <w:lang w:val="es-AR"/>
        </w:rPr>
        <w:t>i</w:t>
      </w:r>
      <w:r w:rsidRPr="002570D1">
        <w:rPr>
          <w:sz w:val="16"/>
          <w:szCs w:val="16"/>
          <w:lang w:val="es-AR"/>
        </w:rPr>
        <w:t>mismo</w:t>
      </w:r>
      <w:r>
        <w:rPr>
          <w:sz w:val="16"/>
          <w:szCs w:val="16"/>
          <w:lang w:val="es-AR"/>
        </w:rPr>
        <w:t>,</w:t>
      </w:r>
      <w:r w:rsidRPr="002570D1">
        <w:rPr>
          <w:sz w:val="16"/>
          <w:szCs w:val="16"/>
          <w:lang w:val="es-AR"/>
        </w:rPr>
        <w:t xml:space="preserve"> que “el paciente se externa en condiciones muy básicas de salud</w:t>
      </w:r>
      <w:r>
        <w:rPr>
          <w:sz w:val="16"/>
          <w:szCs w:val="16"/>
          <w:lang w:val="es-AR"/>
        </w:rPr>
        <w:t xml:space="preserve"> […] </w:t>
      </w:r>
      <w:r w:rsidRPr="002570D1">
        <w:rPr>
          <w:sz w:val="16"/>
          <w:szCs w:val="16"/>
          <w:lang w:val="es-AR"/>
        </w:rPr>
        <w:t xml:space="preserve">no se debería haber externado”. </w:t>
      </w:r>
    </w:p>
  </w:footnote>
  <w:footnote w:id="226">
    <w:p w14:paraId="2FCF4316" w14:textId="17435838" w:rsidR="003C025E" w:rsidRPr="002570D1" w:rsidRDefault="003C025E" w:rsidP="00EF55E3">
      <w:pPr>
        <w:pStyle w:val="FootnoteText"/>
        <w:rPr>
          <w:sz w:val="16"/>
          <w:szCs w:val="16"/>
          <w:lang w:val="es-AR"/>
        </w:rPr>
      </w:pPr>
      <w:r w:rsidRPr="002570D1">
        <w:rPr>
          <w:rStyle w:val="FootnoteReference"/>
          <w:rFonts w:eastAsia="Calibri"/>
          <w:sz w:val="16"/>
          <w:szCs w:val="16"/>
          <w:lang w:eastAsia="en-US"/>
        </w:rPr>
        <w:footnoteRef/>
      </w:r>
      <w:r w:rsidRPr="002570D1">
        <w:rPr>
          <w:rStyle w:val="FootnoteReference"/>
          <w:rFonts w:eastAsia="Calibri"/>
          <w:sz w:val="16"/>
          <w:szCs w:val="16"/>
          <w:lang w:eastAsia="en-US"/>
        </w:rPr>
        <w:t xml:space="preserve"> </w:t>
      </w:r>
      <w:r w:rsidRPr="002570D1">
        <w:rPr>
          <w:rFonts w:eastAsia="Calibri"/>
          <w:sz w:val="16"/>
          <w:szCs w:val="16"/>
          <w:lang w:eastAsia="en-US"/>
        </w:rPr>
        <w:t xml:space="preserve">  </w:t>
      </w:r>
      <w:r>
        <w:rPr>
          <w:rFonts w:eastAsia="Calibri"/>
          <w:sz w:val="16"/>
          <w:szCs w:val="16"/>
          <w:lang w:eastAsia="en-US"/>
        </w:rPr>
        <w:tab/>
      </w:r>
      <w:r w:rsidRPr="00A075FC">
        <w:rPr>
          <w:rFonts w:eastAsia="Calibri"/>
          <w:i/>
          <w:sz w:val="16"/>
          <w:szCs w:val="16"/>
          <w:lang w:val="es-CR" w:eastAsia="en-US"/>
        </w:rPr>
        <w:t xml:space="preserve">Cfr. </w:t>
      </w:r>
      <w:r w:rsidRPr="00A075FC">
        <w:rPr>
          <w:rFonts w:eastAsia="Calibri"/>
          <w:sz w:val="16"/>
          <w:szCs w:val="16"/>
          <w:lang w:val="es-MX" w:eastAsia="en-US"/>
        </w:rPr>
        <w:t>Declaración rendida por el perito</w:t>
      </w:r>
      <w:r>
        <w:rPr>
          <w:rFonts w:eastAsia="Calibri"/>
          <w:sz w:val="16"/>
          <w:szCs w:val="16"/>
          <w:lang w:val="es-MX" w:eastAsia="en-US"/>
        </w:rPr>
        <w:t>,</w:t>
      </w:r>
      <w:r w:rsidRPr="00A075FC">
        <w:rPr>
          <w:rFonts w:eastAsia="Calibri"/>
          <w:sz w:val="16"/>
          <w:szCs w:val="16"/>
          <w:lang w:val="es-MX" w:eastAsia="en-US"/>
        </w:rPr>
        <w:t xml:space="preserve"> Dr. Javier Alejandro Santos, </w:t>
      </w:r>
      <w:r w:rsidRPr="00A075FC">
        <w:rPr>
          <w:rFonts w:eastAsia="Calibri"/>
          <w:i/>
          <w:sz w:val="16"/>
          <w:szCs w:val="16"/>
          <w:lang w:val="es-MX" w:eastAsia="en-US"/>
        </w:rPr>
        <w:t>supra</w:t>
      </w:r>
      <w:r w:rsidRPr="00A075FC">
        <w:rPr>
          <w:rFonts w:eastAsia="Calibri"/>
          <w:sz w:val="16"/>
          <w:szCs w:val="16"/>
          <w:lang w:val="es-MX" w:eastAsia="en-US"/>
        </w:rPr>
        <w:t>, pág. 48</w:t>
      </w:r>
      <w:r>
        <w:rPr>
          <w:rFonts w:eastAsia="Calibri"/>
          <w:sz w:val="16"/>
          <w:szCs w:val="16"/>
          <w:lang w:eastAsia="en-US"/>
        </w:rPr>
        <w:t>.</w:t>
      </w:r>
      <w:r w:rsidRPr="002570D1">
        <w:rPr>
          <w:rFonts w:eastAsia="Calibri"/>
          <w:sz w:val="16"/>
          <w:szCs w:val="16"/>
          <w:lang w:eastAsia="en-US"/>
        </w:rPr>
        <w:t xml:space="preserve"> Respecto al segundo ingreso al Hospital </w:t>
      </w:r>
      <w:proofErr w:type="spellStart"/>
      <w:r w:rsidRPr="002570D1">
        <w:rPr>
          <w:rFonts w:eastAsia="Calibri"/>
          <w:sz w:val="16"/>
          <w:szCs w:val="16"/>
          <w:lang w:eastAsia="en-US"/>
        </w:rPr>
        <w:t>Sótero</w:t>
      </w:r>
      <w:proofErr w:type="spellEnd"/>
      <w:r w:rsidRPr="002570D1">
        <w:rPr>
          <w:rFonts w:eastAsia="Calibri"/>
          <w:sz w:val="16"/>
          <w:szCs w:val="16"/>
          <w:lang w:eastAsia="en-US"/>
        </w:rPr>
        <w:t xml:space="preserve"> del Río, al referirse al estado de salud del señor Poblete Vilches el perito mencionó</w:t>
      </w:r>
      <w:r>
        <w:rPr>
          <w:rFonts w:eastAsia="Calibri"/>
          <w:sz w:val="16"/>
          <w:szCs w:val="16"/>
          <w:lang w:eastAsia="en-US"/>
        </w:rPr>
        <w:t>:</w:t>
      </w:r>
      <w:r w:rsidRPr="002570D1">
        <w:rPr>
          <w:rFonts w:eastAsia="Calibri"/>
          <w:sz w:val="16"/>
          <w:szCs w:val="16"/>
          <w:lang w:eastAsia="en-US"/>
        </w:rPr>
        <w:t xml:space="preserve"> “es un paciente vulnerable que se había externado hace 72 horas, entonces, no es una infección cualquiera, es una infección intrahospitalaria”.</w:t>
      </w:r>
    </w:p>
  </w:footnote>
  <w:footnote w:id="227">
    <w:p w14:paraId="3D4D6501" w14:textId="3A2137FC" w:rsidR="003C025E" w:rsidRPr="00031DB1" w:rsidRDefault="003C025E">
      <w:pPr>
        <w:pStyle w:val="FootnoteText"/>
      </w:pPr>
      <w:r w:rsidRPr="00B1523A">
        <w:rPr>
          <w:rStyle w:val="FootnoteReference"/>
          <w:sz w:val="16"/>
          <w:szCs w:val="16"/>
        </w:rPr>
        <w:footnoteRef/>
      </w:r>
      <w:r w:rsidRPr="00B1523A">
        <w:rPr>
          <w:sz w:val="16"/>
          <w:szCs w:val="16"/>
        </w:rPr>
        <w:t xml:space="preserve"> </w:t>
      </w:r>
      <w:r>
        <w:tab/>
      </w:r>
      <w:r w:rsidRPr="00B1523A">
        <w:rPr>
          <w:i/>
          <w:sz w:val="16"/>
          <w:szCs w:val="16"/>
          <w:lang w:val="es-CR"/>
        </w:rPr>
        <w:t>Cfr.</w:t>
      </w:r>
      <w:r w:rsidRPr="004F5C3E">
        <w:rPr>
          <w:i/>
          <w:lang w:val="es-CR"/>
        </w:rPr>
        <w:t xml:space="preserve"> </w:t>
      </w:r>
      <w:r w:rsidRPr="0059117C">
        <w:rPr>
          <w:i/>
          <w:sz w:val="16"/>
          <w:szCs w:val="16"/>
        </w:rPr>
        <w:t xml:space="preserve">Mutatis </w:t>
      </w:r>
      <w:proofErr w:type="spellStart"/>
      <w:r w:rsidRPr="0059117C">
        <w:rPr>
          <w:i/>
          <w:sz w:val="16"/>
          <w:szCs w:val="16"/>
        </w:rPr>
        <w:t>mutandi</w:t>
      </w:r>
      <w:proofErr w:type="spellEnd"/>
      <w:r w:rsidRPr="0059117C">
        <w:rPr>
          <w:i/>
          <w:sz w:val="16"/>
          <w:szCs w:val="16"/>
        </w:rPr>
        <w:t>,</w:t>
      </w:r>
      <w:r>
        <w:rPr>
          <w:sz w:val="16"/>
          <w:szCs w:val="16"/>
        </w:rPr>
        <w:t xml:space="preserve"> </w:t>
      </w:r>
      <w:r w:rsidRPr="0059117C">
        <w:rPr>
          <w:i/>
          <w:sz w:val="16"/>
          <w:szCs w:val="16"/>
        </w:rPr>
        <w:t xml:space="preserve">Caso Vera </w:t>
      </w:r>
      <w:proofErr w:type="spellStart"/>
      <w:r w:rsidRPr="0059117C">
        <w:rPr>
          <w:i/>
          <w:sz w:val="16"/>
          <w:szCs w:val="16"/>
        </w:rPr>
        <w:t>Vera</w:t>
      </w:r>
      <w:proofErr w:type="spellEnd"/>
      <w:r w:rsidRPr="0059117C">
        <w:rPr>
          <w:i/>
          <w:sz w:val="16"/>
          <w:szCs w:val="16"/>
        </w:rPr>
        <w:t xml:space="preserve"> y otra Vs. Ecuador. Excepción Preliminar, Fondo, Reparaciones y Costas.</w:t>
      </w:r>
      <w:r w:rsidRPr="000F4170">
        <w:rPr>
          <w:sz w:val="16"/>
          <w:szCs w:val="16"/>
        </w:rPr>
        <w:t xml:space="preserve"> Sentencia de 19 d</w:t>
      </w:r>
      <w:r>
        <w:rPr>
          <w:sz w:val="16"/>
          <w:szCs w:val="16"/>
        </w:rPr>
        <w:t xml:space="preserve">e mayo de 2011. Serie C No. 226, </w:t>
      </w:r>
      <w:proofErr w:type="spellStart"/>
      <w:r>
        <w:rPr>
          <w:sz w:val="16"/>
          <w:szCs w:val="16"/>
        </w:rPr>
        <w:t>párrs</w:t>
      </w:r>
      <w:proofErr w:type="spellEnd"/>
      <w:r>
        <w:rPr>
          <w:sz w:val="16"/>
          <w:szCs w:val="16"/>
        </w:rPr>
        <w:t xml:space="preserve">. 54, 65, 74 y 78, y </w:t>
      </w:r>
      <w:r w:rsidRPr="00B1523A">
        <w:rPr>
          <w:i/>
          <w:sz w:val="16"/>
          <w:szCs w:val="16"/>
        </w:rPr>
        <w:t>Caso Suárez Peralta Vs. Ecuador</w:t>
      </w:r>
      <w:r>
        <w:rPr>
          <w:i/>
          <w:sz w:val="16"/>
          <w:szCs w:val="16"/>
        </w:rPr>
        <w:t>, supra</w:t>
      </w:r>
      <w:r>
        <w:rPr>
          <w:sz w:val="16"/>
          <w:szCs w:val="16"/>
        </w:rPr>
        <w:t>, párr. 154</w:t>
      </w:r>
      <w:r w:rsidRPr="00031DB1">
        <w:rPr>
          <w:sz w:val="16"/>
          <w:szCs w:val="16"/>
        </w:rPr>
        <w:t>.</w:t>
      </w:r>
    </w:p>
  </w:footnote>
  <w:footnote w:id="228">
    <w:p w14:paraId="5D28B22D" w14:textId="6F34EBF7" w:rsidR="003C025E" w:rsidRPr="002570D1" w:rsidRDefault="003C025E" w:rsidP="00EF55E3">
      <w:pPr>
        <w:pStyle w:val="FootnoteText"/>
        <w:rPr>
          <w:sz w:val="16"/>
          <w:szCs w:val="16"/>
          <w:lang w:val="es-AR"/>
        </w:rPr>
      </w:pPr>
      <w:r w:rsidRPr="002570D1">
        <w:rPr>
          <w:rStyle w:val="FootnoteReference"/>
          <w:rFonts w:eastAsia="Calibri"/>
          <w:sz w:val="16"/>
          <w:szCs w:val="16"/>
          <w:lang w:eastAsia="en-US"/>
        </w:rPr>
        <w:footnoteRef/>
      </w:r>
      <w:r w:rsidRPr="002570D1">
        <w:rPr>
          <w:sz w:val="16"/>
          <w:szCs w:val="16"/>
          <w:lang w:val="es-AR"/>
        </w:rPr>
        <w:t xml:space="preserve">   </w:t>
      </w:r>
      <w:r>
        <w:rPr>
          <w:sz w:val="16"/>
          <w:szCs w:val="16"/>
          <w:lang w:val="es-AR"/>
        </w:rPr>
        <w:tab/>
      </w:r>
      <w:r w:rsidRPr="008C15F9">
        <w:rPr>
          <w:i/>
          <w:sz w:val="16"/>
          <w:szCs w:val="16"/>
          <w:lang w:val="es-CR"/>
        </w:rPr>
        <w:t xml:space="preserve">Cfr. </w:t>
      </w:r>
      <w:r w:rsidRPr="008C15F9">
        <w:rPr>
          <w:sz w:val="16"/>
          <w:szCs w:val="16"/>
          <w:lang w:val="es-MX"/>
        </w:rPr>
        <w:t>Declaración rendida por el perito</w:t>
      </w:r>
      <w:r>
        <w:rPr>
          <w:sz w:val="16"/>
          <w:szCs w:val="16"/>
          <w:lang w:val="es-MX"/>
        </w:rPr>
        <w:t>,</w:t>
      </w:r>
      <w:r w:rsidRPr="008C15F9">
        <w:rPr>
          <w:sz w:val="16"/>
          <w:szCs w:val="16"/>
          <w:lang w:val="es-MX"/>
        </w:rPr>
        <w:t xml:space="preserve"> Dr. Javier Alejandro Santos, </w:t>
      </w:r>
      <w:r w:rsidRPr="008C15F9">
        <w:rPr>
          <w:i/>
          <w:sz w:val="16"/>
          <w:szCs w:val="16"/>
          <w:lang w:val="es-MX"/>
        </w:rPr>
        <w:t>supra</w:t>
      </w:r>
      <w:r>
        <w:rPr>
          <w:sz w:val="16"/>
          <w:szCs w:val="16"/>
          <w:lang w:val="es-MX"/>
        </w:rPr>
        <w:t>, págs. 48 y 56.</w:t>
      </w:r>
      <w:r w:rsidRPr="002570D1">
        <w:rPr>
          <w:sz w:val="16"/>
          <w:szCs w:val="16"/>
          <w:lang w:val="es-MX"/>
        </w:rPr>
        <w:t xml:space="preserve"> </w:t>
      </w:r>
      <w:r w:rsidRPr="00953A44">
        <w:rPr>
          <w:sz w:val="16"/>
          <w:szCs w:val="16"/>
          <w:lang w:val="es-AR"/>
        </w:rPr>
        <w:t>Al referirse al esquema antibiótico</w:t>
      </w:r>
      <w:r w:rsidRPr="002570D1">
        <w:rPr>
          <w:sz w:val="16"/>
          <w:szCs w:val="16"/>
          <w:lang w:val="es-AR"/>
        </w:rPr>
        <w:t xml:space="preserve"> dispensado en el </w:t>
      </w:r>
      <w:r>
        <w:rPr>
          <w:sz w:val="16"/>
          <w:szCs w:val="16"/>
          <w:lang w:val="es-AR"/>
        </w:rPr>
        <w:t>s</w:t>
      </w:r>
      <w:r w:rsidRPr="002570D1">
        <w:rPr>
          <w:sz w:val="16"/>
          <w:szCs w:val="16"/>
          <w:lang w:val="es-AR"/>
        </w:rPr>
        <w:t>egundo ingreso, el perito expresó</w:t>
      </w:r>
      <w:r>
        <w:rPr>
          <w:sz w:val="16"/>
          <w:szCs w:val="16"/>
          <w:lang w:val="es-AR"/>
        </w:rPr>
        <w:t>:</w:t>
      </w:r>
      <w:r w:rsidRPr="002570D1">
        <w:rPr>
          <w:sz w:val="16"/>
          <w:szCs w:val="16"/>
          <w:lang w:val="es-AR"/>
        </w:rPr>
        <w:t xml:space="preserve"> “el tratamiento tiene que se</w:t>
      </w:r>
      <w:r>
        <w:rPr>
          <w:sz w:val="16"/>
          <w:szCs w:val="16"/>
          <w:lang w:val="es-AR"/>
        </w:rPr>
        <w:t>r</w:t>
      </w:r>
      <w:r w:rsidRPr="002570D1">
        <w:rPr>
          <w:sz w:val="16"/>
          <w:szCs w:val="16"/>
          <w:lang w:val="es-AR"/>
        </w:rPr>
        <w:t xml:space="preserve"> rápido, enérgico porque no sabemos si hay una segunda oportunidad</w:t>
      </w:r>
      <w:r>
        <w:rPr>
          <w:sz w:val="16"/>
          <w:szCs w:val="16"/>
          <w:lang w:val="es-AR"/>
        </w:rPr>
        <w:t xml:space="preserve"> […] </w:t>
      </w:r>
      <w:r w:rsidRPr="008D6508">
        <w:rPr>
          <w:sz w:val="16"/>
          <w:szCs w:val="16"/>
          <w:lang w:val="es-CR"/>
        </w:rPr>
        <w:t xml:space="preserve">desde mi punto de vista, </w:t>
      </w:r>
      <w:r>
        <w:rPr>
          <w:sz w:val="16"/>
          <w:szCs w:val="16"/>
          <w:lang w:val="es-CR"/>
        </w:rPr>
        <w:t xml:space="preserve">el tratamiento </w:t>
      </w:r>
      <w:r w:rsidRPr="008D6508">
        <w:rPr>
          <w:sz w:val="16"/>
          <w:szCs w:val="16"/>
          <w:lang w:val="es-CR"/>
        </w:rPr>
        <w:t>no fue el correcto, en cuanto al tratamiento antibiótico. Como les comenté antes, la elección del antibiótico es una y ya</w:t>
      </w:r>
      <w:r>
        <w:rPr>
          <w:sz w:val="16"/>
          <w:szCs w:val="16"/>
          <w:lang w:val="es-CR"/>
        </w:rPr>
        <w:t xml:space="preserve">, </w:t>
      </w:r>
      <w:r w:rsidRPr="008D6508">
        <w:rPr>
          <w:sz w:val="16"/>
          <w:szCs w:val="16"/>
          <w:lang w:val="es-CR"/>
        </w:rPr>
        <w:t>porque no voy a tener otra oportunidad, que fue lo que pasó</w:t>
      </w:r>
      <w:r>
        <w:rPr>
          <w:sz w:val="16"/>
          <w:szCs w:val="16"/>
          <w:lang w:val="es-CR"/>
        </w:rPr>
        <w:t xml:space="preserve"> […]”</w:t>
      </w:r>
      <w:r w:rsidRPr="008D6508">
        <w:rPr>
          <w:sz w:val="16"/>
          <w:szCs w:val="16"/>
          <w:lang w:val="es-CR"/>
        </w:rPr>
        <w:t>.</w:t>
      </w:r>
    </w:p>
  </w:footnote>
  <w:footnote w:id="229">
    <w:p w14:paraId="1C70E144" w14:textId="73875FDD" w:rsidR="003C025E" w:rsidRDefault="003C025E" w:rsidP="002A64C9">
      <w:pPr>
        <w:pStyle w:val="FootnoteText"/>
        <w:ind w:right="-35"/>
        <w:rPr>
          <w:sz w:val="16"/>
          <w:szCs w:val="16"/>
          <w:lang w:val="es-CR"/>
        </w:rPr>
      </w:pPr>
      <w:r w:rsidRPr="001E145A">
        <w:rPr>
          <w:rStyle w:val="FootnoteReference"/>
          <w:sz w:val="16"/>
        </w:rPr>
        <w:footnoteRef/>
      </w:r>
      <w:r w:rsidRPr="001E145A">
        <w:rPr>
          <w:sz w:val="16"/>
        </w:rPr>
        <w:t xml:space="preserve"> </w:t>
      </w:r>
      <w:r>
        <w:rPr>
          <w:sz w:val="16"/>
        </w:rPr>
        <w:tab/>
      </w:r>
      <w:r>
        <w:rPr>
          <w:sz w:val="16"/>
          <w:szCs w:val="16"/>
          <w:lang w:val="es-MX"/>
        </w:rPr>
        <w:t xml:space="preserve">El perito Javier Alejandro Santos señaló </w:t>
      </w:r>
      <w:r w:rsidRPr="008A6348">
        <w:rPr>
          <w:sz w:val="16"/>
          <w:szCs w:val="16"/>
          <w:lang w:val="es-CR"/>
        </w:rPr>
        <w:t>la necesidad imprescindible de que el señor Poblete Vilches recibiese tratamiento en una Unidad de Cuidados Intensivos y la inviabilidad de que fuese tratado en terapia intermedia tras su primer egreso y el posterior reing</w:t>
      </w:r>
      <w:r>
        <w:rPr>
          <w:sz w:val="16"/>
          <w:szCs w:val="16"/>
          <w:lang w:val="es-CR"/>
        </w:rPr>
        <w:t xml:space="preserve">reso al Hospital </w:t>
      </w:r>
      <w:proofErr w:type="spellStart"/>
      <w:r>
        <w:rPr>
          <w:sz w:val="16"/>
          <w:szCs w:val="16"/>
          <w:lang w:val="es-CR"/>
        </w:rPr>
        <w:t>Sótero</w:t>
      </w:r>
      <w:proofErr w:type="spellEnd"/>
      <w:r>
        <w:rPr>
          <w:sz w:val="16"/>
          <w:szCs w:val="16"/>
          <w:lang w:val="es-CR"/>
        </w:rPr>
        <w:t xml:space="preserve"> del Río, </w:t>
      </w:r>
      <w:r w:rsidRPr="00CA76E0">
        <w:rPr>
          <w:sz w:val="16"/>
          <w:szCs w:val="16"/>
          <w:lang w:val="es-CR"/>
        </w:rPr>
        <w:t>la cual es brindada en los centros hospitalarios en la llamada “</w:t>
      </w:r>
      <w:r w:rsidRPr="00CA76E0">
        <w:rPr>
          <w:sz w:val="16"/>
          <w:szCs w:val="16"/>
          <w:lang w:val="es-MX"/>
        </w:rPr>
        <w:t>Unidad de Tratamiento Intermedio” o simplemente “Intermedio (a)” [sic], y consiste en “[…] aquella dependencia del hospital destinada al manejo de pacientes críticos estables que requieren para su cuidado de monitoreo no invasivo, vigilancia y manejo de enfermería permanente además de cuidados médicos”, que “[…] puede producirse</w:t>
      </w:r>
      <w:r>
        <w:rPr>
          <w:sz w:val="16"/>
          <w:szCs w:val="16"/>
          <w:lang w:val="es-MX"/>
        </w:rPr>
        <w:t xml:space="preserve"> desde cualquier Servicio o </w:t>
      </w:r>
      <w:r w:rsidRPr="00CA76E0">
        <w:rPr>
          <w:sz w:val="16"/>
          <w:szCs w:val="16"/>
          <w:lang w:val="es-MX"/>
        </w:rPr>
        <w:t>Unidad requirente […] una vez que el paciente se encuentre estable, sin gran necesidad de monitoreo invasivo y no requiera procedimientos y/o cuidados que sólo existen en esa unidad, como ventilación mecánica.”</w:t>
      </w:r>
      <w:r w:rsidRPr="008A6348">
        <w:rPr>
          <w:sz w:val="16"/>
          <w:szCs w:val="16"/>
          <w:lang w:val="es-MX"/>
        </w:rPr>
        <w:t xml:space="preserve"> </w:t>
      </w:r>
      <w:r w:rsidRPr="00062586">
        <w:rPr>
          <w:i/>
          <w:sz w:val="16"/>
          <w:szCs w:val="16"/>
          <w:lang w:val="es-HN"/>
        </w:rPr>
        <w:t>Cfr.</w:t>
      </w:r>
      <w:r w:rsidRPr="00CA76E0">
        <w:rPr>
          <w:i/>
          <w:sz w:val="16"/>
          <w:szCs w:val="16"/>
          <w:lang w:val="es-HN"/>
        </w:rPr>
        <w:t xml:space="preserve"> </w:t>
      </w:r>
      <w:r w:rsidRPr="00E80A9D">
        <w:rPr>
          <w:i/>
          <w:sz w:val="16"/>
          <w:szCs w:val="16"/>
          <w:lang w:val="es-CR"/>
        </w:rPr>
        <w:t xml:space="preserve">Cfr. </w:t>
      </w:r>
      <w:r w:rsidRPr="00B1523A">
        <w:rPr>
          <w:sz w:val="16"/>
          <w:szCs w:val="16"/>
          <w:lang w:val="es-MX"/>
        </w:rPr>
        <w:t>Declaración rendida por el perito</w:t>
      </w:r>
      <w:r>
        <w:rPr>
          <w:sz w:val="16"/>
          <w:szCs w:val="16"/>
          <w:lang w:val="es-MX"/>
        </w:rPr>
        <w:t>,</w:t>
      </w:r>
      <w:r w:rsidRPr="00B1523A">
        <w:rPr>
          <w:sz w:val="16"/>
          <w:szCs w:val="16"/>
          <w:lang w:val="es-MX"/>
        </w:rPr>
        <w:t xml:space="preserve"> Dr. Javier Alejandro Santos</w:t>
      </w:r>
      <w:r w:rsidRPr="00E80A9D">
        <w:rPr>
          <w:i/>
          <w:sz w:val="16"/>
          <w:szCs w:val="16"/>
          <w:lang w:val="es-MX"/>
        </w:rPr>
        <w:t xml:space="preserve">, supra, </w:t>
      </w:r>
      <w:r w:rsidRPr="00B1523A">
        <w:rPr>
          <w:sz w:val="16"/>
          <w:szCs w:val="16"/>
          <w:lang w:val="es-MX"/>
        </w:rPr>
        <w:t>pág</w:t>
      </w:r>
      <w:r w:rsidRPr="00E80A9D">
        <w:rPr>
          <w:i/>
          <w:sz w:val="16"/>
          <w:szCs w:val="16"/>
          <w:lang w:val="es-MX"/>
        </w:rPr>
        <w:t xml:space="preserve">. </w:t>
      </w:r>
      <w:r>
        <w:rPr>
          <w:sz w:val="16"/>
          <w:szCs w:val="16"/>
          <w:lang w:val="es-CR"/>
        </w:rPr>
        <w:t>48.</w:t>
      </w:r>
    </w:p>
    <w:p w14:paraId="58FA7348" w14:textId="317EA321" w:rsidR="003C025E" w:rsidRPr="002A64C9" w:rsidRDefault="003C025E" w:rsidP="002A64C9">
      <w:pPr>
        <w:pStyle w:val="FootnoteText"/>
        <w:ind w:right="-35"/>
        <w:rPr>
          <w:sz w:val="16"/>
          <w:szCs w:val="16"/>
          <w:highlight w:val="cyan"/>
          <w:lang w:val="es-CR"/>
        </w:rPr>
      </w:pPr>
      <w:r w:rsidRPr="001E145A">
        <w:rPr>
          <w:sz w:val="16"/>
          <w:szCs w:val="16"/>
          <w:lang w:val="es-MX"/>
        </w:rPr>
        <w:t>E. Páez y col</w:t>
      </w:r>
      <w:r w:rsidRPr="00B1523A">
        <w:rPr>
          <w:i/>
          <w:sz w:val="16"/>
          <w:szCs w:val="16"/>
          <w:lang w:val="es-MX"/>
        </w:rPr>
        <w:t>., “Guías 2004 de organización y funcionamiento de unidades de pacientes críticos”</w:t>
      </w:r>
      <w:r w:rsidRPr="001E145A">
        <w:rPr>
          <w:sz w:val="16"/>
          <w:szCs w:val="16"/>
          <w:lang w:val="es-MX"/>
        </w:rPr>
        <w:t xml:space="preserve">, Revista Chilena de Medicina Intensiva, 2004,  Vol. 19 (4), pág. 211, y C. de la Hoz y R. </w:t>
      </w:r>
      <w:proofErr w:type="spellStart"/>
      <w:r w:rsidRPr="001E145A">
        <w:rPr>
          <w:sz w:val="16"/>
          <w:szCs w:val="16"/>
          <w:lang w:val="es-MX"/>
        </w:rPr>
        <w:t>Riofrio</w:t>
      </w:r>
      <w:proofErr w:type="spellEnd"/>
      <w:r w:rsidRPr="001E145A">
        <w:rPr>
          <w:sz w:val="16"/>
          <w:szCs w:val="16"/>
          <w:lang w:val="es-MX"/>
        </w:rPr>
        <w:t xml:space="preserve">, </w:t>
      </w:r>
      <w:r w:rsidRPr="00B1523A">
        <w:rPr>
          <w:i/>
          <w:sz w:val="16"/>
          <w:szCs w:val="16"/>
          <w:lang w:val="es-MX"/>
        </w:rPr>
        <w:t>“Criterios de Ingreso y Egreso de la Unidad de Paciente Crítico. Unidad de Paciente Crítico: Unidad de Cuidados Intensivos (UCI) y Unidad de Tratamiento Intermedio (UTI)”</w:t>
      </w:r>
      <w:r w:rsidRPr="001E145A">
        <w:rPr>
          <w:sz w:val="16"/>
          <w:szCs w:val="16"/>
          <w:lang w:val="es-MX"/>
        </w:rPr>
        <w:t xml:space="preserve">, Clínica Mayor, Chile, marzo de 2015, pág. 7. </w:t>
      </w:r>
      <w:r w:rsidRPr="001E145A">
        <w:rPr>
          <w:sz w:val="16"/>
          <w:szCs w:val="16"/>
          <w:lang w:val="es-CR"/>
        </w:rPr>
        <w:t xml:space="preserve">Respecto de la naturaleza genérica de la atención médica especializada brindada en las Unidades de Cuidados Intensivos hospitalarias, véase </w:t>
      </w:r>
      <w:r w:rsidRPr="001E145A">
        <w:rPr>
          <w:sz w:val="16"/>
          <w:szCs w:val="16"/>
          <w:lang w:val="es-MX"/>
        </w:rPr>
        <w:t xml:space="preserve">E. Páez y col., </w:t>
      </w:r>
      <w:r w:rsidRPr="00B1523A">
        <w:rPr>
          <w:i/>
          <w:sz w:val="16"/>
          <w:szCs w:val="16"/>
          <w:lang w:val="es-MX"/>
        </w:rPr>
        <w:t>“Guías 2004 de organización y funcionamiento de unidades de pacientes críticos”</w:t>
      </w:r>
      <w:r w:rsidRPr="001E145A">
        <w:rPr>
          <w:sz w:val="16"/>
          <w:szCs w:val="16"/>
          <w:lang w:val="es-MX"/>
        </w:rPr>
        <w:t xml:space="preserve">, </w:t>
      </w:r>
      <w:r w:rsidRPr="00062586">
        <w:rPr>
          <w:i/>
          <w:sz w:val="16"/>
          <w:szCs w:val="16"/>
          <w:lang w:val="es-CR"/>
        </w:rPr>
        <w:t>supra</w:t>
      </w:r>
      <w:r w:rsidRPr="001E145A">
        <w:rPr>
          <w:sz w:val="16"/>
          <w:szCs w:val="16"/>
          <w:lang w:val="es-CR"/>
        </w:rPr>
        <w:t>.</w:t>
      </w:r>
    </w:p>
  </w:footnote>
  <w:footnote w:id="230">
    <w:p w14:paraId="1B256441" w14:textId="1A629EB1" w:rsidR="003C025E" w:rsidRPr="002570D1" w:rsidRDefault="003C025E" w:rsidP="00EF55E3">
      <w:pPr>
        <w:pStyle w:val="FootnoteText"/>
        <w:rPr>
          <w:sz w:val="16"/>
          <w:szCs w:val="16"/>
          <w:lang w:val="es-AR"/>
        </w:rPr>
      </w:pPr>
      <w:r w:rsidRPr="002570D1">
        <w:rPr>
          <w:rStyle w:val="FootnoteReference"/>
          <w:rFonts w:eastAsia="Calibri"/>
          <w:sz w:val="16"/>
          <w:szCs w:val="16"/>
          <w:lang w:eastAsia="en-US"/>
        </w:rPr>
        <w:footnoteRef/>
      </w:r>
      <w:r w:rsidRPr="002570D1">
        <w:rPr>
          <w:rStyle w:val="FootnoteReference"/>
          <w:rFonts w:eastAsia="Calibri"/>
          <w:sz w:val="16"/>
          <w:szCs w:val="16"/>
          <w:lang w:eastAsia="en-US"/>
        </w:rPr>
        <w:t xml:space="preserve"> </w:t>
      </w:r>
      <w:r w:rsidRPr="002570D1">
        <w:rPr>
          <w:sz w:val="16"/>
          <w:szCs w:val="16"/>
          <w:lang w:val="es-AR"/>
        </w:rPr>
        <w:t xml:space="preserve"> </w:t>
      </w:r>
      <w:r>
        <w:rPr>
          <w:sz w:val="16"/>
          <w:szCs w:val="16"/>
          <w:lang w:val="es-AR"/>
        </w:rPr>
        <w:tab/>
      </w:r>
      <w:r w:rsidRPr="00DC60A4">
        <w:rPr>
          <w:i/>
          <w:sz w:val="16"/>
          <w:szCs w:val="16"/>
          <w:lang w:val="es-CR"/>
        </w:rPr>
        <w:t xml:space="preserve">Cfr. </w:t>
      </w:r>
      <w:r w:rsidRPr="00B1523A">
        <w:rPr>
          <w:sz w:val="16"/>
          <w:szCs w:val="16"/>
          <w:lang w:val="es-MX"/>
        </w:rPr>
        <w:t>Declaración rendida por el perito</w:t>
      </w:r>
      <w:r>
        <w:rPr>
          <w:sz w:val="16"/>
          <w:szCs w:val="16"/>
          <w:lang w:val="es-MX"/>
        </w:rPr>
        <w:t>,</w:t>
      </w:r>
      <w:r w:rsidRPr="00B1523A">
        <w:rPr>
          <w:sz w:val="16"/>
          <w:szCs w:val="16"/>
          <w:lang w:val="es-MX"/>
        </w:rPr>
        <w:t xml:space="preserve"> Dr. Javier Alejandro Santos,</w:t>
      </w:r>
      <w:r w:rsidRPr="00DC60A4">
        <w:rPr>
          <w:i/>
          <w:sz w:val="16"/>
          <w:szCs w:val="16"/>
          <w:lang w:val="es-MX"/>
        </w:rPr>
        <w:t xml:space="preserve"> supra,</w:t>
      </w:r>
      <w:r>
        <w:rPr>
          <w:sz w:val="16"/>
          <w:szCs w:val="16"/>
          <w:lang w:val="es-MX"/>
        </w:rPr>
        <w:t xml:space="preserve"> pág. 54.</w:t>
      </w:r>
      <w:r w:rsidRPr="002570D1">
        <w:rPr>
          <w:sz w:val="16"/>
          <w:szCs w:val="16"/>
          <w:lang w:val="es-AR"/>
        </w:rPr>
        <w:t xml:space="preserve"> </w:t>
      </w:r>
      <w:r>
        <w:rPr>
          <w:sz w:val="16"/>
          <w:szCs w:val="16"/>
          <w:lang w:val="es-AR"/>
        </w:rPr>
        <w:t>Al respecto, e</w:t>
      </w:r>
      <w:r w:rsidRPr="002570D1">
        <w:rPr>
          <w:sz w:val="16"/>
          <w:szCs w:val="16"/>
          <w:lang w:val="es-AR"/>
        </w:rPr>
        <w:t>xpresó</w:t>
      </w:r>
      <w:r>
        <w:rPr>
          <w:sz w:val="16"/>
          <w:szCs w:val="16"/>
          <w:lang w:val="es-AR"/>
        </w:rPr>
        <w:t xml:space="preserve">: </w:t>
      </w:r>
      <w:r w:rsidRPr="002570D1">
        <w:rPr>
          <w:sz w:val="16"/>
          <w:szCs w:val="16"/>
          <w:lang w:val="es-AR"/>
        </w:rPr>
        <w:t>“si hubiera tenido una chance</w:t>
      </w:r>
      <w:r>
        <w:rPr>
          <w:sz w:val="16"/>
          <w:szCs w:val="16"/>
          <w:lang w:val="es-AR"/>
        </w:rPr>
        <w:t xml:space="preserve"> [sic]</w:t>
      </w:r>
      <w:r w:rsidRPr="002570D1">
        <w:rPr>
          <w:sz w:val="16"/>
          <w:szCs w:val="16"/>
          <w:lang w:val="es-AR"/>
        </w:rPr>
        <w:t xml:space="preserve"> el paciente en su recuperación, era con la asistencia</w:t>
      </w:r>
      <w:r>
        <w:rPr>
          <w:sz w:val="16"/>
          <w:szCs w:val="16"/>
          <w:lang w:val="es-AR"/>
        </w:rPr>
        <w:t xml:space="preserve"> […]</w:t>
      </w:r>
      <w:r w:rsidRPr="002570D1">
        <w:rPr>
          <w:sz w:val="16"/>
          <w:szCs w:val="16"/>
          <w:lang w:val="es-AR"/>
        </w:rPr>
        <w:t>”.</w:t>
      </w:r>
    </w:p>
  </w:footnote>
  <w:footnote w:id="231">
    <w:p w14:paraId="0483D5F4" w14:textId="0480DAF2" w:rsidR="003C025E" w:rsidRPr="001E145A" w:rsidRDefault="003C025E" w:rsidP="00EF55E3">
      <w:pPr>
        <w:pStyle w:val="FootnoteText"/>
        <w:rPr>
          <w:i/>
        </w:rPr>
      </w:pPr>
      <w:r w:rsidRPr="005430FF">
        <w:rPr>
          <w:rStyle w:val="FootnoteReference"/>
          <w:rFonts w:eastAsia="Calibri"/>
          <w:sz w:val="16"/>
          <w:szCs w:val="16"/>
          <w:lang w:eastAsia="en-US"/>
        </w:rPr>
        <w:footnoteRef/>
      </w:r>
      <w:r w:rsidRPr="005430FF">
        <w:rPr>
          <w:rStyle w:val="FootnoteReference"/>
          <w:rFonts w:eastAsia="Calibri"/>
          <w:szCs w:val="16"/>
          <w:lang w:eastAsia="en-US"/>
        </w:rPr>
        <w:t xml:space="preserve"> </w:t>
      </w:r>
      <w:r w:rsidRPr="005430FF">
        <w:rPr>
          <w:sz w:val="16"/>
        </w:rPr>
        <w:t xml:space="preserve"> </w:t>
      </w:r>
      <w:r>
        <w:rPr>
          <w:sz w:val="16"/>
        </w:rPr>
        <w:tab/>
      </w:r>
      <w:r w:rsidRPr="00DC60A4">
        <w:rPr>
          <w:i/>
          <w:sz w:val="16"/>
          <w:lang w:val="es-CR"/>
        </w:rPr>
        <w:t xml:space="preserve">Cfr. </w:t>
      </w:r>
      <w:r w:rsidRPr="00B1523A">
        <w:rPr>
          <w:sz w:val="16"/>
          <w:lang w:val="es-MX"/>
        </w:rPr>
        <w:t>Declaración rendida por el perito</w:t>
      </w:r>
      <w:r>
        <w:rPr>
          <w:sz w:val="16"/>
          <w:lang w:val="es-MX"/>
        </w:rPr>
        <w:t>,</w:t>
      </w:r>
      <w:r w:rsidRPr="00B1523A">
        <w:rPr>
          <w:sz w:val="16"/>
          <w:lang w:val="es-MX"/>
        </w:rPr>
        <w:t xml:space="preserve"> Dr. Javier Alejandro Santos</w:t>
      </w:r>
      <w:r w:rsidRPr="00DC60A4">
        <w:rPr>
          <w:i/>
          <w:sz w:val="16"/>
          <w:lang w:val="es-MX"/>
        </w:rPr>
        <w:t>, supra,</w:t>
      </w:r>
      <w:r w:rsidRPr="00DC60A4">
        <w:rPr>
          <w:sz w:val="16"/>
          <w:lang w:val="es-MX"/>
        </w:rPr>
        <w:t xml:space="preserve"> pág.</w:t>
      </w:r>
      <w:r>
        <w:rPr>
          <w:sz w:val="16"/>
          <w:lang w:val="es-MX"/>
        </w:rPr>
        <w:t xml:space="preserve"> 60. En este sentido, el perito expresó</w:t>
      </w:r>
      <w:r>
        <w:rPr>
          <w:sz w:val="16"/>
        </w:rPr>
        <w:t xml:space="preserve">: </w:t>
      </w:r>
      <w:r w:rsidRPr="00B1523A">
        <w:rPr>
          <w:sz w:val="16"/>
        </w:rPr>
        <w:t>“</w:t>
      </w:r>
      <w:r>
        <w:rPr>
          <w:sz w:val="16"/>
        </w:rPr>
        <w:t>[…] y</w:t>
      </w:r>
      <w:r w:rsidRPr="00B1523A">
        <w:rPr>
          <w:sz w:val="16"/>
        </w:rPr>
        <w:t>o puedo hacer 30 hospitales y camas me van a faltar siempre, lo que tengo que hacer es buscar la manera de brindarle al que lo necesita lo que está necesitando. Si lo tengo que derivar, lo llevar</w:t>
      </w:r>
      <w:r>
        <w:rPr>
          <w:sz w:val="16"/>
        </w:rPr>
        <w:t>é</w:t>
      </w:r>
      <w:r w:rsidRPr="00B1523A">
        <w:rPr>
          <w:sz w:val="16"/>
        </w:rPr>
        <w:t xml:space="preserve"> adonde necesite</w:t>
      </w:r>
      <w:r>
        <w:rPr>
          <w:sz w:val="16"/>
        </w:rPr>
        <w:t>,</w:t>
      </w:r>
      <w:r w:rsidRPr="00B1523A">
        <w:rPr>
          <w:sz w:val="16"/>
        </w:rPr>
        <w:t xml:space="preserve"> pero no puedo condenarlo a no tratarlo porque no lo tengo</w:t>
      </w:r>
      <w:r>
        <w:rPr>
          <w:sz w:val="16"/>
        </w:rPr>
        <w:t xml:space="preserve"> [sic]</w:t>
      </w:r>
      <w:r w:rsidRPr="00B1523A">
        <w:rPr>
          <w:sz w:val="16"/>
        </w:rPr>
        <w:t>”.</w:t>
      </w:r>
      <w:r w:rsidRPr="001E145A">
        <w:rPr>
          <w:i/>
          <w:sz w:val="16"/>
        </w:rPr>
        <w:t xml:space="preserve"> </w:t>
      </w:r>
    </w:p>
  </w:footnote>
  <w:footnote w:id="232">
    <w:p w14:paraId="50B397EE" w14:textId="59CB39F1" w:rsidR="003C025E" w:rsidRPr="002570D1" w:rsidRDefault="003C025E" w:rsidP="00EF55E3">
      <w:pPr>
        <w:pStyle w:val="FootnoteText"/>
        <w:rPr>
          <w:sz w:val="16"/>
          <w:szCs w:val="16"/>
          <w:lang w:val="es-AR"/>
        </w:rPr>
      </w:pPr>
      <w:r w:rsidRPr="002570D1">
        <w:rPr>
          <w:rStyle w:val="FootnoteReference"/>
          <w:sz w:val="16"/>
          <w:szCs w:val="16"/>
        </w:rPr>
        <w:footnoteRef/>
      </w:r>
      <w:r w:rsidRPr="002570D1">
        <w:rPr>
          <w:sz w:val="16"/>
          <w:szCs w:val="16"/>
          <w:lang w:val="es-AR"/>
        </w:rPr>
        <w:t xml:space="preserve">   </w:t>
      </w:r>
      <w:r>
        <w:rPr>
          <w:sz w:val="16"/>
          <w:szCs w:val="16"/>
          <w:lang w:val="es-AR"/>
        </w:rPr>
        <w:tab/>
      </w:r>
      <w:r>
        <w:rPr>
          <w:i/>
          <w:sz w:val="16"/>
          <w:szCs w:val="16"/>
          <w:lang w:val="es-AR"/>
        </w:rPr>
        <w:t xml:space="preserve">Cfr. </w:t>
      </w:r>
      <w:r w:rsidRPr="002570D1">
        <w:rPr>
          <w:sz w:val="16"/>
          <w:szCs w:val="16"/>
          <w:lang w:val="es-AR"/>
        </w:rPr>
        <w:t xml:space="preserve">Declaración rendida ante fedatario público por </w:t>
      </w:r>
      <w:proofErr w:type="spellStart"/>
      <w:r w:rsidRPr="002570D1">
        <w:rPr>
          <w:sz w:val="16"/>
          <w:szCs w:val="16"/>
          <w:lang w:val="es-AR"/>
        </w:rPr>
        <w:t>Cesia</w:t>
      </w:r>
      <w:proofErr w:type="spellEnd"/>
      <w:r w:rsidRPr="002570D1">
        <w:rPr>
          <w:sz w:val="16"/>
          <w:szCs w:val="16"/>
          <w:lang w:val="es-AR"/>
        </w:rPr>
        <w:t xml:space="preserve"> Leila Siria Poblete Tapia</w:t>
      </w:r>
      <w:r>
        <w:rPr>
          <w:sz w:val="16"/>
          <w:szCs w:val="16"/>
          <w:lang w:val="es-AR"/>
        </w:rPr>
        <w:t xml:space="preserve">, </w:t>
      </w:r>
      <w:r w:rsidRPr="00B1523A">
        <w:rPr>
          <w:i/>
          <w:sz w:val="16"/>
          <w:szCs w:val="16"/>
          <w:lang w:val="es-AR"/>
        </w:rPr>
        <w:t>supra</w:t>
      </w:r>
      <w:r>
        <w:rPr>
          <w:sz w:val="16"/>
          <w:szCs w:val="16"/>
          <w:lang w:val="es-AR"/>
        </w:rPr>
        <w:t xml:space="preserve"> </w:t>
      </w:r>
      <w:r w:rsidRPr="002570D1">
        <w:rPr>
          <w:sz w:val="16"/>
          <w:szCs w:val="16"/>
          <w:lang w:val="es-AR"/>
        </w:rPr>
        <w:t>(expediente de prueba, affidávits, f</w:t>
      </w:r>
      <w:r>
        <w:rPr>
          <w:sz w:val="16"/>
          <w:szCs w:val="16"/>
          <w:lang w:val="es-AR"/>
        </w:rPr>
        <w:t>.</w:t>
      </w:r>
      <w:r w:rsidRPr="002570D1">
        <w:rPr>
          <w:sz w:val="16"/>
          <w:szCs w:val="16"/>
          <w:lang w:val="es-AR"/>
        </w:rPr>
        <w:t xml:space="preserve"> 4466).</w:t>
      </w:r>
    </w:p>
  </w:footnote>
  <w:footnote w:id="233">
    <w:p w14:paraId="509981F9" w14:textId="0505BDBA" w:rsidR="003C025E" w:rsidRPr="00C27894" w:rsidRDefault="003C025E" w:rsidP="00E23408">
      <w:pPr>
        <w:pStyle w:val="FootnoteText"/>
        <w:rPr>
          <w:b/>
          <w:sz w:val="16"/>
          <w:szCs w:val="16"/>
          <w:lang w:val="es-AR"/>
        </w:rPr>
      </w:pPr>
      <w:r w:rsidRPr="00383565">
        <w:rPr>
          <w:rStyle w:val="FootnoteReference"/>
          <w:rFonts w:eastAsia="Calibri"/>
          <w:sz w:val="16"/>
          <w:szCs w:val="16"/>
          <w:lang w:eastAsia="en-US"/>
        </w:rPr>
        <w:footnoteRef/>
      </w:r>
      <w:r w:rsidRPr="00383565">
        <w:rPr>
          <w:rStyle w:val="FootnoteReference"/>
          <w:rFonts w:eastAsia="Calibri"/>
          <w:sz w:val="16"/>
          <w:szCs w:val="16"/>
          <w:lang w:eastAsia="en-US"/>
        </w:rPr>
        <w:t xml:space="preserve"> </w:t>
      </w:r>
      <w:r>
        <w:rPr>
          <w:lang w:val="es-AR"/>
        </w:rPr>
        <w:t xml:space="preserve"> </w:t>
      </w:r>
      <w:r>
        <w:rPr>
          <w:lang w:val="es-AR"/>
        </w:rPr>
        <w:tab/>
      </w:r>
      <w:r w:rsidRPr="00B1523A">
        <w:rPr>
          <w:i/>
          <w:sz w:val="16"/>
          <w:szCs w:val="16"/>
          <w:lang w:val="es-AR"/>
        </w:rPr>
        <w:t>Cfr.</w:t>
      </w:r>
      <w:r>
        <w:rPr>
          <w:i/>
          <w:lang w:val="es-AR"/>
        </w:rPr>
        <w:t xml:space="preserve"> </w:t>
      </w:r>
      <w:r w:rsidRPr="00383565">
        <w:rPr>
          <w:sz w:val="16"/>
          <w:szCs w:val="16"/>
          <w:lang w:val="es-AR"/>
        </w:rPr>
        <w:t xml:space="preserve">Declaración </w:t>
      </w:r>
      <w:r>
        <w:rPr>
          <w:sz w:val="16"/>
          <w:szCs w:val="16"/>
          <w:lang w:val="es-AR"/>
        </w:rPr>
        <w:t xml:space="preserve">rendida por </w:t>
      </w:r>
      <w:r w:rsidRPr="00383565" w:rsidDel="00995340">
        <w:rPr>
          <w:sz w:val="16"/>
          <w:szCs w:val="16"/>
          <w:lang w:val="es-AR"/>
        </w:rPr>
        <w:t xml:space="preserve">del señor </w:t>
      </w:r>
      <w:r w:rsidRPr="00383565">
        <w:rPr>
          <w:sz w:val="16"/>
          <w:szCs w:val="16"/>
          <w:lang w:val="es-AR"/>
        </w:rPr>
        <w:t xml:space="preserve">Vinicio Marco Antonio Poblete Tapia ante la </w:t>
      </w:r>
      <w:r>
        <w:rPr>
          <w:sz w:val="16"/>
          <w:szCs w:val="16"/>
          <w:lang w:val="es-AR"/>
        </w:rPr>
        <w:t xml:space="preserve">Corte en la </w:t>
      </w:r>
      <w:r w:rsidRPr="00383565" w:rsidDel="00995340">
        <w:rPr>
          <w:sz w:val="16"/>
          <w:szCs w:val="16"/>
          <w:lang w:val="es-AR"/>
        </w:rPr>
        <w:t>A</w:t>
      </w:r>
      <w:r w:rsidRPr="00383565">
        <w:rPr>
          <w:sz w:val="16"/>
          <w:szCs w:val="16"/>
          <w:lang w:val="es-AR"/>
        </w:rPr>
        <w:t xml:space="preserve">udiencia </w:t>
      </w:r>
      <w:r w:rsidRPr="00383565" w:rsidDel="00995340">
        <w:rPr>
          <w:sz w:val="16"/>
          <w:szCs w:val="16"/>
          <w:lang w:val="es-AR"/>
        </w:rPr>
        <w:t>P</w:t>
      </w:r>
      <w:r w:rsidRPr="00383565">
        <w:rPr>
          <w:sz w:val="16"/>
          <w:szCs w:val="16"/>
          <w:lang w:val="es-AR"/>
        </w:rPr>
        <w:t>ública del 19 de octubre de 2017</w:t>
      </w:r>
      <w:r>
        <w:rPr>
          <w:sz w:val="16"/>
          <w:szCs w:val="16"/>
          <w:lang w:val="es-AR"/>
        </w:rPr>
        <w:t xml:space="preserve">, </w:t>
      </w:r>
      <w:r>
        <w:rPr>
          <w:i/>
          <w:sz w:val="16"/>
          <w:szCs w:val="16"/>
          <w:lang w:val="es-AR"/>
        </w:rPr>
        <w:t>supra</w:t>
      </w:r>
      <w:r>
        <w:rPr>
          <w:sz w:val="16"/>
          <w:szCs w:val="16"/>
          <w:lang w:val="es-AR"/>
        </w:rPr>
        <w:t xml:space="preserve">, </w:t>
      </w:r>
      <w:r w:rsidRPr="00383565">
        <w:rPr>
          <w:sz w:val="16"/>
          <w:szCs w:val="16"/>
          <w:lang w:val="es-AR"/>
        </w:rPr>
        <w:t>pág. 16</w:t>
      </w:r>
      <w:r>
        <w:rPr>
          <w:sz w:val="16"/>
          <w:szCs w:val="16"/>
          <w:lang w:val="es-AR"/>
        </w:rPr>
        <w:t>. En la misma, consta que el señor Poblete Tapia declaró: “</w:t>
      </w:r>
      <w:r w:rsidRPr="00383565" w:rsidDel="00CD3A50">
        <w:rPr>
          <w:sz w:val="16"/>
          <w:szCs w:val="16"/>
          <w:lang w:val="es-AR"/>
        </w:rPr>
        <w:t>E</w:t>
      </w:r>
      <w:r w:rsidRPr="00383565">
        <w:rPr>
          <w:sz w:val="16"/>
          <w:szCs w:val="16"/>
          <w:lang w:val="es-AR"/>
        </w:rPr>
        <w:t xml:space="preserve">l doctor Montesino dijo </w:t>
      </w:r>
      <w:r>
        <w:rPr>
          <w:sz w:val="16"/>
          <w:szCs w:val="16"/>
          <w:lang w:val="es-AR"/>
        </w:rPr>
        <w:t>‘t</w:t>
      </w:r>
      <w:r w:rsidRPr="00383565">
        <w:rPr>
          <w:sz w:val="16"/>
          <w:szCs w:val="16"/>
          <w:lang w:val="es-AR"/>
        </w:rPr>
        <w:t>u papá ya se le dio una oportunidad de vivir</w:t>
      </w:r>
      <w:r>
        <w:rPr>
          <w:sz w:val="16"/>
          <w:szCs w:val="16"/>
          <w:lang w:val="es-AR"/>
        </w:rPr>
        <w:t>’</w:t>
      </w:r>
      <w:r w:rsidRPr="00383565">
        <w:rPr>
          <w:sz w:val="16"/>
          <w:szCs w:val="16"/>
          <w:lang w:val="es-AR"/>
        </w:rPr>
        <w:t>, como que él era un ser sobrenatural que tenía el poder sobre la vida</w:t>
      </w:r>
      <w:r>
        <w:rPr>
          <w:sz w:val="16"/>
          <w:szCs w:val="16"/>
          <w:lang w:val="es-AR"/>
        </w:rPr>
        <w:t>,</w:t>
      </w:r>
      <w:r w:rsidRPr="00383565">
        <w:rPr>
          <w:sz w:val="16"/>
          <w:szCs w:val="16"/>
          <w:lang w:val="es-AR"/>
        </w:rPr>
        <w:t xml:space="preserve"> </w:t>
      </w:r>
      <w:r>
        <w:rPr>
          <w:sz w:val="16"/>
          <w:szCs w:val="16"/>
          <w:lang w:val="es-AR"/>
        </w:rPr>
        <w:t>‘</w:t>
      </w:r>
      <w:r w:rsidRPr="00383565">
        <w:rPr>
          <w:sz w:val="16"/>
          <w:szCs w:val="16"/>
          <w:lang w:val="es-AR"/>
        </w:rPr>
        <w:t>yo le di la oportunidad de vivir</w:t>
      </w:r>
      <w:r>
        <w:rPr>
          <w:sz w:val="16"/>
          <w:szCs w:val="16"/>
          <w:lang w:val="es-AR"/>
        </w:rPr>
        <w:t>’</w:t>
      </w:r>
      <w:r w:rsidRPr="00383565">
        <w:rPr>
          <w:sz w:val="16"/>
          <w:szCs w:val="16"/>
          <w:lang w:val="es-AR"/>
        </w:rPr>
        <w:t xml:space="preserve"> </w:t>
      </w:r>
      <w:r w:rsidRPr="00383565" w:rsidDel="00995340">
        <w:rPr>
          <w:sz w:val="16"/>
          <w:szCs w:val="16"/>
          <w:lang w:val="es-AR"/>
        </w:rPr>
        <w:t xml:space="preserve">dijo </w:t>
      </w:r>
      <w:r>
        <w:rPr>
          <w:sz w:val="16"/>
          <w:szCs w:val="16"/>
          <w:lang w:val="es-AR"/>
        </w:rPr>
        <w:t>[…] ‘</w:t>
      </w:r>
      <w:r w:rsidRPr="00383565">
        <w:rPr>
          <w:sz w:val="16"/>
          <w:szCs w:val="16"/>
          <w:lang w:val="es-AR"/>
        </w:rPr>
        <w:t>la primera vez que ingresó al Sotero del Río, yo no le voy a darle otra oportunidad de vivir, tu papá tiene que morir, tu papá ya</w:t>
      </w:r>
      <w:r>
        <w:rPr>
          <w:sz w:val="16"/>
          <w:szCs w:val="16"/>
          <w:lang w:val="es-AR"/>
        </w:rPr>
        <w:t xml:space="preserve"> [</w:t>
      </w:r>
      <w:r w:rsidRPr="00383565">
        <w:rPr>
          <w:sz w:val="16"/>
          <w:szCs w:val="16"/>
          <w:lang w:val="es-AR"/>
        </w:rPr>
        <w:t>…</w:t>
      </w:r>
      <w:r>
        <w:rPr>
          <w:sz w:val="16"/>
          <w:szCs w:val="16"/>
          <w:lang w:val="es-AR"/>
        </w:rPr>
        <w:t>]’</w:t>
      </w:r>
      <w:r w:rsidRPr="00383565">
        <w:rPr>
          <w:sz w:val="16"/>
          <w:szCs w:val="16"/>
          <w:lang w:val="es-AR"/>
        </w:rPr>
        <w:t>”</w:t>
      </w:r>
      <w:r>
        <w:rPr>
          <w:sz w:val="16"/>
          <w:szCs w:val="16"/>
          <w:lang w:val="es-AR"/>
        </w:rPr>
        <w:t>.</w:t>
      </w:r>
    </w:p>
  </w:footnote>
  <w:footnote w:id="234">
    <w:p w14:paraId="7DF1C17F" w14:textId="12B8BF3B" w:rsidR="003C025E" w:rsidRPr="002570D1" w:rsidRDefault="003C025E" w:rsidP="002570D1">
      <w:pPr>
        <w:pStyle w:val="FootnoteText"/>
        <w:rPr>
          <w:sz w:val="16"/>
          <w:szCs w:val="16"/>
          <w:lang w:val="es-AR"/>
        </w:rPr>
      </w:pPr>
      <w:r w:rsidRPr="002570D1">
        <w:rPr>
          <w:rStyle w:val="FootnoteReference"/>
          <w:rFonts w:eastAsia="Calibri"/>
          <w:sz w:val="16"/>
          <w:szCs w:val="16"/>
          <w:lang w:eastAsia="en-US"/>
        </w:rPr>
        <w:footnoteRef/>
      </w:r>
      <w:r w:rsidRPr="002570D1">
        <w:rPr>
          <w:sz w:val="16"/>
          <w:szCs w:val="16"/>
          <w:lang w:val="es-AR"/>
        </w:rPr>
        <w:t xml:space="preserve">   </w:t>
      </w:r>
      <w:r>
        <w:rPr>
          <w:i/>
          <w:sz w:val="16"/>
          <w:szCs w:val="16"/>
          <w:lang w:val="es-CR"/>
        </w:rPr>
        <w:tab/>
      </w:r>
      <w:r w:rsidRPr="002908D6">
        <w:rPr>
          <w:sz w:val="16"/>
          <w:szCs w:val="16"/>
          <w:lang w:val="es-MX"/>
        </w:rPr>
        <w:t>Declaración rendida por el perito</w:t>
      </w:r>
      <w:r>
        <w:rPr>
          <w:sz w:val="16"/>
          <w:szCs w:val="16"/>
          <w:lang w:val="es-MX"/>
        </w:rPr>
        <w:t>,</w:t>
      </w:r>
      <w:r w:rsidRPr="002908D6">
        <w:rPr>
          <w:sz w:val="16"/>
          <w:szCs w:val="16"/>
          <w:lang w:val="es-MX"/>
        </w:rPr>
        <w:t xml:space="preserve"> Dr. Javier Alejandro Santos,</w:t>
      </w:r>
      <w:r w:rsidRPr="002908D6">
        <w:rPr>
          <w:i/>
          <w:sz w:val="16"/>
          <w:szCs w:val="16"/>
          <w:lang w:val="es-MX"/>
        </w:rPr>
        <w:t xml:space="preserve"> supra,</w:t>
      </w:r>
      <w:r>
        <w:rPr>
          <w:sz w:val="16"/>
          <w:szCs w:val="16"/>
          <w:lang w:val="es-MX"/>
        </w:rPr>
        <w:t xml:space="preserve"> pág. </w:t>
      </w:r>
      <w:r>
        <w:rPr>
          <w:sz w:val="16"/>
          <w:szCs w:val="16"/>
          <w:lang w:val="es-AR"/>
        </w:rPr>
        <w:t>51.</w:t>
      </w:r>
      <w:r w:rsidRPr="002570D1">
        <w:rPr>
          <w:sz w:val="16"/>
          <w:szCs w:val="16"/>
          <w:lang w:val="es-AR"/>
        </w:rPr>
        <w:t xml:space="preserve"> Al respecto</w:t>
      </w:r>
      <w:r>
        <w:rPr>
          <w:sz w:val="16"/>
          <w:szCs w:val="16"/>
          <w:lang w:val="es-AR"/>
        </w:rPr>
        <w:t>,</w:t>
      </w:r>
      <w:r w:rsidRPr="002570D1">
        <w:rPr>
          <w:sz w:val="16"/>
          <w:szCs w:val="16"/>
          <w:lang w:val="es-AR"/>
        </w:rPr>
        <w:t xml:space="preserve"> el perito resaltó: “en cuanto a las deficiencias individuales, no habían profesionales que pudieran leer lo que el paciente está contando”, y agregó</w:t>
      </w:r>
      <w:r>
        <w:rPr>
          <w:sz w:val="16"/>
          <w:szCs w:val="16"/>
          <w:lang w:val="es-AR"/>
        </w:rPr>
        <w:t>:</w:t>
      </w:r>
      <w:r w:rsidRPr="002570D1">
        <w:rPr>
          <w:sz w:val="16"/>
          <w:szCs w:val="16"/>
          <w:lang w:val="es-AR"/>
        </w:rPr>
        <w:t xml:space="preserve"> “en cuanto a lo estructural, tiene que ver con la necesidad de un servicio que instrumente el estado o la organización en que este, con los especialistas que atienden este tipo de patologías”. </w:t>
      </w:r>
    </w:p>
  </w:footnote>
  <w:footnote w:id="235">
    <w:p w14:paraId="3E991D3F" w14:textId="15C5F0EB" w:rsidR="003C025E" w:rsidRPr="009A27E4" w:rsidRDefault="003C025E">
      <w:pPr>
        <w:pStyle w:val="FootnoteText"/>
      </w:pPr>
      <w:r w:rsidRPr="00383565">
        <w:rPr>
          <w:rStyle w:val="FootnoteReference"/>
          <w:rFonts w:eastAsia="Calibri"/>
          <w:sz w:val="16"/>
          <w:szCs w:val="16"/>
          <w:lang w:eastAsia="en-US"/>
        </w:rPr>
        <w:footnoteRef/>
      </w:r>
      <w:r>
        <w:t xml:space="preserve">  </w:t>
      </w:r>
      <w:r>
        <w:tab/>
      </w:r>
      <w:r w:rsidRPr="001016A7">
        <w:rPr>
          <w:i/>
          <w:sz w:val="16"/>
          <w:szCs w:val="16"/>
          <w:lang w:val="es-CR"/>
        </w:rPr>
        <w:t xml:space="preserve">Cfr. </w:t>
      </w:r>
      <w:r w:rsidRPr="001016A7">
        <w:rPr>
          <w:sz w:val="16"/>
          <w:szCs w:val="16"/>
          <w:lang w:val="es-MX"/>
        </w:rPr>
        <w:t>Declaración rendida por el perito</w:t>
      </w:r>
      <w:r>
        <w:rPr>
          <w:sz w:val="16"/>
          <w:szCs w:val="16"/>
          <w:lang w:val="es-MX"/>
        </w:rPr>
        <w:t>,</w:t>
      </w:r>
      <w:r w:rsidRPr="001016A7">
        <w:rPr>
          <w:sz w:val="16"/>
          <w:szCs w:val="16"/>
          <w:lang w:val="es-MX"/>
        </w:rPr>
        <w:t xml:space="preserve"> Dr. Javier Alejandro Santos,</w:t>
      </w:r>
      <w:r w:rsidRPr="001016A7">
        <w:rPr>
          <w:i/>
          <w:sz w:val="16"/>
          <w:szCs w:val="16"/>
          <w:lang w:val="es-MX"/>
        </w:rPr>
        <w:t xml:space="preserve"> supra,</w:t>
      </w:r>
      <w:r w:rsidRPr="001016A7">
        <w:rPr>
          <w:sz w:val="16"/>
          <w:szCs w:val="16"/>
          <w:lang w:val="es-MX"/>
        </w:rPr>
        <w:t xml:space="preserve"> pág. </w:t>
      </w:r>
      <w:r>
        <w:rPr>
          <w:sz w:val="16"/>
          <w:szCs w:val="16"/>
          <w:lang w:val="es-AR"/>
        </w:rPr>
        <w:t>46</w:t>
      </w:r>
      <w:r w:rsidRPr="00383565">
        <w:rPr>
          <w:sz w:val="16"/>
          <w:szCs w:val="16"/>
          <w:lang w:val="es-AR"/>
        </w:rPr>
        <w:t xml:space="preserve">: </w:t>
      </w:r>
      <w:r>
        <w:rPr>
          <w:sz w:val="16"/>
          <w:szCs w:val="16"/>
          <w:lang w:val="es-AR"/>
        </w:rPr>
        <w:t xml:space="preserve">En la misma consta: </w:t>
      </w:r>
      <w:r w:rsidRPr="00383565">
        <w:rPr>
          <w:sz w:val="16"/>
          <w:szCs w:val="16"/>
          <w:lang w:val="es-AR"/>
        </w:rPr>
        <w:t>“paciente de 76 años, con antecedentes de diabetes tipo 2, hipertensión, una arritmia</w:t>
      </w:r>
      <w:r>
        <w:rPr>
          <w:sz w:val="16"/>
          <w:szCs w:val="16"/>
          <w:lang w:val="es-AR"/>
        </w:rPr>
        <w:t xml:space="preserve"> […]</w:t>
      </w:r>
      <w:r w:rsidRPr="00383565">
        <w:rPr>
          <w:sz w:val="16"/>
          <w:szCs w:val="16"/>
          <w:lang w:val="es-AR"/>
        </w:rPr>
        <w:t>”</w:t>
      </w:r>
      <w:r>
        <w:rPr>
          <w:sz w:val="16"/>
          <w:szCs w:val="16"/>
          <w:lang w:val="es-AR"/>
        </w:rPr>
        <w:t>.</w:t>
      </w:r>
    </w:p>
  </w:footnote>
  <w:footnote w:id="236">
    <w:p w14:paraId="1303DA53" w14:textId="09B8D127" w:rsidR="003C025E" w:rsidRPr="002570D1" w:rsidRDefault="003C025E" w:rsidP="002570D1">
      <w:pPr>
        <w:pStyle w:val="FootnoteText"/>
        <w:rPr>
          <w:sz w:val="16"/>
          <w:szCs w:val="16"/>
          <w:lang w:val="es-MX"/>
        </w:rPr>
      </w:pPr>
      <w:r w:rsidRPr="002570D1">
        <w:rPr>
          <w:rStyle w:val="FootnoteReference"/>
          <w:rFonts w:eastAsia="Calibri"/>
          <w:sz w:val="16"/>
          <w:szCs w:val="16"/>
          <w:lang w:eastAsia="en-US"/>
        </w:rPr>
        <w:footnoteRef/>
      </w:r>
      <w:r>
        <w:rPr>
          <w:sz w:val="16"/>
          <w:szCs w:val="16"/>
          <w:lang w:val="pt-BR"/>
        </w:rPr>
        <w:t xml:space="preserve"> </w:t>
      </w:r>
      <w:r>
        <w:rPr>
          <w:sz w:val="16"/>
          <w:szCs w:val="16"/>
          <w:lang w:val="pt-BR"/>
        </w:rPr>
        <w:tab/>
      </w:r>
      <w:bookmarkStart w:id="83" w:name="_Hlk501390093"/>
      <w:r w:rsidRPr="002570D1">
        <w:rPr>
          <w:i/>
          <w:sz w:val="16"/>
          <w:szCs w:val="16"/>
          <w:lang w:val="pt-BR"/>
        </w:rPr>
        <w:t xml:space="preserve">Caso </w:t>
      </w:r>
      <w:r w:rsidRPr="002570D1">
        <w:rPr>
          <w:bCs/>
          <w:i/>
          <w:sz w:val="16"/>
          <w:szCs w:val="16"/>
          <w:lang w:val="pt-BR"/>
        </w:rPr>
        <w:t>Ximenes Lopes Vs. Brasil</w:t>
      </w:r>
      <w:r>
        <w:rPr>
          <w:bCs/>
          <w:sz w:val="16"/>
          <w:szCs w:val="16"/>
          <w:lang w:val="pt-BR"/>
        </w:rPr>
        <w:t xml:space="preserve">, </w:t>
      </w:r>
      <w:r>
        <w:rPr>
          <w:bCs/>
          <w:i/>
          <w:sz w:val="16"/>
          <w:szCs w:val="16"/>
          <w:lang w:val="pt-BR"/>
        </w:rPr>
        <w:t>supra</w:t>
      </w:r>
      <w:r w:rsidRPr="00B1523A">
        <w:rPr>
          <w:bCs/>
          <w:sz w:val="16"/>
          <w:szCs w:val="16"/>
          <w:lang w:val="pt-BR"/>
        </w:rPr>
        <w:t xml:space="preserve">, párr. </w:t>
      </w:r>
      <w:r w:rsidRPr="002570D1">
        <w:rPr>
          <w:bCs/>
          <w:sz w:val="16"/>
          <w:szCs w:val="16"/>
        </w:rPr>
        <w:t>124</w:t>
      </w:r>
      <w:r w:rsidRPr="00847C4A">
        <w:rPr>
          <w:bCs/>
          <w:sz w:val="16"/>
          <w:szCs w:val="16"/>
        </w:rPr>
        <w:t xml:space="preserve">; </w:t>
      </w:r>
      <w:r w:rsidRPr="00847C4A">
        <w:rPr>
          <w:sz w:val="16"/>
          <w:szCs w:val="16"/>
          <w:lang w:val="es-MX"/>
        </w:rPr>
        <w:t xml:space="preserve"> Caso </w:t>
      </w:r>
      <w:proofErr w:type="spellStart"/>
      <w:r w:rsidRPr="00847C4A">
        <w:rPr>
          <w:i/>
          <w:sz w:val="16"/>
          <w:szCs w:val="16"/>
          <w:lang w:val="es-MX"/>
        </w:rPr>
        <w:t>Artavia</w:t>
      </w:r>
      <w:proofErr w:type="spellEnd"/>
      <w:r w:rsidRPr="00847C4A">
        <w:rPr>
          <w:i/>
          <w:sz w:val="16"/>
          <w:szCs w:val="16"/>
          <w:lang w:val="es-MX"/>
        </w:rPr>
        <w:t xml:space="preserve"> Murillo y otros (Fecundación in vitro) Vs. Costa Rica</w:t>
      </w:r>
      <w:r w:rsidRPr="00847C4A">
        <w:rPr>
          <w:sz w:val="16"/>
          <w:szCs w:val="16"/>
          <w:lang w:val="es-MX"/>
        </w:rPr>
        <w:t xml:space="preserve">. </w:t>
      </w:r>
      <w:r w:rsidRPr="00847C4A">
        <w:rPr>
          <w:i/>
          <w:sz w:val="16"/>
          <w:szCs w:val="16"/>
          <w:lang w:val="es-MX"/>
        </w:rPr>
        <w:t>Excepciones Preliminares, Fondo, Reparaciones y Costas</w:t>
      </w:r>
      <w:r w:rsidRPr="00847C4A">
        <w:rPr>
          <w:sz w:val="16"/>
          <w:szCs w:val="16"/>
          <w:lang w:val="es-MX"/>
        </w:rPr>
        <w:t xml:space="preserve">. Sentencia de 28 noviembre de 2012 Serie C No. 257, párr. 172, y </w:t>
      </w:r>
      <w:r w:rsidRPr="00847C4A">
        <w:rPr>
          <w:i/>
          <w:sz w:val="16"/>
          <w:szCs w:val="16"/>
          <w:lang w:val="es-MX"/>
        </w:rPr>
        <w:t>Comunidad Garífuna de Punta Piedra y sus miembros Vs. Honduras</w:t>
      </w:r>
      <w:r w:rsidRPr="00847C4A">
        <w:rPr>
          <w:sz w:val="16"/>
          <w:szCs w:val="16"/>
          <w:lang w:val="es-MX"/>
        </w:rPr>
        <w:t xml:space="preserve">, </w:t>
      </w:r>
      <w:r w:rsidRPr="00847C4A">
        <w:rPr>
          <w:i/>
          <w:sz w:val="16"/>
          <w:szCs w:val="16"/>
          <w:lang w:val="es-MX"/>
        </w:rPr>
        <w:t>Excepciones Preliminares, Reparaciones y Costas</w:t>
      </w:r>
      <w:r w:rsidRPr="00847C4A">
        <w:rPr>
          <w:sz w:val="16"/>
          <w:szCs w:val="16"/>
          <w:lang w:val="es-MX"/>
        </w:rPr>
        <w:t>. Sentencia de 8 de octubre de 2015. Serie C No. 304, párr</w:t>
      </w:r>
      <w:bookmarkEnd w:id="83"/>
      <w:r w:rsidRPr="00847C4A">
        <w:rPr>
          <w:sz w:val="16"/>
          <w:szCs w:val="16"/>
          <w:lang w:val="es-MX"/>
        </w:rPr>
        <w:t xml:space="preserve">. 262. </w:t>
      </w:r>
    </w:p>
  </w:footnote>
  <w:footnote w:id="237">
    <w:p w14:paraId="15DB4CDD" w14:textId="5EC4CA10" w:rsidR="003C025E" w:rsidRPr="002570D1" w:rsidRDefault="003C025E" w:rsidP="00DA1A27">
      <w:pPr>
        <w:pStyle w:val="FootnoteText"/>
        <w:rPr>
          <w:sz w:val="16"/>
          <w:szCs w:val="16"/>
          <w:lang w:val="es-AR"/>
        </w:rPr>
      </w:pPr>
      <w:r w:rsidRPr="002570D1">
        <w:rPr>
          <w:rStyle w:val="FootnoteReference"/>
          <w:rFonts w:eastAsia="Calibri"/>
          <w:sz w:val="16"/>
          <w:szCs w:val="16"/>
          <w:lang w:eastAsia="en-US"/>
        </w:rPr>
        <w:footnoteRef/>
      </w:r>
      <w:r w:rsidRPr="002570D1">
        <w:rPr>
          <w:rStyle w:val="FootnoteReference"/>
          <w:rFonts w:eastAsia="Calibri"/>
          <w:sz w:val="16"/>
          <w:szCs w:val="16"/>
          <w:lang w:eastAsia="en-US"/>
        </w:rPr>
        <w:t xml:space="preserve"> </w:t>
      </w:r>
      <w:r w:rsidRPr="002570D1">
        <w:rPr>
          <w:sz w:val="16"/>
          <w:szCs w:val="16"/>
          <w:lang w:val="es-AR"/>
        </w:rPr>
        <w:t xml:space="preserve">  </w:t>
      </w:r>
      <w:r w:rsidRPr="002570D1">
        <w:rPr>
          <w:i/>
          <w:sz w:val="16"/>
          <w:szCs w:val="16"/>
          <w:lang w:val="es-MX"/>
        </w:rPr>
        <w:t>Caso Suarez Peralta Vs. Ecuador,</w:t>
      </w:r>
      <w:r>
        <w:rPr>
          <w:i/>
          <w:sz w:val="16"/>
          <w:szCs w:val="16"/>
          <w:lang w:val="es-MX"/>
        </w:rPr>
        <w:t xml:space="preserve"> supra</w:t>
      </w:r>
      <w:r>
        <w:rPr>
          <w:sz w:val="16"/>
          <w:szCs w:val="16"/>
          <w:lang w:val="es-MX"/>
        </w:rPr>
        <w:t xml:space="preserve">, </w:t>
      </w:r>
      <w:r w:rsidRPr="002570D1">
        <w:rPr>
          <w:sz w:val="16"/>
          <w:szCs w:val="16"/>
          <w:lang w:val="es-MX"/>
        </w:rPr>
        <w:t>párr. 135.</w:t>
      </w:r>
      <w:r w:rsidRPr="002570D1">
        <w:rPr>
          <w:sz w:val="16"/>
          <w:szCs w:val="16"/>
          <w:lang w:val="es-CR"/>
        </w:rPr>
        <w:t xml:space="preserve"> </w:t>
      </w:r>
    </w:p>
  </w:footnote>
  <w:footnote w:id="238">
    <w:p w14:paraId="1920824B" w14:textId="7B1A4918" w:rsidR="003C025E" w:rsidRPr="002570D1" w:rsidRDefault="003C025E" w:rsidP="00DA1A27">
      <w:pPr>
        <w:pStyle w:val="FootnoteText"/>
        <w:rPr>
          <w:sz w:val="16"/>
          <w:szCs w:val="16"/>
          <w:lang w:val="es-MX"/>
        </w:rPr>
      </w:pPr>
      <w:r w:rsidRPr="002570D1">
        <w:rPr>
          <w:rStyle w:val="FootnoteReference"/>
          <w:rFonts w:eastAsia="Calibri"/>
          <w:sz w:val="16"/>
          <w:szCs w:val="16"/>
          <w:lang w:eastAsia="en-US"/>
        </w:rPr>
        <w:footnoteRef/>
      </w:r>
      <w:r w:rsidRPr="002570D1">
        <w:rPr>
          <w:rStyle w:val="FootnoteReference"/>
          <w:rFonts w:eastAsia="Calibri"/>
          <w:sz w:val="16"/>
          <w:szCs w:val="16"/>
          <w:lang w:eastAsia="en-US"/>
        </w:rPr>
        <w:t xml:space="preserve"> </w:t>
      </w:r>
      <w:r w:rsidRPr="002570D1">
        <w:rPr>
          <w:sz w:val="16"/>
          <w:szCs w:val="16"/>
          <w:lang w:val="es-MX"/>
        </w:rPr>
        <w:t xml:space="preserve">  </w:t>
      </w:r>
      <w:r>
        <w:rPr>
          <w:sz w:val="16"/>
          <w:szCs w:val="16"/>
          <w:lang w:val="es-MX"/>
        </w:rPr>
        <w:t>ONU</w:t>
      </w:r>
      <w:r w:rsidRPr="002570D1">
        <w:rPr>
          <w:sz w:val="16"/>
          <w:szCs w:val="16"/>
          <w:lang w:val="es-MX"/>
        </w:rPr>
        <w:t xml:space="preserve">, Consejo Económico y Social, Comité </w:t>
      </w:r>
      <w:r>
        <w:rPr>
          <w:sz w:val="16"/>
          <w:szCs w:val="16"/>
          <w:lang w:val="es-MX"/>
        </w:rPr>
        <w:t>DESC</w:t>
      </w:r>
      <w:r w:rsidRPr="002570D1">
        <w:rPr>
          <w:sz w:val="16"/>
          <w:szCs w:val="16"/>
          <w:lang w:val="es-MX"/>
        </w:rPr>
        <w:t xml:space="preserve">. </w:t>
      </w:r>
      <w:r>
        <w:rPr>
          <w:sz w:val="16"/>
          <w:szCs w:val="16"/>
          <w:lang w:val="es-MX"/>
        </w:rPr>
        <w:t>OG-</w:t>
      </w:r>
      <w:r w:rsidRPr="002570D1">
        <w:rPr>
          <w:sz w:val="16"/>
          <w:szCs w:val="16"/>
          <w:lang w:val="es-MX"/>
        </w:rPr>
        <w:t xml:space="preserve">14, </w:t>
      </w:r>
      <w:r w:rsidRPr="00B1523A">
        <w:rPr>
          <w:i/>
          <w:sz w:val="16"/>
          <w:szCs w:val="16"/>
          <w:lang w:val="es-MX"/>
        </w:rPr>
        <w:t>supra</w:t>
      </w:r>
      <w:r>
        <w:rPr>
          <w:sz w:val="16"/>
          <w:szCs w:val="16"/>
          <w:lang w:val="es-MX"/>
        </w:rPr>
        <w:t xml:space="preserve">, </w:t>
      </w:r>
      <w:proofErr w:type="spellStart"/>
      <w:r>
        <w:rPr>
          <w:sz w:val="16"/>
          <w:szCs w:val="16"/>
          <w:lang w:val="es-MX"/>
        </w:rPr>
        <w:t>párrs</w:t>
      </w:r>
      <w:proofErr w:type="spellEnd"/>
      <w:r>
        <w:rPr>
          <w:sz w:val="16"/>
          <w:szCs w:val="16"/>
          <w:lang w:val="es-MX"/>
        </w:rPr>
        <w:t>. 35 y 51:</w:t>
      </w:r>
      <w:r w:rsidRPr="002570D1">
        <w:rPr>
          <w:sz w:val="16"/>
          <w:szCs w:val="16"/>
          <w:lang w:val="es-MX"/>
        </w:rPr>
        <w:t xml:space="preserve"> “[l]as obligaciones de proteger incluyen […] adoptar leyes u otras medidas para velar por […] [la] calidad de los servicios de atención de la salud […] y asegurar que los facultativos y otros profesionales de la salud reúnan las condiciones necesarias de educación, experiencia y deontología”. “Las violaciones de las obligaciones de proteger dimanan del hecho de que un Estado no adopte las medidas necesarias para proteger, dentro de su jurisdicción, a las personas contra las violaciones del derecho a la salud por terceros”, se incluyen como ejemplo de las mismas las “omisiones tales como la no regulación de las actividades de particulares, grupos o empresas con objeto de impedir que esos particulares, grupos o empresas violen el derecho a la salud de los demás”.</w:t>
      </w:r>
    </w:p>
  </w:footnote>
  <w:footnote w:id="239">
    <w:p w14:paraId="0F334014" w14:textId="4C28DA30" w:rsidR="003C025E" w:rsidRPr="002570D1" w:rsidRDefault="003C025E" w:rsidP="00DA1A27">
      <w:pPr>
        <w:pStyle w:val="FootnoteText"/>
        <w:rPr>
          <w:sz w:val="16"/>
          <w:szCs w:val="16"/>
          <w:lang w:val="es-MX"/>
        </w:rPr>
      </w:pPr>
      <w:r w:rsidRPr="002570D1">
        <w:rPr>
          <w:rStyle w:val="FootnoteReference"/>
          <w:rFonts w:eastAsia="Calibri"/>
          <w:sz w:val="16"/>
          <w:szCs w:val="16"/>
          <w:lang w:eastAsia="en-US"/>
        </w:rPr>
        <w:footnoteRef/>
      </w:r>
      <w:r w:rsidRPr="002570D1">
        <w:rPr>
          <w:rStyle w:val="FootnoteReference"/>
          <w:rFonts w:eastAsia="Calibri"/>
          <w:sz w:val="16"/>
          <w:szCs w:val="16"/>
          <w:lang w:eastAsia="en-US"/>
        </w:rPr>
        <w:t xml:space="preserve">   </w:t>
      </w:r>
      <w:r w:rsidRPr="002570D1">
        <w:rPr>
          <w:sz w:val="16"/>
          <w:szCs w:val="16"/>
          <w:lang w:val="es-MX"/>
        </w:rPr>
        <w:t xml:space="preserve">El </w:t>
      </w:r>
      <w:r>
        <w:rPr>
          <w:sz w:val="16"/>
          <w:szCs w:val="16"/>
          <w:lang w:val="es-MX"/>
        </w:rPr>
        <w:t>TEDH</w:t>
      </w:r>
      <w:r w:rsidRPr="002570D1">
        <w:rPr>
          <w:sz w:val="16"/>
          <w:szCs w:val="16"/>
          <w:lang w:val="es-MX"/>
        </w:rPr>
        <w:t xml:space="preserve"> ha señalado que: “[entre] las disposiciones fundamentales de la Convención [se exige a los Estados] la obligación […] de [adoptar] las medidas necesarias para proteger la vida de las personas bajo su jurisdicción […]. Estos principios también se aplican en el ámbito de la salud pública, en donde las obligaciones positivas […] implican el establecimiento, por parte del Estado, de un marco de entidades reguladas, sean públicas o privadas, adoptando las medidas requeridas para proteger la vida de sus pacientes. “Véase además Caso </w:t>
      </w:r>
      <w:r w:rsidRPr="00B1523A">
        <w:rPr>
          <w:i/>
          <w:sz w:val="16"/>
          <w:szCs w:val="16"/>
          <w:lang w:val="es-MX"/>
        </w:rPr>
        <w:t>Lazar</w:t>
      </w:r>
      <w:r w:rsidRPr="002570D1">
        <w:rPr>
          <w:sz w:val="16"/>
          <w:szCs w:val="16"/>
          <w:lang w:val="es-MX"/>
        </w:rPr>
        <w:t xml:space="preserve">, </w:t>
      </w:r>
      <w:r w:rsidRPr="00062586">
        <w:rPr>
          <w:i/>
          <w:sz w:val="16"/>
          <w:szCs w:val="16"/>
          <w:lang w:val="es-MX"/>
        </w:rPr>
        <w:t>supra</w:t>
      </w:r>
      <w:r w:rsidRPr="002570D1">
        <w:rPr>
          <w:sz w:val="16"/>
          <w:szCs w:val="16"/>
          <w:lang w:val="es-MX"/>
        </w:rPr>
        <w:t xml:space="preserve">, párr. 66; </w:t>
      </w:r>
      <w:r w:rsidRPr="00B1523A">
        <w:rPr>
          <w:i/>
          <w:sz w:val="16"/>
          <w:szCs w:val="16"/>
          <w:lang w:val="es-MX"/>
        </w:rPr>
        <w:t>Caso Z Vs. Polonia</w:t>
      </w:r>
      <w:r w:rsidRPr="002570D1">
        <w:rPr>
          <w:sz w:val="16"/>
          <w:szCs w:val="16"/>
          <w:lang w:val="es-MX"/>
        </w:rPr>
        <w:t xml:space="preserve">, </w:t>
      </w:r>
      <w:r w:rsidRPr="00062586">
        <w:rPr>
          <w:i/>
          <w:sz w:val="16"/>
          <w:szCs w:val="16"/>
          <w:lang w:val="es-MX"/>
        </w:rPr>
        <w:t>supra</w:t>
      </w:r>
      <w:r w:rsidRPr="002570D1">
        <w:rPr>
          <w:sz w:val="16"/>
          <w:szCs w:val="16"/>
          <w:lang w:val="es-MX"/>
        </w:rPr>
        <w:t xml:space="preserve">, párr. 76, Caso </w:t>
      </w:r>
      <w:proofErr w:type="spellStart"/>
      <w:r w:rsidRPr="00B1523A">
        <w:rPr>
          <w:i/>
          <w:sz w:val="16"/>
          <w:szCs w:val="16"/>
          <w:lang w:val="es-MX"/>
        </w:rPr>
        <w:t>Calvelli</w:t>
      </w:r>
      <w:proofErr w:type="spellEnd"/>
      <w:r w:rsidRPr="00B1523A">
        <w:rPr>
          <w:i/>
          <w:sz w:val="16"/>
          <w:szCs w:val="16"/>
          <w:lang w:val="es-MX"/>
        </w:rPr>
        <w:t xml:space="preserve"> y </w:t>
      </w:r>
      <w:proofErr w:type="spellStart"/>
      <w:r w:rsidRPr="00B1523A">
        <w:rPr>
          <w:i/>
          <w:sz w:val="16"/>
          <w:szCs w:val="16"/>
          <w:lang w:val="es-MX"/>
        </w:rPr>
        <w:t>Ciglio</w:t>
      </w:r>
      <w:proofErr w:type="spellEnd"/>
      <w:r w:rsidRPr="00B1523A">
        <w:rPr>
          <w:i/>
          <w:sz w:val="16"/>
          <w:szCs w:val="16"/>
          <w:lang w:val="es-MX"/>
        </w:rPr>
        <w:t xml:space="preserve"> Vs. Italia</w:t>
      </w:r>
      <w:r w:rsidRPr="002570D1">
        <w:rPr>
          <w:sz w:val="16"/>
          <w:szCs w:val="16"/>
          <w:lang w:val="es-MX"/>
        </w:rPr>
        <w:t xml:space="preserve">. No. 32967/96. Sentencia de 17 de enero de 2002, párr. 49, Caso </w:t>
      </w:r>
      <w:proofErr w:type="spellStart"/>
      <w:r w:rsidRPr="00B1523A">
        <w:rPr>
          <w:i/>
          <w:sz w:val="16"/>
          <w:szCs w:val="16"/>
          <w:lang w:val="es-MX"/>
        </w:rPr>
        <w:t>Byrzykowski</w:t>
      </w:r>
      <w:proofErr w:type="spellEnd"/>
      <w:r w:rsidRPr="00B1523A">
        <w:rPr>
          <w:i/>
          <w:sz w:val="16"/>
          <w:szCs w:val="16"/>
          <w:lang w:val="es-MX"/>
        </w:rPr>
        <w:t xml:space="preserve"> Vs. Polonia</w:t>
      </w:r>
      <w:r w:rsidRPr="002570D1">
        <w:rPr>
          <w:sz w:val="16"/>
          <w:szCs w:val="16"/>
          <w:lang w:val="es-MX"/>
        </w:rPr>
        <w:t xml:space="preserve">. No 11562/05. Sección 40 Cuarta. Sentencia de 27 de junio de 2006, párr. 104, y Caso </w:t>
      </w:r>
      <w:proofErr w:type="spellStart"/>
      <w:r w:rsidRPr="00B1523A">
        <w:rPr>
          <w:i/>
          <w:sz w:val="16"/>
          <w:szCs w:val="16"/>
          <w:lang w:val="es-MX"/>
        </w:rPr>
        <w:t>Silih</w:t>
      </w:r>
      <w:proofErr w:type="spellEnd"/>
      <w:r w:rsidRPr="00B1523A">
        <w:rPr>
          <w:i/>
          <w:sz w:val="16"/>
          <w:szCs w:val="16"/>
          <w:lang w:val="es-MX"/>
        </w:rPr>
        <w:t xml:space="preserve"> Vs. Eslovenia</w:t>
      </w:r>
      <w:r w:rsidRPr="002570D1">
        <w:rPr>
          <w:sz w:val="16"/>
          <w:szCs w:val="16"/>
          <w:lang w:val="es-MX"/>
        </w:rPr>
        <w:t>. No. 71463/014. Sentencia de 9 de abril de 2009, párr. 192.</w:t>
      </w:r>
    </w:p>
  </w:footnote>
  <w:footnote w:id="240">
    <w:p w14:paraId="3C2E0806" w14:textId="3DE84C8A" w:rsidR="003C025E" w:rsidRPr="002450E6" w:rsidRDefault="003C025E" w:rsidP="00636C77">
      <w:pPr>
        <w:pStyle w:val="FootnoteText"/>
        <w:rPr>
          <w:sz w:val="16"/>
          <w:szCs w:val="16"/>
          <w:lang w:val="es-CR"/>
        </w:rPr>
      </w:pPr>
      <w:r w:rsidRPr="002570D1">
        <w:rPr>
          <w:rStyle w:val="FootnoteReference"/>
          <w:rFonts w:eastAsia="Calibri"/>
          <w:sz w:val="16"/>
          <w:szCs w:val="16"/>
          <w:lang w:eastAsia="en-US"/>
        </w:rPr>
        <w:footnoteRef/>
      </w:r>
      <w:r w:rsidRPr="00C27894">
        <w:rPr>
          <w:rStyle w:val="FootnoteReference"/>
          <w:rFonts w:eastAsia="Calibri"/>
          <w:sz w:val="16"/>
          <w:szCs w:val="16"/>
          <w:lang w:val="es-MX" w:eastAsia="en-US"/>
        </w:rPr>
        <w:t xml:space="preserve"> </w:t>
      </w:r>
      <w:r w:rsidRPr="00C27894">
        <w:rPr>
          <w:rFonts w:eastAsia="Calibri"/>
          <w:sz w:val="16"/>
          <w:szCs w:val="16"/>
          <w:lang w:val="es-MX" w:eastAsia="en-US"/>
        </w:rPr>
        <w:t xml:space="preserve">   </w:t>
      </w:r>
      <w:r w:rsidRPr="00C27894">
        <w:rPr>
          <w:sz w:val="16"/>
          <w:szCs w:val="16"/>
          <w:lang w:val="es-MX"/>
        </w:rPr>
        <w:t xml:space="preserve">TEDH, </w:t>
      </w:r>
      <w:r w:rsidRPr="00C27894">
        <w:rPr>
          <w:i/>
          <w:sz w:val="16"/>
          <w:szCs w:val="16"/>
          <w:lang w:val="es-MX"/>
        </w:rPr>
        <w:t xml:space="preserve">Caso </w:t>
      </w:r>
      <w:proofErr w:type="spellStart"/>
      <w:r w:rsidRPr="00C27894">
        <w:rPr>
          <w:i/>
          <w:sz w:val="16"/>
          <w:szCs w:val="16"/>
          <w:lang w:val="es-MX"/>
        </w:rPr>
        <w:t>Lopes</w:t>
      </w:r>
      <w:proofErr w:type="spellEnd"/>
      <w:r w:rsidRPr="00C27894">
        <w:rPr>
          <w:i/>
          <w:sz w:val="16"/>
          <w:szCs w:val="16"/>
          <w:lang w:val="es-MX"/>
        </w:rPr>
        <w:t xml:space="preserve"> de Sousa </w:t>
      </w:r>
      <w:proofErr w:type="spellStart"/>
      <w:r w:rsidRPr="00C27894">
        <w:rPr>
          <w:i/>
          <w:sz w:val="16"/>
          <w:szCs w:val="16"/>
          <w:lang w:val="es-MX"/>
        </w:rPr>
        <w:t>Fernandes</w:t>
      </w:r>
      <w:proofErr w:type="spellEnd"/>
      <w:r w:rsidRPr="00C27894">
        <w:rPr>
          <w:i/>
          <w:sz w:val="16"/>
          <w:szCs w:val="16"/>
          <w:lang w:val="es-MX"/>
        </w:rPr>
        <w:t xml:space="preserve"> vs. Portugal</w:t>
      </w:r>
      <w:r w:rsidRPr="00C27894">
        <w:rPr>
          <w:sz w:val="16"/>
          <w:szCs w:val="16"/>
          <w:lang w:val="es-MX"/>
        </w:rPr>
        <w:t xml:space="preserve">, No. 56080/13. </w:t>
      </w:r>
      <w:r w:rsidRPr="002450E6">
        <w:rPr>
          <w:sz w:val="16"/>
          <w:szCs w:val="16"/>
          <w:lang w:val="es-CR"/>
        </w:rPr>
        <w:t xml:space="preserve">Sentencia </w:t>
      </w:r>
      <w:r>
        <w:rPr>
          <w:sz w:val="16"/>
          <w:szCs w:val="16"/>
          <w:lang w:val="es-CR"/>
        </w:rPr>
        <w:t xml:space="preserve">de </w:t>
      </w:r>
      <w:r w:rsidRPr="002450E6">
        <w:rPr>
          <w:sz w:val="16"/>
          <w:szCs w:val="16"/>
          <w:lang w:val="es-CR"/>
        </w:rPr>
        <w:t xml:space="preserve">19 de diciembre de 2017, </w:t>
      </w:r>
      <w:proofErr w:type="spellStart"/>
      <w:r w:rsidRPr="002450E6">
        <w:rPr>
          <w:sz w:val="16"/>
          <w:szCs w:val="16"/>
          <w:lang w:val="es-CR"/>
        </w:rPr>
        <w:t>párrs</w:t>
      </w:r>
      <w:proofErr w:type="spellEnd"/>
      <w:r w:rsidRPr="002450E6">
        <w:rPr>
          <w:sz w:val="16"/>
          <w:szCs w:val="16"/>
          <w:lang w:val="es-CR"/>
        </w:rPr>
        <w:t>. 194, 195 y 196.</w:t>
      </w:r>
    </w:p>
  </w:footnote>
  <w:footnote w:id="241">
    <w:p w14:paraId="4CF68FF7" w14:textId="6121FCFA" w:rsidR="003C025E" w:rsidRPr="00BB4919" w:rsidRDefault="003C025E">
      <w:pPr>
        <w:pStyle w:val="FootnoteText"/>
        <w:rPr>
          <w:sz w:val="16"/>
          <w:szCs w:val="16"/>
          <w:lang w:val="es-CR"/>
        </w:rPr>
      </w:pPr>
      <w:r w:rsidRPr="0059117C">
        <w:rPr>
          <w:rStyle w:val="FootnoteReference"/>
          <w:rFonts w:eastAsia="Calibri"/>
          <w:sz w:val="16"/>
          <w:szCs w:val="16"/>
          <w:lang w:eastAsia="en-US"/>
        </w:rPr>
        <w:footnoteRef/>
      </w:r>
      <w:r w:rsidRPr="000F4170">
        <w:t xml:space="preserve"> </w:t>
      </w:r>
      <w:r>
        <w:rPr>
          <w:sz w:val="16"/>
          <w:szCs w:val="16"/>
        </w:rPr>
        <w:t xml:space="preserve">  </w:t>
      </w:r>
      <w:r w:rsidRPr="0059117C">
        <w:rPr>
          <w:i/>
          <w:sz w:val="16"/>
          <w:szCs w:val="16"/>
        </w:rPr>
        <w:t xml:space="preserve">Caso </w:t>
      </w:r>
      <w:proofErr w:type="spellStart"/>
      <w:r w:rsidRPr="0059117C">
        <w:rPr>
          <w:i/>
          <w:sz w:val="16"/>
          <w:szCs w:val="16"/>
        </w:rPr>
        <w:t>Ximenes</w:t>
      </w:r>
      <w:proofErr w:type="spellEnd"/>
      <w:r w:rsidRPr="0059117C">
        <w:rPr>
          <w:i/>
          <w:sz w:val="16"/>
          <w:szCs w:val="16"/>
        </w:rPr>
        <w:t xml:space="preserve"> </w:t>
      </w:r>
      <w:proofErr w:type="spellStart"/>
      <w:r w:rsidRPr="0059117C">
        <w:rPr>
          <w:i/>
          <w:sz w:val="16"/>
          <w:szCs w:val="16"/>
        </w:rPr>
        <w:t>Lopes</w:t>
      </w:r>
      <w:proofErr w:type="spellEnd"/>
      <w:r w:rsidRPr="0059117C">
        <w:rPr>
          <w:i/>
          <w:sz w:val="16"/>
          <w:szCs w:val="16"/>
        </w:rPr>
        <w:t xml:space="preserve"> Vs. Brasil</w:t>
      </w:r>
      <w:r>
        <w:rPr>
          <w:sz w:val="16"/>
          <w:szCs w:val="16"/>
        </w:rPr>
        <w:t xml:space="preserve">, </w:t>
      </w:r>
      <w:r>
        <w:rPr>
          <w:i/>
          <w:sz w:val="16"/>
          <w:szCs w:val="16"/>
        </w:rPr>
        <w:t>supra</w:t>
      </w:r>
      <w:r>
        <w:rPr>
          <w:sz w:val="16"/>
          <w:szCs w:val="16"/>
        </w:rPr>
        <w:t xml:space="preserve">, </w:t>
      </w:r>
      <w:proofErr w:type="spellStart"/>
      <w:r>
        <w:rPr>
          <w:sz w:val="16"/>
          <w:szCs w:val="16"/>
        </w:rPr>
        <w:t>párrs</w:t>
      </w:r>
      <w:proofErr w:type="spellEnd"/>
      <w:r>
        <w:rPr>
          <w:sz w:val="16"/>
          <w:szCs w:val="16"/>
        </w:rPr>
        <w:t xml:space="preserve">. 120 a 122, 146 y 150. y </w:t>
      </w:r>
      <w:r w:rsidRPr="000F4170">
        <w:rPr>
          <w:sz w:val="16"/>
          <w:szCs w:val="16"/>
        </w:rPr>
        <w:t xml:space="preserve">Caso </w:t>
      </w:r>
      <w:r w:rsidRPr="00B1523A">
        <w:rPr>
          <w:i/>
          <w:sz w:val="16"/>
          <w:szCs w:val="16"/>
        </w:rPr>
        <w:t xml:space="preserve">Vera </w:t>
      </w:r>
      <w:proofErr w:type="spellStart"/>
      <w:r w:rsidRPr="00B1523A">
        <w:rPr>
          <w:i/>
          <w:sz w:val="16"/>
          <w:szCs w:val="16"/>
        </w:rPr>
        <w:t>Vera</w:t>
      </w:r>
      <w:proofErr w:type="spellEnd"/>
      <w:r w:rsidRPr="00B1523A">
        <w:rPr>
          <w:i/>
          <w:sz w:val="16"/>
          <w:szCs w:val="16"/>
        </w:rPr>
        <w:t xml:space="preserve"> y otra Vs. </w:t>
      </w:r>
      <w:r w:rsidRPr="00BB4919">
        <w:rPr>
          <w:i/>
          <w:sz w:val="16"/>
          <w:szCs w:val="16"/>
          <w:lang w:val="es-CR"/>
        </w:rPr>
        <w:t>Ecuador</w:t>
      </w:r>
      <w:r w:rsidRPr="00BB4919">
        <w:rPr>
          <w:sz w:val="16"/>
          <w:szCs w:val="16"/>
          <w:lang w:val="es-CR"/>
        </w:rPr>
        <w:t xml:space="preserve">, </w:t>
      </w:r>
      <w:r w:rsidRPr="00BB4919">
        <w:rPr>
          <w:i/>
          <w:sz w:val="16"/>
          <w:szCs w:val="16"/>
          <w:lang w:val="es-CR"/>
        </w:rPr>
        <w:t>supra</w:t>
      </w:r>
      <w:r w:rsidRPr="00BB4919">
        <w:rPr>
          <w:sz w:val="16"/>
          <w:szCs w:val="16"/>
          <w:lang w:val="es-CR"/>
        </w:rPr>
        <w:t xml:space="preserve">, </w:t>
      </w:r>
      <w:proofErr w:type="spellStart"/>
      <w:r w:rsidRPr="00BB4919">
        <w:rPr>
          <w:sz w:val="16"/>
          <w:szCs w:val="16"/>
          <w:lang w:val="es-CR"/>
        </w:rPr>
        <w:t>párrs</w:t>
      </w:r>
      <w:proofErr w:type="spellEnd"/>
      <w:r w:rsidRPr="00BB4919">
        <w:rPr>
          <w:sz w:val="16"/>
          <w:szCs w:val="16"/>
          <w:lang w:val="es-CR"/>
        </w:rPr>
        <w:t xml:space="preserve">. 54 y 65. </w:t>
      </w:r>
    </w:p>
  </w:footnote>
  <w:footnote w:id="242">
    <w:p w14:paraId="29FDE301" w14:textId="6241E712" w:rsidR="003C025E" w:rsidRPr="0059117C" w:rsidRDefault="003C025E" w:rsidP="00636C77">
      <w:pPr>
        <w:pStyle w:val="FootnoteText"/>
        <w:rPr>
          <w:sz w:val="16"/>
          <w:szCs w:val="16"/>
        </w:rPr>
      </w:pPr>
      <w:r w:rsidRPr="0059117C">
        <w:rPr>
          <w:rStyle w:val="FootnoteReference"/>
          <w:sz w:val="16"/>
          <w:szCs w:val="16"/>
        </w:rPr>
        <w:footnoteRef/>
      </w:r>
      <w:r w:rsidRPr="00BB4919">
        <w:rPr>
          <w:rStyle w:val="FootnoteReference"/>
          <w:rFonts w:eastAsia="Calibri"/>
          <w:sz w:val="16"/>
          <w:szCs w:val="16"/>
          <w:lang w:val="es-CR" w:eastAsia="en-US"/>
        </w:rPr>
        <w:t xml:space="preserve"> </w:t>
      </w:r>
      <w:r w:rsidRPr="00BB4919">
        <w:rPr>
          <w:sz w:val="16"/>
          <w:szCs w:val="16"/>
          <w:lang w:val="es-CR"/>
        </w:rPr>
        <w:t xml:space="preserve"> </w:t>
      </w:r>
      <w:r w:rsidRPr="00BB4919">
        <w:rPr>
          <w:i/>
          <w:sz w:val="16"/>
          <w:szCs w:val="16"/>
          <w:lang w:val="es-CR"/>
        </w:rPr>
        <w:t xml:space="preserve">  Cfr.</w:t>
      </w:r>
      <w:r w:rsidRPr="00BB4919">
        <w:rPr>
          <w:sz w:val="16"/>
          <w:szCs w:val="16"/>
          <w:lang w:val="es-CR"/>
        </w:rPr>
        <w:t xml:space="preserve"> </w:t>
      </w:r>
      <w:r w:rsidRPr="00BB4919">
        <w:rPr>
          <w:i/>
          <w:sz w:val="16"/>
          <w:szCs w:val="16"/>
          <w:lang w:val="es-CR"/>
        </w:rPr>
        <w:t xml:space="preserve">Mutatis </w:t>
      </w:r>
      <w:proofErr w:type="spellStart"/>
      <w:r w:rsidRPr="00BB4919">
        <w:rPr>
          <w:i/>
          <w:sz w:val="16"/>
          <w:szCs w:val="16"/>
          <w:lang w:val="es-CR"/>
        </w:rPr>
        <w:t>mutandi</w:t>
      </w:r>
      <w:proofErr w:type="spellEnd"/>
      <w:r w:rsidRPr="00BB4919">
        <w:rPr>
          <w:sz w:val="16"/>
          <w:szCs w:val="16"/>
          <w:lang w:val="es-CR"/>
        </w:rPr>
        <w:t xml:space="preserve">, TEDH, </w:t>
      </w:r>
      <w:r w:rsidRPr="00BB4919">
        <w:rPr>
          <w:i/>
          <w:sz w:val="16"/>
          <w:szCs w:val="16"/>
          <w:lang w:val="es-CR"/>
        </w:rPr>
        <w:t xml:space="preserve">Caso </w:t>
      </w:r>
      <w:proofErr w:type="spellStart"/>
      <w:r w:rsidRPr="00BB4919">
        <w:rPr>
          <w:i/>
          <w:sz w:val="16"/>
          <w:szCs w:val="16"/>
          <w:lang w:val="es-CR"/>
        </w:rPr>
        <w:t>Lopes</w:t>
      </w:r>
      <w:proofErr w:type="spellEnd"/>
      <w:r w:rsidRPr="00BB4919">
        <w:rPr>
          <w:i/>
          <w:sz w:val="16"/>
          <w:szCs w:val="16"/>
          <w:lang w:val="es-CR"/>
        </w:rPr>
        <w:t xml:space="preserve"> de Sousa </w:t>
      </w:r>
      <w:proofErr w:type="spellStart"/>
      <w:r w:rsidRPr="00BB4919">
        <w:rPr>
          <w:i/>
          <w:sz w:val="16"/>
          <w:szCs w:val="16"/>
          <w:lang w:val="es-CR"/>
        </w:rPr>
        <w:t>Fernandes</w:t>
      </w:r>
      <w:proofErr w:type="spellEnd"/>
      <w:r w:rsidRPr="00BB4919">
        <w:rPr>
          <w:i/>
          <w:sz w:val="16"/>
          <w:szCs w:val="16"/>
          <w:lang w:val="es-CR"/>
        </w:rPr>
        <w:t xml:space="preserve"> vs. Portugal</w:t>
      </w:r>
      <w:r w:rsidRPr="00BB4919">
        <w:rPr>
          <w:sz w:val="16"/>
          <w:szCs w:val="16"/>
          <w:lang w:val="es-CR"/>
        </w:rPr>
        <w:t xml:space="preserve">, </w:t>
      </w:r>
      <w:r w:rsidRPr="00BB4919">
        <w:rPr>
          <w:i/>
          <w:sz w:val="16"/>
          <w:szCs w:val="16"/>
          <w:lang w:val="es-CR"/>
        </w:rPr>
        <w:t>supra</w:t>
      </w:r>
      <w:r w:rsidRPr="00BB4919">
        <w:rPr>
          <w:sz w:val="16"/>
          <w:szCs w:val="16"/>
          <w:lang w:val="es-CR"/>
        </w:rPr>
        <w:t xml:space="preserve">, párr. </w:t>
      </w:r>
      <w:r w:rsidRPr="0048229F">
        <w:rPr>
          <w:sz w:val="16"/>
          <w:szCs w:val="16"/>
          <w:lang w:val="es-AR"/>
        </w:rPr>
        <w:t>195.</w:t>
      </w:r>
    </w:p>
  </w:footnote>
  <w:footnote w:id="243">
    <w:p w14:paraId="0BFA62E6" w14:textId="03D424D6" w:rsidR="003C025E" w:rsidRPr="000F4170" w:rsidRDefault="003C025E" w:rsidP="003354BF">
      <w:pPr>
        <w:pStyle w:val="FootnoteText"/>
        <w:rPr>
          <w:sz w:val="16"/>
          <w:szCs w:val="16"/>
          <w:lang w:val="es-AR"/>
        </w:rPr>
      </w:pPr>
      <w:r w:rsidRPr="00847C4A">
        <w:rPr>
          <w:rStyle w:val="FootnoteReference"/>
          <w:rFonts w:eastAsia="Calibri"/>
          <w:sz w:val="16"/>
          <w:szCs w:val="16"/>
          <w:lang w:eastAsia="en-US"/>
        </w:rPr>
        <w:footnoteRef/>
      </w:r>
      <w:r w:rsidRPr="00847C4A">
        <w:rPr>
          <w:rStyle w:val="FootnoteReference"/>
          <w:rFonts w:eastAsia="Calibri"/>
          <w:sz w:val="16"/>
          <w:szCs w:val="16"/>
          <w:lang w:eastAsia="en-US"/>
        </w:rPr>
        <w:t xml:space="preserve">  </w:t>
      </w:r>
      <w:r w:rsidRPr="00847C4A">
        <w:rPr>
          <w:sz w:val="16"/>
          <w:szCs w:val="16"/>
          <w:lang w:val="es-AR"/>
        </w:rPr>
        <w:t xml:space="preserve"> </w:t>
      </w:r>
      <w:r w:rsidRPr="00847C4A">
        <w:rPr>
          <w:sz w:val="16"/>
          <w:szCs w:val="16"/>
          <w:lang w:val="es-MX"/>
        </w:rPr>
        <w:t xml:space="preserve">  </w:t>
      </w:r>
      <w:r w:rsidRPr="00847C4A">
        <w:rPr>
          <w:i/>
          <w:sz w:val="16"/>
          <w:szCs w:val="16"/>
          <w:lang w:val="es-MX"/>
        </w:rPr>
        <w:t>Cfr.</w:t>
      </w:r>
      <w:r w:rsidRPr="00847C4A">
        <w:rPr>
          <w:sz w:val="16"/>
          <w:szCs w:val="16"/>
          <w:lang w:val="es-MX"/>
        </w:rPr>
        <w:t xml:space="preserve"> </w:t>
      </w:r>
      <w:r w:rsidRPr="00847C4A">
        <w:rPr>
          <w:i/>
          <w:sz w:val="16"/>
          <w:szCs w:val="16"/>
          <w:lang w:val="es-MX"/>
        </w:rPr>
        <w:t xml:space="preserve">Caso Comunidad Indígena </w:t>
      </w:r>
      <w:proofErr w:type="spellStart"/>
      <w:r w:rsidRPr="00847C4A">
        <w:rPr>
          <w:i/>
          <w:sz w:val="16"/>
          <w:szCs w:val="16"/>
          <w:lang w:val="es-MX"/>
        </w:rPr>
        <w:t>Xákmok</w:t>
      </w:r>
      <w:proofErr w:type="spellEnd"/>
      <w:r w:rsidRPr="00847C4A">
        <w:rPr>
          <w:i/>
          <w:sz w:val="16"/>
          <w:szCs w:val="16"/>
          <w:lang w:val="es-MX"/>
        </w:rPr>
        <w:t xml:space="preserve"> </w:t>
      </w:r>
      <w:proofErr w:type="spellStart"/>
      <w:r w:rsidRPr="00847C4A">
        <w:rPr>
          <w:i/>
          <w:sz w:val="16"/>
          <w:szCs w:val="16"/>
          <w:lang w:val="es-MX"/>
        </w:rPr>
        <w:t>Kásek</w:t>
      </w:r>
      <w:proofErr w:type="spellEnd"/>
      <w:r w:rsidRPr="00847C4A">
        <w:rPr>
          <w:i/>
          <w:sz w:val="16"/>
          <w:szCs w:val="16"/>
          <w:lang w:val="es-MX"/>
        </w:rPr>
        <w:t xml:space="preserve"> Vs. Paraguay. Fondo, Reparaciones y Costas. Sentencia de 24 de agosto de 2010. Serie C No. 214. </w:t>
      </w:r>
      <w:r w:rsidRPr="00847C4A">
        <w:rPr>
          <w:sz w:val="16"/>
          <w:szCs w:val="16"/>
          <w:lang w:val="es-MX"/>
        </w:rPr>
        <w:t>párr. 227,</w:t>
      </w:r>
      <w:r>
        <w:rPr>
          <w:sz w:val="16"/>
          <w:szCs w:val="16"/>
          <w:lang w:val="es-MX"/>
        </w:rPr>
        <w:t xml:space="preserve"> y</w:t>
      </w:r>
      <w:r w:rsidRPr="000F4170">
        <w:rPr>
          <w:sz w:val="16"/>
          <w:szCs w:val="16"/>
          <w:lang w:val="es-AR"/>
        </w:rPr>
        <w:t xml:space="preserve"> </w:t>
      </w:r>
      <w:r w:rsidRPr="000F4170">
        <w:rPr>
          <w:i/>
          <w:sz w:val="16"/>
          <w:szCs w:val="16"/>
          <w:lang w:val="es-MX"/>
        </w:rPr>
        <w:t xml:space="preserve">Caso </w:t>
      </w:r>
      <w:proofErr w:type="spellStart"/>
      <w:r w:rsidRPr="000F4170">
        <w:rPr>
          <w:i/>
          <w:sz w:val="16"/>
          <w:szCs w:val="16"/>
          <w:lang w:val="es-MX"/>
        </w:rPr>
        <w:t>Furlan</w:t>
      </w:r>
      <w:proofErr w:type="spellEnd"/>
      <w:r w:rsidRPr="000F4170">
        <w:rPr>
          <w:i/>
          <w:sz w:val="16"/>
          <w:szCs w:val="16"/>
          <w:lang w:val="es-MX"/>
        </w:rPr>
        <w:t xml:space="preserve"> y familiares Vs. Argentina</w:t>
      </w:r>
      <w:r w:rsidRPr="000F4170">
        <w:rPr>
          <w:sz w:val="16"/>
          <w:szCs w:val="16"/>
          <w:lang w:val="es-MX"/>
        </w:rPr>
        <w:t xml:space="preserve">, </w:t>
      </w:r>
      <w:r w:rsidRPr="00062586">
        <w:rPr>
          <w:i/>
          <w:sz w:val="16"/>
          <w:szCs w:val="16"/>
          <w:lang w:val="es-MX"/>
        </w:rPr>
        <w:t>supra</w:t>
      </w:r>
      <w:r w:rsidRPr="000F4170">
        <w:rPr>
          <w:sz w:val="16"/>
          <w:szCs w:val="16"/>
          <w:lang w:val="es-MX"/>
        </w:rPr>
        <w:t xml:space="preserve">, párr. 134. </w:t>
      </w:r>
      <w:r w:rsidRPr="000F4170">
        <w:rPr>
          <w:sz w:val="16"/>
          <w:szCs w:val="16"/>
          <w:lang w:val="es-AR"/>
        </w:rPr>
        <w:t xml:space="preserve"> </w:t>
      </w:r>
    </w:p>
  </w:footnote>
  <w:footnote w:id="244">
    <w:p w14:paraId="1FB0DA9D" w14:textId="51696826" w:rsidR="003C025E" w:rsidRPr="0059117C" w:rsidRDefault="003C025E">
      <w:pPr>
        <w:pStyle w:val="FootnoteText"/>
        <w:rPr>
          <w:sz w:val="16"/>
          <w:szCs w:val="16"/>
          <w:lang w:val="es-CR"/>
        </w:rPr>
      </w:pPr>
      <w:r w:rsidRPr="0059117C">
        <w:rPr>
          <w:rStyle w:val="FootnoteReference"/>
          <w:sz w:val="16"/>
          <w:szCs w:val="16"/>
        </w:rPr>
        <w:footnoteRef/>
      </w:r>
      <w:r w:rsidRPr="0059117C">
        <w:rPr>
          <w:sz w:val="16"/>
          <w:szCs w:val="16"/>
        </w:rPr>
        <w:t xml:space="preserve"> </w:t>
      </w:r>
      <w:r>
        <w:rPr>
          <w:sz w:val="16"/>
          <w:szCs w:val="16"/>
          <w:lang w:val="es-CR"/>
        </w:rPr>
        <w:t xml:space="preserve">    </w:t>
      </w:r>
      <w:r w:rsidRPr="00C64243">
        <w:rPr>
          <w:i/>
          <w:sz w:val="16"/>
          <w:szCs w:val="16"/>
        </w:rPr>
        <w:t>Caso</w:t>
      </w:r>
      <w:r>
        <w:rPr>
          <w:i/>
          <w:sz w:val="16"/>
          <w:szCs w:val="16"/>
        </w:rPr>
        <w:t xml:space="preserve"> </w:t>
      </w:r>
      <w:proofErr w:type="spellStart"/>
      <w:r>
        <w:rPr>
          <w:i/>
          <w:sz w:val="16"/>
          <w:szCs w:val="16"/>
        </w:rPr>
        <w:t>Ximenes</w:t>
      </w:r>
      <w:proofErr w:type="spellEnd"/>
      <w:r>
        <w:rPr>
          <w:i/>
          <w:sz w:val="16"/>
          <w:szCs w:val="16"/>
        </w:rPr>
        <w:t xml:space="preserve"> </w:t>
      </w:r>
      <w:proofErr w:type="spellStart"/>
      <w:r>
        <w:rPr>
          <w:i/>
          <w:sz w:val="16"/>
          <w:szCs w:val="16"/>
        </w:rPr>
        <w:t>Lopes</w:t>
      </w:r>
      <w:proofErr w:type="spellEnd"/>
      <w:r>
        <w:rPr>
          <w:i/>
          <w:sz w:val="16"/>
          <w:szCs w:val="16"/>
        </w:rPr>
        <w:t xml:space="preserve"> Vs. Brasil, </w:t>
      </w:r>
      <w:r w:rsidRPr="00062586">
        <w:rPr>
          <w:i/>
          <w:sz w:val="16"/>
          <w:szCs w:val="16"/>
        </w:rPr>
        <w:t>supra</w:t>
      </w:r>
      <w:r>
        <w:rPr>
          <w:i/>
          <w:sz w:val="16"/>
          <w:szCs w:val="16"/>
        </w:rPr>
        <w:t xml:space="preserve">, </w:t>
      </w:r>
      <w:r w:rsidRPr="0059117C">
        <w:rPr>
          <w:sz w:val="16"/>
          <w:szCs w:val="16"/>
        </w:rPr>
        <w:t>párr.</w:t>
      </w:r>
      <w:r>
        <w:rPr>
          <w:sz w:val="16"/>
          <w:szCs w:val="16"/>
        </w:rPr>
        <w:t xml:space="preserve"> 125.</w:t>
      </w:r>
      <w:r>
        <w:rPr>
          <w:i/>
          <w:sz w:val="16"/>
          <w:szCs w:val="16"/>
        </w:rPr>
        <w:t xml:space="preserve"> </w:t>
      </w:r>
    </w:p>
  </w:footnote>
  <w:footnote w:id="245">
    <w:p w14:paraId="5EBF7055" w14:textId="1452F68F" w:rsidR="003C025E" w:rsidRPr="0059117C" w:rsidRDefault="003C025E">
      <w:pPr>
        <w:pStyle w:val="FootnoteText"/>
        <w:rPr>
          <w:lang w:val="es-CR"/>
        </w:rPr>
      </w:pPr>
      <w:r w:rsidRPr="0059117C">
        <w:rPr>
          <w:rStyle w:val="FootnoteReference"/>
          <w:rFonts w:eastAsia="Calibri"/>
          <w:sz w:val="16"/>
          <w:szCs w:val="16"/>
          <w:lang w:eastAsia="en-US"/>
        </w:rPr>
        <w:footnoteRef/>
      </w:r>
      <w:r>
        <w:t xml:space="preserve">   </w:t>
      </w:r>
      <w:r>
        <w:rPr>
          <w:sz w:val="16"/>
        </w:rPr>
        <w:t>Sobre el particular, el H</w:t>
      </w:r>
      <w:r w:rsidRPr="0059117C">
        <w:rPr>
          <w:sz w:val="16"/>
        </w:rPr>
        <w:t xml:space="preserve">ospital </w:t>
      </w:r>
      <w:proofErr w:type="spellStart"/>
      <w:r w:rsidRPr="0059117C">
        <w:rPr>
          <w:sz w:val="16"/>
        </w:rPr>
        <w:t>Sótero</w:t>
      </w:r>
      <w:proofErr w:type="spellEnd"/>
      <w:r w:rsidRPr="0059117C">
        <w:rPr>
          <w:sz w:val="16"/>
        </w:rPr>
        <w:t xml:space="preserve"> del Río no contaba, al m</w:t>
      </w:r>
      <w:r>
        <w:rPr>
          <w:sz w:val="16"/>
        </w:rPr>
        <w:t>omento de los hechos</w:t>
      </w:r>
      <w:r w:rsidRPr="0059117C">
        <w:rPr>
          <w:sz w:val="16"/>
        </w:rPr>
        <w:t xml:space="preserve">, con la infraestructura y materiales básicos para brindar una atención médica adecuada al paciente. </w:t>
      </w:r>
      <w:r>
        <w:rPr>
          <w:sz w:val="16"/>
        </w:rPr>
        <w:t xml:space="preserve">Ejemplo de ello fue </w:t>
      </w:r>
      <w:r w:rsidRPr="0059117C">
        <w:rPr>
          <w:sz w:val="16"/>
        </w:rPr>
        <w:t xml:space="preserve"> la falta de disponibilidad de camas en la unidad médica requerida, la omisión en brindarle el traslado y la falta de respirador mecánico, entre otras, tales como la falta de ambulancias, así como de brindar información clara y transparente para los familiares. A su vez, el personal médico que intervino no</w:t>
      </w:r>
      <w:r>
        <w:rPr>
          <w:sz w:val="16"/>
        </w:rPr>
        <w:t xml:space="preserve"> satisfizo</w:t>
      </w:r>
      <w:r w:rsidRPr="0059117C">
        <w:rPr>
          <w:sz w:val="16"/>
        </w:rPr>
        <w:t xml:space="preserve"> las necesidades vitales del paciente; particularmente con el alta temprana, el antibiótico proveído, las múltiples versiones de la causa de muerte y el trato dado por su condición de adulto mayor (</w:t>
      </w:r>
      <w:r w:rsidRPr="00062586">
        <w:rPr>
          <w:i/>
          <w:sz w:val="16"/>
        </w:rPr>
        <w:t>supra</w:t>
      </w:r>
      <w:r w:rsidRPr="0059117C">
        <w:rPr>
          <w:sz w:val="16"/>
        </w:rPr>
        <w:t xml:space="preserve">, </w:t>
      </w:r>
      <w:proofErr w:type="spellStart"/>
      <w:r w:rsidRPr="0059117C">
        <w:rPr>
          <w:sz w:val="16"/>
        </w:rPr>
        <w:t>párr</w:t>
      </w:r>
      <w:r>
        <w:rPr>
          <w:sz w:val="16"/>
        </w:rPr>
        <w:t>s</w:t>
      </w:r>
      <w:proofErr w:type="spellEnd"/>
      <w:r w:rsidRPr="0059117C">
        <w:rPr>
          <w:sz w:val="16"/>
        </w:rPr>
        <w:t>.</w:t>
      </w:r>
      <w:r>
        <w:rPr>
          <w:sz w:val="16"/>
        </w:rPr>
        <w:t xml:space="preserve"> 136 y 137</w:t>
      </w:r>
      <w:r w:rsidRPr="0059117C">
        <w:rPr>
          <w:sz w:val="16"/>
        </w:rPr>
        <w:t xml:space="preserve">). </w:t>
      </w:r>
    </w:p>
  </w:footnote>
  <w:footnote w:id="246">
    <w:p w14:paraId="2C649EF0" w14:textId="44D94B31" w:rsidR="003C025E" w:rsidRPr="00B1523A" w:rsidRDefault="003C025E" w:rsidP="00967ED8">
      <w:pPr>
        <w:pStyle w:val="FootnoteText"/>
        <w:spacing w:after="60"/>
        <w:rPr>
          <w:sz w:val="16"/>
          <w:szCs w:val="16"/>
          <w:lang w:val="es-CR"/>
        </w:rPr>
      </w:pPr>
      <w:r>
        <w:rPr>
          <w:rStyle w:val="FootnoteReference"/>
          <w:sz w:val="16"/>
          <w:szCs w:val="16"/>
        </w:rPr>
        <w:footnoteRef/>
      </w:r>
      <w:r>
        <w:rPr>
          <w:sz w:val="16"/>
          <w:szCs w:val="16"/>
          <w:lang w:val="es-ES"/>
        </w:rPr>
        <w:t xml:space="preserve">     </w:t>
      </w:r>
      <w:r w:rsidRPr="00B1523A">
        <w:rPr>
          <w:i/>
          <w:sz w:val="16"/>
          <w:szCs w:val="16"/>
          <w:lang w:val="es-ES"/>
        </w:rPr>
        <w:t>Cfr. Caso Albán Cornejo y otros, supra</w:t>
      </w:r>
      <w:r w:rsidRPr="00B1523A">
        <w:rPr>
          <w:sz w:val="16"/>
          <w:szCs w:val="16"/>
          <w:lang w:val="es-ES"/>
        </w:rPr>
        <w:t>, párr. 117</w:t>
      </w:r>
      <w:r w:rsidRPr="00B1523A">
        <w:rPr>
          <w:i/>
          <w:sz w:val="16"/>
          <w:szCs w:val="16"/>
          <w:lang w:val="es-ES"/>
        </w:rPr>
        <w:t xml:space="preserve">, y Caso Vera </w:t>
      </w:r>
      <w:proofErr w:type="spellStart"/>
      <w:r w:rsidRPr="00B1523A">
        <w:rPr>
          <w:i/>
          <w:sz w:val="16"/>
          <w:szCs w:val="16"/>
          <w:lang w:val="es-ES"/>
        </w:rPr>
        <w:t>Vera</w:t>
      </w:r>
      <w:proofErr w:type="spellEnd"/>
      <w:r w:rsidRPr="00B1523A">
        <w:rPr>
          <w:i/>
          <w:sz w:val="16"/>
          <w:szCs w:val="16"/>
          <w:lang w:val="es-ES"/>
        </w:rPr>
        <w:t xml:space="preserve"> y otra Vs. Ecuador</w:t>
      </w:r>
      <w:r w:rsidRPr="00D915A5">
        <w:rPr>
          <w:sz w:val="16"/>
          <w:szCs w:val="16"/>
          <w:lang w:val="es-ES"/>
        </w:rPr>
        <w:t xml:space="preserve">, </w:t>
      </w:r>
      <w:r w:rsidRPr="00D915A5">
        <w:rPr>
          <w:i/>
          <w:sz w:val="16"/>
          <w:szCs w:val="16"/>
          <w:lang w:val="es-ES"/>
        </w:rPr>
        <w:t>supra</w:t>
      </w:r>
      <w:r w:rsidRPr="00B1523A">
        <w:rPr>
          <w:sz w:val="16"/>
          <w:szCs w:val="16"/>
          <w:lang w:val="es-ES"/>
        </w:rPr>
        <w:t xml:space="preserve">, párr. </w:t>
      </w:r>
      <w:r w:rsidRPr="00B1523A">
        <w:rPr>
          <w:sz w:val="16"/>
          <w:szCs w:val="16"/>
          <w:lang w:val="es-CR"/>
        </w:rPr>
        <w:t>43.</w:t>
      </w:r>
    </w:p>
  </w:footnote>
  <w:footnote w:id="247">
    <w:p w14:paraId="2B322352" w14:textId="2132D876" w:rsidR="003C025E" w:rsidRPr="00AB1E03" w:rsidRDefault="003C025E" w:rsidP="00967ED8">
      <w:pPr>
        <w:pStyle w:val="FootnoteText"/>
        <w:spacing w:after="60"/>
        <w:rPr>
          <w:b/>
          <w:sz w:val="16"/>
          <w:szCs w:val="16"/>
          <w:lang w:val="es-CR"/>
        </w:rPr>
      </w:pPr>
      <w:r w:rsidRPr="00B1523A">
        <w:rPr>
          <w:rStyle w:val="FootnoteReference"/>
          <w:sz w:val="16"/>
          <w:szCs w:val="16"/>
        </w:rPr>
        <w:footnoteRef/>
      </w:r>
      <w:r w:rsidRPr="00B1523A">
        <w:rPr>
          <w:sz w:val="16"/>
          <w:szCs w:val="16"/>
          <w:lang w:val="es-CR"/>
        </w:rPr>
        <w:t xml:space="preserve"> </w:t>
      </w:r>
      <w:r>
        <w:rPr>
          <w:b/>
          <w:sz w:val="16"/>
          <w:szCs w:val="16"/>
          <w:lang w:val="es-CR"/>
        </w:rPr>
        <w:t xml:space="preserve">  </w:t>
      </w:r>
      <w:r w:rsidRPr="00847C4A">
        <w:rPr>
          <w:i/>
          <w:sz w:val="16"/>
          <w:szCs w:val="16"/>
          <w:lang w:val="es-CR"/>
        </w:rPr>
        <w:t xml:space="preserve">Cfr. Caso Montero Aranguren y otros (Retén de Catia) Vs. Venezuela (Excepción Preliminar, Fondo, Reparaciones y Costas).  </w:t>
      </w:r>
      <w:r w:rsidRPr="00847C4A">
        <w:rPr>
          <w:sz w:val="16"/>
          <w:szCs w:val="16"/>
          <w:lang w:val="es-CR"/>
        </w:rPr>
        <w:t>Sentencia de 5 de julio de 2006. Serie C  No. 150, párr. 103,</w:t>
      </w:r>
      <w:r w:rsidRPr="00B1523A">
        <w:rPr>
          <w:sz w:val="16"/>
          <w:szCs w:val="16"/>
          <w:lang w:val="es-CR"/>
        </w:rPr>
        <w:t xml:space="preserve"> y </w:t>
      </w:r>
      <w:r w:rsidRPr="00B1523A">
        <w:rPr>
          <w:bCs/>
          <w:i/>
          <w:sz w:val="16"/>
          <w:szCs w:val="16"/>
          <w:lang w:val="es-CR"/>
        </w:rPr>
        <w:t xml:space="preserve">Caso Vera </w:t>
      </w:r>
      <w:proofErr w:type="spellStart"/>
      <w:r w:rsidRPr="00B1523A">
        <w:rPr>
          <w:bCs/>
          <w:i/>
          <w:sz w:val="16"/>
          <w:szCs w:val="16"/>
          <w:lang w:val="es-CR"/>
        </w:rPr>
        <w:t>Vera</w:t>
      </w:r>
      <w:proofErr w:type="spellEnd"/>
      <w:r w:rsidRPr="00B1523A">
        <w:rPr>
          <w:bCs/>
          <w:i/>
          <w:sz w:val="16"/>
          <w:szCs w:val="16"/>
          <w:lang w:val="es-CR"/>
        </w:rPr>
        <w:t xml:space="preserve"> y otra, supra</w:t>
      </w:r>
      <w:r w:rsidRPr="00B1523A">
        <w:rPr>
          <w:sz w:val="16"/>
          <w:szCs w:val="16"/>
          <w:lang w:val="es-CR"/>
        </w:rPr>
        <w:t>, párr. 44.</w:t>
      </w:r>
    </w:p>
  </w:footnote>
  <w:footnote w:id="248">
    <w:p w14:paraId="07DB2F06" w14:textId="60552EB8" w:rsidR="003C025E" w:rsidRPr="00B1523A" w:rsidRDefault="003C025E" w:rsidP="00967ED8">
      <w:pPr>
        <w:pStyle w:val="FootnoteText"/>
        <w:spacing w:after="60"/>
        <w:rPr>
          <w:sz w:val="16"/>
          <w:szCs w:val="16"/>
          <w:lang w:val="es-ES"/>
        </w:rPr>
      </w:pPr>
      <w:r w:rsidRPr="00B1523A">
        <w:rPr>
          <w:rStyle w:val="FootnoteReference"/>
          <w:sz w:val="16"/>
          <w:szCs w:val="16"/>
        </w:rPr>
        <w:footnoteRef/>
      </w:r>
      <w:r w:rsidRPr="00B1523A">
        <w:rPr>
          <w:sz w:val="16"/>
          <w:szCs w:val="16"/>
          <w:lang w:val="es-CR"/>
        </w:rPr>
        <w:t xml:space="preserve">   </w:t>
      </w:r>
      <w:r w:rsidRPr="00B1523A">
        <w:rPr>
          <w:i/>
          <w:sz w:val="16"/>
          <w:szCs w:val="16"/>
          <w:lang w:val="es-CR"/>
        </w:rPr>
        <w:t xml:space="preserve">Cfr. </w:t>
      </w:r>
      <w:r w:rsidRPr="00B1523A">
        <w:rPr>
          <w:i/>
          <w:iCs/>
          <w:sz w:val="16"/>
          <w:szCs w:val="16"/>
          <w:lang w:val="es-CR"/>
        </w:rPr>
        <w:t>Caso</w:t>
      </w:r>
      <w:r>
        <w:rPr>
          <w:i/>
          <w:iCs/>
          <w:sz w:val="16"/>
          <w:szCs w:val="16"/>
          <w:lang w:val="es-CR"/>
        </w:rPr>
        <w:t xml:space="preserve"> Gonzales </w:t>
      </w:r>
      <w:proofErr w:type="spellStart"/>
      <w:r>
        <w:rPr>
          <w:i/>
          <w:iCs/>
          <w:sz w:val="16"/>
          <w:szCs w:val="16"/>
          <w:lang w:val="es-CR"/>
        </w:rPr>
        <w:t>Lluy</w:t>
      </w:r>
      <w:proofErr w:type="spellEnd"/>
      <w:r>
        <w:rPr>
          <w:i/>
          <w:iCs/>
          <w:sz w:val="16"/>
          <w:szCs w:val="16"/>
          <w:lang w:val="es-CR"/>
        </w:rPr>
        <w:t xml:space="preserve"> Vs. Ecuador</w:t>
      </w:r>
      <w:r w:rsidRPr="00B1523A">
        <w:rPr>
          <w:i/>
          <w:iCs/>
          <w:sz w:val="16"/>
          <w:szCs w:val="16"/>
          <w:lang w:val="es-CR"/>
        </w:rPr>
        <w:t>, supra</w:t>
      </w:r>
      <w:r w:rsidRPr="00B1523A">
        <w:rPr>
          <w:iCs/>
          <w:sz w:val="16"/>
          <w:szCs w:val="16"/>
          <w:lang w:val="es-CR"/>
        </w:rPr>
        <w:t xml:space="preserve">, </w:t>
      </w:r>
      <w:proofErr w:type="spellStart"/>
      <w:r w:rsidRPr="00B1523A">
        <w:rPr>
          <w:iCs/>
          <w:sz w:val="16"/>
          <w:szCs w:val="16"/>
          <w:lang w:val="es-CR"/>
        </w:rPr>
        <w:t>párr</w:t>
      </w:r>
      <w:proofErr w:type="spellEnd"/>
      <w:r>
        <w:rPr>
          <w:iCs/>
          <w:sz w:val="16"/>
          <w:szCs w:val="16"/>
          <w:lang w:val="es-ES"/>
        </w:rPr>
        <w:t>s. 171</w:t>
      </w:r>
      <w:r w:rsidRPr="00B1523A">
        <w:rPr>
          <w:iCs/>
          <w:sz w:val="16"/>
          <w:szCs w:val="16"/>
          <w:lang w:val="es-ES"/>
        </w:rPr>
        <w:t xml:space="preserve">, y </w:t>
      </w:r>
      <w:r w:rsidRPr="00B1523A">
        <w:rPr>
          <w:bCs/>
          <w:i/>
          <w:sz w:val="16"/>
          <w:szCs w:val="16"/>
          <w:lang w:val="es-ES"/>
        </w:rPr>
        <w:t>Caso Albán Cornejo y otros, supra</w:t>
      </w:r>
      <w:r w:rsidRPr="00B1523A">
        <w:rPr>
          <w:sz w:val="16"/>
          <w:szCs w:val="16"/>
          <w:lang w:val="es-ES"/>
        </w:rPr>
        <w:t>, párr. 121; Véase también</w:t>
      </w:r>
      <w:r w:rsidRPr="00D915A5">
        <w:rPr>
          <w:sz w:val="16"/>
          <w:szCs w:val="16"/>
          <w:lang w:val="es-ES"/>
        </w:rPr>
        <w:t xml:space="preserve">: </w:t>
      </w:r>
      <w:r>
        <w:rPr>
          <w:sz w:val="16"/>
          <w:szCs w:val="16"/>
          <w:lang w:val="es-ES"/>
        </w:rPr>
        <w:t xml:space="preserve">TEDH </w:t>
      </w:r>
      <w:r w:rsidRPr="00B1523A">
        <w:rPr>
          <w:i/>
          <w:sz w:val="16"/>
          <w:szCs w:val="16"/>
          <w:lang w:val="es-ES"/>
        </w:rPr>
        <w:t xml:space="preserve">Caso Lazar Vs. Rumania, </w:t>
      </w:r>
      <w:r w:rsidRPr="00B1523A">
        <w:rPr>
          <w:sz w:val="16"/>
          <w:szCs w:val="16"/>
          <w:lang w:val="es-ES"/>
        </w:rPr>
        <w:t xml:space="preserve">No. 32146/05. Sección Tercera. Sentencia de 16 de mayo de 2010, párr. 66; </w:t>
      </w:r>
      <w:r w:rsidRPr="00B1523A">
        <w:rPr>
          <w:i/>
          <w:sz w:val="16"/>
          <w:szCs w:val="16"/>
          <w:lang w:val="es-ES"/>
        </w:rPr>
        <w:t>Caso Z Vs. Polonia</w:t>
      </w:r>
      <w:r w:rsidRPr="00B1523A">
        <w:rPr>
          <w:sz w:val="16"/>
          <w:szCs w:val="16"/>
          <w:lang w:val="es-ES"/>
        </w:rPr>
        <w:t xml:space="preserve">, No. 46132/08. Sección Cuarta. Sentencia de 13 de noviembre de 2012, </w:t>
      </w:r>
      <w:r w:rsidRPr="00B1523A">
        <w:rPr>
          <w:rFonts w:cs="Lucida Grande"/>
          <w:sz w:val="16"/>
          <w:szCs w:val="16"/>
        </w:rPr>
        <w:t>párr.</w:t>
      </w:r>
      <w:r w:rsidRPr="00B1523A">
        <w:rPr>
          <w:sz w:val="16"/>
          <w:szCs w:val="16"/>
          <w:lang w:val="es-ES"/>
        </w:rPr>
        <w:t xml:space="preserve"> 76, y</w:t>
      </w:r>
      <w:r>
        <w:rPr>
          <w:sz w:val="16"/>
          <w:szCs w:val="16"/>
          <w:lang w:val="es-ES"/>
        </w:rPr>
        <w:t xml:space="preserve"> ONU</w:t>
      </w:r>
      <w:r w:rsidRPr="00B1523A">
        <w:rPr>
          <w:sz w:val="16"/>
          <w:szCs w:val="16"/>
          <w:lang w:val="es-ES"/>
        </w:rPr>
        <w:t xml:space="preserve">, Comité </w:t>
      </w:r>
      <w:r>
        <w:rPr>
          <w:sz w:val="16"/>
          <w:szCs w:val="16"/>
          <w:lang w:val="es-ES"/>
        </w:rPr>
        <w:t>DESC, OG-</w:t>
      </w:r>
      <w:r w:rsidRPr="00B1523A">
        <w:rPr>
          <w:sz w:val="16"/>
          <w:szCs w:val="16"/>
          <w:lang w:val="es-ES"/>
        </w:rPr>
        <w:t xml:space="preserve"> 14, </w:t>
      </w:r>
      <w:r w:rsidRPr="00B1523A">
        <w:rPr>
          <w:i/>
          <w:sz w:val="16"/>
          <w:szCs w:val="16"/>
          <w:lang w:val="es-ES"/>
        </w:rPr>
        <w:t>supra</w:t>
      </w:r>
      <w:r w:rsidRPr="00B1523A">
        <w:rPr>
          <w:sz w:val="16"/>
          <w:szCs w:val="16"/>
          <w:lang w:val="es-ES"/>
        </w:rPr>
        <w:t xml:space="preserve">, párr. 12, 33, 35, 36 y 51. </w:t>
      </w:r>
    </w:p>
  </w:footnote>
  <w:footnote w:id="249">
    <w:p w14:paraId="6EAD2762" w14:textId="76917071" w:rsidR="003C025E" w:rsidRPr="00B1523A" w:rsidRDefault="003C025E" w:rsidP="00AB1E03">
      <w:pPr>
        <w:pStyle w:val="FootnoteText"/>
        <w:spacing w:after="60"/>
        <w:rPr>
          <w:sz w:val="16"/>
          <w:szCs w:val="16"/>
          <w:lang w:val="es-ES"/>
        </w:rPr>
      </w:pPr>
      <w:r w:rsidRPr="00B1523A">
        <w:rPr>
          <w:rStyle w:val="FootnoteReference"/>
          <w:sz w:val="16"/>
          <w:szCs w:val="16"/>
        </w:rPr>
        <w:footnoteRef/>
      </w:r>
      <w:r w:rsidRPr="00B1523A">
        <w:rPr>
          <w:sz w:val="16"/>
          <w:szCs w:val="16"/>
        </w:rPr>
        <w:t xml:space="preserve"> </w:t>
      </w:r>
      <w:r>
        <w:rPr>
          <w:sz w:val="16"/>
          <w:szCs w:val="16"/>
        </w:rPr>
        <w:t xml:space="preserve">  </w:t>
      </w:r>
      <w:r>
        <w:rPr>
          <w:i/>
          <w:sz w:val="16"/>
          <w:szCs w:val="16"/>
        </w:rPr>
        <w:t xml:space="preserve">Cfr. </w:t>
      </w:r>
      <w:r w:rsidRPr="00B1523A">
        <w:rPr>
          <w:i/>
          <w:sz w:val="16"/>
          <w:szCs w:val="16"/>
          <w:lang w:val="es-ES"/>
        </w:rPr>
        <w:t>Caso Suárez Peralta Vs. Ecuador,</w:t>
      </w:r>
      <w:r>
        <w:rPr>
          <w:sz w:val="16"/>
          <w:szCs w:val="16"/>
          <w:lang w:val="es-ES"/>
        </w:rPr>
        <w:t xml:space="preserve"> </w:t>
      </w:r>
      <w:r w:rsidRPr="00B1523A">
        <w:rPr>
          <w:i/>
          <w:sz w:val="16"/>
          <w:szCs w:val="16"/>
          <w:lang w:val="es-ES"/>
        </w:rPr>
        <w:t>supra</w:t>
      </w:r>
      <w:r>
        <w:rPr>
          <w:sz w:val="16"/>
          <w:szCs w:val="16"/>
          <w:lang w:val="es-ES"/>
        </w:rPr>
        <w:t>,</w:t>
      </w:r>
      <w:r w:rsidRPr="00B1523A">
        <w:rPr>
          <w:i/>
          <w:sz w:val="16"/>
          <w:szCs w:val="16"/>
          <w:lang w:val="es-ES"/>
        </w:rPr>
        <w:t xml:space="preserve"> </w:t>
      </w:r>
      <w:r w:rsidRPr="00B1523A">
        <w:rPr>
          <w:sz w:val="16"/>
          <w:szCs w:val="16"/>
          <w:lang w:val="es-ES"/>
        </w:rPr>
        <w:t>párr. 132.</w:t>
      </w:r>
    </w:p>
  </w:footnote>
  <w:footnote w:id="250">
    <w:p w14:paraId="384C6C10" w14:textId="5D8640F2" w:rsidR="003C025E" w:rsidRPr="00C96765" w:rsidRDefault="003C025E" w:rsidP="00F42440">
      <w:pPr>
        <w:pStyle w:val="FootnoteText"/>
        <w:rPr>
          <w:lang w:val="es-CL"/>
        </w:rPr>
      </w:pPr>
      <w:r w:rsidRPr="00B1523A">
        <w:rPr>
          <w:rStyle w:val="FootnoteReference"/>
          <w:sz w:val="16"/>
          <w:szCs w:val="16"/>
        </w:rPr>
        <w:footnoteRef/>
      </w:r>
      <w:r>
        <w:rPr>
          <w:sz w:val="16"/>
          <w:szCs w:val="16"/>
        </w:rPr>
        <w:t xml:space="preserve">  </w:t>
      </w:r>
      <w:r w:rsidRPr="00B1523A">
        <w:rPr>
          <w:sz w:val="16"/>
          <w:szCs w:val="16"/>
        </w:rPr>
        <w:t xml:space="preserve"> </w:t>
      </w:r>
      <w:r w:rsidRPr="00B1523A">
        <w:rPr>
          <w:i/>
          <w:sz w:val="16"/>
          <w:szCs w:val="16"/>
        </w:rPr>
        <w:t>Cfr.</w:t>
      </w:r>
      <w:r w:rsidRPr="00B1523A">
        <w:rPr>
          <w:sz w:val="16"/>
          <w:szCs w:val="16"/>
        </w:rPr>
        <w:t xml:space="preserve"> Declaración rendida ante fedatario público por Sandra Castillo </w:t>
      </w:r>
      <w:proofErr w:type="spellStart"/>
      <w:r w:rsidRPr="00B1523A">
        <w:rPr>
          <w:sz w:val="16"/>
          <w:szCs w:val="16"/>
        </w:rPr>
        <w:t>Montúfar</w:t>
      </w:r>
      <w:proofErr w:type="spellEnd"/>
      <w:r w:rsidRPr="00B1523A">
        <w:rPr>
          <w:sz w:val="16"/>
          <w:szCs w:val="16"/>
        </w:rPr>
        <w:t xml:space="preserve"> el 11 de octubre de 2017” (expediente de prueba, affidávits, </w:t>
      </w:r>
      <w:proofErr w:type="spellStart"/>
      <w:r w:rsidRPr="00B1523A">
        <w:rPr>
          <w:sz w:val="16"/>
          <w:szCs w:val="16"/>
        </w:rPr>
        <w:t>ff</w:t>
      </w:r>
      <w:proofErr w:type="spellEnd"/>
      <w:r w:rsidRPr="00B1523A">
        <w:rPr>
          <w:sz w:val="16"/>
          <w:szCs w:val="16"/>
        </w:rPr>
        <w:t>. 4475 a 4476).</w:t>
      </w:r>
    </w:p>
  </w:footnote>
  <w:footnote w:id="251">
    <w:p w14:paraId="5A225D7B" w14:textId="0931C904" w:rsidR="003C025E" w:rsidRPr="00AB1E03" w:rsidRDefault="003C025E">
      <w:pPr>
        <w:pStyle w:val="FootnoteText"/>
        <w:rPr>
          <w:lang w:val="es-CR"/>
        </w:rPr>
      </w:pPr>
      <w:r w:rsidRPr="00B1523A">
        <w:rPr>
          <w:rStyle w:val="FootnoteReference"/>
          <w:sz w:val="16"/>
          <w:szCs w:val="16"/>
        </w:rPr>
        <w:footnoteRef/>
      </w:r>
      <w:r w:rsidRPr="00C96765">
        <w:t xml:space="preserve"> </w:t>
      </w:r>
      <w:r w:rsidRPr="00B1523A">
        <w:rPr>
          <w:i/>
          <w:sz w:val="16"/>
          <w:szCs w:val="16"/>
        </w:rPr>
        <w:t>Cfr</w:t>
      </w:r>
      <w:r w:rsidRPr="00B1523A">
        <w:rPr>
          <w:sz w:val="16"/>
        </w:rPr>
        <w:t>. Declaración rendida ante fedatario público por</w:t>
      </w:r>
      <w:r>
        <w:rPr>
          <w:sz w:val="16"/>
        </w:rPr>
        <w:t xml:space="preserve"> </w:t>
      </w:r>
      <w:proofErr w:type="spellStart"/>
      <w:r w:rsidRPr="00B1523A">
        <w:rPr>
          <w:sz w:val="16"/>
        </w:rPr>
        <w:t>Cesia</w:t>
      </w:r>
      <w:proofErr w:type="spellEnd"/>
      <w:r w:rsidRPr="00B1523A">
        <w:rPr>
          <w:sz w:val="16"/>
        </w:rPr>
        <w:t xml:space="preserve"> Leila Siria Poblete Tapia el 6 de octubre de 2017 (expediente de prueba, affidávits, f</w:t>
      </w:r>
      <w:r>
        <w:rPr>
          <w:sz w:val="16"/>
        </w:rPr>
        <w:t xml:space="preserve">. </w:t>
      </w:r>
      <w:r w:rsidRPr="00B1523A">
        <w:rPr>
          <w:sz w:val="16"/>
        </w:rPr>
        <w:t>4466), y Declaración rendida ante fedatario público por Alejandra Marcela Fuentes Poblete el 6 de octubre de 2017 (expediente de prueba, affidávits, f. 4472).</w:t>
      </w:r>
    </w:p>
  </w:footnote>
  <w:footnote w:id="252">
    <w:p w14:paraId="09341707" w14:textId="251D5B74" w:rsidR="003C025E" w:rsidRPr="00B1523A" w:rsidRDefault="003C025E">
      <w:pPr>
        <w:pStyle w:val="FootnoteText"/>
        <w:rPr>
          <w:lang w:val="es-AR"/>
        </w:rPr>
      </w:pPr>
      <w:r w:rsidRPr="00B1523A">
        <w:rPr>
          <w:rStyle w:val="FootnoteReference"/>
          <w:sz w:val="16"/>
          <w:szCs w:val="16"/>
        </w:rPr>
        <w:footnoteRef/>
      </w:r>
      <w:r w:rsidRPr="00B1523A">
        <w:rPr>
          <w:rStyle w:val="FootnoteReference"/>
          <w:sz w:val="16"/>
          <w:szCs w:val="16"/>
        </w:rPr>
        <w:t xml:space="preserve"> </w:t>
      </w:r>
      <w:r>
        <w:rPr>
          <w:sz w:val="16"/>
          <w:szCs w:val="16"/>
        </w:rPr>
        <w:t xml:space="preserve">  </w:t>
      </w:r>
      <w:r>
        <w:rPr>
          <w:i/>
          <w:sz w:val="16"/>
          <w:szCs w:val="16"/>
        </w:rPr>
        <w:t xml:space="preserve">Cfr. </w:t>
      </w:r>
      <w:r w:rsidRPr="00B1523A">
        <w:rPr>
          <w:i/>
          <w:sz w:val="16"/>
        </w:rPr>
        <w:t>Opinión Consultiva OC-23/17</w:t>
      </w:r>
      <w:r>
        <w:rPr>
          <w:i/>
          <w:sz w:val="16"/>
        </w:rPr>
        <w:t>,</w:t>
      </w:r>
      <w:r w:rsidRPr="00B1523A">
        <w:rPr>
          <w:sz w:val="16"/>
        </w:rPr>
        <w:t xml:space="preserve"> </w:t>
      </w:r>
      <w:r w:rsidRPr="00B1523A">
        <w:rPr>
          <w:i/>
          <w:sz w:val="16"/>
        </w:rPr>
        <w:t>supra</w:t>
      </w:r>
      <w:r>
        <w:rPr>
          <w:sz w:val="16"/>
        </w:rPr>
        <w:t>,</w:t>
      </w:r>
      <w:r w:rsidRPr="00B1523A">
        <w:rPr>
          <w:sz w:val="16"/>
        </w:rPr>
        <w:t xml:space="preserve"> párr. </w:t>
      </w:r>
      <w:r w:rsidRPr="00B1523A">
        <w:rPr>
          <w:sz w:val="16"/>
          <w:lang w:val="es-MX"/>
        </w:rPr>
        <w:t xml:space="preserve">211. […] En el mismo sentido, la jurisprudencia interamericana ha reconocido el </w:t>
      </w:r>
      <w:proofErr w:type="spellStart"/>
      <w:r w:rsidRPr="00B1523A">
        <w:rPr>
          <w:sz w:val="16"/>
          <w:lang w:val="es-MX"/>
        </w:rPr>
        <w:t>carácter</w:t>
      </w:r>
      <w:proofErr w:type="spellEnd"/>
      <w:r w:rsidRPr="00B1523A">
        <w:rPr>
          <w:sz w:val="16"/>
          <w:lang w:val="es-MX"/>
        </w:rPr>
        <w:t xml:space="preserve"> instrumental de ciertos derechos de la </w:t>
      </w:r>
      <w:proofErr w:type="spellStart"/>
      <w:r w:rsidRPr="00B1523A">
        <w:rPr>
          <w:sz w:val="16"/>
          <w:lang w:val="es-MX"/>
        </w:rPr>
        <w:t>Convención</w:t>
      </w:r>
      <w:proofErr w:type="spellEnd"/>
      <w:r w:rsidRPr="00B1523A">
        <w:rPr>
          <w:sz w:val="16"/>
          <w:lang w:val="es-MX"/>
        </w:rPr>
        <w:t xml:space="preserve"> Americana, tales como el derecho de acceso a la </w:t>
      </w:r>
      <w:proofErr w:type="spellStart"/>
      <w:r w:rsidRPr="00B1523A">
        <w:rPr>
          <w:sz w:val="16"/>
          <w:lang w:val="es-MX"/>
        </w:rPr>
        <w:t>información</w:t>
      </w:r>
      <w:proofErr w:type="spellEnd"/>
      <w:r w:rsidRPr="00B1523A">
        <w:rPr>
          <w:sz w:val="16"/>
          <w:lang w:val="es-MX"/>
        </w:rPr>
        <w:t xml:space="preserve">, en la medida en que permiten la </w:t>
      </w:r>
      <w:proofErr w:type="spellStart"/>
      <w:r w:rsidRPr="00B1523A">
        <w:rPr>
          <w:sz w:val="16"/>
          <w:lang w:val="es-MX"/>
        </w:rPr>
        <w:t>satisfacción</w:t>
      </w:r>
      <w:proofErr w:type="spellEnd"/>
      <w:r w:rsidRPr="00B1523A">
        <w:rPr>
          <w:sz w:val="16"/>
          <w:lang w:val="es-MX"/>
        </w:rPr>
        <w:t xml:space="preserve"> de otros derechos en la </w:t>
      </w:r>
      <w:proofErr w:type="spellStart"/>
      <w:r w:rsidRPr="00B1523A">
        <w:rPr>
          <w:sz w:val="16"/>
          <w:lang w:val="es-MX"/>
        </w:rPr>
        <w:t>Convención</w:t>
      </w:r>
      <w:proofErr w:type="spellEnd"/>
      <w:r w:rsidRPr="00B1523A">
        <w:rPr>
          <w:sz w:val="16"/>
          <w:lang w:val="es-MX"/>
        </w:rPr>
        <w:t>, incluidos el derecho a la salud, la vida o la integridad personal[…].</w:t>
      </w:r>
    </w:p>
  </w:footnote>
  <w:footnote w:id="253">
    <w:p w14:paraId="714548AA" w14:textId="50BCC51B" w:rsidR="003C025E" w:rsidRPr="002570D1" w:rsidRDefault="003C025E" w:rsidP="002570D1">
      <w:pPr>
        <w:pStyle w:val="FootnoteText"/>
        <w:rPr>
          <w:sz w:val="16"/>
          <w:szCs w:val="16"/>
          <w:lang w:val="es-CR"/>
        </w:rPr>
      </w:pPr>
      <w:r w:rsidRPr="002570D1">
        <w:rPr>
          <w:rStyle w:val="FootnoteReference"/>
          <w:sz w:val="16"/>
          <w:szCs w:val="16"/>
        </w:rPr>
        <w:footnoteRef/>
      </w:r>
      <w:r w:rsidRPr="002570D1">
        <w:rPr>
          <w:sz w:val="16"/>
          <w:szCs w:val="16"/>
          <w:lang w:val="es-CR"/>
        </w:rPr>
        <w:t xml:space="preserve"> </w:t>
      </w:r>
      <w:r w:rsidRPr="00062586">
        <w:rPr>
          <w:i/>
          <w:sz w:val="16"/>
          <w:szCs w:val="16"/>
          <w:lang w:val="es-EC"/>
        </w:rPr>
        <w:t>Cfr.</w:t>
      </w:r>
      <w:r w:rsidRPr="002570D1">
        <w:rPr>
          <w:i/>
          <w:sz w:val="16"/>
          <w:szCs w:val="16"/>
          <w:lang w:val="es-CR"/>
        </w:rPr>
        <w:t xml:space="preserve"> Caso “La Última Tentación de Cristo” (Olmedo Bustos y otros) Vs. Chile. Fondo, Reparaciones y Costas.</w:t>
      </w:r>
      <w:r w:rsidRPr="002570D1">
        <w:rPr>
          <w:sz w:val="16"/>
          <w:szCs w:val="16"/>
          <w:lang w:val="es-CR"/>
        </w:rPr>
        <w:t xml:space="preserve"> Sentencia de 5 de febrero de 2001. Serie C No. 73, párr. 64 </w:t>
      </w:r>
      <w:r w:rsidRPr="00B92B58">
        <w:rPr>
          <w:sz w:val="16"/>
          <w:szCs w:val="16"/>
          <w:lang w:val="es-CR"/>
        </w:rPr>
        <w:t>y</w:t>
      </w:r>
      <w:r w:rsidRPr="00B92B58">
        <w:rPr>
          <w:b/>
          <w:sz w:val="16"/>
          <w:szCs w:val="16"/>
          <w:lang w:val="es-CR"/>
        </w:rPr>
        <w:t xml:space="preserve"> </w:t>
      </w:r>
      <w:r w:rsidRPr="00B92B58">
        <w:rPr>
          <w:rStyle w:val="Strong"/>
          <w:b w:val="0"/>
          <w:i/>
          <w:color w:val="000000"/>
          <w:sz w:val="16"/>
          <w:szCs w:val="16"/>
          <w:shd w:val="clear" w:color="auto" w:fill="FFFFFF"/>
          <w:lang w:val="es-CR"/>
        </w:rPr>
        <w:t xml:space="preserve">Caso </w:t>
      </w:r>
      <w:r>
        <w:rPr>
          <w:rStyle w:val="Strong"/>
          <w:b w:val="0"/>
          <w:i/>
          <w:color w:val="000000"/>
          <w:sz w:val="16"/>
          <w:szCs w:val="16"/>
          <w:shd w:val="clear" w:color="auto" w:fill="FFFFFF"/>
          <w:lang w:val="es-CR"/>
        </w:rPr>
        <w:t>Lagos del Campo Vs. Perú,</w:t>
      </w:r>
      <w:r w:rsidRPr="00B92B58">
        <w:rPr>
          <w:rStyle w:val="Strong"/>
          <w:b w:val="0"/>
          <w:i/>
          <w:color w:val="000000"/>
          <w:sz w:val="16"/>
          <w:szCs w:val="16"/>
          <w:shd w:val="clear" w:color="auto" w:fill="FFFFFF"/>
          <w:lang w:val="es-CR"/>
        </w:rPr>
        <w:t xml:space="preserve"> </w:t>
      </w:r>
      <w:r w:rsidRPr="00062586">
        <w:rPr>
          <w:rStyle w:val="Strong"/>
          <w:b w:val="0"/>
          <w:i/>
          <w:color w:val="000000"/>
          <w:sz w:val="16"/>
          <w:szCs w:val="16"/>
          <w:shd w:val="clear" w:color="auto" w:fill="FFFFFF"/>
          <w:lang w:val="es-CR"/>
        </w:rPr>
        <w:t>supra</w:t>
      </w:r>
      <w:r w:rsidRPr="00B92B58">
        <w:rPr>
          <w:rStyle w:val="Strong"/>
          <w:b w:val="0"/>
          <w:i/>
          <w:color w:val="000000"/>
          <w:sz w:val="16"/>
          <w:szCs w:val="16"/>
          <w:shd w:val="clear" w:color="auto" w:fill="FFFFFF"/>
          <w:lang w:val="es-CR"/>
        </w:rPr>
        <w:t xml:space="preserve">, </w:t>
      </w:r>
      <w:r w:rsidRPr="00B92B58">
        <w:rPr>
          <w:rStyle w:val="Strong"/>
          <w:b w:val="0"/>
          <w:color w:val="000000"/>
          <w:sz w:val="16"/>
          <w:szCs w:val="16"/>
          <w:shd w:val="clear" w:color="auto" w:fill="FFFFFF"/>
          <w:lang w:val="es-CR"/>
        </w:rPr>
        <w:t xml:space="preserve">párr. </w:t>
      </w:r>
      <w:r>
        <w:rPr>
          <w:rStyle w:val="Strong"/>
          <w:b w:val="0"/>
          <w:color w:val="000000"/>
          <w:sz w:val="16"/>
          <w:szCs w:val="16"/>
          <w:shd w:val="clear" w:color="auto" w:fill="FFFFFF"/>
          <w:lang w:val="es-CR"/>
        </w:rPr>
        <w:t>89</w:t>
      </w:r>
      <w:r w:rsidRPr="00B92B58">
        <w:rPr>
          <w:rStyle w:val="Strong"/>
          <w:b w:val="0"/>
          <w:color w:val="000000"/>
          <w:sz w:val="16"/>
          <w:szCs w:val="16"/>
          <w:shd w:val="clear" w:color="auto" w:fill="FFFFFF"/>
          <w:lang w:val="es-CR"/>
        </w:rPr>
        <w:t>.</w:t>
      </w:r>
    </w:p>
  </w:footnote>
  <w:footnote w:id="254">
    <w:p w14:paraId="0A018F28" w14:textId="5D5A7305" w:rsidR="003C025E" w:rsidRPr="002570D1" w:rsidRDefault="003C025E" w:rsidP="00B1523A">
      <w:pPr>
        <w:pStyle w:val="FootnoteText"/>
        <w:rPr>
          <w:sz w:val="16"/>
          <w:szCs w:val="16"/>
          <w:lang w:val="es-EC"/>
        </w:rPr>
      </w:pPr>
      <w:r w:rsidRPr="002570D1">
        <w:rPr>
          <w:rStyle w:val="FootnoteReference"/>
          <w:sz w:val="16"/>
          <w:szCs w:val="16"/>
        </w:rPr>
        <w:footnoteRef/>
      </w:r>
      <w:r w:rsidRPr="002570D1">
        <w:rPr>
          <w:sz w:val="16"/>
          <w:szCs w:val="16"/>
          <w:lang w:val="es-CR"/>
        </w:rPr>
        <w:t xml:space="preserve"> </w:t>
      </w:r>
      <w:r w:rsidRPr="00062586">
        <w:rPr>
          <w:i/>
          <w:sz w:val="16"/>
          <w:szCs w:val="16"/>
          <w:lang w:val="es-EC"/>
        </w:rPr>
        <w:t>Cfr.</w:t>
      </w:r>
      <w:r w:rsidRPr="002570D1">
        <w:rPr>
          <w:i/>
          <w:sz w:val="16"/>
          <w:szCs w:val="16"/>
          <w:lang w:val="es-EC"/>
        </w:rPr>
        <w:t xml:space="preserve"> </w:t>
      </w:r>
      <w:r w:rsidRPr="002570D1">
        <w:rPr>
          <w:i/>
          <w:sz w:val="16"/>
          <w:szCs w:val="16"/>
          <w:lang w:val="es-CR"/>
        </w:rPr>
        <w:t>Caso Claude Reyes y otros Vs. Chile. Fondo, Reparaciones y Costas</w:t>
      </w:r>
      <w:r w:rsidRPr="002570D1">
        <w:rPr>
          <w:sz w:val="16"/>
          <w:szCs w:val="16"/>
          <w:lang w:val="es-CR"/>
        </w:rPr>
        <w:t xml:space="preserve">. Sentencia de 19 de septiembre de 2006. Serie C No. 151, párr. 77, y </w:t>
      </w:r>
      <w:r w:rsidRPr="008B0574">
        <w:rPr>
          <w:rStyle w:val="Strong"/>
          <w:b w:val="0"/>
          <w:i/>
          <w:color w:val="000000"/>
          <w:sz w:val="16"/>
          <w:szCs w:val="16"/>
          <w:shd w:val="clear" w:color="auto" w:fill="FFFFFF"/>
          <w:lang w:val="es-CR"/>
        </w:rPr>
        <w:t xml:space="preserve">Caso I.V. Vs. Bolivia, </w:t>
      </w:r>
      <w:r w:rsidRPr="00062586">
        <w:rPr>
          <w:rStyle w:val="Strong"/>
          <w:b w:val="0"/>
          <w:i/>
          <w:color w:val="000000"/>
          <w:sz w:val="16"/>
          <w:szCs w:val="16"/>
          <w:shd w:val="clear" w:color="auto" w:fill="FFFFFF"/>
          <w:lang w:val="es-CR"/>
        </w:rPr>
        <w:t>supra</w:t>
      </w:r>
      <w:r w:rsidRPr="008B0574">
        <w:rPr>
          <w:rStyle w:val="Strong"/>
          <w:b w:val="0"/>
          <w:i/>
          <w:color w:val="000000"/>
          <w:sz w:val="16"/>
          <w:szCs w:val="16"/>
          <w:shd w:val="clear" w:color="auto" w:fill="FFFFFF"/>
          <w:lang w:val="es-CR"/>
        </w:rPr>
        <w:t xml:space="preserve">, </w:t>
      </w:r>
      <w:r w:rsidRPr="008B0574">
        <w:rPr>
          <w:rStyle w:val="Strong"/>
          <w:b w:val="0"/>
          <w:color w:val="000000"/>
          <w:sz w:val="16"/>
          <w:szCs w:val="16"/>
          <w:shd w:val="clear" w:color="auto" w:fill="FFFFFF"/>
          <w:lang w:val="es-CR"/>
        </w:rPr>
        <w:t>párr. 15</w:t>
      </w:r>
      <w:r>
        <w:rPr>
          <w:rStyle w:val="Strong"/>
          <w:b w:val="0"/>
          <w:color w:val="000000"/>
          <w:sz w:val="16"/>
          <w:szCs w:val="16"/>
          <w:shd w:val="clear" w:color="auto" w:fill="FFFFFF"/>
          <w:lang w:val="es-CR"/>
        </w:rPr>
        <w:t>6</w:t>
      </w:r>
      <w:r w:rsidRPr="00847C4A">
        <w:rPr>
          <w:sz w:val="16"/>
          <w:szCs w:val="16"/>
          <w:lang w:val="es-CR"/>
        </w:rPr>
        <w:t>.</w:t>
      </w:r>
      <w:r w:rsidRPr="002570D1">
        <w:rPr>
          <w:sz w:val="16"/>
          <w:szCs w:val="16"/>
          <w:lang w:val="es-CR"/>
        </w:rPr>
        <w:t xml:space="preserve"> Véase también, ONU, </w:t>
      </w:r>
      <w:r w:rsidRPr="002570D1">
        <w:rPr>
          <w:sz w:val="16"/>
          <w:szCs w:val="16"/>
          <w:lang w:val="es-EC"/>
        </w:rPr>
        <w:t xml:space="preserve">Comité </w:t>
      </w:r>
      <w:r>
        <w:rPr>
          <w:sz w:val="16"/>
          <w:szCs w:val="16"/>
          <w:lang w:val="es-EC"/>
        </w:rPr>
        <w:t>DESC, OG-</w:t>
      </w:r>
      <w:r w:rsidRPr="002570D1">
        <w:rPr>
          <w:sz w:val="16"/>
          <w:szCs w:val="16"/>
          <w:lang w:val="es-CR"/>
        </w:rPr>
        <w:t xml:space="preserve">14, </w:t>
      </w:r>
      <w:r w:rsidRPr="002570D1">
        <w:rPr>
          <w:i/>
          <w:sz w:val="16"/>
          <w:szCs w:val="16"/>
          <w:lang w:val="es-CR"/>
        </w:rPr>
        <w:t>El derecho al disfrute del más alto nivel posible de salud</w:t>
      </w:r>
      <w:r w:rsidRPr="002570D1">
        <w:rPr>
          <w:sz w:val="16"/>
          <w:szCs w:val="16"/>
          <w:lang w:val="es-CR"/>
        </w:rPr>
        <w:t>,</w:t>
      </w:r>
      <w:r>
        <w:rPr>
          <w:sz w:val="16"/>
          <w:szCs w:val="16"/>
          <w:lang w:val="es-CR"/>
        </w:rPr>
        <w:t xml:space="preserve"> </w:t>
      </w:r>
      <w:r w:rsidRPr="00B1523A">
        <w:rPr>
          <w:i/>
          <w:sz w:val="16"/>
          <w:szCs w:val="16"/>
          <w:lang w:val="es-CR"/>
        </w:rPr>
        <w:t>supra</w:t>
      </w:r>
      <w:r w:rsidRPr="002570D1">
        <w:rPr>
          <w:sz w:val="16"/>
          <w:szCs w:val="16"/>
          <w:lang w:val="es-EC"/>
        </w:rPr>
        <w:t>, párr. 12.</w:t>
      </w:r>
    </w:p>
  </w:footnote>
  <w:footnote w:id="255">
    <w:p w14:paraId="78DDAC7F" w14:textId="7282E0D0" w:rsidR="003C025E" w:rsidRPr="00B92B58" w:rsidRDefault="003C025E" w:rsidP="00762119">
      <w:pPr>
        <w:pStyle w:val="FootnoteText"/>
        <w:rPr>
          <w:sz w:val="16"/>
          <w:szCs w:val="16"/>
          <w:lang w:val="es-CR"/>
        </w:rPr>
      </w:pPr>
      <w:r w:rsidRPr="002570D1">
        <w:rPr>
          <w:rStyle w:val="FootnoteReference"/>
          <w:sz w:val="16"/>
          <w:szCs w:val="16"/>
        </w:rPr>
        <w:footnoteRef/>
      </w:r>
      <w:r w:rsidRPr="002570D1">
        <w:rPr>
          <w:sz w:val="16"/>
          <w:szCs w:val="16"/>
          <w:lang w:val="es-CR"/>
        </w:rPr>
        <w:t xml:space="preserve"> </w:t>
      </w:r>
      <w:r>
        <w:rPr>
          <w:sz w:val="16"/>
          <w:szCs w:val="16"/>
          <w:lang w:val="es-CR"/>
        </w:rPr>
        <w:t xml:space="preserve">  </w:t>
      </w:r>
      <w:r w:rsidRPr="00062586">
        <w:rPr>
          <w:i/>
          <w:sz w:val="16"/>
          <w:szCs w:val="16"/>
          <w:lang w:val="es-CR"/>
        </w:rPr>
        <w:t>Cfr.</w:t>
      </w:r>
      <w:r w:rsidRPr="002570D1">
        <w:rPr>
          <w:sz w:val="16"/>
          <w:szCs w:val="16"/>
          <w:lang w:val="es-CR"/>
        </w:rPr>
        <w:t xml:space="preserve"> </w:t>
      </w:r>
      <w:r w:rsidRPr="00B92B58">
        <w:rPr>
          <w:rStyle w:val="Strong"/>
          <w:b w:val="0"/>
          <w:i/>
          <w:color w:val="000000"/>
          <w:sz w:val="16"/>
          <w:szCs w:val="16"/>
          <w:shd w:val="clear" w:color="auto" w:fill="FFFFFF"/>
          <w:lang w:val="es-CR"/>
        </w:rPr>
        <w:t>Caso I.V. Vs. Bolivia</w:t>
      </w:r>
      <w:r>
        <w:rPr>
          <w:rStyle w:val="Strong"/>
          <w:b w:val="0"/>
          <w:color w:val="000000"/>
          <w:sz w:val="16"/>
          <w:szCs w:val="16"/>
          <w:shd w:val="clear" w:color="auto" w:fill="FFFFFF"/>
          <w:lang w:val="es-CR"/>
        </w:rPr>
        <w:t xml:space="preserve">, </w:t>
      </w:r>
      <w:r>
        <w:rPr>
          <w:rStyle w:val="Strong"/>
          <w:b w:val="0"/>
          <w:i/>
          <w:color w:val="000000"/>
          <w:sz w:val="16"/>
          <w:szCs w:val="16"/>
          <w:shd w:val="clear" w:color="auto" w:fill="FFFFFF"/>
          <w:lang w:val="es-CR"/>
        </w:rPr>
        <w:t>supra</w:t>
      </w:r>
      <w:r w:rsidRPr="00B92B58">
        <w:rPr>
          <w:rStyle w:val="Strong"/>
          <w:b w:val="0"/>
          <w:color w:val="000000"/>
          <w:sz w:val="16"/>
          <w:szCs w:val="16"/>
          <w:shd w:val="clear" w:color="auto" w:fill="FFFFFF"/>
          <w:lang w:val="es-CR"/>
        </w:rPr>
        <w:t>, párr. 166.</w:t>
      </w:r>
    </w:p>
  </w:footnote>
  <w:footnote w:id="256">
    <w:p w14:paraId="30CAE040" w14:textId="5B786406" w:rsidR="003C025E" w:rsidRPr="00B1523A" w:rsidRDefault="003C025E" w:rsidP="00762119">
      <w:pPr>
        <w:pStyle w:val="FootnoteText"/>
        <w:rPr>
          <w:sz w:val="16"/>
          <w:lang w:val="es-AR"/>
        </w:rPr>
      </w:pPr>
      <w:r w:rsidRPr="00B1523A">
        <w:rPr>
          <w:rStyle w:val="FootnoteReference"/>
          <w:sz w:val="16"/>
          <w:szCs w:val="16"/>
        </w:rPr>
        <w:footnoteRef/>
      </w:r>
      <w:r w:rsidRPr="00B1523A">
        <w:rPr>
          <w:b/>
        </w:rPr>
        <w:t xml:space="preserve"> </w:t>
      </w:r>
      <w:r>
        <w:rPr>
          <w:b/>
        </w:rPr>
        <w:t xml:space="preserve"> </w:t>
      </w:r>
      <w:r w:rsidRPr="00B1523A">
        <w:rPr>
          <w:i/>
          <w:sz w:val="16"/>
          <w:lang w:val="es-CR"/>
        </w:rPr>
        <w:t>Cfr. Caso I.V. Vs. Bolivia</w:t>
      </w:r>
      <w:r w:rsidRPr="00B1523A">
        <w:rPr>
          <w:sz w:val="16"/>
          <w:lang w:val="es-CR"/>
        </w:rPr>
        <w:t xml:space="preserve">, </w:t>
      </w:r>
      <w:r w:rsidRPr="002175A2">
        <w:rPr>
          <w:i/>
          <w:sz w:val="16"/>
          <w:lang w:val="es-CR"/>
        </w:rPr>
        <w:t>supra</w:t>
      </w:r>
      <w:r w:rsidRPr="002175A2">
        <w:rPr>
          <w:sz w:val="16"/>
          <w:lang w:val="es-CR"/>
        </w:rPr>
        <w:t>,</w:t>
      </w:r>
      <w:r w:rsidRPr="00B1523A">
        <w:rPr>
          <w:sz w:val="16"/>
          <w:lang w:val="es-CR"/>
        </w:rPr>
        <w:t xml:space="preserve"> párr. 182. </w:t>
      </w:r>
      <w:r w:rsidRPr="003B52C8">
        <w:rPr>
          <w:i/>
          <w:sz w:val="16"/>
          <w:lang w:val="es-CR"/>
        </w:rPr>
        <w:t>Cfr</w:t>
      </w:r>
      <w:r w:rsidRPr="00B1523A">
        <w:rPr>
          <w:sz w:val="16"/>
          <w:lang w:val="es-CR"/>
        </w:rPr>
        <w:t>. En efecto, conforme a las declaraciones de</w:t>
      </w:r>
      <w:r>
        <w:rPr>
          <w:sz w:val="16"/>
          <w:lang w:val="es-CR"/>
        </w:rPr>
        <w:t xml:space="preserve"> Helsinki de la Asociación Médica Mundial.</w:t>
      </w:r>
      <w:r w:rsidRPr="00B1523A">
        <w:rPr>
          <w:sz w:val="16"/>
          <w:lang w:val="es-CR"/>
        </w:rPr>
        <w:t xml:space="preserve"> </w:t>
      </w:r>
      <w:r w:rsidRPr="002175A2">
        <w:rPr>
          <w:sz w:val="16"/>
          <w:lang w:val="es-AR"/>
        </w:rPr>
        <w:t>Principios éticos para las investigaciones médicas en seres humanos (59ª Asamblea General, Seúl, Corea, octubre 2008)</w:t>
      </w:r>
      <w:r>
        <w:rPr>
          <w:sz w:val="16"/>
          <w:lang w:val="es-AR"/>
        </w:rPr>
        <w:t xml:space="preserve">, </w:t>
      </w:r>
      <w:r w:rsidRPr="002175A2">
        <w:rPr>
          <w:sz w:val="16"/>
          <w:lang w:val="es-AR"/>
        </w:rPr>
        <w:t xml:space="preserve"> Principio 25</w:t>
      </w:r>
      <w:r>
        <w:rPr>
          <w:sz w:val="16"/>
          <w:lang w:val="es-AR"/>
        </w:rPr>
        <w:t xml:space="preserve"> y de la Declaración </w:t>
      </w:r>
      <w:r w:rsidRPr="002175A2">
        <w:rPr>
          <w:sz w:val="16"/>
          <w:lang w:val="es-AR"/>
        </w:rPr>
        <w:t>de Lisboa de la Asociación Médica Mundial sobre los Derechos del Paciente Adoptada por la 34ª Asamblea Médica Mundial Lisboa, Portugal, Septiembre/Octubre 1981 y enmendada por la 47ª Asamblea General Bali, Indonesia, Septiembre 1995 y revisada su redacción en la 171ª Sesión del Consejo</w:t>
      </w:r>
      <w:r>
        <w:rPr>
          <w:sz w:val="16"/>
          <w:lang w:val="es-AR"/>
        </w:rPr>
        <w:t>, Santiago, Chile, octubre 2005,</w:t>
      </w:r>
      <w:r w:rsidRPr="002175A2">
        <w:rPr>
          <w:sz w:val="16"/>
          <w:lang w:val="es-AR"/>
        </w:rPr>
        <w:t xml:space="preserve"> Principio 3</w:t>
      </w:r>
      <w:r>
        <w:rPr>
          <w:sz w:val="16"/>
          <w:lang w:val="es-AR"/>
        </w:rPr>
        <w:t xml:space="preserve">. </w:t>
      </w:r>
      <w:r>
        <w:rPr>
          <w:sz w:val="16"/>
          <w:lang w:val="es-CR"/>
        </w:rPr>
        <w:t>S</w:t>
      </w:r>
      <w:r w:rsidRPr="002175A2">
        <w:rPr>
          <w:sz w:val="16"/>
          <w:lang w:val="es-CR"/>
        </w:rPr>
        <w:t>ólo</w:t>
      </w:r>
      <w:r w:rsidRPr="00B1523A">
        <w:rPr>
          <w:sz w:val="16"/>
          <w:lang w:val="es-CR"/>
        </w:rPr>
        <w:t xml:space="preserve"> el paciente </w:t>
      </w:r>
      <w:r w:rsidRPr="002175A2">
        <w:rPr>
          <w:sz w:val="16"/>
          <w:lang w:val="es-CR"/>
        </w:rPr>
        <w:t>podrá</w:t>
      </w:r>
      <w:r w:rsidRPr="00B1523A">
        <w:rPr>
          <w:sz w:val="16"/>
          <w:lang w:val="es-CR"/>
        </w:rPr>
        <w:t>́ acceder a someterse a un acto médico</w:t>
      </w:r>
      <w:r>
        <w:rPr>
          <w:sz w:val="16"/>
          <w:lang w:val="es-CR"/>
        </w:rPr>
        <w:t>.</w:t>
      </w:r>
    </w:p>
  </w:footnote>
  <w:footnote w:id="257">
    <w:p w14:paraId="6B2F8277" w14:textId="4EF01AE0" w:rsidR="003C025E" w:rsidRPr="002570D1" w:rsidRDefault="003C025E" w:rsidP="002570D1">
      <w:pPr>
        <w:pStyle w:val="FootnoteText"/>
        <w:rPr>
          <w:sz w:val="16"/>
          <w:szCs w:val="16"/>
          <w:lang w:val="es-CR"/>
        </w:rPr>
      </w:pPr>
      <w:r w:rsidRPr="002175A2">
        <w:rPr>
          <w:rStyle w:val="FootnoteReference"/>
          <w:sz w:val="16"/>
          <w:szCs w:val="16"/>
        </w:rPr>
        <w:footnoteRef/>
      </w:r>
      <w:r w:rsidRPr="002175A2">
        <w:rPr>
          <w:sz w:val="16"/>
          <w:szCs w:val="16"/>
          <w:lang w:val="es-CR"/>
        </w:rPr>
        <w:t xml:space="preserve"> </w:t>
      </w:r>
      <w:r>
        <w:rPr>
          <w:sz w:val="16"/>
          <w:szCs w:val="16"/>
          <w:lang w:val="es-CR"/>
        </w:rPr>
        <w:t xml:space="preserve">  </w:t>
      </w:r>
      <w:r w:rsidRPr="002175A2">
        <w:rPr>
          <w:i/>
          <w:sz w:val="16"/>
          <w:szCs w:val="16"/>
          <w:lang w:val="es-CR"/>
        </w:rPr>
        <w:t xml:space="preserve">Cfr. </w:t>
      </w:r>
      <w:r w:rsidRPr="002175A2">
        <w:rPr>
          <w:rStyle w:val="Strong"/>
          <w:b w:val="0"/>
          <w:i/>
          <w:color w:val="000000"/>
          <w:sz w:val="16"/>
          <w:szCs w:val="16"/>
          <w:shd w:val="clear" w:color="auto" w:fill="FFFFFF"/>
          <w:lang w:val="es-CR"/>
        </w:rPr>
        <w:t>Caso</w:t>
      </w:r>
      <w:r w:rsidRPr="00826773">
        <w:rPr>
          <w:rStyle w:val="Strong"/>
          <w:i/>
          <w:color w:val="000000"/>
          <w:sz w:val="16"/>
          <w:szCs w:val="16"/>
          <w:shd w:val="clear" w:color="auto" w:fill="FFFFFF"/>
          <w:lang w:val="es-CR"/>
        </w:rPr>
        <w:t xml:space="preserve"> </w:t>
      </w:r>
      <w:r w:rsidRPr="002175A2">
        <w:rPr>
          <w:rStyle w:val="Strong"/>
          <w:b w:val="0"/>
          <w:i/>
          <w:color w:val="000000"/>
          <w:sz w:val="16"/>
          <w:szCs w:val="16"/>
          <w:shd w:val="clear" w:color="auto" w:fill="FFFFFF"/>
          <w:lang w:val="es-CR"/>
        </w:rPr>
        <w:t>I.V</w:t>
      </w:r>
      <w:r w:rsidRPr="00B92B58">
        <w:rPr>
          <w:rStyle w:val="Strong"/>
          <w:b w:val="0"/>
          <w:i/>
          <w:color w:val="000000"/>
          <w:sz w:val="16"/>
          <w:szCs w:val="16"/>
          <w:shd w:val="clear" w:color="auto" w:fill="FFFFFF"/>
          <w:lang w:val="es-CR"/>
        </w:rPr>
        <w:t xml:space="preserve">. Vs. Bolivia, </w:t>
      </w:r>
      <w:r w:rsidRPr="00062586">
        <w:rPr>
          <w:rStyle w:val="Strong"/>
          <w:b w:val="0"/>
          <w:i/>
          <w:color w:val="000000"/>
          <w:sz w:val="16"/>
          <w:szCs w:val="16"/>
          <w:shd w:val="clear" w:color="auto" w:fill="FFFFFF"/>
          <w:lang w:val="es-CR"/>
        </w:rPr>
        <w:t>supra</w:t>
      </w:r>
      <w:r w:rsidRPr="00B92B58">
        <w:rPr>
          <w:rStyle w:val="Strong"/>
          <w:b w:val="0"/>
          <w:i/>
          <w:color w:val="000000"/>
          <w:sz w:val="16"/>
          <w:szCs w:val="16"/>
          <w:shd w:val="clear" w:color="auto" w:fill="FFFFFF"/>
          <w:lang w:val="es-CR"/>
        </w:rPr>
        <w:t xml:space="preserve">, </w:t>
      </w:r>
      <w:r w:rsidRPr="00B92B58">
        <w:rPr>
          <w:rStyle w:val="Strong"/>
          <w:b w:val="0"/>
          <w:color w:val="000000"/>
          <w:sz w:val="16"/>
          <w:szCs w:val="16"/>
          <w:shd w:val="clear" w:color="auto" w:fill="FFFFFF"/>
          <w:lang w:val="es-CR"/>
        </w:rPr>
        <w:t>párr. 189.</w:t>
      </w:r>
    </w:p>
  </w:footnote>
  <w:footnote w:id="258">
    <w:p w14:paraId="6207BDD4" w14:textId="347AB8E3" w:rsidR="003C025E" w:rsidRPr="00B1523A" w:rsidRDefault="003C025E">
      <w:pPr>
        <w:pStyle w:val="FootnoteText"/>
        <w:rPr>
          <w:sz w:val="16"/>
        </w:rPr>
      </w:pPr>
      <w:r w:rsidRPr="00B1523A">
        <w:rPr>
          <w:rStyle w:val="FootnoteReference"/>
          <w:sz w:val="16"/>
          <w:szCs w:val="16"/>
        </w:rPr>
        <w:footnoteRef/>
      </w:r>
      <w:r>
        <w:t xml:space="preserve">  </w:t>
      </w:r>
      <w:r w:rsidRPr="00B1523A">
        <w:rPr>
          <w:i/>
          <w:sz w:val="16"/>
        </w:rPr>
        <w:t>Cfr</w:t>
      </w:r>
      <w:r>
        <w:rPr>
          <w:i/>
        </w:rPr>
        <w:t xml:space="preserve">. </w:t>
      </w:r>
      <w:r>
        <w:rPr>
          <w:sz w:val="16"/>
        </w:rPr>
        <w:t xml:space="preserve">Declaración rendida ante fedatario público por </w:t>
      </w:r>
      <w:proofErr w:type="spellStart"/>
      <w:r>
        <w:rPr>
          <w:sz w:val="16"/>
        </w:rPr>
        <w:t>Cesia</w:t>
      </w:r>
      <w:proofErr w:type="spellEnd"/>
      <w:r>
        <w:rPr>
          <w:sz w:val="16"/>
        </w:rPr>
        <w:t xml:space="preserve"> Leila Siria Poblete Tapia el 6 de octubre de 2017 (expediente de prueba, f. 4465); Declaración rendida ante fedatario público por Alejandra Marcela Fuentes Poblete el 6 de octubre de 2017 (expediente de prueba, f. 4472);  Declaración del señor Vinicio Marco Antonio Poblete Tapia ante la Corte en la audiencia pública el 19 de octubre de 2017, supra, págs. 5, 6. 8 y 14).</w:t>
      </w:r>
    </w:p>
  </w:footnote>
  <w:footnote w:id="259">
    <w:p w14:paraId="25FA551D" w14:textId="4E809E8A" w:rsidR="003C025E" w:rsidRPr="00F569D7" w:rsidRDefault="003C025E" w:rsidP="00E03C26">
      <w:pPr>
        <w:rPr>
          <w:rFonts w:ascii="Calibri" w:eastAsia="Calibri" w:hAnsi="Calibri"/>
          <w:b/>
        </w:rPr>
      </w:pPr>
      <w:r w:rsidRPr="00B1523A">
        <w:rPr>
          <w:rStyle w:val="FootnoteReference"/>
          <w:sz w:val="16"/>
          <w:szCs w:val="16"/>
          <w:lang w:val="es-ES_tradnl" w:eastAsia="x-none"/>
        </w:rPr>
        <w:footnoteRef/>
      </w:r>
      <w:r w:rsidRPr="00F569D7">
        <w:t xml:space="preserve"> </w:t>
      </w:r>
      <w:r>
        <w:t xml:space="preserve">  </w:t>
      </w:r>
      <w:r w:rsidRPr="00B1523A">
        <w:rPr>
          <w:rFonts w:eastAsia="Calibri"/>
          <w:sz w:val="16"/>
          <w:szCs w:val="16"/>
        </w:rPr>
        <w:t>Código de Ética</w:t>
      </w:r>
      <w:r>
        <w:rPr>
          <w:rFonts w:eastAsia="Calibri"/>
          <w:sz w:val="16"/>
          <w:szCs w:val="16"/>
        </w:rPr>
        <w:t>, Colegio Médico de Chile A.G, Reimpresión 2013, Artículo 27 (Actualizado en 2013)</w:t>
      </w:r>
      <w:r w:rsidRPr="00B1523A">
        <w:rPr>
          <w:rFonts w:eastAsia="Calibri"/>
          <w:sz w:val="16"/>
          <w:szCs w:val="16"/>
        </w:rPr>
        <w:t>: "Si el paciente no estuviese en condiciones de dar su consentimiento por ser menor de edad, por estar incapacitado o por la urgencia de la situación, y no es posible obtenerlo de su familia, el medico deberá prestar los cuidados que le dicte su conciencia profesional. La opinión del menor de edad deberá ser considerada, atendiendo a su edad y grado de madurez</w:t>
      </w:r>
      <w:r>
        <w:rPr>
          <w:rFonts w:eastAsia="Calibri"/>
          <w:sz w:val="16"/>
          <w:szCs w:val="16"/>
        </w:rPr>
        <w:t>”.</w:t>
      </w:r>
      <w:r w:rsidRPr="00B1523A">
        <w:rPr>
          <w:rFonts w:eastAsia="Calibri"/>
          <w:sz w:val="16"/>
          <w:szCs w:val="16"/>
        </w:rPr>
        <w:t xml:space="preserve"> </w:t>
      </w:r>
      <w:r w:rsidRPr="00B1523A">
        <w:rPr>
          <w:rFonts w:eastAsia="Calibri" w:cs="Arial"/>
          <w:sz w:val="16"/>
          <w:szCs w:val="16"/>
        </w:rPr>
        <w:t> </w:t>
      </w:r>
      <w:r>
        <w:rPr>
          <w:rFonts w:eastAsia="Calibri" w:cs="Arial"/>
          <w:sz w:val="16"/>
          <w:szCs w:val="16"/>
        </w:rPr>
        <w:t>Artículo 28 (Actualizado en 2013):</w:t>
      </w:r>
      <w:r w:rsidRPr="00B1523A">
        <w:rPr>
          <w:rFonts w:eastAsia="Calibri"/>
          <w:sz w:val="16"/>
          <w:szCs w:val="16"/>
        </w:rPr>
        <w:t xml:space="preserve"> "El derecho del paciente a rechazar total o parcialmente una prueba diagnóstica o un tratamiento deberá ser respetado, debiendo el médico, en todo caso, informar al paciente, de manera comprensible, las consecuencias que puedan derivarse de su negativo En esta circunstancia, el facultativo no</w:t>
      </w:r>
      <w:r w:rsidRPr="00B1523A">
        <w:rPr>
          <w:rFonts w:ascii="Calibri" w:eastAsia="Calibri" w:hAnsi="Calibri"/>
        </w:rPr>
        <w:t xml:space="preserve"> </w:t>
      </w:r>
      <w:r w:rsidRPr="00B1523A">
        <w:rPr>
          <w:rFonts w:eastAsia="Calibri"/>
          <w:sz w:val="16"/>
          <w:szCs w:val="16"/>
        </w:rPr>
        <w:t xml:space="preserve">abandonará al enfermo, debiendo procurar que se le presten los cuidados generales necesarios. En casos de urgencia médica impostergable, el medico actuará en conciencia, protegiendo el derecho a la vida del paciente". </w:t>
      </w:r>
      <w:r>
        <w:rPr>
          <w:rFonts w:eastAsia="Calibri"/>
          <w:sz w:val="16"/>
          <w:szCs w:val="16"/>
        </w:rPr>
        <w:t xml:space="preserve"> Ministerio de Salud, Subsecretaría de Salud Pública, </w:t>
      </w:r>
      <w:r w:rsidRPr="00B1523A">
        <w:rPr>
          <w:rFonts w:eastAsia="Calibri"/>
          <w:bCs/>
          <w:sz w:val="16"/>
          <w:szCs w:val="16"/>
        </w:rPr>
        <w:t>Ley 20584</w:t>
      </w:r>
      <w:r>
        <w:rPr>
          <w:rFonts w:eastAsia="Calibri"/>
          <w:bCs/>
          <w:sz w:val="16"/>
          <w:szCs w:val="16"/>
        </w:rPr>
        <w:t xml:space="preserve"> de 24 de abril de 2012. </w:t>
      </w:r>
      <w:r>
        <w:rPr>
          <w:rFonts w:eastAsia="Calibri"/>
          <w:sz w:val="16"/>
          <w:szCs w:val="16"/>
        </w:rPr>
        <w:t>R</w:t>
      </w:r>
      <w:r w:rsidRPr="00B1523A">
        <w:rPr>
          <w:rFonts w:eastAsia="Calibri"/>
          <w:sz w:val="16"/>
          <w:szCs w:val="16"/>
        </w:rPr>
        <w:t>egula los derechos y deberes que las personas tienen en relación con acciones vinculadas a su atención de salud</w:t>
      </w:r>
      <w:r>
        <w:rPr>
          <w:rFonts w:eastAsia="Calibri"/>
          <w:sz w:val="16"/>
          <w:szCs w:val="16"/>
        </w:rPr>
        <w:t xml:space="preserve">. Artículo 10: </w:t>
      </w:r>
      <w:r w:rsidRPr="00B1523A">
        <w:rPr>
          <w:rFonts w:eastAsia="Calibri"/>
          <w:sz w:val="16"/>
          <w:szCs w:val="16"/>
        </w:rPr>
        <w:t>Tratándose de atenciones médicas de emergencia o urgencia, es decir, de aquellas en que la falta de intervención inmediata e impostergable implique un riesgo vital o secuela funcional grave para la persona y ella no esté en condiciones de recibir y comprender la información, ésta será proporcionada a su representante o a la persona a cuyo cuidado se encuentre, velando porque se limite a la situación descrita. Sin perjuicio de lo anterior, la persona deberá ser informada, de acuerdo con lo indicado en los incisos precedentes, cuando a juicio del médico tratante las condiciones en que se encuentre lo permitan, siempre que ello no ponga en riesgo su vida. La imposibilidad de entregar la información no podrá, en ningún caso</w:t>
      </w:r>
      <w:r>
        <w:rPr>
          <w:rFonts w:eastAsia="Calibri"/>
          <w:sz w:val="16"/>
          <w:szCs w:val="16"/>
        </w:rPr>
        <w:t xml:space="preserve"> dilatar o posponer la atención de salud de emergencia o urgencia</w:t>
      </w:r>
      <w:r w:rsidRPr="00B1523A">
        <w:rPr>
          <w:rFonts w:eastAsia="Calibri"/>
          <w:sz w:val="16"/>
          <w:szCs w:val="16"/>
        </w:rPr>
        <w:t>.</w:t>
      </w:r>
      <w:r>
        <w:rPr>
          <w:rFonts w:eastAsia="Calibri"/>
          <w:sz w:val="16"/>
          <w:szCs w:val="16"/>
        </w:rPr>
        <w:t xml:space="preserve"> Ministerio de Salud, Subsecretaría de Redes Asistenciales, </w:t>
      </w:r>
      <w:r w:rsidRPr="00B1523A">
        <w:rPr>
          <w:rFonts w:eastAsia="Calibri"/>
          <w:bCs/>
          <w:sz w:val="16"/>
          <w:szCs w:val="16"/>
        </w:rPr>
        <w:t>Decreto No 31</w:t>
      </w:r>
      <w:r>
        <w:rPr>
          <w:rFonts w:eastAsia="Calibri"/>
          <w:bCs/>
          <w:sz w:val="16"/>
          <w:szCs w:val="16"/>
        </w:rPr>
        <w:t xml:space="preserve"> de 26 de noviembre de 2012</w:t>
      </w:r>
      <w:r>
        <w:rPr>
          <w:rFonts w:eastAsia="Calibri"/>
          <w:sz w:val="16"/>
          <w:szCs w:val="16"/>
        </w:rPr>
        <w:t>.</w:t>
      </w:r>
      <w:r w:rsidRPr="00B1523A">
        <w:rPr>
          <w:rFonts w:eastAsia="Calibri"/>
          <w:sz w:val="16"/>
          <w:szCs w:val="16"/>
        </w:rPr>
        <w:t xml:space="preserve"> </w:t>
      </w:r>
      <w:r>
        <w:rPr>
          <w:rFonts w:eastAsia="Calibri"/>
          <w:sz w:val="16"/>
          <w:szCs w:val="16"/>
        </w:rPr>
        <w:t>A</w:t>
      </w:r>
      <w:r w:rsidRPr="00B1523A">
        <w:rPr>
          <w:rFonts w:eastAsia="Calibri"/>
          <w:sz w:val="16"/>
          <w:szCs w:val="16"/>
        </w:rPr>
        <w:t>prueba Reglamento sobre entrega de información y expresión de consentimiento informado en las atenciones de salud</w:t>
      </w:r>
      <w:r w:rsidRPr="00B1523A">
        <w:rPr>
          <w:rFonts w:ascii="Calibri" w:eastAsia="Calibri" w:hAnsi="Calibri"/>
        </w:rPr>
        <w:t xml:space="preserve">. </w:t>
      </w:r>
      <w:r>
        <w:rPr>
          <w:rFonts w:eastAsia="Calibri"/>
          <w:sz w:val="16"/>
          <w:szCs w:val="16"/>
        </w:rPr>
        <w:t>A</w:t>
      </w:r>
      <w:r w:rsidRPr="00B1523A">
        <w:rPr>
          <w:rFonts w:eastAsia="Calibri"/>
          <w:sz w:val="16"/>
          <w:szCs w:val="16"/>
        </w:rPr>
        <w:t>rtículo 4</w:t>
      </w:r>
      <w:r>
        <w:rPr>
          <w:rFonts w:eastAsia="Calibri"/>
          <w:sz w:val="16"/>
          <w:szCs w:val="16"/>
        </w:rPr>
        <w:t xml:space="preserve">: </w:t>
      </w:r>
      <w:proofErr w:type="gramStart"/>
      <w:r>
        <w:rPr>
          <w:rFonts w:eastAsia="Calibri"/>
          <w:sz w:val="16"/>
          <w:szCs w:val="16"/>
        </w:rPr>
        <w:t>“</w:t>
      </w:r>
      <w:r w:rsidRPr="00B1523A">
        <w:rPr>
          <w:rFonts w:eastAsia="Calibri"/>
          <w:sz w:val="16"/>
          <w:szCs w:val="16"/>
        </w:rPr>
        <w:t xml:space="preserve"> si</w:t>
      </w:r>
      <w:proofErr w:type="gramEnd"/>
      <w:r w:rsidRPr="00B1523A">
        <w:rPr>
          <w:rFonts w:eastAsia="Calibri"/>
          <w:sz w:val="16"/>
          <w:szCs w:val="16"/>
        </w:rPr>
        <w:t xml:space="preserve"> el afectado, a juicio del profesional que lo está atendiendo, no está en condiciones de recibir directamente la información sobre su estado de salud, por motivos tales como de orden emocional o si tiene dificultades para entender o presenta alteración de la conciencia, la información deberá ser entregada a su representante legal y, a falta de este, a la persona a cuyo cuidado se encuentre. Sin perjuicio de ello, una vez que recupere su capacidad de comprender, si ello ocurre, se le proporcionara esta información directamente a él. Igual procedimiento se adoptará en situaciones de urgencia o emergencia médica, es decir, cuando la falta de atención inmediata signifique riesgo vital para el afectado o una secuela funcional grave y la persona no esté en condiciones de recibir y comprender la información. En estos casos la información proporcionada se limitará a la situación de que se trata</w:t>
      </w:r>
      <w:r>
        <w:rPr>
          <w:rFonts w:eastAsia="Calibri"/>
          <w:sz w:val="16"/>
          <w:szCs w:val="16"/>
        </w:rPr>
        <w:t>”</w:t>
      </w:r>
      <w:r w:rsidRPr="00B1523A">
        <w:rPr>
          <w:rFonts w:eastAsia="Calibri"/>
          <w:sz w:val="16"/>
          <w:szCs w:val="16"/>
        </w:rPr>
        <w:t>.</w:t>
      </w:r>
    </w:p>
  </w:footnote>
  <w:footnote w:id="260">
    <w:p w14:paraId="3A74698B" w14:textId="4BDFCB0A" w:rsidR="003C025E" w:rsidRPr="00B1523A" w:rsidRDefault="003C025E">
      <w:pPr>
        <w:pStyle w:val="FootnoteText"/>
        <w:rPr>
          <w:sz w:val="16"/>
        </w:rPr>
      </w:pPr>
      <w:r w:rsidRPr="00B1523A">
        <w:rPr>
          <w:rStyle w:val="FootnoteReference"/>
          <w:sz w:val="16"/>
          <w:szCs w:val="16"/>
        </w:rPr>
        <w:footnoteRef/>
      </w:r>
      <w:r>
        <w:rPr>
          <w:sz w:val="16"/>
          <w:szCs w:val="16"/>
        </w:rPr>
        <w:t xml:space="preserve">  </w:t>
      </w:r>
      <w:r w:rsidRPr="00B1523A">
        <w:rPr>
          <w:rStyle w:val="FootnoteReference"/>
          <w:sz w:val="16"/>
          <w:szCs w:val="16"/>
        </w:rPr>
        <w:t xml:space="preserve"> </w:t>
      </w:r>
      <w:r>
        <w:rPr>
          <w:sz w:val="16"/>
        </w:rPr>
        <w:t xml:space="preserve">Contestación del Estado (expediente de fondo, </w:t>
      </w:r>
      <w:proofErr w:type="spellStart"/>
      <w:r>
        <w:rPr>
          <w:sz w:val="16"/>
        </w:rPr>
        <w:t>ff</w:t>
      </w:r>
      <w:proofErr w:type="spellEnd"/>
      <w:r>
        <w:rPr>
          <w:sz w:val="16"/>
        </w:rPr>
        <w:t>. 384 a 386).</w:t>
      </w:r>
    </w:p>
  </w:footnote>
  <w:footnote w:id="261">
    <w:p w14:paraId="18ACF283" w14:textId="478E2723" w:rsidR="003C025E" w:rsidRPr="002450E6" w:rsidRDefault="003C025E" w:rsidP="00E6413F">
      <w:pPr>
        <w:pStyle w:val="FootnoteText"/>
        <w:rPr>
          <w:sz w:val="16"/>
          <w:szCs w:val="16"/>
          <w:lang w:val="es-CR"/>
        </w:rPr>
      </w:pPr>
      <w:r w:rsidRPr="002570D1">
        <w:rPr>
          <w:rStyle w:val="FootnoteReference"/>
          <w:sz w:val="16"/>
          <w:szCs w:val="16"/>
        </w:rPr>
        <w:footnoteRef/>
      </w:r>
      <w:r w:rsidRPr="002570D1">
        <w:rPr>
          <w:sz w:val="16"/>
          <w:szCs w:val="16"/>
          <w:lang w:val="es-CR"/>
        </w:rPr>
        <w:t xml:space="preserve"> </w:t>
      </w:r>
      <w:r>
        <w:rPr>
          <w:sz w:val="16"/>
          <w:szCs w:val="16"/>
          <w:lang w:val="es-CR"/>
        </w:rPr>
        <w:t xml:space="preserve">  </w:t>
      </w:r>
      <w:r w:rsidRPr="002570D1">
        <w:rPr>
          <w:sz w:val="16"/>
          <w:szCs w:val="16"/>
          <w:lang w:val="es-CR"/>
        </w:rPr>
        <w:t xml:space="preserve">Peritaje presentado por Alicia Ely </w:t>
      </w:r>
      <w:proofErr w:type="spellStart"/>
      <w:r w:rsidRPr="002570D1">
        <w:rPr>
          <w:sz w:val="16"/>
          <w:szCs w:val="16"/>
          <w:lang w:val="es-CR"/>
        </w:rPr>
        <w:t>Yemin</w:t>
      </w:r>
      <w:proofErr w:type="spellEnd"/>
      <w:r w:rsidRPr="002570D1">
        <w:rPr>
          <w:sz w:val="16"/>
          <w:szCs w:val="16"/>
          <w:lang w:val="es-CR"/>
        </w:rPr>
        <w:t xml:space="preserve"> </w:t>
      </w:r>
      <w:r>
        <w:rPr>
          <w:sz w:val="16"/>
          <w:szCs w:val="16"/>
          <w:lang w:val="es-CR"/>
        </w:rPr>
        <w:t xml:space="preserve">(expediente de prueba, </w:t>
      </w:r>
      <w:r w:rsidRPr="002570D1">
        <w:rPr>
          <w:sz w:val="16"/>
          <w:szCs w:val="16"/>
          <w:lang w:val="es-CR"/>
        </w:rPr>
        <w:t>f. 761</w:t>
      </w:r>
      <w:r>
        <w:rPr>
          <w:sz w:val="16"/>
          <w:szCs w:val="16"/>
          <w:lang w:val="es-CR"/>
        </w:rPr>
        <w:t>).</w:t>
      </w:r>
      <w:r w:rsidRPr="002570D1">
        <w:rPr>
          <w:sz w:val="16"/>
          <w:szCs w:val="16"/>
          <w:lang w:val="es-CR"/>
        </w:rPr>
        <w:t xml:space="preserve"> </w:t>
      </w:r>
      <w:r w:rsidRPr="002450E6">
        <w:rPr>
          <w:sz w:val="16"/>
          <w:szCs w:val="16"/>
          <w:lang w:val="es-CR"/>
        </w:rPr>
        <w:t xml:space="preserve">El </w:t>
      </w:r>
      <w:r>
        <w:rPr>
          <w:sz w:val="16"/>
          <w:szCs w:val="16"/>
          <w:lang w:val="es-CR"/>
        </w:rPr>
        <w:t>TEDH</w:t>
      </w:r>
      <w:r w:rsidRPr="002450E6">
        <w:rPr>
          <w:sz w:val="16"/>
          <w:szCs w:val="16"/>
          <w:lang w:val="es-CR"/>
        </w:rPr>
        <w:t xml:space="preserve"> ha determinado que de la violación al</w:t>
      </w:r>
      <w:r>
        <w:rPr>
          <w:sz w:val="16"/>
          <w:szCs w:val="16"/>
          <w:lang w:val="es-CR"/>
        </w:rPr>
        <w:t xml:space="preserve"> derecho a prestar consentimiento de</w:t>
      </w:r>
      <w:r w:rsidRPr="002450E6">
        <w:rPr>
          <w:sz w:val="16"/>
          <w:szCs w:val="16"/>
          <w:lang w:val="es-CR"/>
        </w:rPr>
        <w:t xml:space="preserve"> los familiares</w:t>
      </w:r>
      <w:r>
        <w:rPr>
          <w:sz w:val="16"/>
          <w:szCs w:val="16"/>
          <w:lang w:val="es-CR"/>
        </w:rPr>
        <w:t xml:space="preserve">, </w:t>
      </w:r>
      <w:r w:rsidRPr="002450E6">
        <w:rPr>
          <w:sz w:val="16"/>
          <w:szCs w:val="16"/>
          <w:lang w:val="es-CR"/>
        </w:rPr>
        <w:t xml:space="preserve">pueden ver afectados sus derechos derivados de la omisión de brindar información clara y precisa sobre el procedimiento por aplicar al paciente. TEDH, </w:t>
      </w:r>
      <w:r w:rsidRPr="00B1523A">
        <w:rPr>
          <w:i/>
          <w:sz w:val="16"/>
          <w:szCs w:val="16"/>
          <w:lang w:val="es-CR"/>
        </w:rPr>
        <w:t xml:space="preserve">Caso </w:t>
      </w:r>
      <w:proofErr w:type="spellStart"/>
      <w:r w:rsidRPr="00B1523A">
        <w:rPr>
          <w:i/>
          <w:sz w:val="16"/>
          <w:szCs w:val="16"/>
          <w:lang w:val="es-CR"/>
        </w:rPr>
        <w:t>Petrova</w:t>
      </w:r>
      <w:proofErr w:type="spellEnd"/>
      <w:r w:rsidRPr="00B1523A">
        <w:rPr>
          <w:i/>
          <w:sz w:val="16"/>
          <w:szCs w:val="16"/>
          <w:lang w:val="es-CR"/>
        </w:rPr>
        <w:t xml:space="preserve"> Vs. </w:t>
      </w:r>
      <w:proofErr w:type="spellStart"/>
      <w:r w:rsidRPr="00B1523A">
        <w:rPr>
          <w:i/>
          <w:sz w:val="16"/>
          <w:szCs w:val="16"/>
          <w:lang w:val="es-CR"/>
        </w:rPr>
        <w:t>Latvia</w:t>
      </w:r>
      <w:proofErr w:type="spellEnd"/>
      <w:r w:rsidRPr="002570D1">
        <w:rPr>
          <w:sz w:val="16"/>
          <w:szCs w:val="16"/>
          <w:lang w:val="es-CR"/>
        </w:rPr>
        <w:t xml:space="preserve">, No. 4605/05. Sentencia de 24 de junio de 2014, párr. 87. TEDH, </w:t>
      </w:r>
      <w:r w:rsidRPr="00B1523A">
        <w:rPr>
          <w:i/>
          <w:sz w:val="16"/>
          <w:szCs w:val="16"/>
          <w:lang w:val="es-CR"/>
        </w:rPr>
        <w:t xml:space="preserve">Caso </w:t>
      </w:r>
      <w:proofErr w:type="spellStart"/>
      <w:r w:rsidRPr="00B1523A">
        <w:rPr>
          <w:i/>
          <w:sz w:val="16"/>
          <w:szCs w:val="16"/>
          <w:lang w:val="es-CR"/>
        </w:rPr>
        <w:t>Glass</w:t>
      </w:r>
      <w:proofErr w:type="spellEnd"/>
      <w:r w:rsidRPr="00B1523A">
        <w:rPr>
          <w:i/>
          <w:sz w:val="16"/>
          <w:szCs w:val="16"/>
          <w:lang w:val="es-CR"/>
        </w:rPr>
        <w:t xml:space="preserve"> Vs. </w:t>
      </w:r>
      <w:proofErr w:type="spellStart"/>
      <w:r w:rsidRPr="00B1523A">
        <w:rPr>
          <w:i/>
          <w:sz w:val="16"/>
          <w:szCs w:val="16"/>
          <w:lang w:val="es-CR"/>
        </w:rPr>
        <w:t>United</w:t>
      </w:r>
      <w:proofErr w:type="spellEnd"/>
      <w:r w:rsidRPr="00B1523A">
        <w:rPr>
          <w:i/>
          <w:sz w:val="16"/>
          <w:szCs w:val="16"/>
          <w:lang w:val="es-CR"/>
        </w:rPr>
        <w:t xml:space="preserve"> </w:t>
      </w:r>
      <w:proofErr w:type="spellStart"/>
      <w:r w:rsidRPr="00B1523A">
        <w:rPr>
          <w:i/>
          <w:sz w:val="16"/>
          <w:szCs w:val="16"/>
          <w:lang w:val="es-CR"/>
        </w:rPr>
        <w:t>Kingdom</w:t>
      </w:r>
      <w:proofErr w:type="spellEnd"/>
      <w:r w:rsidRPr="002570D1">
        <w:rPr>
          <w:sz w:val="16"/>
          <w:szCs w:val="16"/>
          <w:lang w:val="es-CR"/>
        </w:rPr>
        <w:t xml:space="preserve">, No. 61827/09. Sentencia de 9 de marzo de 2004, párr. 72. </w:t>
      </w:r>
    </w:p>
  </w:footnote>
  <w:footnote w:id="262">
    <w:p w14:paraId="3DE058FE" w14:textId="4CC2F160" w:rsidR="003C025E" w:rsidRPr="002570D1" w:rsidRDefault="003C025E" w:rsidP="00E6413F">
      <w:pPr>
        <w:pStyle w:val="FootnoteText"/>
        <w:rPr>
          <w:sz w:val="16"/>
          <w:szCs w:val="16"/>
          <w:lang w:val="es-CR"/>
        </w:rPr>
      </w:pPr>
      <w:r w:rsidRPr="002570D1">
        <w:rPr>
          <w:rStyle w:val="FootnoteReference"/>
          <w:sz w:val="16"/>
          <w:szCs w:val="16"/>
        </w:rPr>
        <w:footnoteRef/>
      </w:r>
      <w:r w:rsidRPr="002570D1">
        <w:rPr>
          <w:sz w:val="16"/>
          <w:szCs w:val="16"/>
          <w:lang w:val="es-CR"/>
        </w:rPr>
        <w:t xml:space="preserve"> </w:t>
      </w:r>
      <w:r w:rsidRPr="005415CD">
        <w:rPr>
          <w:sz w:val="16"/>
          <w:szCs w:val="16"/>
          <w:lang w:val="es-CR"/>
        </w:rPr>
        <w:t>Convenio para la Protección de los Derechos Humanos y la Dignidad del Ser Humano con respecto a las aplicaciones de la Biología y la Medicina, artículo 6 (4), disponible</w:t>
      </w:r>
      <w:r w:rsidRPr="005415CD">
        <w:rPr>
          <w:sz w:val="16"/>
          <w:szCs w:val="16"/>
        </w:rPr>
        <w:t xml:space="preserve"> en</w:t>
      </w:r>
      <w:r w:rsidRPr="002570D1">
        <w:rPr>
          <w:sz w:val="16"/>
          <w:szCs w:val="16"/>
        </w:rPr>
        <w:t xml:space="preserve">: </w:t>
      </w:r>
      <w:hyperlink r:id="rId7" w:history="1">
        <w:r w:rsidRPr="002570D1">
          <w:rPr>
            <w:rStyle w:val="Hyperlink"/>
            <w:sz w:val="16"/>
            <w:szCs w:val="16"/>
          </w:rPr>
          <w:t>https://www.coe.int/en/web/conventions/full-list/-/conventions/treaty/164</w:t>
        </w:r>
      </w:hyperlink>
      <w:r w:rsidRPr="002570D1">
        <w:rPr>
          <w:sz w:val="16"/>
          <w:szCs w:val="16"/>
        </w:rPr>
        <w:t xml:space="preserve">, </w:t>
      </w:r>
      <w:proofErr w:type="spellStart"/>
      <w:r w:rsidRPr="002570D1">
        <w:rPr>
          <w:sz w:val="16"/>
          <w:szCs w:val="16"/>
        </w:rPr>
        <w:t>Declaration</w:t>
      </w:r>
      <w:proofErr w:type="spellEnd"/>
      <w:r w:rsidRPr="002570D1">
        <w:rPr>
          <w:sz w:val="16"/>
          <w:szCs w:val="16"/>
        </w:rPr>
        <w:t xml:space="preserve"> </w:t>
      </w:r>
      <w:proofErr w:type="spellStart"/>
      <w:r w:rsidRPr="002570D1">
        <w:rPr>
          <w:sz w:val="16"/>
          <w:szCs w:val="16"/>
        </w:rPr>
        <w:t>on</w:t>
      </w:r>
      <w:proofErr w:type="spellEnd"/>
      <w:r w:rsidRPr="002570D1">
        <w:rPr>
          <w:sz w:val="16"/>
          <w:szCs w:val="16"/>
        </w:rPr>
        <w:t xml:space="preserve"> </w:t>
      </w:r>
      <w:proofErr w:type="spellStart"/>
      <w:r w:rsidRPr="002570D1">
        <w:rPr>
          <w:sz w:val="16"/>
          <w:szCs w:val="16"/>
        </w:rPr>
        <w:t>the</w:t>
      </w:r>
      <w:proofErr w:type="spellEnd"/>
      <w:r w:rsidRPr="002570D1">
        <w:rPr>
          <w:sz w:val="16"/>
          <w:szCs w:val="16"/>
        </w:rPr>
        <w:t xml:space="preserve"> </w:t>
      </w:r>
      <w:proofErr w:type="spellStart"/>
      <w:r w:rsidRPr="002570D1">
        <w:rPr>
          <w:sz w:val="16"/>
          <w:szCs w:val="16"/>
        </w:rPr>
        <w:t>promotion</w:t>
      </w:r>
      <w:proofErr w:type="spellEnd"/>
      <w:r w:rsidRPr="002570D1">
        <w:rPr>
          <w:sz w:val="16"/>
          <w:szCs w:val="16"/>
        </w:rPr>
        <w:t xml:space="preserve"> of </w:t>
      </w:r>
      <w:proofErr w:type="spellStart"/>
      <w:r w:rsidRPr="002570D1">
        <w:rPr>
          <w:sz w:val="16"/>
          <w:szCs w:val="16"/>
        </w:rPr>
        <w:t>patient´s</w:t>
      </w:r>
      <w:proofErr w:type="spellEnd"/>
      <w:r w:rsidRPr="002570D1">
        <w:rPr>
          <w:sz w:val="16"/>
          <w:szCs w:val="16"/>
        </w:rPr>
        <w:t xml:space="preserve"> </w:t>
      </w:r>
      <w:proofErr w:type="spellStart"/>
      <w:r w:rsidRPr="002570D1">
        <w:rPr>
          <w:sz w:val="16"/>
          <w:szCs w:val="16"/>
        </w:rPr>
        <w:t>rights</w:t>
      </w:r>
      <w:proofErr w:type="spellEnd"/>
      <w:r w:rsidRPr="002570D1">
        <w:rPr>
          <w:sz w:val="16"/>
          <w:szCs w:val="16"/>
        </w:rPr>
        <w:t xml:space="preserve"> in </w:t>
      </w:r>
      <w:proofErr w:type="spellStart"/>
      <w:r w:rsidRPr="002570D1">
        <w:rPr>
          <w:sz w:val="16"/>
          <w:szCs w:val="16"/>
        </w:rPr>
        <w:t>Europe</w:t>
      </w:r>
      <w:proofErr w:type="spellEnd"/>
      <w:r w:rsidRPr="002570D1">
        <w:rPr>
          <w:sz w:val="16"/>
          <w:szCs w:val="16"/>
        </w:rPr>
        <w:t xml:space="preserve">, WHO Regional Office </w:t>
      </w:r>
      <w:proofErr w:type="spellStart"/>
      <w:r w:rsidRPr="002570D1">
        <w:rPr>
          <w:sz w:val="16"/>
          <w:szCs w:val="16"/>
        </w:rPr>
        <w:t>for</w:t>
      </w:r>
      <w:proofErr w:type="spellEnd"/>
      <w:r w:rsidRPr="002570D1">
        <w:rPr>
          <w:sz w:val="16"/>
          <w:szCs w:val="16"/>
        </w:rPr>
        <w:t xml:space="preserve"> </w:t>
      </w:r>
      <w:proofErr w:type="spellStart"/>
      <w:r w:rsidRPr="002570D1">
        <w:rPr>
          <w:sz w:val="16"/>
          <w:szCs w:val="16"/>
        </w:rPr>
        <w:t>Europe</w:t>
      </w:r>
      <w:proofErr w:type="spellEnd"/>
      <w:r w:rsidRPr="002570D1">
        <w:rPr>
          <w:sz w:val="16"/>
          <w:szCs w:val="16"/>
        </w:rPr>
        <w:t xml:space="preserve">, 1994,  3.4 y </w:t>
      </w:r>
      <w:r w:rsidRPr="002570D1">
        <w:rPr>
          <w:sz w:val="16"/>
          <w:szCs w:val="16"/>
          <w:lang w:val="es-AR"/>
        </w:rPr>
        <w:t xml:space="preserve">ONU, Informe del Relator Especial sobre el derecho de toda persona al disfrute del más alto nivel posible de salud física y mental, </w:t>
      </w:r>
      <w:proofErr w:type="spellStart"/>
      <w:r w:rsidRPr="002570D1">
        <w:rPr>
          <w:sz w:val="16"/>
          <w:szCs w:val="16"/>
          <w:lang w:val="es-AR"/>
        </w:rPr>
        <w:t>Anand</w:t>
      </w:r>
      <w:proofErr w:type="spellEnd"/>
      <w:r w:rsidRPr="002570D1">
        <w:rPr>
          <w:sz w:val="16"/>
          <w:szCs w:val="16"/>
          <w:lang w:val="es-AR"/>
        </w:rPr>
        <w:t xml:space="preserve"> </w:t>
      </w:r>
      <w:proofErr w:type="spellStart"/>
      <w:r w:rsidRPr="002570D1">
        <w:rPr>
          <w:sz w:val="16"/>
          <w:szCs w:val="16"/>
          <w:lang w:val="es-AR"/>
        </w:rPr>
        <w:t>Grover</w:t>
      </w:r>
      <w:proofErr w:type="spellEnd"/>
      <w:r w:rsidRPr="002570D1">
        <w:rPr>
          <w:sz w:val="16"/>
          <w:szCs w:val="16"/>
          <w:lang w:val="es-AR"/>
        </w:rPr>
        <w:t xml:space="preserve">, presentado de conformidad con la resolución 6/29 del Consejo de Derechos Humanos, A/64/272 de 10 de agosto de 2009, resumen. Disponible en: </w:t>
      </w:r>
      <w:hyperlink r:id="rId8" w:history="1">
        <w:r w:rsidRPr="002570D1">
          <w:rPr>
            <w:rStyle w:val="Hyperlink"/>
            <w:sz w:val="16"/>
            <w:szCs w:val="16"/>
            <w:lang w:val="es-AR"/>
          </w:rPr>
          <w:t>https://documents-dds-ny.un.org/doc/UNDOC/GEN/N09/450/90/PDF/N0945090.pdf?OpenElement</w:t>
        </w:r>
      </w:hyperlink>
      <w:r w:rsidRPr="002570D1">
        <w:rPr>
          <w:sz w:val="16"/>
          <w:szCs w:val="16"/>
          <w:lang w:val="es-AR"/>
        </w:rPr>
        <w:t xml:space="preserve">. </w:t>
      </w:r>
    </w:p>
  </w:footnote>
  <w:footnote w:id="263">
    <w:p w14:paraId="674FBC64" w14:textId="557C2D5A" w:rsidR="003C025E" w:rsidRPr="002450E6" w:rsidRDefault="003C025E" w:rsidP="00E6413F">
      <w:pPr>
        <w:pStyle w:val="FootnoteText"/>
        <w:rPr>
          <w:sz w:val="16"/>
          <w:szCs w:val="16"/>
          <w:lang w:val="es-CR"/>
        </w:rPr>
      </w:pPr>
      <w:r w:rsidRPr="002570D1">
        <w:rPr>
          <w:rStyle w:val="FootnoteReference"/>
          <w:sz w:val="16"/>
          <w:szCs w:val="16"/>
        </w:rPr>
        <w:footnoteRef/>
      </w:r>
      <w:r w:rsidRPr="006B458C">
        <w:rPr>
          <w:sz w:val="16"/>
          <w:szCs w:val="16"/>
          <w:lang w:val="es-CR"/>
        </w:rPr>
        <w:t xml:space="preserve"> </w:t>
      </w:r>
      <w:r>
        <w:rPr>
          <w:sz w:val="16"/>
          <w:szCs w:val="16"/>
          <w:lang w:val="es-CR"/>
        </w:rPr>
        <w:t xml:space="preserve">  </w:t>
      </w:r>
      <w:r w:rsidRPr="006B458C">
        <w:rPr>
          <w:i/>
          <w:sz w:val="16"/>
          <w:szCs w:val="16"/>
          <w:lang w:val="es-CR"/>
        </w:rPr>
        <w:t>Cfr.</w:t>
      </w:r>
      <w:r w:rsidRPr="006B458C">
        <w:rPr>
          <w:sz w:val="16"/>
          <w:szCs w:val="16"/>
          <w:lang w:val="es-CR"/>
        </w:rPr>
        <w:t xml:space="preserve"> </w:t>
      </w:r>
      <w:r w:rsidRPr="006B458C">
        <w:rPr>
          <w:rStyle w:val="Strong"/>
          <w:b w:val="0"/>
          <w:i/>
          <w:color w:val="000000"/>
          <w:sz w:val="16"/>
          <w:szCs w:val="16"/>
          <w:shd w:val="clear" w:color="auto" w:fill="FFFFFF"/>
          <w:lang w:val="es-CR"/>
        </w:rPr>
        <w:t xml:space="preserve">Caso I.V. Vs. Bolivia, supra, </w:t>
      </w:r>
      <w:r w:rsidRPr="006B458C">
        <w:rPr>
          <w:rStyle w:val="Strong"/>
          <w:b w:val="0"/>
          <w:color w:val="000000"/>
          <w:sz w:val="16"/>
          <w:szCs w:val="16"/>
          <w:shd w:val="clear" w:color="auto" w:fill="FFFFFF"/>
          <w:lang w:val="es-CR"/>
        </w:rPr>
        <w:t>párr. 177</w:t>
      </w:r>
      <w:r>
        <w:rPr>
          <w:sz w:val="16"/>
          <w:szCs w:val="16"/>
          <w:lang w:val="es-CR"/>
        </w:rPr>
        <w:t>.</w:t>
      </w:r>
    </w:p>
  </w:footnote>
  <w:footnote w:id="264">
    <w:p w14:paraId="072F43D7" w14:textId="46B6E97E" w:rsidR="003C025E" w:rsidRPr="007E5CD5" w:rsidRDefault="003C025E" w:rsidP="00AA65C5">
      <w:pPr>
        <w:pStyle w:val="FootnoteText"/>
        <w:rPr>
          <w:sz w:val="16"/>
        </w:rPr>
      </w:pPr>
      <w:r w:rsidRPr="00E4433C">
        <w:rPr>
          <w:rStyle w:val="FootnoteReference"/>
          <w:rFonts w:eastAsia="MS ????"/>
          <w:sz w:val="16"/>
        </w:rPr>
        <w:footnoteRef/>
      </w:r>
      <w:r>
        <w:rPr>
          <w:sz w:val="16"/>
        </w:rPr>
        <w:t xml:space="preserve">  </w:t>
      </w:r>
      <w:r w:rsidRPr="00E4433C">
        <w:rPr>
          <w:sz w:val="16"/>
        </w:rPr>
        <w:t xml:space="preserve"> </w:t>
      </w:r>
      <w:r>
        <w:rPr>
          <w:sz w:val="16"/>
        </w:rPr>
        <w:t xml:space="preserve">Declaración del perito Dr. Javier Alejandro Santos, especialista en geriatría y gerontología, en Audiencia del Caso Poblete Vilches Vs. Chile, en fecha 19 de octubre de 2017, en la ciudad de Panamá, Panamá, pág. 53. De </w:t>
      </w:r>
      <w:r w:rsidRPr="00AA65C5">
        <w:rPr>
          <w:sz w:val="16"/>
        </w:rPr>
        <w:t xml:space="preserve">conformidad con el peritaje del Dr. Santos, se trataba de una intervención necesaria que se debía realizar. </w:t>
      </w:r>
      <w:r>
        <w:rPr>
          <w:sz w:val="16"/>
        </w:rPr>
        <w:t xml:space="preserve"> “</w:t>
      </w:r>
      <w:r w:rsidRPr="007E5CD5">
        <w:rPr>
          <w:sz w:val="16"/>
        </w:rPr>
        <w:t xml:space="preserve">Evidentemente urgente no fue porque se realiza a las 48 horas, o sea, que el paciente no urgió, sí, la necesidad de esa práctica quirúrgica”. </w:t>
      </w:r>
      <w:r>
        <w:rPr>
          <w:sz w:val="16"/>
        </w:rPr>
        <w:t xml:space="preserve"> […] “</w:t>
      </w:r>
      <w:r w:rsidRPr="007E5CD5">
        <w:rPr>
          <w:sz w:val="16"/>
        </w:rPr>
        <w:t>Sí, como rutina, como control de rutina en un paciente que ingresa por un edema en el pulmón, coronario, es algo que se debe hacer</w:t>
      </w:r>
      <w:r>
        <w:rPr>
          <w:sz w:val="16"/>
        </w:rPr>
        <w:t>”</w:t>
      </w:r>
      <w:r w:rsidRPr="007E5CD5">
        <w:rPr>
          <w:sz w:val="16"/>
        </w:rPr>
        <w:t>.</w:t>
      </w:r>
    </w:p>
  </w:footnote>
  <w:footnote w:id="265">
    <w:p w14:paraId="2A16FDB2" w14:textId="3F2722D1" w:rsidR="003C025E" w:rsidRPr="00B92B58" w:rsidRDefault="003C025E" w:rsidP="00762119">
      <w:pPr>
        <w:pStyle w:val="FootnoteText"/>
        <w:rPr>
          <w:sz w:val="16"/>
          <w:szCs w:val="16"/>
          <w:lang w:val="es-CR"/>
        </w:rPr>
      </w:pPr>
      <w:r w:rsidRPr="00B92B58">
        <w:rPr>
          <w:rStyle w:val="FootnoteReference"/>
          <w:sz w:val="16"/>
          <w:szCs w:val="16"/>
        </w:rPr>
        <w:footnoteRef/>
      </w:r>
      <w:r w:rsidRPr="00B92B58">
        <w:rPr>
          <w:sz w:val="16"/>
          <w:szCs w:val="16"/>
          <w:lang w:val="es-CR"/>
        </w:rPr>
        <w:t xml:space="preserve"> </w:t>
      </w:r>
      <w:r>
        <w:rPr>
          <w:sz w:val="16"/>
          <w:szCs w:val="16"/>
          <w:lang w:val="es-CR"/>
        </w:rPr>
        <w:t xml:space="preserve">   </w:t>
      </w:r>
      <w:r w:rsidRPr="00062586">
        <w:rPr>
          <w:i/>
          <w:sz w:val="16"/>
          <w:szCs w:val="16"/>
          <w:lang w:val="es-CR"/>
        </w:rPr>
        <w:t>Cfr.</w:t>
      </w:r>
      <w:r w:rsidRPr="00B92B58">
        <w:rPr>
          <w:i/>
          <w:sz w:val="16"/>
          <w:szCs w:val="16"/>
          <w:lang w:val="es-CR"/>
        </w:rPr>
        <w:t xml:space="preserve"> </w:t>
      </w:r>
      <w:r w:rsidRPr="00B92B58">
        <w:rPr>
          <w:bCs/>
          <w:i/>
          <w:color w:val="000000"/>
          <w:sz w:val="16"/>
          <w:szCs w:val="16"/>
          <w:lang w:val="es-CR"/>
        </w:rPr>
        <w:t xml:space="preserve">Caso </w:t>
      </w:r>
      <w:proofErr w:type="spellStart"/>
      <w:r w:rsidRPr="00B92B58">
        <w:rPr>
          <w:bCs/>
          <w:i/>
          <w:color w:val="000000"/>
          <w:sz w:val="16"/>
          <w:szCs w:val="16"/>
          <w:lang w:val="es-CR"/>
        </w:rPr>
        <w:t>Atala</w:t>
      </w:r>
      <w:proofErr w:type="spellEnd"/>
      <w:r w:rsidRPr="00B92B58">
        <w:rPr>
          <w:bCs/>
          <w:i/>
          <w:color w:val="000000"/>
          <w:sz w:val="16"/>
          <w:szCs w:val="16"/>
          <w:lang w:val="es-CR"/>
        </w:rPr>
        <w:t xml:space="preserve"> </w:t>
      </w:r>
      <w:proofErr w:type="spellStart"/>
      <w:r w:rsidRPr="00B92B58">
        <w:rPr>
          <w:bCs/>
          <w:i/>
          <w:color w:val="000000"/>
          <w:sz w:val="16"/>
          <w:szCs w:val="16"/>
          <w:lang w:val="es-CR"/>
        </w:rPr>
        <w:t>Riffo</w:t>
      </w:r>
      <w:proofErr w:type="spellEnd"/>
      <w:r w:rsidRPr="00B92B58">
        <w:rPr>
          <w:bCs/>
          <w:i/>
          <w:color w:val="000000"/>
          <w:sz w:val="16"/>
          <w:szCs w:val="16"/>
          <w:lang w:val="es-CR"/>
        </w:rPr>
        <w:t xml:space="preserve"> y Niñas Vs. Chile</w:t>
      </w:r>
      <w:r>
        <w:rPr>
          <w:bCs/>
          <w:i/>
          <w:color w:val="000000"/>
          <w:sz w:val="16"/>
          <w:szCs w:val="16"/>
          <w:lang w:val="es-CR"/>
        </w:rPr>
        <w:t xml:space="preserve">, </w:t>
      </w:r>
      <w:r w:rsidRPr="00062586">
        <w:rPr>
          <w:rStyle w:val="Strong"/>
          <w:b w:val="0"/>
          <w:i/>
          <w:color w:val="000000"/>
          <w:sz w:val="16"/>
          <w:szCs w:val="16"/>
          <w:shd w:val="clear" w:color="auto" w:fill="FFFFFF"/>
          <w:lang w:val="es-CR"/>
        </w:rPr>
        <w:t>supra</w:t>
      </w:r>
      <w:r w:rsidRPr="00B92B58">
        <w:rPr>
          <w:rStyle w:val="Strong"/>
          <w:b w:val="0"/>
          <w:i/>
          <w:color w:val="000000"/>
          <w:sz w:val="16"/>
          <w:szCs w:val="16"/>
          <w:shd w:val="clear" w:color="auto" w:fill="FFFFFF"/>
          <w:lang w:val="es-CR"/>
        </w:rPr>
        <w:t xml:space="preserve">, </w:t>
      </w:r>
      <w:r w:rsidRPr="00B92B58">
        <w:rPr>
          <w:rStyle w:val="Strong"/>
          <w:b w:val="0"/>
          <w:color w:val="000000"/>
          <w:sz w:val="16"/>
          <w:szCs w:val="16"/>
          <w:shd w:val="clear" w:color="auto" w:fill="FFFFFF"/>
          <w:lang w:val="es-CR"/>
        </w:rPr>
        <w:t>párr. 150.</w:t>
      </w:r>
    </w:p>
  </w:footnote>
  <w:footnote w:id="266">
    <w:p w14:paraId="75EDBE04" w14:textId="5B6F8FA7" w:rsidR="003C025E" w:rsidRPr="00431F9F" w:rsidRDefault="003C025E" w:rsidP="00B1523A">
      <w:pPr>
        <w:pStyle w:val="FootnoteText"/>
        <w:tabs>
          <w:tab w:val="left" w:pos="567"/>
        </w:tabs>
        <w:rPr>
          <w:sz w:val="16"/>
          <w:szCs w:val="16"/>
          <w:lang w:val="es-ES"/>
        </w:rPr>
      </w:pPr>
      <w:r w:rsidRPr="00431F9F">
        <w:rPr>
          <w:rStyle w:val="FootnoteReference"/>
          <w:sz w:val="16"/>
          <w:szCs w:val="16"/>
        </w:rPr>
        <w:footnoteRef/>
      </w:r>
      <w:r w:rsidRPr="00431F9F">
        <w:rPr>
          <w:sz w:val="16"/>
          <w:szCs w:val="16"/>
        </w:rPr>
        <w:t xml:space="preserve"> </w:t>
      </w:r>
      <w:r>
        <w:rPr>
          <w:sz w:val="16"/>
          <w:szCs w:val="16"/>
        </w:rPr>
        <w:t xml:space="preserve">   </w:t>
      </w:r>
      <w:r w:rsidRPr="00431F9F">
        <w:rPr>
          <w:i/>
          <w:sz w:val="16"/>
          <w:szCs w:val="16"/>
        </w:rPr>
        <w:t>Cfr.</w:t>
      </w:r>
      <w:r w:rsidRPr="00431F9F">
        <w:rPr>
          <w:sz w:val="16"/>
          <w:szCs w:val="16"/>
        </w:rPr>
        <w:t xml:space="preserve"> </w:t>
      </w:r>
      <w:r w:rsidRPr="00431F9F">
        <w:rPr>
          <w:bCs/>
          <w:i/>
          <w:color w:val="000000"/>
          <w:sz w:val="16"/>
          <w:szCs w:val="16"/>
        </w:rPr>
        <w:t xml:space="preserve">Caso </w:t>
      </w:r>
      <w:proofErr w:type="spellStart"/>
      <w:r w:rsidRPr="00431F9F">
        <w:rPr>
          <w:bCs/>
          <w:i/>
          <w:color w:val="000000"/>
          <w:sz w:val="16"/>
          <w:szCs w:val="16"/>
        </w:rPr>
        <w:t>Atala</w:t>
      </w:r>
      <w:proofErr w:type="spellEnd"/>
      <w:r w:rsidRPr="00431F9F">
        <w:rPr>
          <w:bCs/>
          <w:i/>
          <w:color w:val="000000"/>
          <w:sz w:val="16"/>
          <w:szCs w:val="16"/>
        </w:rPr>
        <w:t xml:space="preserve"> </w:t>
      </w:r>
      <w:proofErr w:type="spellStart"/>
      <w:r w:rsidRPr="00431F9F">
        <w:rPr>
          <w:bCs/>
          <w:i/>
          <w:color w:val="000000"/>
          <w:sz w:val="16"/>
          <w:szCs w:val="16"/>
        </w:rPr>
        <w:t>Riffo</w:t>
      </w:r>
      <w:proofErr w:type="spellEnd"/>
      <w:r w:rsidRPr="00431F9F">
        <w:rPr>
          <w:bCs/>
          <w:i/>
          <w:color w:val="000000"/>
          <w:sz w:val="16"/>
          <w:szCs w:val="16"/>
        </w:rPr>
        <w:t xml:space="preserve"> y Niñas Vs. Chile, supra</w:t>
      </w:r>
      <w:r w:rsidRPr="00431F9F">
        <w:rPr>
          <w:color w:val="000000"/>
          <w:sz w:val="16"/>
          <w:szCs w:val="16"/>
        </w:rPr>
        <w:t xml:space="preserve">, </w:t>
      </w:r>
      <w:r w:rsidRPr="00431F9F">
        <w:rPr>
          <w:sz w:val="16"/>
          <w:szCs w:val="16"/>
        </w:rPr>
        <w:t>párr. 169</w:t>
      </w:r>
      <w:r w:rsidRPr="00495EAC">
        <w:rPr>
          <w:sz w:val="16"/>
          <w:szCs w:val="16"/>
        </w:rPr>
        <w:t xml:space="preserve"> </w:t>
      </w:r>
      <w:r>
        <w:rPr>
          <w:sz w:val="16"/>
          <w:szCs w:val="16"/>
        </w:rPr>
        <w:t>y</w:t>
      </w:r>
      <w:r w:rsidRPr="00431F9F">
        <w:rPr>
          <w:sz w:val="16"/>
          <w:szCs w:val="16"/>
        </w:rPr>
        <w:t xml:space="preserve"> </w:t>
      </w:r>
      <w:r>
        <w:rPr>
          <w:rFonts w:cs="Courier New"/>
          <w:i/>
          <w:noProof/>
          <w:sz w:val="16"/>
          <w:szCs w:val="16"/>
        </w:rPr>
        <w:t>I.V. Vs. Bolivia, supra</w:t>
      </w:r>
      <w:r w:rsidRPr="00431F9F">
        <w:rPr>
          <w:color w:val="000000"/>
          <w:sz w:val="16"/>
          <w:szCs w:val="16"/>
        </w:rPr>
        <w:t xml:space="preserve">, párr. </w:t>
      </w:r>
      <w:r>
        <w:rPr>
          <w:color w:val="000000"/>
          <w:sz w:val="16"/>
          <w:szCs w:val="16"/>
        </w:rPr>
        <w:t>153</w:t>
      </w:r>
      <w:r w:rsidRPr="00431F9F">
        <w:rPr>
          <w:sz w:val="16"/>
          <w:szCs w:val="16"/>
        </w:rPr>
        <w:t>.</w:t>
      </w:r>
    </w:p>
  </w:footnote>
  <w:footnote w:id="267">
    <w:p w14:paraId="3C9F9F6E" w14:textId="61E6F0CD" w:rsidR="003C025E" w:rsidRPr="00431F9F" w:rsidRDefault="003C025E" w:rsidP="00B1523A">
      <w:pPr>
        <w:pStyle w:val="FootnoteText"/>
        <w:tabs>
          <w:tab w:val="left" w:pos="567"/>
        </w:tabs>
        <w:rPr>
          <w:sz w:val="16"/>
          <w:szCs w:val="16"/>
        </w:rPr>
      </w:pPr>
      <w:r w:rsidRPr="00431F9F">
        <w:rPr>
          <w:rStyle w:val="FootnoteReference"/>
          <w:sz w:val="16"/>
          <w:szCs w:val="16"/>
        </w:rPr>
        <w:footnoteRef/>
      </w:r>
      <w:r w:rsidRPr="00431F9F">
        <w:rPr>
          <w:sz w:val="16"/>
          <w:szCs w:val="16"/>
        </w:rPr>
        <w:t xml:space="preserve"> </w:t>
      </w:r>
      <w:r>
        <w:rPr>
          <w:sz w:val="16"/>
          <w:szCs w:val="16"/>
        </w:rPr>
        <w:t xml:space="preserve">  </w:t>
      </w:r>
      <w:r w:rsidRPr="00431F9F">
        <w:rPr>
          <w:i/>
          <w:sz w:val="16"/>
          <w:szCs w:val="16"/>
          <w:lang w:val="es-CO"/>
        </w:rPr>
        <w:t xml:space="preserve">Cfr. </w:t>
      </w:r>
      <w:r w:rsidRPr="00431F9F">
        <w:rPr>
          <w:bCs/>
          <w:i/>
          <w:color w:val="000000"/>
          <w:sz w:val="16"/>
          <w:szCs w:val="16"/>
        </w:rPr>
        <w:t xml:space="preserve">Caso </w:t>
      </w:r>
      <w:proofErr w:type="spellStart"/>
      <w:r w:rsidRPr="00431F9F">
        <w:rPr>
          <w:bCs/>
          <w:i/>
          <w:color w:val="000000"/>
          <w:sz w:val="16"/>
          <w:szCs w:val="16"/>
        </w:rPr>
        <w:t>Artavia</w:t>
      </w:r>
      <w:proofErr w:type="spellEnd"/>
      <w:r w:rsidRPr="00431F9F">
        <w:rPr>
          <w:bCs/>
          <w:i/>
          <w:color w:val="000000"/>
          <w:sz w:val="16"/>
          <w:szCs w:val="16"/>
        </w:rPr>
        <w:t xml:space="preserve"> Murillo y otros (“Fecundación in vitro”) Vs. Costa Rica, supra</w:t>
      </w:r>
      <w:r w:rsidRPr="00431F9F">
        <w:rPr>
          <w:color w:val="000000"/>
          <w:sz w:val="16"/>
          <w:szCs w:val="16"/>
        </w:rPr>
        <w:t>, párr. 145</w:t>
      </w:r>
      <w:r>
        <w:rPr>
          <w:color w:val="000000"/>
          <w:sz w:val="16"/>
          <w:szCs w:val="16"/>
        </w:rPr>
        <w:t xml:space="preserve">, </w:t>
      </w:r>
      <w:r>
        <w:rPr>
          <w:sz w:val="16"/>
          <w:szCs w:val="16"/>
        </w:rPr>
        <w:t>y</w:t>
      </w:r>
      <w:r w:rsidRPr="00431F9F">
        <w:rPr>
          <w:sz w:val="16"/>
          <w:szCs w:val="16"/>
        </w:rPr>
        <w:t xml:space="preserve"> </w:t>
      </w:r>
      <w:r>
        <w:rPr>
          <w:rFonts w:cs="Courier New"/>
          <w:i/>
          <w:noProof/>
          <w:sz w:val="16"/>
          <w:szCs w:val="16"/>
        </w:rPr>
        <w:t>I.V. Vs. Bolivia, supra</w:t>
      </w:r>
      <w:r w:rsidRPr="00431F9F">
        <w:rPr>
          <w:color w:val="000000"/>
          <w:sz w:val="16"/>
          <w:szCs w:val="16"/>
        </w:rPr>
        <w:t xml:space="preserve">, párr. </w:t>
      </w:r>
      <w:r>
        <w:rPr>
          <w:color w:val="000000"/>
          <w:sz w:val="16"/>
          <w:szCs w:val="16"/>
        </w:rPr>
        <w:t>153</w:t>
      </w:r>
      <w:r w:rsidRPr="00431F9F">
        <w:rPr>
          <w:color w:val="000000"/>
          <w:sz w:val="16"/>
          <w:szCs w:val="16"/>
        </w:rPr>
        <w:t>.</w:t>
      </w:r>
    </w:p>
  </w:footnote>
  <w:footnote w:id="268">
    <w:p w14:paraId="03522B4B" w14:textId="73B0E154" w:rsidR="003C025E" w:rsidRPr="00117E41" w:rsidRDefault="003C025E" w:rsidP="00762119">
      <w:pPr>
        <w:pStyle w:val="FootnoteText"/>
        <w:rPr>
          <w:lang w:val="es-CR"/>
        </w:rPr>
      </w:pPr>
      <w:r w:rsidRPr="00B1523A">
        <w:rPr>
          <w:sz w:val="16"/>
          <w:szCs w:val="16"/>
          <w:vertAlign w:val="subscript"/>
          <w:lang w:val="es-EC" w:eastAsia="es-CR"/>
        </w:rPr>
        <w:footnoteRef/>
      </w:r>
      <w:r w:rsidRPr="00B1523A">
        <w:rPr>
          <w:sz w:val="16"/>
          <w:szCs w:val="16"/>
          <w:vertAlign w:val="subscript"/>
          <w:lang w:val="es-EC" w:eastAsia="es-CR"/>
        </w:rPr>
        <w:t xml:space="preserve"> </w:t>
      </w:r>
      <w:r w:rsidRPr="00B1523A">
        <w:rPr>
          <w:vertAlign w:val="subscript"/>
        </w:rPr>
        <w:t xml:space="preserve">   </w:t>
      </w:r>
      <w:r w:rsidRPr="00762119">
        <w:rPr>
          <w:rStyle w:val="Strong"/>
          <w:b w:val="0"/>
          <w:i/>
          <w:color w:val="000000"/>
          <w:sz w:val="16"/>
          <w:szCs w:val="16"/>
          <w:shd w:val="clear" w:color="auto" w:fill="FFFFFF"/>
          <w:lang w:val="es-CR"/>
        </w:rPr>
        <w:t xml:space="preserve">Caso I.V. Vs. Bolivia, supra, </w:t>
      </w:r>
      <w:r w:rsidRPr="00117E41">
        <w:rPr>
          <w:rStyle w:val="Strong"/>
          <w:b w:val="0"/>
          <w:color w:val="000000"/>
          <w:sz w:val="16"/>
          <w:szCs w:val="16"/>
          <w:shd w:val="clear" w:color="auto" w:fill="FFFFFF"/>
          <w:lang w:val="es-CR"/>
        </w:rPr>
        <w:t>párr. 151 y 155.</w:t>
      </w:r>
    </w:p>
  </w:footnote>
  <w:footnote w:id="269">
    <w:p w14:paraId="49CA4FBB" w14:textId="63C15331" w:rsidR="003C025E" w:rsidRPr="007647B4" w:rsidRDefault="003C025E" w:rsidP="00762119">
      <w:pPr>
        <w:pStyle w:val="FootnoteText"/>
        <w:rPr>
          <w:sz w:val="16"/>
          <w:szCs w:val="16"/>
          <w:lang w:val="es-CR"/>
        </w:rPr>
      </w:pPr>
      <w:r w:rsidRPr="00B1523A">
        <w:rPr>
          <w:sz w:val="16"/>
          <w:szCs w:val="16"/>
          <w:vertAlign w:val="subscript"/>
          <w:lang w:val="es-EC" w:eastAsia="es-CR"/>
        </w:rPr>
        <w:footnoteRef/>
      </w:r>
      <w:r w:rsidRPr="00B1523A">
        <w:rPr>
          <w:sz w:val="16"/>
          <w:szCs w:val="16"/>
          <w:vertAlign w:val="subscript"/>
          <w:lang w:val="es-EC" w:eastAsia="es-CR"/>
        </w:rPr>
        <w:t xml:space="preserve"> </w:t>
      </w:r>
      <w:r w:rsidRPr="00B1523A">
        <w:rPr>
          <w:vertAlign w:val="subscript"/>
          <w:lang w:val="es-CR"/>
        </w:rPr>
        <w:t xml:space="preserve"> </w:t>
      </w:r>
      <w:r>
        <w:rPr>
          <w:lang w:val="es-CR"/>
        </w:rPr>
        <w:t xml:space="preserve">  </w:t>
      </w:r>
      <w:r w:rsidRPr="007647B4">
        <w:rPr>
          <w:i/>
          <w:sz w:val="16"/>
          <w:szCs w:val="16"/>
          <w:lang w:val="es-CR"/>
        </w:rPr>
        <w:t>Caso I.V. Vs. Bolivia</w:t>
      </w:r>
      <w:r w:rsidRPr="007647B4">
        <w:rPr>
          <w:sz w:val="16"/>
          <w:szCs w:val="16"/>
          <w:lang w:val="es-CR"/>
        </w:rPr>
        <w:t>,</w:t>
      </w:r>
      <w:r>
        <w:rPr>
          <w:sz w:val="16"/>
          <w:szCs w:val="16"/>
          <w:lang w:val="es-CR"/>
        </w:rPr>
        <w:t xml:space="preserve"> </w:t>
      </w:r>
      <w:r w:rsidRPr="00B1523A">
        <w:rPr>
          <w:i/>
          <w:sz w:val="16"/>
          <w:szCs w:val="16"/>
          <w:lang w:val="es-CR"/>
        </w:rPr>
        <w:t>supra</w:t>
      </w:r>
      <w:r>
        <w:rPr>
          <w:sz w:val="16"/>
          <w:szCs w:val="16"/>
          <w:lang w:val="es-CR"/>
        </w:rPr>
        <w:t>,</w:t>
      </w:r>
      <w:r w:rsidRPr="007647B4">
        <w:rPr>
          <w:sz w:val="16"/>
          <w:szCs w:val="16"/>
          <w:lang w:val="es-CR"/>
        </w:rPr>
        <w:t xml:space="preserve"> </w:t>
      </w:r>
      <w:proofErr w:type="spellStart"/>
      <w:r w:rsidRPr="007647B4">
        <w:rPr>
          <w:sz w:val="16"/>
          <w:szCs w:val="16"/>
          <w:lang w:val="es-CR"/>
        </w:rPr>
        <w:t>párr</w:t>
      </w:r>
      <w:r>
        <w:rPr>
          <w:sz w:val="16"/>
          <w:szCs w:val="16"/>
          <w:lang w:val="es-CR"/>
        </w:rPr>
        <w:t>s</w:t>
      </w:r>
      <w:proofErr w:type="spellEnd"/>
      <w:r w:rsidRPr="007647B4">
        <w:rPr>
          <w:sz w:val="16"/>
          <w:szCs w:val="16"/>
          <w:lang w:val="es-CR"/>
        </w:rPr>
        <w:t>. 165.</w:t>
      </w:r>
      <w:r>
        <w:rPr>
          <w:sz w:val="16"/>
          <w:szCs w:val="16"/>
          <w:lang w:val="es-CR"/>
        </w:rPr>
        <w:t xml:space="preserve"> </w:t>
      </w:r>
    </w:p>
  </w:footnote>
  <w:footnote w:id="270">
    <w:p w14:paraId="64CB7826" w14:textId="2565254A" w:rsidR="003C025E" w:rsidRPr="008E6DD1" w:rsidRDefault="003C025E" w:rsidP="00B1523A">
      <w:pPr>
        <w:tabs>
          <w:tab w:val="left" w:pos="567"/>
        </w:tabs>
        <w:rPr>
          <w:rFonts w:eastAsia="Calibri"/>
          <w:sz w:val="20"/>
          <w:szCs w:val="20"/>
          <w:lang w:val="es-ES_tradnl" w:eastAsia="en-US"/>
        </w:rPr>
      </w:pPr>
      <w:r w:rsidRPr="00431F9F">
        <w:rPr>
          <w:sz w:val="16"/>
          <w:szCs w:val="16"/>
          <w:vertAlign w:val="superscript"/>
          <w:lang w:val="es-EC"/>
        </w:rPr>
        <w:footnoteRef/>
      </w:r>
      <w:r w:rsidRPr="00431F9F">
        <w:rPr>
          <w:sz w:val="16"/>
          <w:szCs w:val="16"/>
          <w:lang w:val="es-EC"/>
        </w:rPr>
        <w:t xml:space="preserve"> </w:t>
      </w:r>
      <w:r>
        <w:rPr>
          <w:sz w:val="16"/>
          <w:szCs w:val="16"/>
          <w:lang w:val="es-EC"/>
        </w:rPr>
        <w:t xml:space="preserve">   </w:t>
      </w:r>
      <w:r>
        <w:rPr>
          <w:i/>
          <w:sz w:val="16"/>
          <w:szCs w:val="16"/>
          <w:lang w:val="es-EC"/>
        </w:rPr>
        <w:t>Cfr.</w:t>
      </w:r>
      <w:r w:rsidRPr="00431F9F">
        <w:rPr>
          <w:i/>
          <w:sz w:val="16"/>
          <w:szCs w:val="16"/>
          <w:lang w:val="es-EC"/>
        </w:rPr>
        <w:t xml:space="preserve"> </w:t>
      </w:r>
      <w:r>
        <w:rPr>
          <w:i/>
          <w:sz w:val="16"/>
          <w:szCs w:val="16"/>
          <w:lang w:val="es-EC"/>
        </w:rPr>
        <w:t>M</w:t>
      </w:r>
      <w:r w:rsidRPr="00431F9F">
        <w:rPr>
          <w:i/>
          <w:sz w:val="16"/>
          <w:szCs w:val="16"/>
          <w:lang w:val="es-EC"/>
        </w:rPr>
        <w:t xml:space="preserve">utatis </w:t>
      </w:r>
      <w:proofErr w:type="spellStart"/>
      <w:r w:rsidRPr="00431F9F">
        <w:rPr>
          <w:i/>
          <w:sz w:val="16"/>
          <w:szCs w:val="16"/>
          <w:lang w:val="es-EC"/>
        </w:rPr>
        <w:t>mutandi</w:t>
      </w:r>
      <w:proofErr w:type="spellEnd"/>
      <w:r w:rsidRPr="00431F9F">
        <w:rPr>
          <w:i/>
          <w:sz w:val="16"/>
          <w:szCs w:val="16"/>
          <w:lang w:val="es-EC"/>
        </w:rPr>
        <w:t xml:space="preserve">, </w:t>
      </w:r>
      <w:r w:rsidRPr="00431F9F">
        <w:rPr>
          <w:bCs/>
          <w:i/>
          <w:color w:val="000000"/>
          <w:sz w:val="16"/>
          <w:szCs w:val="16"/>
        </w:rPr>
        <w:t xml:space="preserve">Caso </w:t>
      </w:r>
      <w:proofErr w:type="spellStart"/>
      <w:r w:rsidRPr="00431F9F">
        <w:rPr>
          <w:bCs/>
          <w:i/>
          <w:color w:val="000000"/>
          <w:sz w:val="16"/>
          <w:szCs w:val="16"/>
        </w:rPr>
        <w:t>Furlan</w:t>
      </w:r>
      <w:proofErr w:type="spellEnd"/>
      <w:r w:rsidRPr="00431F9F">
        <w:rPr>
          <w:bCs/>
          <w:i/>
          <w:color w:val="000000"/>
          <w:sz w:val="16"/>
          <w:szCs w:val="16"/>
        </w:rPr>
        <w:t xml:space="preserve"> y Familiares Vs. Argentina, supra</w:t>
      </w:r>
      <w:r w:rsidRPr="00431F9F">
        <w:rPr>
          <w:color w:val="000000"/>
          <w:sz w:val="16"/>
          <w:szCs w:val="16"/>
        </w:rPr>
        <w:t>, párr. 294</w:t>
      </w:r>
      <w:r>
        <w:rPr>
          <w:color w:val="000000"/>
          <w:sz w:val="16"/>
          <w:szCs w:val="16"/>
        </w:rPr>
        <w:t xml:space="preserve"> </w:t>
      </w:r>
      <w:r w:rsidRPr="00E8736D">
        <w:rPr>
          <w:color w:val="000000"/>
          <w:sz w:val="16"/>
          <w:szCs w:val="16"/>
        </w:rPr>
        <w:t>y</w:t>
      </w:r>
      <w:r w:rsidRPr="00E8736D">
        <w:rPr>
          <w:i/>
          <w:color w:val="000000"/>
          <w:sz w:val="16"/>
          <w:szCs w:val="16"/>
        </w:rPr>
        <w:t xml:space="preserve"> Caso I.V. Vs. Bolivia</w:t>
      </w:r>
      <w:r>
        <w:rPr>
          <w:color w:val="000000"/>
          <w:sz w:val="16"/>
          <w:szCs w:val="16"/>
        </w:rPr>
        <w:t xml:space="preserve">, </w:t>
      </w:r>
      <w:r w:rsidRPr="00E8736D">
        <w:rPr>
          <w:i/>
          <w:color w:val="000000"/>
          <w:sz w:val="16"/>
          <w:szCs w:val="16"/>
        </w:rPr>
        <w:t>supra</w:t>
      </w:r>
      <w:r>
        <w:rPr>
          <w:color w:val="000000"/>
          <w:sz w:val="16"/>
          <w:szCs w:val="16"/>
        </w:rPr>
        <w:t>, párr. 155</w:t>
      </w:r>
      <w:r w:rsidRPr="00431F9F">
        <w:rPr>
          <w:sz w:val="16"/>
          <w:szCs w:val="16"/>
          <w:lang w:val="es-EC"/>
        </w:rPr>
        <w:t>.</w:t>
      </w:r>
      <w:r>
        <w:rPr>
          <w:sz w:val="16"/>
          <w:szCs w:val="16"/>
          <w:lang w:val="es-EC"/>
        </w:rPr>
        <w:t xml:space="preserve"> </w:t>
      </w:r>
    </w:p>
    <w:p w14:paraId="4CF962D8" w14:textId="583783E3" w:rsidR="003C025E" w:rsidRPr="00AB1E03" w:rsidRDefault="003C025E" w:rsidP="00FA1F4E">
      <w:pPr>
        <w:pStyle w:val="FootnoteText"/>
        <w:tabs>
          <w:tab w:val="left" w:pos="567"/>
        </w:tabs>
        <w:spacing w:after="120"/>
        <w:rPr>
          <w:sz w:val="16"/>
          <w:szCs w:val="16"/>
        </w:rPr>
      </w:pPr>
    </w:p>
  </w:footnote>
  <w:footnote w:id="271">
    <w:p w14:paraId="30012B9C" w14:textId="6F567A49" w:rsidR="003C025E" w:rsidRPr="00974D1E" w:rsidRDefault="003C025E" w:rsidP="00E67349">
      <w:pPr>
        <w:pStyle w:val="NoSpacing"/>
        <w:rPr>
          <w:rFonts w:ascii="Verdana" w:eastAsiaTheme="minorHAnsi" w:hAnsi="Verdana"/>
          <w:i/>
          <w:iCs/>
          <w:sz w:val="16"/>
          <w:szCs w:val="16"/>
          <w:lang w:val="es-AR"/>
        </w:rPr>
      </w:pPr>
      <w:r w:rsidRPr="00E67349">
        <w:rPr>
          <w:rStyle w:val="FootnoteReference"/>
          <w:rFonts w:ascii="Verdana" w:hAnsi="Verdana"/>
          <w:sz w:val="16"/>
          <w:szCs w:val="16"/>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B1523A">
        <w:rPr>
          <w:rFonts w:ascii="Verdana" w:eastAsiaTheme="minorHAnsi" w:hAnsi="Verdana"/>
          <w:i/>
          <w:sz w:val="16"/>
          <w:szCs w:val="16"/>
          <w:lang w:val="es-AR"/>
        </w:rPr>
        <w:t>Cfr.</w:t>
      </w:r>
      <w:r>
        <w:rPr>
          <w:rFonts w:ascii="Verdana" w:eastAsiaTheme="minorHAnsi" w:hAnsi="Verdana"/>
          <w:sz w:val="16"/>
          <w:szCs w:val="16"/>
          <w:lang w:val="es-AR"/>
        </w:rPr>
        <w:t xml:space="preserve"> </w:t>
      </w:r>
      <w:r w:rsidRPr="00E67349">
        <w:rPr>
          <w:rFonts w:ascii="Verdana" w:eastAsiaTheme="minorHAnsi" w:hAnsi="Verdana"/>
          <w:i/>
          <w:iCs/>
          <w:sz w:val="16"/>
          <w:szCs w:val="16"/>
          <w:lang w:val="es-AR"/>
        </w:rPr>
        <w:t>Caso Castillo Páez vs. Perú</w:t>
      </w:r>
      <w:r w:rsidRPr="00E67349">
        <w:rPr>
          <w:rFonts w:ascii="Verdana" w:eastAsiaTheme="minorHAnsi" w:hAnsi="Verdana"/>
          <w:i/>
          <w:sz w:val="16"/>
          <w:szCs w:val="16"/>
          <w:lang w:val="es-AR"/>
        </w:rPr>
        <w:t>. Fondo.</w:t>
      </w:r>
      <w:r w:rsidRPr="00E67349">
        <w:rPr>
          <w:rFonts w:ascii="Verdana" w:eastAsiaTheme="minorHAnsi" w:hAnsi="Verdana"/>
          <w:sz w:val="16"/>
          <w:szCs w:val="16"/>
          <w:lang w:val="es-AR"/>
        </w:rPr>
        <w:t xml:space="preserve"> Sentencia de 3 de noviembre de 1997. Serie C No. 34, párr. 82, </w:t>
      </w:r>
      <w:r w:rsidRPr="00B1523A">
        <w:rPr>
          <w:rFonts w:ascii="Verdana" w:eastAsiaTheme="minorHAnsi" w:hAnsi="Verdana"/>
          <w:i/>
          <w:sz w:val="16"/>
          <w:szCs w:val="16"/>
          <w:lang w:val="es-AR"/>
        </w:rPr>
        <w:t xml:space="preserve">y </w:t>
      </w:r>
      <w:r w:rsidRPr="00B1523A">
        <w:rPr>
          <w:rFonts w:ascii="Verdana" w:hAnsi="Verdana"/>
          <w:i/>
          <w:sz w:val="16"/>
          <w:szCs w:val="16"/>
          <w:lang w:val="es-MX"/>
        </w:rPr>
        <w:t>Caso Lagos del Campo Vs. Perú</w:t>
      </w:r>
      <w:r w:rsidRPr="00B1523A">
        <w:rPr>
          <w:rFonts w:ascii="Verdana" w:hAnsi="Verdana"/>
          <w:sz w:val="16"/>
          <w:szCs w:val="16"/>
          <w:lang w:val="es-MX"/>
        </w:rPr>
        <w:t>,</w:t>
      </w:r>
      <w:r>
        <w:rPr>
          <w:rFonts w:ascii="Verdana" w:hAnsi="Verdana"/>
          <w:sz w:val="16"/>
          <w:szCs w:val="16"/>
          <w:lang w:val="es-MX"/>
        </w:rPr>
        <w:t xml:space="preserve"> </w:t>
      </w:r>
      <w:r w:rsidRPr="00B1523A">
        <w:rPr>
          <w:rFonts w:ascii="Verdana" w:hAnsi="Verdana"/>
          <w:i/>
          <w:sz w:val="16"/>
          <w:szCs w:val="16"/>
          <w:lang w:val="es-MX"/>
        </w:rPr>
        <w:t>supra</w:t>
      </w:r>
      <w:r>
        <w:rPr>
          <w:rFonts w:ascii="Verdana" w:hAnsi="Verdana"/>
          <w:sz w:val="16"/>
          <w:szCs w:val="16"/>
          <w:lang w:val="es-MX"/>
        </w:rPr>
        <w:t>, párr</w:t>
      </w:r>
      <w:r w:rsidRPr="00B1523A">
        <w:rPr>
          <w:rFonts w:ascii="Verdana" w:hAnsi="Verdana"/>
          <w:sz w:val="16"/>
          <w:szCs w:val="16"/>
          <w:lang w:val="es-MX"/>
        </w:rPr>
        <w:t>.</w:t>
      </w:r>
      <w:r w:rsidRPr="003B52C8">
        <w:rPr>
          <w:rFonts w:ascii="Verdana" w:hAnsi="Verdana"/>
          <w:sz w:val="16"/>
          <w:szCs w:val="16"/>
          <w:lang w:val="es-MX"/>
        </w:rPr>
        <w:t xml:space="preserve"> 174. </w:t>
      </w:r>
    </w:p>
  </w:footnote>
  <w:footnote w:id="272">
    <w:p w14:paraId="37F2C907" w14:textId="639E3289" w:rsidR="003C025E" w:rsidRPr="00B1523A" w:rsidRDefault="003C025E" w:rsidP="00E67349">
      <w:pPr>
        <w:pStyle w:val="NoSpacing"/>
        <w:rPr>
          <w:rFonts w:ascii="Verdana" w:eastAsiaTheme="minorHAnsi" w:hAnsi="Verdana"/>
          <w:i/>
          <w:iCs/>
          <w:sz w:val="16"/>
          <w:szCs w:val="16"/>
          <w:lang w:val="es-AR"/>
        </w:rPr>
      </w:pPr>
      <w:r w:rsidRPr="00E67349">
        <w:rPr>
          <w:rStyle w:val="FootnoteReference"/>
          <w:rFonts w:ascii="Verdana" w:hAnsi="Verdana"/>
          <w:sz w:val="16"/>
          <w:szCs w:val="16"/>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7C3D73">
        <w:rPr>
          <w:rFonts w:ascii="Verdana" w:eastAsiaTheme="minorHAnsi" w:hAnsi="Verdana"/>
          <w:i/>
          <w:sz w:val="16"/>
          <w:szCs w:val="16"/>
          <w:lang w:val="es-AR"/>
        </w:rPr>
        <w:t>Cfr.</w:t>
      </w:r>
      <w:r>
        <w:rPr>
          <w:rFonts w:ascii="Verdana" w:eastAsiaTheme="minorHAnsi" w:hAnsi="Verdana"/>
          <w:sz w:val="16"/>
          <w:szCs w:val="16"/>
          <w:lang w:val="es-AR"/>
        </w:rPr>
        <w:t xml:space="preserve"> </w:t>
      </w:r>
      <w:r w:rsidRPr="00E67349">
        <w:rPr>
          <w:rFonts w:ascii="Verdana" w:eastAsiaTheme="minorHAnsi" w:hAnsi="Verdana"/>
          <w:i/>
          <w:iCs/>
          <w:sz w:val="16"/>
          <w:szCs w:val="16"/>
          <w:lang w:val="es-AR"/>
        </w:rPr>
        <w:t xml:space="preserve">Caso </w:t>
      </w:r>
      <w:proofErr w:type="spellStart"/>
      <w:r w:rsidRPr="00E67349">
        <w:rPr>
          <w:rFonts w:ascii="Verdana" w:eastAsiaTheme="minorHAnsi" w:hAnsi="Verdana"/>
          <w:i/>
          <w:iCs/>
          <w:sz w:val="16"/>
          <w:szCs w:val="16"/>
          <w:lang w:val="es-AR"/>
        </w:rPr>
        <w:t>Goiburú</w:t>
      </w:r>
      <w:proofErr w:type="spellEnd"/>
      <w:r w:rsidRPr="00E67349">
        <w:rPr>
          <w:rFonts w:ascii="Verdana" w:eastAsiaTheme="minorHAnsi" w:hAnsi="Verdana"/>
          <w:i/>
          <w:iCs/>
          <w:sz w:val="16"/>
          <w:szCs w:val="16"/>
          <w:lang w:val="es-AR"/>
        </w:rPr>
        <w:t xml:space="preserve"> y otros vs. Paraguay</w:t>
      </w:r>
      <w:r w:rsidRPr="00E67349">
        <w:rPr>
          <w:rFonts w:ascii="Verdana" w:eastAsiaTheme="minorHAnsi" w:hAnsi="Verdana"/>
          <w:sz w:val="16"/>
          <w:szCs w:val="16"/>
          <w:lang w:val="es-AR"/>
        </w:rPr>
        <w:t xml:space="preserve">. </w:t>
      </w:r>
      <w:r w:rsidRPr="00E67349">
        <w:rPr>
          <w:rFonts w:ascii="Verdana" w:eastAsiaTheme="minorHAnsi" w:hAnsi="Verdana"/>
          <w:i/>
          <w:sz w:val="16"/>
          <w:szCs w:val="16"/>
          <w:lang w:val="es-AR"/>
        </w:rPr>
        <w:t>Fondo, Reparaciones y Costas.</w:t>
      </w:r>
      <w:r w:rsidRPr="00E67349">
        <w:rPr>
          <w:rFonts w:ascii="Verdana" w:eastAsiaTheme="minorHAnsi" w:hAnsi="Verdana"/>
          <w:sz w:val="16"/>
          <w:szCs w:val="16"/>
          <w:lang w:val="es-AR"/>
        </w:rPr>
        <w:t xml:space="preserve"> Sentencia de 22 de septiembre de 2006. Serie C No. 153, párr. 131</w:t>
      </w:r>
      <w:r>
        <w:rPr>
          <w:rFonts w:ascii="Verdana" w:eastAsiaTheme="minorHAnsi" w:hAnsi="Verdana"/>
          <w:sz w:val="16"/>
          <w:szCs w:val="16"/>
          <w:lang w:val="es-AR"/>
        </w:rPr>
        <w:t>, y</w:t>
      </w:r>
      <w:r w:rsidRPr="00974D1E">
        <w:rPr>
          <w:rFonts w:ascii="Verdana" w:hAnsi="Verdana"/>
          <w:i/>
          <w:sz w:val="16"/>
          <w:szCs w:val="16"/>
          <w:lang w:val="es-MX"/>
        </w:rPr>
        <w:t xml:space="preserve"> </w:t>
      </w:r>
      <w:r w:rsidRPr="007C3D73">
        <w:rPr>
          <w:rFonts w:ascii="Verdana" w:hAnsi="Verdana"/>
          <w:i/>
          <w:sz w:val="16"/>
          <w:szCs w:val="16"/>
          <w:lang w:val="es-MX"/>
        </w:rPr>
        <w:t>Caso Lagos del Campo Vs. Perú</w:t>
      </w:r>
      <w:r w:rsidRPr="007C3D73">
        <w:rPr>
          <w:rFonts w:ascii="Verdana" w:hAnsi="Verdana"/>
          <w:sz w:val="16"/>
          <w:szCs w:val="16"/>
          <w:lang w:val="es-MX"/>
        </w:rPr>
        <w:t>,</w:t>
      </w:r>
      <w:r>
        <w:rPr>
          <w:rFonts w:ascii="Verdana" w:hAnsi="Verdana"/>
          <w:sz w:val="16"/>
          <w:szCs w:val="16"/>
          <w:lang w:val="es-MX"/>
        </w:rPr>
        <w:t xml:space="preserve"> </w:t>
      </w:r>
      <w:r w:rsidRPr="007C3D73">
        <w:rPr>
          <w:rFonts w:ascii="Verdana" w:hAnsi="Verdana"/>
          <w:i/>
          <w:sz w:val="16"/>
          <w:szCs w:val="16"/>
          <w:lang w:val="es-MX"/>
        </w:rPr>
        <w:t>supra</w:t>
      </w:r>
      <w:r>
        <w:rPr>
          <w:rFonts w:ascii="Verdana" w:hAnsi="Verdana"/>
          <w:sz w:val="16"/>
          <w:szCs w:val="16"/>
          <w:lang w:val="es-MX"/>
        </w:rPr>
        <w:t>, párr</w:t>
      </w:r>
      <w:r w:rsidRPr="007C3D73">
        <w:rPr>
          <w:rFonts w:ascii="Verdana" w:hAnsi="Verdana"/>
          <w:sz w:val="16"/>
          <w:szCs w:val="16"/>
          <w:lang w:val="es-MX"/>
        </w:rPr>
        <w:t>.</w:t>
      </w:r>
      <w:r w:rsidRPr="007C3D73">
        <w:rPr>
          <w:rFonts w:ascii="Verdana" w:hAnsi="Verdana"/>
          <w:i/>
          <w:sz w:val="16"/>
          <w:szCs w:val="16"/>
          <w:lang w:val="es-MX"/>
        </w:rPr>
        <w:t xml:space="preserve"> </w:t>
      </w:r>
      <w:r w:rsidRPr="003B52C8">
        <w:rPr>
          <w:rFonts w:ascii="Verdana" w:hAnsi="Verdana"/>
          <w:sz w:val="16"/>
          <w:szCs w:val="16"/>
          <w:lang w:val="es-MX"/>
        </w:rPr>
        <w:t>174</w:t>
      </w:r>
      <w:r w:rsidRPr="007C3D73">
        <w:rPr>
          <w:rFonts w:ascii="Verdana" w:hAnsi="Verdana"/>
          <w:i/>
          <w:sz w:val="16"/>
          <w:szCs w:val="16"/>
          <w:lang w:val="es-MX"/>
        </w:rPr>
        <w:t xml:space="preserve">. </w:t>
      </w:r>
    </w:p>
  </w:footnote>
  <w:footnote w:id="273">
    <w:p w14:paraId="7816E4B6" w14:textId="1897CF3C" w:rsidR="003C025E" w:rsidRPr="00B1523A" w:rsidRDefault="003C025E" w:rsidP="00E67349">
      <w:pPr>
        <w:pStyle w:val="NoSpacing"/>
        <w:rPr>
          <w:rFonts w:ascii="Verdana" w:eastAsiaTheme="minorHAnsi" w:hAnsi="Verdana"/>
          <w:i/>
          <w:iCs/>
          <w:sz w:val="16"/>
          <w:szCs w:val="16"/>
          <w:lang w:val="es-AR"/>
        </w:rPr>
      </w:pPr>
      <w:r w:rsidRPr="00E67349">
        <w:rPr>
          <w:rStyle w:val="FootnoteReference"/>
          <w:rFonts w:ascii="Verdana" w:hAnsi="Verdana"/>
          <w:sz w:val="16"/>
          <w:szCs w:val="16"/>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7C3D73">
        <w:rPr>
          <w:rFonts w:ascii="Verdana" w:eastAsiaTheme="minorHAnsi" w:hAnsi="Verdana"/>
          <w:i/>
          <w:sz w:val="16"/>
          <w:szCs w:val="16"/>
          <w:lang w:val="es-AR"/>
        </w:rPr>
        <w:t>Cfr.</w:t>
      </w:r>
      <w:r>
        <w:rPr>
          <w:rFonts w:ascii="Verdana" w:eastAsiaTheme="minorHAnsi" w:hAnsi="Verdana"/>
          <w:sz w:val="16"/>
          <w:szCs w:val="16"/>
          <w:lang w:val="es-AR"/>
        </w:rPr>
        <w:t xml:space="preserve"> </w:t>
      </w:r>
      <w:r w:rsidRPr="00E67349">
        <w:rPr>
          <w:rFonts w:ascii="Verdana" w:eastAsiaTheme="minorHAnsi" w:hAnsi="Verdana"/>
          <w:i/>
          <w:iCs/>
          <w:sz w:val="16"/>
          <w:szCs w:val="16"/>
          <w:lang w:val="es-AR"/>
        </w:rPr>
        <w:t xml:space="preserve">Caso Mejía </w:t>
      </w:r>
      <w:proofErr w:type="spellStart"/>
      <w:r w:rsidRPr="00E67349">
        <w:rPr>
          <w:rFonts w:ascii="Verdana" w:eastAsiaTheme="minorHAnsi" w:hAnsi="Verdana"/>
          <w:i/>
          <w:iCs/>
          <w:sz w:val="16"/>
          <w:szCs w:val="16"/>
          <w:lang w:val="es-AR"/>
        </w:rPr>
        <w:t>Idrovo</w:t>
      </w:r>
      <w:proofErr w:type="spellEnd"/>
      <w:r w:rsidRPr="00E67349">
        <w:rPr>
          <w:rFonts w:ascii="Verdana" w:eastAsiaTheme="minorHAnsi" w:hAnsi="Verdana"/>
          <w:i/>
          <w:iCs/>
          <w:sz w:val="16"/>
          <w:szCs w:val="16"/>
          <w:lang w:val="es-AR"/>
        </w:rPr>
        <w:t xml:space="preserve"> Vs. Ecuador</w:t>
      </w:r>
      <w:r w:rsidRPr="00E67349">
        <w:rPr>
          <w:rFonts w:ascii="Verdana" w:eastAsiaTheme="minorHAnsi" w:hAnsi="Verdana"/>
          <w:sz w:val="16"/>
          <w:szCs w:val="16"/>
          <w:lang w:val="es-AR"/>
        </w:rPr>
        <w:t xml:space="preserve">. </w:t>
      </w:r>
      <w:r w:rsidRPr="00E67349">
        <w:rPr>
          <w:rFonts w:ascii="Verdana" w:eastAsiaTheme="minorHAnsi" w:hAnsi="Verdana"/>
          <w:i/>
          <w:sz w:val="16"/>
          <w:szCs w:val="16"/>
          <w:lang w:val="es-AR"/>
        </w:rPr>
        <w:t>Excepciones preliminares, Fondo, Reparaciones y Costas</w:t>
      </w:r>
      <w:r w:rsidRPr="00E67349">
        <w:rPr>
          <w:rFonts w:ascii="Verdana" w:eastAsiaTheme="minorHAnsi" w:hAnsi="Verdana"/>
          <w:sz w:val="16"/>
          <w:szCs w:val="16"/>
          <w:lang w:val="es-AR"/>
        </w:rPr>
        <w:t>. Sentencia de 5 de julio de 2011. Serie</w:t>
      </w:r>
      <w:r w:rsidRPr="00E67349">
        <w:rPr>
          <w:rFonts w:ascii="Verdana" w:eastAsiaTheme="minorHAnsi" w:hAnsi="Verdana"/>
          <w:iCs/>
          <w:sz w:val="16"/>
          <w:szCs w:val="16"/>
          <w:lang w:val="es-AR"/>
        </w:rPr>
        <w:t xml:space="preserve"> C No.228</w:t>
      </w:r>
      <w:r w:rsidRPr="00E67349">
        <w:rPr>
          <w:rFonts w:ascii="Verdana" w:eastAsiaTheme="minorHAnsi" w:hAnsi="Verdana"/>
          <w:i/>
          <w:iCs/>
          <w:sz w:val="16"/>
          <w:szCs w:val="16"/>
          <w:lang w:val="es-AR"/>
        </w:rPr>
        <w:t xml:space="preserve">, </w:t>
      </w:r>
      <w:r w:rsidRPr="00E67349">
        <w:rPr>
          <w:rFonts w:ascii="Verdana" w:eastAsiaTheme="minorHAnsi" w:hAnsi="Verdana"/>
          <w:sz w:val="16"/>
          <w:szCs w:val="16"/>
          <w:lang w:val="es-AR"/>
        </w:rPr>
        <w:t xml:space="preserve">párr. 106, y </w:t>
      </w:r>
      <w:r w:rsidRPr="007C3D73">
        <w:rPr>
          <w:rFonts w:ascii="Verdana" w:hAnsi="Verdana"/>
          <w:i/>
          <w:sz w:val="16"/>
          <w:szCs w:val="16"/>
          <w:lang w:val="es-MX"/>
        </w:rPr>
        <w:t>Caso Lagos del Campo Vs. Perú</w:t>
      </w:r>
      <w:r w:rsidRPr="007C3D73">
        <w:rPr>
          <w:rFonts w:ascii="Verdana" w:hAnsi="Verdana"/>
          <w:sz w:val="16"/>
          <w:szCs w:val="16"/>
          <w:lang w:val="es-MX"/>
        </w:rPr>
        <w:t>,</w:t>
      </w:r>
      <w:r>
        <w:rPr>
          <w:rFonts w:ascii="Verdana" w:hAnsi="Verdana"/>
          <w:sz w:val="16"/>
          <w:szCs w:val="16"/>
          <w:lang w:val="es-MX"/>
        </w:rPr>
        <w:t xml:space="preserve"> </w:t>
      </w:r>
      <w:r w:rsidRPr="007C3D73">
        <w:rPr>
          <w:rFonts w:ascii="Verdana" w:hAnsi="Verdana"/>
          <w:i/>
          <w:sz w:val="16"/>
          <w:szCs w:val="16"/>
          <w:lang w:val="es-MX"/>
        </w:rPr>
        <w:t>supra</w:t>
      </w:r>
      <w:r>
        <w:rPr>
          <w:rFonts w:ascii="Verdana" w:hAnsi="Verdana"/>
          <w:sz w:val="16"/>
          <w:szCs w:val="16"/>
          <w:lang w:val="es-MX"/>
        </w:rPr>
        <w:t>, párr</w:t>
      </w:r>
      <w:r w:rsidRPr="007C3D73">
        <w:rPr>
          <w:rFonts w:ascii="Verdana" w:hAnsi="Verdana"/>
          <w:sz w:val="16"/>
          <w:szCs w:val="16"/>
          <w:lang w:val="es-MX"/>
        </w:rPr>
        <w:t>.</w:t>
      </w:r>
      <w:r w:rsidRPr="007C3D73">
        <w:rPr>
          <w:rFonts w:ascii="Verdana" w:hAnsi="Verdana"/>
          <w:i/>
          <w:sz w:val="16"/>
          <w:szCs w:val="16"/>
          <w:lang w:val="es-MX"/>
        </w:rPr>
        <w:t xml:space="preserve"> </w:t>
      </w:r>
      <w:r w:rsidRPr="003B52C8">
        <w:rPr>
          <w:rFonts w:ascii="Verdana" w:hAnsi="Verdana"/>
          <w:sz w:val="16"/>
          <w:szCs w:val="16"/>
          <w:lang w:val="es-MX"/>
        </w:rPr>
        <w:t>174</w:t>
      </w:r>
      <w:r w:rsidRPr="007C3D73">
        <w:rPr>
          <w:rFonts w:ascii="Verdana" w:hAnsi="Verdana"/>
          <w:i/>
          <w:sz w:val="16"/>
          <w:szCs w:val="16"/>
          <w:lang w:val="es-MX"/>
        </w:rPr>
        <w:t xml:space="preserve">. </w:t>
      </w:r>
    </w:p>
  </w:footnote>
  <w:footnote w:id="274">
    <w:p w14:paraId="21510BC9" w14:textId="33F803B9" w:rsidR="003C025E" w:rsidRPr="00B1523A" w:rsidRDefault="003C025E" w:rsidP="00E67349">
      <w:pPr>
        <w:pStyle w:val="NoSpacing"/>
        <w:rPr>
          <w:rFonts w:ascii="Verdana" w:eastAsiaTheme="minorHAnsi" w:hAnsi="Verdana"/>
          <w:i/>
          <w:iCs/>
          <w:sz w:val="16"/>
          <w:szCs w:val="16"/>
          <w:lang w:val="es-AR"/>
        </w:rPr>
      </w:pPr>
      <w:r w:rsidRPr="00E67349">
        <w:rPr>
          <w:rStyle w:val="FootnoteReference"/>
          <w:rFonts w:ascii="Verdana" w:hAnsi="Verdana"/>
          <w:sz w:val="16"/>
          <w:szCs w:val="16"/>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062586">
        <w:rPr>
          <w:rFonts w:ascii="Verdana" w:eastAsiaTheme="minorHAnsi" w:hAnsi="Verdana"/>
          <w:i/>
          <w:sz w:val="16"/>
          <w:szCs w:val="16"/>
          <w:lang w:val="es-AR"/>
        </w:rPr>
        <w:t>Cfr.</w:t>
      </w:r>
      <w:r w:rsidRPr="00E67349">
        <w:rPr>
          <w:rFonts w:ascii="Verdana" w:eastAsiaTheme="minorHAnsi" w:hAnsi="Verdana"/>
          <w:i/>
          <w:sz w:val="16"/>
          <w:szCs w:val="16"/>
          <w:lang w:val="es-AR"/>
        </w:rPr>
        <w:t xml:space="preserve"> </w:t>
      </w:r>
      <w:r w:rsidRPr="00E67349">
        <w:rPr>
          <w:rFonts w:ascii="Verdana" w:eastAsiaTheme="minorHAnsi" w:hAnsi="Verdana"/>
          <w:bCs/>
          <w:i/>
          <w:sz w:val="16"/>
          <w:szCs w:val="16"/>
          <w:lang w:val="es-AR"/>
        </w:rPr>
        <w:t xml:space="preserve">Caso Velásquez Rodríguez Vs. Honduras, </w:t>
      </w:r>
      <w:r>
        <w:rPr>
          <w:rFonts w:ascii="Verdana" w:eastAsiaTheme="minorHAnsi" w:hAnsi="Verdana"/>
          <w:bCs/>
          <w:i/>
          <w:sz w:val="16"/>
          <w:szCs w:val="16"/>
          <w:lang w:val="es-AR"/>
        </w:rPr>
        <w:t xml:space="preserve">Fondo, </w:t>
      </w:r>
      <w:r w:rsidRPr="00062586">
        <w:rPr>
          <w:rFonts w:ascii="Verdana" w:eastAsiaTheme="minorHAnsi" w:hAnsi="Verdana"/>
          <w:bCs/>
          <w:i/>
          <w:sz w:val="16"/>
          <w:szCs w:val="16"/>
          <w:lang w:val="es-AR"/>
        </w:rPr>
        <w:t>supra</w:t>
      </w:r>
      <w:r w:rsidRPr="00E67349">
        <w:rPr>
          <w:rFonts w:ascii="Verdana" w:eastAsiaTheme="minorHAnsi" w:hAnsi="Verdana"/>
          <w:bCs/>
          <w:i/>
          <w:sz w:val="16"/>
          <w:szCs w:val="16"/>
          <w:lang w:val="es-AR"/>
        </w:rPr>
        <w:t>,</w:t>
      </w:r>
      <w:r w:rsidRPr="00E67349">
        <w:rPr>
          <w:rFonts w:ascii="Verdana" w:eastAsiaTheme="minorHAnsi" w:hAnsi="Verdana"/>
          <w:bCs/>
          <w:sz w:val="16"/>
          <w:szCs w:val="16"/>
          <w:lang w:val="es-AR"/>
        </w:rPr>
        <w:t xml:space="preserve"> párr. 219, y </w:t>
      </w:r>
      <w:r w:rsidRPr="007C3D73">
        <w:rPr>
          <w:rFonts w:ascii="Verdana" w:hAnsi="Verdana"/>
          <w:i/>
          <w:sz w:val="16"/>
          <w:szCs w:val="16"/>
          <w:lang w:val="es-MX"/>
        </w:rPr>
        <w:t>Caso Lagos del Campo Vs. Perú</w:t>
      </w:r>
      <w:r w:rsidRPr="007C3D73">
        <w:rPr>
          <w:rFonts w:ascii="Verdana" w:hAnsi="Verdana"/>
          <w:sz w:val="16"/>
          <w:szCs w:val="16"/>
          <w:lang w:val="es-MX"/>
        </w:rPr>
        <w:t>,</w:t>
      </w:r>
      <w:r>
        <w:rPr>
          <w:rFonts w:ascii="Verdana" w:hAnsi="Verdana"/>
          <w:sz w:val="16"/>
          <w:szCs w:val="16"/>
          <w:lang w:val="es-MX"/>
        </w:rPr>
        <w:t xml:space="preserve"> </w:t>
      </w:r>
      <w:r w:rsidRPr="007C3D73">
        <w:rPr>
          <w:rFonts w:ascii="Verdana" w:hAnsi="Verdana"/>
          <w:i/>
          <w:sz w:val="16"/>
          <w:szCs w:val="16"/>
          <w:lang w:val="es-MX"/>
        </w:rPr>
        <w:t>supra</w:t>
      </w:r>
      <w:r>
        <w:rPr>
          <w:rFonts w:ascii="Verdana" w:hAnsi="Verdana"/>
          <w:sz w:val="16"/>
          <w:szCs w:val="16"/>
          <w:lang w:val="es-MX"/>
        </w:rPr>
        <w:t>, párr</w:t>
      </w:r>
      <w:r w:rsidRPr="007C3D73">
        <w:rPr>
          <w:rFonts w:ascii="Verdana" w:hAnsi="Verdana"/>
          <w:sz w:val="16"/>
          <w:szCs w:val="16"/>
          <w:lang w:val="es-MX"/>
        </w:rPr>
        <w:t>.</w:t>
      </w:r>
      <w:r w:rsidRPr="007C3D73">
        <w:rPr>
          <w:rFonts w:ascii="Verdana" w:hAnsi="Verdana"/>
          <w:i/>
          <w:sz w:val="16"/>
          <w:szCs w:val="16"/>
          <w:lang w:val="es-MX"/>
        </w:rPr>
        <w:t xml:space="preserve"> </w:t>
      </w:r>
      <w:r w:rsidRPr="00B820DD">
        <w:rPr>
          <w:rFonts w:ascii="Verdana" w:hAnsi="Verdana"/>
          <w:sz w:val="16"/>
          <w:szCs w:val="16"/>
          <w:lang w:val="es-MX"/>
        </w:rPr>
        <w:t>174.</w:t>
      </w:r>
      <w:r w:rsidRPr="007C3D73">
        <w:rPr>
          <w:rFonts w:ascii="Verdana" w:hAnsi="Verdana"/>
          <w:i/>
          <w:sz w:val="16"/>
          <w:szCs w:val="16"/>
          <w:lang w:val="es-MX"/>
        </w:rPr>
        <w:t xml:space="preserve"> </w:t>
      </w:r>
    </w:p>
  </w:footnote>
  <w:footnote w:id="275">
    <w:p w14:paraId="3D3DE6A0" w14:textId="74A85AAD" w:rsidR="003C025E" w:rsidRPr="00771FA4" w:rsidRDefault="003C025E" w:rsidP="00E67349">
      <w:pPr>
        <w:pStyle w:val="NoSpacing"/>
        <w:rPr>
          <w:rFonts w:ascii="Verdana" w:eastAsiaTheme="minorHAnsi" w:hAnsi="Verdana"/>
          <w:sz w:val="16"/>
          <w:szCs w:val="16"/>
          <w:lang w:val="es-ES_tradnl"/>
        </w:rPr>
      </w:pPr>
      <w:r w:rsidRPr="00E67349">
        <w:rPr>
          <w:rStyle w:val="FootnoteReference"/>
          <w:rFonts w:ascii="Verdana" w:hAnsi="Verdana"/>
          <w:sz w:val="16"/>
          <w:szCs w:val="16"/>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062586">
        <w:rPr>
          <w:rFonts w:ascii="Verdana" w:eastAsiaTheme="minorHAnsi" w:hAnsi="Verdana"/>
          <w:i/>
          <w:sz w:val="16"/>
          <w:szCs w:val="16"/>
          <w:lang w:val="es-AR"/>
        </w:rPr>
        <w:t>Cfr.</w:t>
      </w:r>
      <w:r w:rsidRPr="00E67349">
        <w:rPr>
          <w:rFonts w:ascii="Verdana" w:eastAsiaTheme="minorHAnsi" w:hAnsi="Verdana"/>
          <w:sz w:val="16"/>
          <w:szCs w:val="16"/>
          <w:lang w:val="es-AR"/>
        </w:rPr>
        <w:t xml:space="preserve"> </w:t>
      </w:r>
      <w:r w:rsidRPr="00E67349">
        <w:rPr>
          <w:rFonts w:ascii="Verdana" w:eastAsiaTheme="minorHAnsi" w:hAnsi="Verdana"/>
          <w:i/>
          <w:sz w:val="16"/>
          <w:szCs w:val="16"/>
          <w:lang w:val="es-AR"/>
        </w:rPr>
        <w:t>Caso Baena Ricardo y otros Vs. Panamá́. Competencia.</w:t>
      </w:r>
      <w:r w:rsidRPr="00E67349">
        <w:rPr>
          <w:rFonts w:ascii="Verdana" w:eastAsiaTheme="minorHAnsi" w:hAnsi="Verdana"/>
          <w:sz w:val="16"/>
          <w:szCs w:val="16"/>
          <w:lang w:val="es-AR"/>
        </w:rPr>
        <w:t xml:space="preserve"> Sentencia de 28 de noviembre de 2003. Serie C No 104. párr. 73; </w:t>
      </w:r>
      <w:r w:rsidRPr="00E67349">
        <w:rPr>
          <w:rFonts w:ascii="Verdana" w:eastAsiaTheme="minorHAnsi" w:hAnsi="Verdana"/>
          <w:i/>
          <w:sz w:val="16"/>
          <w:szCs w:val="16"/>
          <w:lang w:val="es-AR"/>
        </w:rPr>
        <w:t>Caso Acevedo Buendía y otros (“Cesantes y Jubilados de la Contraloría”) Vs. Perú́,</w:t>
      </w:r>
      <w:r w:rsidRPr="00E67349">
        <w:rPr>
          <w:rFonts w:ascii="Verdana" w:eastAsiaTheme="minorHAnsi" w:hAnsi="Verdana"/>
          <w:sz w:val="16"/>
          <w:szCs w:val="16"/>
          <w:lang w:val="es-AR"/>
        </w:rPr>
        <w:t xml:space="preserve"> </w:t>
      </w:r>
      <w:r w:rsidRPr="00062586">
        <w:rPr>
          <w:rFonts w:ascii="Verdana" w:eastAsiaTheme="minorHAnsi" w:hAnsi="Verdana"/>
          <w:i/>
          <w:sz w:val="16"/>
          <w:szCs w:val="16"/>
          <w:lang w:val="es-AR"/>
        </w:rPr>
        <w:t>supra</w:t>
      </w:r>
      <w:r w:rsidRPr="00E67349">
        <w:rPr>
          <w:rFonts w:ascii="Verdana" w:eastAsiaTheme="minorHAnsi" w:hAnsi="Verdana"/>
          <w:sz w:val="16"/>
          <w:szCs w:val="16"/>
          <w:lang w:val="es-AR"/>
        </w:rPr>
        <w:t xml:space="preserve">, párr. 69, y </w:t>
      </w:r>
      <w:r w:rsidRPr="00B1523A">
        <w:rPr>
          <w:rStyle w:val="Strong"/>
          <w:rFonts w:ascii="Verdana" w:hAnsi="Verdana"/>
          <w:b w:val="0"/>
          <w:i/>
          <w:color w:val="000000"/>
          <w:sz w:val="16"/>
          <w:szCs w:val="16"/>
          <w:shd w:val="clear" w:color="auto" w:fill="FFFFFF"/>
          <w:lang w:val="es-CR"/>
        </w:rPr>
        <w:t xml:space="preserve">Caso Vereda La Esperanza Vs. Colombia. </w:t>
      </w:r>
      <w:r>
        <w:rPr>
          <w:rStyle w:val="Strong"/>
          <w:rFonts w:ascii="Verdana" w:hAnsi="Verdana"/>
          <w:b w:val="0"/>
          <w:i/>
          <w:color w:val="000000"/>
          <w:sz w:val="16"/>
          <w:szCs w:val="16"/>
          <w:shd w:val="clear" w:color="auto" w:fill="FFFFFF"/>
          <w:lang w:val="es-CR"/>
        </w:rPr>
        <w:t>supra</w:t>
      </w:r>
      <w:r>
        <w:rPr>
          <w:rStyle w:val="Strong"/>
          <w:rFonts w:ascii="Verdana" w:hAnsi="Verdana"/>
          <w:b w:val="0"/>
          <w:color w:val="000000"/>
          <w:sz w:val="16"/>
          <w:szCs w:val="16"/>
          <w:shd w:val="clear" w:color="auto" w:fill="FFFFFF"/>
          <w:lang w:val="es-CR"/>
        </w:rPr>
        <w:t>,</w:t>
      </w:r>
      <w:r w:rsidRPr="00B1523A">
        <w:rPr>
          <w:rStyle w:val="Strong"/>
          <w:rFonts w:ascii="Verdana" w:hAnsi="Verdana"/>
          <w:b w:val="0"/>
          <w:color w:val="000000"/>
          <w:sz w:val="16"/>
          <w:szCs w:val="16"/>
          <w:shd w:val="clear" w:color="auto" w:fill="FFFFFF"/>
          <w:lang w:val="es-CR"/>
        </w:rPr>
        <w:t xml:space="preserve"> párr. </w:t>
      </w:r>
      <w:r>
        <w:rPr>
          <w:rStyle w:val="Strong"/>
          <w:rFonts w:ascii="Verdana" w:hAnsi="Verdana"/>
          <w:b w:val="0"/>
          <w:color w:val="000000"/>
          <w:sz w:val="16"/>
          <w:szCs w:val="16"/>
          <w:shd w:val="clear" w:color="auto" w:fill="FFFFFF"/>
          <w:lang w:val="es-CR"/>
        </w:rPr>
        <w:t xml:space="preserve">185. </w:t>
      </w:r>
    </w:p>
  </w:footnote>
  <w:footnote w:id="276">
    <w:p w14:paraId="0AC56258" w14:textId="4E4B1B80" w:rsidR="003C025E" w:rsidRPr="00E67349" w:rsidRDefault="003C025E" w:rsidP="00E67349">
      <w:pPr>
        <w:pStyle w:val="NoSpacing"/>
        <w:rPr>
          <w:rFonts w:ascii="Verdana" w:eastAsiaTheme="minorHAnsi" w:hAnsi="Verdana"/>
          <w:spacing w:val="-2"/>
          <w:sz w:val="16"/>
          <w:szCs w:val="16"/>
          <w:lang w:val="es-CR"/>
        </w:rPr>
      </w:pPr>
      <w:r w:rsidRPr="00E67349">
        <w:rPr>
          <w:rStyle w:val="Smbolodenotaalpie"/>
          <w:rFonts w:ascii="Verdana" w:eastAsiaTheme="minorHAnsi" w:hAnsi="Verdana"/>
          <w:sz w:val="16"/>
          <w:szCs w:val="16"/>
          <w:lang w:val="es-AR"/>
        </w:rPr>
        <w:footnoteRef/>
      </w:r>
      <w:r w:rsidRPr="00E67349">
        <w:rPr>
          <w:rFonts w:ascii="Verdana" w:eastAsiaTheme="minorHAnsi" w:hAnsi="Verdana"/>
          <w:i/>
          <w:spacing w:val="-4"/>
          <w:sz w:val="16"/>
          <w:szCs w:val="16"/>
          <w:lang w:val="es-VE"/>
        </w:rPr>
        <w:t xml:space="preserve"> </w:t>
      </w:r>
      <w:r w:rsidRPr="00E67349">
        <w:rPr>
          <w:rFonts w:ascii="Verdana" w:eastAsiaTheme="minorHAnsi" w:hAnsi="Verdana"/>
          <w:i/>
          <w:spacing w:val="-4"/>
          <w:sz w:val="16"/>
          <w:szCs w:val="16"/>
          <w:lang w:val="es-VE"/>
        </w:rPr>
        <w:tab/>
      </w:r>
      <w:r w:rsidRPr="00062586">
        <w:rPr>
          <w:rFonts w:ascii="Verdana" w:eastAsiaTheme="minorHAnsi" w:hAnsi="Verdana"/>
          <w:i/>
          <w:spacing w:val="-4"/>
          <w:sz w:val="16"/>
          <w:szCs w:val="16"/>
          <w:lang w:val="es-VE"/>
        </w:rPr>
        <w:t>Cfr.</w:t>
      </w:r>
      <w:r w:rsidRPr="00E67349">
        <w:rPr>
          <w:rFonts w:ascii="Verdana" w:eastAsiaTheme="minorHAnsi" w:hAnsi="Verdana"/>
          <w:i/>
          <w:spacing w:val="-4"/>
          <w:sz w:val="16"/>
          <w:szCs w:val="16"/>
          <w:lang w:val="es-VE"/>
        </w:rPr>
        <w:t xml:space="preserve"> </w:t>
      </w:r>
      <w:r w:rsidRPr="00E67349">
        <w:rPr>
          <w:rFonts w:ascii="Verdana" w:eastAsiaTheme="minorHAnsi" w:hAnsi="Verdana"/>
          <w:i/>
          <w:sz w:val="16"/>
          <w:szCs w:val="16"/>
          <w:lang w:val="es-AR"/>
        </w:rPr>
        <w:t>Caso</w:t>
      </w:r>
      <w:r w:rsidRPr="00E67349">
        <w:rPr>
          <w:rFonts w:ascii="Verdana" w:eastAsiaTheme="minorHAnsi" w:hAnsi="Verdana" w:cs="Arial"/>
          <w:spacing w:val="-4"/>
          <w:sz w:val="16"/>
          <w:szCs w:val="16"/>
          <w:lang w:val="es-CR"/>
        </w:rPr>
        <w:t xml:space="preserve"> </w:t>
      </w:r>
      <w:r w:rsidRPr="00E67349">
        <w:rPr>
          <w:rFonts w:ascii="Verdana" w:eastAsiaTheme="minorHAnsi" w:hAnsi="Verdana" w:cs="Arial"/>
          <w:i/>
          <w:spacing w:val="-4"/>
          <w:sz w:val="16"/>
          <w:szCs w:val="16"/>
          <w:lang w:val="es-CR"/>
        </w:rPr>
        <w:t>Velásquez Rodríguez Vs. Honduras. Fondo</w:t>
      </w:r>
      <w:r w:rsidRPr="00E67349">
        <w:rPr>
          <w:rFonts w:ascii="Verdana" w:eastAsiaTheme="minorHAnsi" w:hAnsi="Verdana" w:cs="Arial"/>
          <w:spacing w:val="-4"/>
          <w:sz w:val="16"/>
          <w:szCs w:val="16"/>
          <w:lang w:val="es-CR"/>
        </w:rPr>
        <w:t xml:space="preserve">, </w:t>
      </w:r>
      <w:r w:rsidRPr="00E67349">
        <w:rPr>
          <w:rFonts w:ascii="Verdana" w:eastAsiaTheme="minorHAnsi" w:hAnsi="Verdana" w:cs="Verdana"/>
          <w:spacing w:val="-4"/>
          <w:sz w:val="16"/>
          <w:szCs w:val="16"/>
          <w:lang w:val="es-VE"/>
        </w:rPr>
        <w:t>párr. 177</w:t>
      </w:r>
      <w:r w:rsidRPr="00E67349">
        <w:rPr>
          <w:rFonts w:ascii="Verdana" w:eastAsiaTheme="minorHAnsi" w:hAnsi="Verdana"/>
          <w:spacing w:val="-2"/>
          <w:sz w:val="16"/>
          <w:szCs w:val="16"/>
          <w:lang w:val="es-VE"/>
        </w:rPr>
        <w:t xml:space="preserve">, </w:t>
      </w:r>
      <w:r w:rsidRPr="00E67349">
        <w:rPr>
          <w:rFonts w:ascii="Verdana" w:eastAsiaTheme="minorHAnsi" w:hAnsi="Verdana"/>
          <w:spacing w:val="-2"/>
          <w:sz w:val="16"/>
          <w:szCs w:val="16"/>
          <w:lang w:val="es-CR"/>
        </w:rPr>
        <w:t>y</w:t>
      </w:r>
      <w:r w:rsidRPr="00771FA4">
        <w:rPr>
          <w:rFonts w:ascii="Verdana" w:eastAsiaTheme="minorHAnsi" w:hAnsi="Verdana"/>
          <w:spacing w:val="-2"/>
          <w:sz w:val="16"/>
          <w:szCs w:val="16"/>
          <w:lang w:val="es-CR"/>
        </w:rPr>
        <w:t xml:space="preserve"> </w:t>
      </w:r>
      <w:r w:rsidRPr="00B1523A">
        <w:rPr>
          <w:rFonts w:ascii="Verdana" w:eastAsiaTheme="minorHAnsi" w:hAnsi="Verdana"/>
          <w:i/>
          <w:spacing w:val="-2"/>
          <w:sz w:val="16"/>
          <w:szCs w:val="16"/>
          <w:lang w:val="es-CR"/>
        </w:rPr>
        <w:t>Caso Vereda la Esperanza Vs. Colombia, supra,</w:t>
      </w:r>
      <w:r w:rsidRPr="00771FA4">
        <w:rPr>
          <w:rFonts w:ascii="Verdana" w:eastAsiaTheme="minorHAnsi" w:hAnsi="Verdana"/>
          <w:spacing w:val="-2"/>
          <w:sz w:val="16"/>
          <w:szCs w:val="16"/>
          <w:lang w:val="es-CR"/>
        </w:rPr>
        <w:t xml:space="preserve"> párr. 185. </w:t>
      </w:r>
    </w:p>
  </w:footnote>
  <w:footnote w:id="277">
    <w:p w14:paraId="515A71C1" w14:textId="46588759" w:rsidR="003C025E" w:rsidRPr="00771FA4" w:rsidRDefault="003C025E" w:rsidP="00E67349">
      <w:pPr>
        <w:pStyle w:val="NoSpacing"/>
        <w:rPr>
          <w:rFonts w:ascii="Verdana" w:eastAsiaTheme="minorHAnsi" w:hAnsi="Verdana"/>
          <w:spacing w:val="-2"/>
          <w:sz w:val="16"/>
          <w:szCs w:val="16"/>
          <w:lang w:val="es-CR"/>
        </w:rPr>
      </w:pPr>
      <w:r w:rsidRPr="00E67349">
        <w:rPr>
          <w:rStyle w:val="Smbolodenotaalpie"/>
          <w:rFonts w:ascii="Verdana" w:eastAsiaTheme="minorHAnsi" w:hAnsi="Verdana"/>
          <w:sz w:val="16"/>
          <w:szCs w:val="16"/>
          <w:lang w:val="es-AR"/>
        </w:rPr>
        <w:footnoteRef/>
      </w:r>
      <w:r w:rsidRPr="00E67349">
        <w:rPr>
          <w:rFonts w:ascii="Verdana" w:eastAsiaTheme="minorHAnsi" w:hAnsi="Verdana"/>
          <w:spacing w:val="-4"/>
          <w:sz w:val="16"/>
          <w:szCs w:val="16"/>
          <w:lang w:val="es-GT"/>
        </w:rPr>
        <w:t xml:space="preserve"> </w:t>
      </w:r>
      <w:r w:rsidRPr="00E67349">
        <w:rPr>
          <w:rFonts w:ascii="Verdana" w:eastAsiaTheme="minorHAnsi" w:hAnsi="Verdana"/>
          <w:spacing w:val="-4"/>
          <w:sz w:val="16"/>
          <w:szCs w:val="16"/>
          <w:lang w:val="es-GT"/>
        </w:rPr>
        <w:tab/>
      </w:r>
      <w:r w:rsidRPr="00062586">
        <w:rPr>
          <w:rFonts w:ascii="Verdana" w:eastAsiaTheme="minorHAnsi" w:hAnsi="Verdana"/>
          <w:i/>
          <w:spacing w:val="-4"/>
          <w:sz w:val="16"/>
          <w:szCs w:val="16"/>
          <w:lang w:val="es-GT"/>
        </w:rPr>
        <w:t>Cfr.</w:t>
      </w:r>
      <w:r w:rsidRPr="00E67349">
        <w:rPr>
          <w:rFonts w:ascii="Verdana" w:eastAsiaTheme="minorHAnsi" w:hAnsi="Verdana"/>
          <w:i/>
          <w:spacing w:val="-4"/>
          <w:sz w:val="16"/>
          <w:szCs w:val="16"/>
          <w:lang w:val="es-GT"/>
        </w:rPr>
        <w:t xml:space="preserve"> </w:t>
      </w:r>
      <w:r w:rsidRPr="00E67349">
        <w:rPr>
          <w:rFonts w:ascii="Verdana" w:eastAsiaTheme="minorHAnsi" w:hAnsi="Verdana"/>
          <w:i/>
          <w:spacing w:val="-4"/>
          <w:sz w:val="16"/>
          <w:szCs w:val="16"/>
          <w:lang w:val="es-CR"/>
        </w:rPr>
        <w:t xml:space="preserve">Caso Juan Humberto Sánchez Vs. Honduras. Excepción Preliminar, Fondo, Reparaciones y Costas. </w:t>
      </w:r>
      <w:r w:rsidRPr="00E67349">
        <w:rPr>
          <w:rFonts w:ascii="Verdana" w:eastAsiaTheme="minorHAnsi" w:hAnsi="Verdana"/>
          <w:spacing w:val="-4"/>
          <w:sz w:val="16"/>
          <w:szCs w:val="16"/>
          <w:lang w:val="es-CR"/>
        </w:rPr>
        <w:t xml:space="preserve">Sentencia de 7 de junio de 2003. Serie C No. 99, </w:t>
      </w:r>
      <w:r w:rsidRPr="00E67349">
        <w:rPr>
          <w:rFonts w:ascii="Verdana" w:eastAsiaTheme="minorHAnsi" w:hAnsi="Verdana" w:cs="Verdana"/>
          <w:spacing w:val="-4"/>
          <w:sz w:val="16"/>
          <w:szCs w:val="16"/>
          <w:lang w:val="es-CR"/>
        </w:rPr>
        <w:t>párr. 127,</w:t>
      </w:r>
      <w:r w:rsidRPr="00E67349">
        <w:rPr>
          <w:rFonts w:ascii="Verdana" w:eastAsiaTheme="minorHAnsi" w:hAnsi="Verdana"/>
          <w:spacing w:val="-4"/>
          <w:sz w:val="16"/>
          <w:szCs w:val="16"/>
          <w:lang w:val="es-PR"/>
        </w:rPr>
        <w:t xml:space="preserve"> </w:t>
      </w:r>
      <w:r w:rsidRPr="00E67349">
        <w:rPr>
          <w:rFonts w:ascii="Verdana" w:eastAsiaTheme="minorHAnsi" w:hAnsi="Verdana"/>
          <w:spacing w:val="-2"/>
          <w:sz w:val="16"/>
          <w:szCs w:val="16"/>
          <w:lang w:val="es-CR"/>
        </w:rPr>
        <w:t xml:space="preserve">y </w:t>
      </w:r>
      <w:r w:rsidRPr="00E67349">
        <w:rPr>
          <w:rFonts w:ascii="Verdana" w:eastAsiaTheme="minorHAnsi" w:hAnsi="Verdana"/>
          <w:i/>
          <w:spacing w:val="-2"/>
          <w:sz w:val="16"/>
          <w:szCs w:val="16"/>
          <w:lang w:val="es-CR"/>
        </w:rPr>
        <w:t xml:space="preserve">Caso </w:t>
      </w:r>
      <w:r>
        <w:rPr>
          <w:rFonts w:ascii="Verdana" w:eastAsiaTheme="minorHAnsi" w:hAnsi="Verdana"/>
          <w:i/>
          <w:spacing w:val="-2"/>
          <w:sz w:val="16"/>
          <w:szCs w:val="16"/>
          <w:lang w:val="es-CR"/>
        </w:rPr>
        <w:t xml:space="preserve">Vereda la Esperanza Vs. Colombia, supra, </w:t>
      </w:r>
      <w:r w:rsidRPr="00B1523A">
        <w:rPr>
          <w:rFonts w:ascii="Verdana" w:eastAsiaTheme="minorHAnsi" w:hAnsi="Verdana"/>
          <w:spacing w:val="-2"/>
          <w:sz w:val="16"/>
          <w:szCs w:val="16"/>
          <w:lang w:val="es-CR"/>
        </w:rPr>
        <w:t xml:space="preserve">párr. 185. </w:t>
      </w:r>
    </w:p>
  </w:footnote>
  <w:footnote w:id="278">
    <w:p w14:paraId="15CAE443" w14:textId="1FD0B4E6" w:rsidR="003C025E" w:rsidRPr="00E67349" w:rsidRDefault="003C025E" w:rsidP="00E67349">
      <w:pPr>
        <w:pStyle w:val="NoSpacing"/>
        <w:rPr>
          <w:rFonts w:ascii="Verdana" w:eastAsiaTheme="minorHAnsi" w:hAnsi="Verdana"/>
          <w:spacing w:val="-2"/>
          <w:sz w:val="16"/>
          <w:szCs w:val="16"/>
          <w:lang w:val="es-CR"/>
        </w:rPr>
      </w:pPr>
      <w:r w:rsidRPr="00E67349">
        <w:rPr>
          <w:rStyle w:val="Smbolodenotaalpie"/>
          <w:rFonts w:ascii="Verdana" w:eastAsiaTheme="minorHAnsi" w:hAnsi="Verdana"/>
          <w:sz w:val="16"/>
          <w:szCs w:val="16"/>
          <w:lang w:val="es-AR"/>
        </w:rPr>
        <w:footnoteRef/>
      </w:r>
      <w:r w:rsidRPr="00E67349">
        <w:rPr>
          <w:rFonts w:ascii="Verdana" w:eastAsiaTheme="minorHAnsi" w:hAnsi="Verdana"/>
          <w:i/>
          <w:spacing w:val="-4"/>
          <w:sz w:val="16"/>
          <w:szCs w:val="16"/>
          <w:lang w:val="es-CL"/>
        </w:rPr>
        <w:t xml:space="preserve"> </w:t>
      </w:r>
      <w:r w:rsidRPr="00E67349">
        <w:rPr>
          <w:rFonts w:ascii="Verdana" w:eastAsiaTheme="minorHAnsi" w:hAnsi="Verdana"/>
          <w:i/>
          <w:spacing w:val="-4"/>
          <w:sz w:val="16"/>
          <w:szCs w:val="16"/>
          <w:lang w:val="es-CL"/>
        </w:rPr>
        <w:tab/>
      </w:r>
      <w:r w:rsidRPr="00062586">
        <w:rPr>
          <w:rFonts w:ascii="Verdana" w:eastAsiaTheme="minorHAnsi" w:hAnsi="Verdana"/>
          <w:i/>
          <w:spacing w:val="-4"/>
          <w:sz w:val="16"/>
          <w:szCs w:val="16"/>
          <w:lang w:val="es-GT"/>
        </w:rPr>
        <w:t>Cfr.</w:t>
      </w:r>
      <w:r w:rsidRPr="00E67349">
        <w:rPr>
          <w:rFonts w:ascii="Verdana" w:eastAsiaTheme="minorHAnsi" w:hAnsi="Verdana"/>
          <w:i/>
          <w:spacing w:val="-4"/>
          <w:sz w:val="16"/>
          <w:szCs w:val="16"/>
          <w:lang w:val="es-GT"/>
        </w:rPr>
        <w:t xml:space="preserve"> </w:t>
      </w:r>
      <w:r w:rsidRPr="00E67349">
        <w:rPr>
          <w:rFonts w:ascii="Verdana" w:eastAsiaTheme="minorHAnsi" w:hAnsi="Verdana"/>
          <w:bCs/>
          <w:i/>
          <w:spacing w:val="-4"/>
          <w:sz w:val="16"/>
          <w:szCs w:val="16"/>
          <w:lang w:val="es-GT"/>
        </w:rPr>
        <w:t xml:space="preserve">Caso </w:t>
      </w:r>
      <w:r w:rsidRPr="00E67349">
        <w:rPr>
          <w:rFonts w:ascii="Verdana" w:eastAsiaTheme="minorHAnsi" w:hAnsi="Verdana"/>
          <w:i/>
          <w:spacing w:val="-4"/>
          <w:sz w:val="16"/>
          <w:szCs w:val="16"/>
          <w:lang w:val="es-CR"/>
        </w:rPr>
        <w:t>de</w:t>
      </w:r>
      <w:r w:rsidRPr="00E67349">
        <w:rPr>
          <w:rFonts w:ascii="Verdana" w:eastAsiaTheme="minorHAnsi" w:hAnsi="Verdana"/>
          <w:bCs/>
          <w:i/>
          <w:spacing w:val="-4"/>
          <w:sz w:val="16"/>
          <w:szCs w:val="16"/>
          <w:lang w:val="es-GT"/>
        </w:rPr>
        <w:t xml:space="preserve"> las Hermanas Serrano Cruz Vs. El Salvador. Fondo, Reparaciones y Costas. </w:t>
      </w:r>
      <w:r w:rsidRPr="00E67349">
        <w:rPr>
          <w:rFonts w:ascii="Verdana" w:eastAsiaTheme="minorHAnsi" w:hAnsi="Verdana"/>
          <w:bCs/>
          <w:spacing w:val="-4"/>
          <w:sz w:val="16"/>
          <w:szCs w:val="16"/>
          <w:lang w:val="es-GT"/>
        </w:rPr>
        <w:t>Sentencia de 1 de marzo de 2005. Serie C No. 120</w:t>
      </w:r>
      <w:r w:rsidRPr="00E67349">
        <w:rPr>
          <w:rFonts w:ascii="Verdana" w:eastAsiaTheme="minorHAnsi" w:hAnsi="Verdana"/>
          <w:bCs/>
          <w:i/>
          <w:spacing w:val="-4"/>
          <w:sz w:val="16"/>
          <w:szCs w:val="16"/>
          <w:lang w:val="es-GT"/>
        </w:rPr>
        <w:t xml:space="preserve">, </w:t>
      </w:r>
      <w:r w:rsidRPr="00E67349">
        <w:rPr>
          <w:rFonts w:ascii="Verdana" w:eastAsiaTheme="minorHAnsi" w:hAnsi="Verdana"/>
          <w:spacing w:val="-4"/>
          <w:sz w:val="16"/>
          <w:szCs w:val="16"/>
          <w:lang w:val="es-GT"/>
        </w:rPr>
        <w:t xml:space="preserve">párr. 83, </w:t>
      </w:r>
      <w:r w:rsidRPr="00771FA4">
        <w:rPr>
          <w:rStyle w:val="Strong"/>
          <w:rFonts w:ascii="Verdana" w:eastAsiaTheme="minorHAnsi" w:hAnsi="Verdana"/>
          <w:b w:val="0"/>
          <w:color w:val="000000"/>
          <w:sz w:val="16"/>
          <w:szCs w:val="16"/>
          <w:lang w:val="es-AR"/>
        </w:rPr>
        <w:t xml:space="preserve">y </w:t>
      </w:r>
      <w:r w:rsidRPr="00B1523A">
        <w:rPr>
          <w:rStyle w:val="Strong"/>
          <w:rFonts w:ascii="Verdana" w:eastAsiaTheme="minorHAnsi" w:hAnsi="Verdana"/>
          <w:b w:val="0"/>
          <w:i/>
          <w:color w:val="000000"/>
          <w:sz w:val="16"/>
          <w:szCs w:val="16"/>
          <w:lang w:val="es-AR"/>
        </w:rPr>
        <w:t>Caso Vereda la Esperanza Vs. Colombia, supra,</w:t>
      </w:r>
      <w:r w:rsidRPr="00771FA4">
        <w:rPr>
          <w:rStyle w:val="Strong"/>
          <w:rFonts w:ascii="Verdana" w:eastAsiaTheme="minorHAnsi" w:hAnsi="Verdana"/>
          <w:b w:val="0"/>
          <w:color w:val="000000"/>
          <w:sz w:val="16"/>
          <w:szCs w:val="16"/>
          <w:lang w:val="es-AR"/>
        </w:rPr>
        <w:t xml:space="preserve"> párr. 185.</w:t>
      </w:r>
    </w:p>
  </w:footnote>
  <w:footnote w:id="279">
    <w:p w14:paraId="23A3AE71" w14:textId="5FCCB367" w:rsidR="003C025E" w:rsidRPr="00E67349" w:rsidRDefault="003C025E" w:rsidP="00E67349">
      <w:pPr>
        <w:pStyle w:val="NoSpacing"/>
        <w:rPr>
          <w:rFonts w:ascii="Verdana" w:eastAsiaTheme="minorHAnsi" w:hAnsi="Verdana"/>
          <w:sz w:val="16"/>
          <w:szCs w:val="16"/>
          <w:lang w:val="es-CR"/>
        </w:rPr>
      </w:pPr>
      <w:r w:rsidRPr="00E67349">
        <w:rPr>
          <w:rStyle w:val="Smbolodenotaalpie"/>
          <w:rFonts w:ascii="Verdana" w:eastAsiaTheme="minorHAnsi" w:hAnsi="Verdana"/>
          <w:sz w:val="16"/>
          <w:szCs w:val="16"/>
          <w:lang w:val="es-AR"/>
        </w:rPr>
        <w:footnoteRef/>
      </w:r>
      <w:r w:rsidRPr="00E67349">
        <w:rPr>
          <w:rFonts w:ascii="Verdana" w:eastAsiaTheme="minorHAnsi" w:hAnsi="Verdana"/>
          <w:sz w:val="16"/>
          <w:szCs w:val="16"/>
          <w:lang w:val="es-CR"/>
        </w:rPr>
        <w:t xml:space="preserve"> </w:t>
      </w:r>
      <w:r w:rsidRPr="00E67349">
        <w:rPr>
          <w:rFonts w:ascii="Verdana" w:eastAsiaTheme="minorHAnsi" w:hAnsi="Verdana"/>
          <w:sz w:val="16"/>
          <w:szCs w:val="16"/>
          <w:lang w:val="es-CR"/>
        </w:rPr>
        <w:tab/>
      </w:r>
      <w:r w:rsidRPr="00062586">
        <w:rPr>
          <w:rFonts w:ascii="Verdana" w:eastAsiaTheme="minorHAnsi" w:hAnsi="Verdana"/>
          <w:i/>
          <w:sz w:val="16"/>
          <w:szCs w:val="16"/>
          <w:lang w:val="es-CR"/>
        </w:rPr>
        <w:t>Cfr.</w:t>
      </w:r>
      <w:r w:rsidRPr="00E67349">
        <w:rPr>
          <w:rFonts w:ascii="Verdana" w:eastAsiaTheme="minorHAnsi" w:hAnsi="Verdana"/>
          <w:i/>
          <w:sz w:val="16"/>
          <w:szCs w:val="16"/>
          <w:lang w:val="es-CR"/>
        </w:rPr>
        <w:t xml:space="preserve"> Caso de los “Niños de la Calle” (Villagrán Morales y otros) vs. Guatemala. Fondo</w:t>
      </w:r>
      <w:r w:rsidRPr="00E67349">
        <w:rPr>
          <w:rFonts w:ascii="Verdana" w:eastAsiaTheme="minorHAnsi" w:hAnsi="Verdana"/>
          <w:sz w:val="16"/>
          <w:szCs w:val="16"/>
          <w:lang w:val="es-CR"/>
        </w:rPr>
        <w:t xml:space="preserve">. Sentencia de 19 de noviembre de 1999. Serie C No. 63, párr. 222, </w:t>
      </w:r>
      <w:r w:rsidRPr="003B52C8">
        <w:rPr>
          <w:rFonts w:ascii="Verdana" w:eastAsiaTheme="minorHAnsi" w:hAnsi="Verdana"/>
          <w:i/>
          <w:sz w:val="16"/>
          <w:szCs w:val="16"/>
          <w:lang w:val="es-CR"/>
        </w:rPr>
        <w:t>y Caso Vereda la Esperanza Vs. Colombia, supra,</w:t>
      </w:r>
      <w:r>
        <w:rPr>
          <w:rFonts w:ascii="Verdana" w:eastAsiaTheme="minorHAnsi" w:hAnsi="Verdana"/>
          <w:sz w:val="16"/>
          <w:szCs w:val="16"/>
          <w:lang w:val="es-CR"/>
        </w:rPr>
        <w:t xml:space="preserve"> párr. 186</w:t>
      </w:r>
      <w:r w:rsidRPr="00577C10">
        <w:rPr>
          <w:rFonts w:ascii="Verdana" w:eastAsiaTheme="minorHAnsi" w:hAnsi="Verdana"/>
          <w:sz w:val="16"/>
          <w:szCs w:val="16"/>
          <w:lang w:val="es-CR"/>
        </w:rPr>
        <w:t>.</w:t>
      </w:r>
    </w:p>
  </w:footnote>
  <w:footnote w:id="280">
    <w:p w14:paraId="5967DF32" w14:textId="6DB5DA60" w:rsidR="003C025E" w:rsidRPr="00E67349" w:rsidRDefault="003C025E" w:rsidP="00E67349">
      <w:pPr>
        <w:pStyle w:val="NoSpacing"/>
        <w:rPr>
          <w:rFonts w:ascii="Verdana" w:hAnsi="Verdana"/>
          <w:sz w:val="16"/>
          <w:szCs w:val="16"/>
          <w:lang w:val="es-ES_tradnl"/>
        </w:rPr>
      </w:pPr>
      <w:r w:rsidRPr="00E67349">
        <w:rPr>
          <w:rStyle w:val="FootnoteReference"/>
          <w:rFonts w:ascii="Verdana" w:eastAsiaTheme="majorEastAsia" w:hAnsi="Verdana"/>
          <w:sz w:val="16"/>
          <w:szCs w:val="16"/>
          <w:lang w:val="es-AR"/>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062586">
        <w:rPr>
          <w:rFonts w:ascii="Verdana" w:eastAsiaTheme="minorHAnsi" w:hAnsi="Verdana"/>
          <w:i/>
          <w:sz w:val="16"/>
          <w:szCs w:val="16"/>
          <w:lang w:val="es-AR"/>
        </w:rPr>
        <w:t>Cfr.</w:t>
      </w:r>
      <w:r w:rsidRPr="00E67349">
        <w:rPr>
          <w:rFonts w:ascii="Verdana" w:eastAsiaTheme="minorHAnsi" w:hAnsi="Verdana"/>
          <w:i/>
          <w:sz w:val="16"/>
          <w:szCs w:val="16"/>
          <w:lang w:val="es-AR"/>
        </w:rPr>
        <w:t xml:space="preserve"> Caso</w:t>
      </w:r>
      <w:r w:rsidRPr="00E67349">
        <w:rPr>
          <w:rFonts w:ascii="Verdana" w:eastAsiaTheme="minorHAnsi" w:hAnsi="Verdana"/>
          <w:sz w:val="16"/>
          <w:szCs w:val="16"/>
          <w:lang w:val="es-AR"/>
        </w:rPr>
        <w:t xml:space="preserve"> </w:t>
      </w:r>
      <w:proofErr w:type="spellStart"/>
      <w:r w:rsidRPr="00E67349">
        <w:rPr>
          <w:rFonts w:ascii="Verdana" w:eastAsiaTheme="minorHAnsi" w:hAnsi="Verdana"/>
          <w:bCs/>
          <w:i/>
          <w:spacing w:val="-4"/>
          <w:sz w:val="16"/>
          <w:szCs w:val="16"/>
          <w:lang w:val="es-GT"/>
        </w:rPr>
        <w:t>Yarce</w:t>
      </w:r>
      <w:proofErr w:type="spellEnd"/>
      <w:r w:rsidRPr="00E67349">
        <w:rPr>
          <w:rFonts w:ascii="Verdana" w:eastAsiaTheme="minorHAnsi" w:hAnsi="Verdana"/>
          <w:bCs/>
          <w:i/>
          <w:spacing w:val="-4"/>
          <w:sz w:val="16"/>
          <w:szCs w:val="16"/>
          <w:lang w:val="es-GT"/>
        </w:rPr>
        <w:t xml:space="preserve"> y Otras Vs. Colombia, </w:t>
      </w:r>
      <w:r w:rsidRPr="00E67349">
        <w:rPr>
          <w:rFonts w:ascii="Verdana" w:eastAsiaTheme="minorHAnsi" w:hAnsi="Verdana"/>
          <w:bCs/>
          <w:spacing w:val="-4"/>
          <w:sz w:val="16"/>
          <w:szCs w:val="16"/>
          <w:lang w:val="es-GT"/>
        </w:rPr>
        <w:t>párr.</w:t>
      </w:r>
      <w:r w:rsidRPr="00E67349">
        <w:rPr>
          <w:rFonts w:ascii="Verdana" w:eastAsiaTheme="minorHAnsi" w:hAnsi="Verdana"/>
          <w:sz w:val="16"/>
          <w:szCs w:val="16"/>
          <w:lang w:val="es-AR"/>
        </w:rPr>
        <w:t xml:space="preserve"> 282</w:t>
      </w:r>
      <w:r>
        <w:rPr>
          <w:rFonts w:ascii="Verdana" w:eastAsiaTheme="minorHAnsi" w:hAnsi="Verdana"/>
          <w:sz w:val="16"/>
          <w:szCs w:val="16"/>
          <w:lang w:val="es-AR"/>
        </w:rPr>
        <w:t xml:space="preserve">, </w:t>
      </w:r>
      <w:r w:rsidRPr="00B820DD">
        <w:rPr>
          <w:rFonts w:ascii="Verdana" w:eastAsiaTheme="minorHAnsi" w:hAnsi="Verdana"/>
          <w:i/>
          <w:sz w:val="16"/>
          <w:szCs w:val="16"/>
          <w:lang w:val="es-AR"/>
        </w:rPr>
        <w:t>y Caso Vereda la Esperanza Vs. Colombia, supra,</w:t>
      </w:r>
      <w:r w:rsidRPr="00577C10">
        <w:rPr>
          <w:rFonts w:ascii="Verdana" w:eastAsiaTheme="minorHAnsi" w:hAnsi="Verdana"/>
          <w:sz w:val="16"/>
          <w:szCs w:val="16"/>
          <w:lang w:val="es-AR"/>
        </w:rPr>
        <w:t xml:space="preserve"> párr. 186</w:t>
      </w:r>
      <w:r w:rsidRPr="00E67349">
        <w:rPr>
          <w:rFonts w:ascii="Verdana" w:eastAsiaTheme="minorHAnsi" w:hAnsi="Verdana"/>
          <w:sz w:val="16"/>
          <w:szCs w:val="16"/>
          <w:lang w:val="es-AR"/>
        </w:rPr>
        <w:t>.</w:t>
      </w:r>
    </w:p>
  </w:footnote>
  <w:footnote w:id="281">
    <w:p w14:paraId="00EA5935" w14:textId="72DAC2A1" w:rsidR="003C025E" w:rsidRPr="00E67349" w:rsidRDefault="003C025E" w:rsidP="00E67349">
      <w:pPr>
        <w:pStyle w:val="FootnoteText"/>
        <w:rPr>
          <w:spacing w:val="-4"/>
          <w:sz w:val="16"/>
          <w:szCs w:val="16"/>
          <w:lang w:val="es-CR"/>
        </w:rPr>
      </w:pPr>
      <w:r w:rsidRPr="00E67349">
        <w:rPr>
          <w:rStyle w:val="Smbolodenotaalpie"/>
          <w:rFonts w:ascii="Verdana" w:hAnsi="Verdana"/>
          <w:sz w:val="16"/>
          <w:szCs w:val="16"/>
        </w:rPr>
        <w:footnoteRef/>
      </w:r>
      <w:r w:rsidRPr="00E67349">
        <w:rPr>
          <w:i/>
          <w:spacing w:val="-4"/>
          <w:sz w:val="16"/>
          <w:szCs w:val="16"/>
          <w:lang w:val="es-CR"/>
        </w:rPr>
        <w:t xml:space="preserve"> </w:t>
      </w:r>
      <w:r w:rsidRPr="00E67349">
        <w:rPr>
          <w:i/>
          <w:spacing w:val="-4"/>
          <w:sz w:val="16"/>
          <w:szCs w:val="16"/>
          <w:lang w:val="es-CR"/>
        </w:rPr>
        <w:tab/>
      </w:r>
      <w:r w:rsidRPr="00062586">
        <w:rPr>
          <w:i/>
          <w:spacing w:val="-4"/>
          <w:sz w:val="16"/>
          <w:szCs w:val="16"/>
          <w:lang w:val="es-CR"/>
        </w:rPr>
        <w:t>Cfr.</w:t>
      </w:r>
      <w:r w:rsidRPr="00E67349">
        <w:rPr>
          <w:spacing w:val="-4"/>
          <w:sz w:val="16"/>
          <w:szCs w:val="16"/>
          <w:lang w:val="es-CR"/>
        </w:rPr>
        <w:t xml:space="preserve"> </w:t>
      </w:r>
      <w:r w:rsidRPr="00E67349">
        <w:rPr>
          <w:rFonts w:cs="Arial"/>
          <w:i/>
          <w:spacing w:val="-4"/>
          <w:sz w:val="16"/>
          <w:szCs w:val="16"/>
          <w:lang w:val="es-CR"/>
        </w:rPr>
        <w:t xml:space="preserve">Caso </w:t>
      </w:r>
      <w:proofErr w:type="spellStart"/>
      <w:r w:rsidRPr="00E67349">
        <w:rPr>
          <w:rFonts w:cs="Arial"/>
          <w:i/>
          <w:spacing w:val="-4"/>
          <w:sz w:val="16"/>
          <w:szCs w:val="16"/>
          <w:lang w:val="es-CR"/>
        </w:rPr>
        <w:t>Ibsen</w:t>
      </w:r>
      <w:proofErr w:type="spellEnd"/>
      <w:r w:rsidRPr="00E67349">
        <w:rPr>
          <w:rFonts w:cs="Arial"/>
          <w:i/>
          <w:spacing w:val="-4"/>
          <w:sz w:val="16"/>
          <w:szCs w:val="16"/>
          <w:lang w:val="es-CR"/>
        </w:rPr>
        <w:t xml:space="preserve"> </w:t>
      </w:r>
      <w:r w:rsidRPr="00E67349">
        <w:rPr>
          <w:rFonts w:cstheme="minorBidi"/>
          <w:bCs/>
          <w:i/>
          <w:spacing w:val="-4"/>
          <w:sz w:val="16"/>
          <w:szCs w:val="16"/>
          <w:lang w:val="es-GT"/>
        </w:rPr>
        <w:t>Cárdenas</w:t>
      </w:r>
      <w:r w:rsidRPr="00E67349">
        <w:rPr>
          <w:rFonts w:cs="Arial"/>
          <w:i/>
          <w:spacing w:val="-4"/>
          <w:sz w:val="16"/>
          <w:szCs w:val="16"/>
          <w:lang w:val="es-CR"/>
        </w:rPr>
        <w:t xml:space="preserve"> e </w:t>
      </w:r>
      <w:proofErr w:type="spellStart"/>
      <w:r w:rsidRPr="00E67349">
        <w:rPr>
          <w:rFonts w:cs="Arial"/>
          <w:i/>
          <w:spacing w:val="-4"/>
          <w:sz w:val="16"/>
          <w:szCs w:val="16"/>
          <w:lang w:val="es-CR"/>
        </w:rPr>
        <w:t>Ibsen</w:t>
      </w:r>
      <w:proofErr w:type="spellEnd"/>
      <w:r w:rsidRPr="00E67349">
        <w:rPr>
          <w:rFonts w:cs="Arial"/>
          <w:i/>
          <w:spacing w:val="-4"/>
          <w:sz w:val="16"/>
          <w:szCs w:val="16"/>
          <w:lang w:val="es-CR"/>
        </w:rPr>
        <w:t xml:space="preserve"> Peña Vs. Bolivia. Fondo, Reparaciones y Costas.</w:t>
      </w:r>
      <w:r w:rsidRPr="00E67349">
        <w:rPr>
          <w:rFonts w:cs="Arial"/>
          <w:spacing w:val="-4"/>
          <w:sz w:val="16"/>
          <w:szCs w:val="16"/>
          <w:lang w:val="es-CR"/>
        </w:rPr>
        <w:t xml:space="preserve"> Sentencia de 1 de septiembre de 2010. Serie C No. 217</w:t>
      </w:r>
      <w:r w:rsidRPr="00E67349">
        <w:rPr>
          <w:spacing w:val="-4"/>
          <w:sz w:val="16"/>
          <w:szCs w:val="16"/>
          <w:lang w:val="es-CR"/>
        </w:rPr>
        <w:t xml:space="preserve">, párr. 172, y </w:t>
      </w:r>
      <w:r w:rsidRPr="00577C10">
        <w:rPr>
          <w:i/>
          <w:sz w:val="16"/>
          <w:szCs w:val="16"/>
        </w:rPr>
        <w:t>Caso Vereda la Esperanza Vs. Colombia, supra,</w:t>
      </w:r>
      <w:r w:rsidRPr="003B52C8">
        <w:rPr>
          <w:sz w:val="16"/>
          <w:szCs w:val="16"/>
        </w:rPr>
        <w:t xml:space="preserve"> párr. 186.</w:t>
      </w:r>
    </w:p>
  </w:footnote>
  <w:footnote w:id="282">
    <w:p w14:paraId="396D0A24" w14:textId="57CE1825" w:rsidR="003C025E" w:rsidRPr="00E67349" w:rsidRDefault="003C025E" w:rsidP="00E67349">
      <w:pPr>
        <w:pStyle w:val="FootnoteText"/>
        <w:rPr>
          <w:sz w:val="16"/>
          <w:szCs w:val="16"/>
          <w:lang w:val="es-CR"/>
        </w:rPr>
      </w:pPr>
      <w:r w:rsidRPr="00E67349">
        <w:rPr>
          <w:rStyle w:val="FootnoteReference"/>
          <w:rFonts w:eastAsiaTheme="majorEastAsia"/>
          <w:sz w:val="16"/>
          <w:szCs w:val="16"/>
        </w:rPr>
        <w:footnoteRef/>
      </w:r>
      <w:r w:rsidRPr="00E67349">
        <w:rPr>
          <w:sz w:val="16"/>
          <w:szCs w:val="16"/>
          <w:lang w:val="es-CR"/>
        </w:rPr>
        <w:t xml:space="preserve"> </w:t>
      </w:r>
      <w:r w:rsidRPr="00E67349">
        <w:rPr>
          <w:sz w:val="16"/>
          <w:szCs w:val="16"/>
          <w:lang w:val="es-CR"/>
        </w:rPr>
        <w:tab/>
      </w:r>
      <w:r w:rsidRPr="00062586">
        <w:rPr>
          <w:i/>
          <w:sz w:val="16"/>
          <w:szCs w:val="16"/>
          <w:lang w:val="es-CR"/>
        </w:rPr>
        <w:t>Cfr.</w:t>
      </w:r>
      <w:r w:rsidRPr="00E67349">
        <w:rPr>
          <w:i/>
          <w:sz w:val="16"/>
          <w:szCs w:val="16"/>
          <w:lang w:val="es-CR"/>
        </w:rPr>
        <w:t xml:space="preserve"> </w:t>
      </w:r>
      <w:r w:rsidRPr="00E67349">
        <w:rPr>
          <w:bCs/>
          <w:i/>
          <w:spacing w:val="-4"/>
          <w:sz w:val="16"/>
          <w:szCs w:val="16"/>
          <w:lang w:val="es-CR"/>
        </w:rPr>
        <w:t>Caso Luna López Vs. Honduras.</w:t>
      </w:r>
      <w:r w:rsidRPr="00E67349">
        <w:rPr>
          <w:bCs/>
          <w:spacing w:val="-4"/>
          <w:sz w:val="16"/>
          <w:szCs w:val="16"/>
          <w:lang w:val="es-CR"/>
        </w:rPr>
        <w:t xml:space="preserve"> </w:t>
      </w:r>
      <w:r w:rsidRPr="00B820DD">
        <w:rPr>
          <w:bCs/>
          <w:i/>
          <w:spacing w:val="-4"/>
          <w:sz w:val="16"/>
          <w:szCs w:val="16"/>
          <w:lang w:val="es-CR"/>
        </w:rPr>
        <w:t>Fondo, Reparaciones y Costas.</w:t>
      </w:r>
      <w:r w:rsidRPr="00E67349">
        <w:rPr>
          <w:bCs/>
          <w:spacing w:val="-4"/>
          <w:sz w:val="16"/>
          <w:szCs w:val="16"/>
          <w:lang w:val="es-CR"/>
        </w:rPr>
        <w:t xml:space="preserve"> Sentencia de 10 de octubre de 2013. Serie C No. 269,</w:t>
      </w:r>
      <w:r w:rsidRPr="00E67349">
        <w:rPr>
          <w:bCs/>
          <w:i/>
          <w:spacing w:val="-4"/>
          <w:sz w:val="16"/>
          <w:szCs w:val="16"/>
          <w:lang w:val="es-CR"/>
        </w:rPr>
        <w:t xml:space="preserve"> </w:t>
      </w:r>
      <w:r w:rsidRPr="00E67349">
        <w:rPr>
          <w:sz w:val="16"/>
          <w:szCs w:val="16"/>
          <w:lang w:val="es-CR"/>
        </w:rPr>
        <w:t xml:space="preserve">párr. 167, </w:t>
      </w:r>
      <w:r w:rsidRPr="00E67349">
        <w:rPr>
          <w:rFonts w:eastAsia="Cambria"/>
          <w:sz w:val="16"/>
          <w:szCs w:val="16"/>
          <w:lang w:val="es-CR"/>
        </w:rPr>
        <w:t>y</w:t>
      </w:r>
      <w:r w:rsidRPr="00E67349">
        <w:rPr>
          <w:sz w:val="16"/>
          <w:szCs w:val="16"/>
          <w:lang w:val="es-CR"/>
        </w:rPr>
        <w:t xml:space="preserve"> </w:t>
      </w:r>
      <w:r w:rsidRPr="00E67349">
        <w:rPr>
          <w:i/>
          <w:sz w:val="16"/>
          <w:szCs w:val="16"/>
        </w:rPr>
        <w:t>Caso</w:t>
      </w:r>
      <w:r w:rsidRPr="00E67349">
        <w:rPr>
          <w:sz w:val="16"/>
          <w:szCs w:val="16"/>
        </w:rPr>
        <w:t xml:space="preserve"> </w:t>
      </w:r>
      <w:proofErr w:type="spellStart"/>
      <w:r>
        <w:rPr>
          <w:bCs/>
          <w:i/>
          <w:spacing w:val="-4"/>
          <w:sz w:val="16"/>
          <w:szCs w:val="16"/>
          <w:lang w:val="es-GT"/>
        </w:rPr>
        <w:t>Yarce</w:t>
      </w:r>
      <w:proofErr w:type="spellEnd"/>
      <w:r>
        <w:rPr>
          <w:bCs/>
          <w:i/>
          <w:spacing w:val="-4"/>
          <w:sz w:val="16"/>
          <w:szCs w:val="16"/>
          <w:lang w:val="es-GT"/>
        </w:rPr>
        <w:t xml:space="preserve"> y Otras Vs. Colombia.</w:t>
      </w:r>
      <w:r w:rsidRPr="00E67349">
        <w:rPr>
          <w:bCs/>
          <w:i/>
          <w:spacing w:val="-4"/>
          <w:sz w:val="16"/>
          <w:szCs w:val="16"/>
          <w:lang w:val="es-GT"/>
        </w:rPr>
        <w:t xml:space="preserve"> </w:t>
      </w:r>
      <w:r>
        <w:rPr>
          <w:bCs/>
          <w:i/>
          <w:spacing w:val="-4"/>
          <w:sz w:val="16"/>
          <w:szCs w:val="16"/>
          <w:lang w:val="es-GT"/>
        </w:rPr>
        <w:t xml:space="preserve">supra, </w:t>
      </w:r>
      <w:r w:rsidRPr="00E67349">
        <w:rPr>
          <w:sz w:val="16"/>
          <w:szCs w:val="16"/>
          <w:lang w:val="es-CR"/>
        </w:rPr>
        <w:t xml:space="preserve">párr. 282. </w:t>
      </w:r>
    </w:p>
  </w:footnote>
  <w:footnote w:id="283">
    <w:p w14:paraId="272AD049" w14:textId="76AE4C58" w:rsidR="003C025E" w:rsidRPr="00E67349" w:rsidRDefault="003C025E" w:rsidP="00E67349">
      <w:pPr>
        <w:pStyle w:val="FootnoteText"/>
        <w:rPr>
          <w:sz w:val="16"/>
          <w:szCs w:val="16"/>
        </w:rPr>
      </w:pPr>
      <w:r w:rsidRPr="00E67349">
        <w:rPr>
          <w:rStyle w:val="FootnoteReference"/>
          <w:sz w:val="16"/>
          <w:szCs w:val="16"/>
        </w:rPr>
        <w:footnoteRef/>
      </w:r>
      <w:r w:rsidRPr="00E67349">
        <w:rPr>
          <w:sz w:val="16"/>
          <w:szCs w:val="16"/>
        </w:rPr>
        <w:t xml:space="preserve"> </w:t>
      </w:r>
      <w:r w:rsidRPr="00E67349">
        <w:rPr>
          <w:sz w:val="16"/>
          <w:szCs w:val="16"/>
        </w:rPr>
        <w:tab/>
      </w:r>
      <w:r w:rsidRPr="00062586">
        <w:rPr>
          <w:i/>
          <w:sz w:val="16"/>
          <w:szCs w:val="16"/>
        </w:rPr>
        <w:t>Cfr.</w:t>
      </w:r>
      <w:r w:rsidRPr="00E67349">
        <w:rPr>
          <w:i/>
          <w:sz w:val="16"/>
          <w:szCs w:val="16"/>
        </w:rPr>
        <w:t xml:space="preserve"> Caso Luna López Vs. Honduras. Fondo, Reparaciones y Costas.</w:t>
      </w:r>
      <w:r w:rsidRPr="00E67349">
        <w:rPr>
          <w:sz w:val="16"/>
          <w:szCs w:val="16"/>
        </w:rPr>
        <w:t xml:space="preserve"> Sentencia de 10 de octubre de 2013. Serie C No. 269, párr. 164, y </w:t>
      </w:r>
      <w:r w:rsidRPr="00E67349">
        <w:rPr>
          <w:i/>
          <w:sz w:val="16"/>
          <w:szCs w:val="16"/>
        </w:rPr>
        <w:t>Caso Hermanos Landaeta Mejías y otros Vs. Venezuela. Excepciones Preliminares, Fondo, Reparaciones y Costas.</w:t>
      </w:r>
      <w:r w:rsidRPr="00E67349">
        <w:rPr>
          <w:sz w:val="16"/>
          <w:szCs w:val="16"/>
        </w:rPr>
        <w:t xml:space="preserve"> Sentencia de 27 de agosto de 2014. Serie C No. 281, párr. 227. </w:t>
      </w:r>
    </w:p>
  </w:footnote>
  <w:footnote w:id="284">
    <w:p w14:paraId="30855138" w14:textId="17B3B865" w:rsidR="003C025E" w:rsidRPr="00E67349" w:rsidRDefault="003C025E" w:rsidP="00E67349">
      <w:pPr>
        <w:pStyle w:val="NoSpacing"/>
        <w:rPr>
          <w:rFonts w:ascii="Verdana" w:eastAsiaTheme="minorHAnsi" w:hAnsi="Verdana"/>
          <w:sz w:val="16"/>
          <w:szCs w:val="16"/>
          <w:lang w:val="es-CR"/>
        </w:rPr>
      </w:pPr>
      <w:r w:rsidRPr="00E67349">
        <w:rPr>
          <w:rStyle w:val="FootnoteReference"/>
          <w:rFonts w:ascii="Verdana" w:eastAsiaTheme="minorHAnsi" w:hAnsi="Verdana"/>
          <w:sz w:val="16"/>
          <w:szCs w:val="16"/>
          <w:lang w:val="es-AR"/>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062586">
        <w:rPr>
          <w:rFonts w:ascii="Verdana" w:eastAsiaTheme="minorHAnsi" w:hAnsi="Verdana"/>
          <w:i/>
          <w:sz w:val="16"/>
          <w:szCs w:val="16"/>
          <w:lang w:val="es-AR"/>
        </w:rPr>
        <w:t>Cfr.</w:t>
      </w:r>
      <w:r w:rsidRPr="00E67349">
        <w:rPr>
          <w:rFonts w:ascii="Verdana" w:eastAsiaTheme="minorHAnsi" w:hAnsi="Verdana"/>
          <w:i/>
          <w:sz w:val="16"/>
          <w:szCs w:val="16"/>
          <w:lang w:val="es-AR"/>
        </w:rPr>
        <w:t xml:space="preserve"> Caso Hermanos Landaeta Mejías y otros Vs. Venezuela. Excepciones Preliminares, Fondo, Reparaciones y Costas.</w:t>
      </w:r>
      <w:r w:rsidRPr="00E67349">
        <w:rPr>
          <w:rFonts w:ascii="Verdana" w:eastAsiaTheme="minorHAnsi" w:hAnsi="Verdana"/>
          <w:sz w:val="16"/>
          <w:szCs w:val="16"/>
          <w:lang w:val="es-AR"/>
        </w:rPr>
        <w:t xml:space="preserve"> Sentencia de 27 de agosto de 2014. Serie C No. 281, párr. 227. </w:t>
      </w:r>
    </w:p>
  </w:footnote>
  <w:footnote w:id="285">
    <w:p w14:paraId="2454E27F" w14:textId="18812766" w:rsidR="003C025E" w:rsidRPr="00E67349" w:rsidRDefault="003C025E" w:rsidP="00CD5738">
      <w:pPr>
        <w:pStyle w:val="NoSpacing"/>
        <w:rPr>
          <w:rFonts w:ascii="Verdana" w:eastAsiaTheme="minorHAnsi" w:hAnsi="Verdana"/>
          <w:sz w:val="16"/>
          <w:szCs w:val="16"/>
          <w:lang w:val="es-AR"/>
        </w:rPr>
      </w:pPr>
      <w:r w:rsidRPr="00E67349">
        <w:rPr>
          <w:rStyle w:val="FootnoteReference"/>
          <w:rFonts w:ascii="Verdana" w:eastAsiaTheme="minorHAnsi" w:hAnsi="Verdana"/>
          <w:sz w:val="16"/>
          <w:szCs w:val="16"/>
          <w:lang w:val="es-AR"/>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CR"/>
        </w:rPr>
        <w:tab/>
      </w:r>
      <w:r w:rsidRPr="00B820DD">
        <w:rPr>
          <w:rFonts w:ascii="Verdana" w:eastAsiaTheme="minorHAnsi" w:hAnsi="Verdana"/>
          <w:sz w:val="16"/>
          <w:szCs w:val="16"/>
          <w:lang w:val="es-AR"/>
        </w:rPr>
        <w:t>Al respecto, la Corte constató que</w:t>
      </w:r>
      <w:r w:rsidRPr="00B820DD">
        <w:rPr>
          <w:rFonts w:ascii="Verdana" w:eastAsiaTheme="minorHAnsi" w:hAnsi="Verdana"/>
          <w:sz w:val="16"/>
          <w:szCs w:val="16"/>
          <w:lang w:val="es-CR"/>
        </w:rPr>
        <w:t xml:space="preserve"> e</w:t>
      </w:r>
      <w:r w:rsidRPr="00B820DD">
        <w:rPr>
          <w:rFonts w:ascii="Verdana" w:eastAsiaTheme="minorHAnsi" w:hAnsi="Verdana"/>
          <w:sz w:val="16"/>
          <w:szCs w:val="16"/>
          <w:lang w:val="es-AR"/>
        </w:rPr>
        <w:t>l 11 de diciembre del 2006 el Primer Juzgado resolvió que</w:t>
      </w:r>
      <w:r w:rsidRPr="00E67349">
        <w:rPr>
          <w:rFonts w:ascii="Verdana" w:eastAsiaTheme="minorHAnsi" w:hAnsi="Verdana"/>
          <w:sz w:val="16"/>
          <w:szCs w:val="16"/>
          <w:lang w:val="es-AR"/>
        </w:rPr>
        <w:t xml:space="preserve"> “no se </w:t>
      </w:r>
      <w:proofErr w:type="spellStart"/>
      <w:proofErr w:type="gramStart"/>
      <w:r w:rsidRPr="00E67349">
        <w:rPr>
          <w:rFonts w:ascii="Verdana" w:eastAsiaTheme="minorHAnsi" w:hAnsi="Verdana"/>
          <w:sz w:val="16"/>
          <w:szCs w:val="16"/>
          <w:lang w:val="es-AR"/>
        </w:rPr>
        <w:t>enc</w:t>
      </w:r>
      <w:proofErr w:type="spellEnd"/>
      <w:r w:rsidRPr="00E67349">
        <w:rPr>
          <w:rFonts w:ascii="Verdana" w:eastAsiaTheme="minorHAnsi" w:hAnsi="Verdana"/>
          <w:sz w:val="16"/>
          <w:szCs w:val="16"/>
          <w:lang w:val="es-AR"/>
        </w:rPr>
        <w:t>[</w:t>
      </w:r>
      <w:proofErr w:type="spellStart"/>
      <w:proofErr w:type="gramEnd"/>
      <w:r w:rsidRPr="00E67349">
        <w:rPr>
          <w:rFonts w:ascii="Verdana" w:eastAsiaTheme="minorHAnsi" w:hAnsi="Verdana"/>
          <w:sz w:val="16"/>
          <w:szCs w:val="16"/>
          <w:lang w:val="es-AR"/>
        </w:rPr>
        <w:t>ontraba</w:t>
      </w:r>
      <w:proofErr w:type="spellEnd"/>
      <w:r w:rsidRPr="00E67349">
        <w:rPr>
          <w:rFonts w:ascii="Verdana" w:eastAsiaTheme="minorHAnsi" w:hAnsi="Verdana"/>
          <w:sz w:val="16"/>
          <w:szCs w:val="16"/>
          <w:lang w:val="es-AR"/>
        </w:rPr>
        <w:t xml:space="preserve">] suficientemente justificado en autos la existencia del delito denunciado” y declaró que “se </w:t>
      </w:r>
      <w:proofErr w:type="spellStart"/>
      <w:r w:rsidRPr="00E67349">
        <w:rPr>
          <w:rFonts w:ascii="Verdana" w:eastAsiaTheme="minorHAnsi" w:hAnsi="Verdana"/>
          <w:sz w:val="16"/>
          <w:szCs w:val="16"/>
          <w:lang w:val="es-AR"/>
        </w:rPr>
        <w:t>sobrese</w:t>
      </w:r>
      <w:proofErr w:type="spellEnd"/>
      <w:r w:rsidRPr="00E67349">
        <w:rPr>
          <w:rFonts w:ascii="Verdana" w:eastAsiaTheme="minorHAnsi" w:hAnsi="Verdana"/>
          <w:sz w:val="16"/>
          <w:szCs w:val="16"/>
          <w:lang w:val="es-AR"/>
        </w:rPr>
        <w:t>[</w:t>
      </w:r>
      <w:proofErr w:type="spellStart"/>
      <w:r w:rsidRPr="00E67349">
        <w:rPr>
          <w:rFonts w:ascii="Verdana" w:eastAsiaTheme="minorHAnsi" w:hAnsi="Verdana"/>
          <w:sz w:val="16"/>
          <w:szCs w:val="16"/>
          <w:lang w:val="es-AR"/>
        </w:rPr>
        <w:t>ía</w:t>
      </w:r>
      <w:proofErr w:type="spellEnd"/>
      <w:r w:rsidRPr="00E67349">
        <w:rPr>
          <w:rFonts w:ascii="Verdana" w:eastAsiaTheme="minorHAnsi" w:hAnsi="Verdana"/>
          <w:sz w:val="16"/>
          <w:szCs w:val="16"/>
          <w:lang w:val="es-AR"/>
        </w:rPr>
        <w:t>]</w:t>
      </w:r>
      <w:r>
        <w:rPr>
          <w:rFonts w:ascii="Verdana" w:eastAsiaTheme="minorHAnsi" w:hAnsi="Verdana"/>
          <w:sz w:val="16"/>
          <w:szCs w:val="16"/>
          <w:lang w:val="es-AR"/>
        </w:rPr>
        <w:t xml:space="preserve"> temporalmente</w:t>
      </w:r>
      <w:r w:rsidRPr="00E67349">
        <w:rPr>
          <w:rFonts w:ascii="Verdana" w:eastAsiaTheme="minorHAnsi" w:hAnsi="Verdana"/>
          <w:sz w:val="16"/>
          <w:szCs w:val="16"/>
          <w:lang w:val="es-AR"/>
        </w:rPr>
        <w:t xml:space="preserve"> [esa] causa, hasta que se re[unieran] nuevos y mejores datos de investigación” . No obstante, el 29 de enero de 2007 la representación del señor Poblete Tapia solicitó la reapertura del sumario, por lo que el 17 de febrero de 2007 el Primer Juzgado Civil desarchivó la causa y el 17 de abril de 2007 volvió la causa </w:t>
      </w:r>
      <w:proofErr w:type="gramStart"/>
      <w:r w:rsidRPr="00E67349">
        <w:rPr>
          <w:rFonts w:ascii="Verdana" w:eastAsiaTheme="minorHAnsi" w:hAnsi="Verdana"/>
          <w:sz w:val="16"/>
          <w:szCs w:val="16"/>
          <w:lang w:val="es-AR"/>
        </w:rPr>
        <w:t>a</w:t>
      </w:r>
      <w:proofErr w:type="gramEnd"/>
      <w:r w:rsidRPr="00E67349">
        <w:rPr>
          <w:rFonts w:ascii="Verdana" w:eastAsiaTheme="minorHAnsi" w:hAnsi="Verdana"/>
          <w:sz w:val="16"/>
          <w:szCs w:val="16"/>
          <w:lang w:val="es-AR"/>
        </w:rPr>
        <w:t xml:space="preserve"> estado de sumario. De igual manera, el 11 de junio de 2008 el Primer Juzgado Civil nuevamente declaró cerrado el sumario  y el 30 de junio de 2008 dictó una vez más el sobreseimiento “temporalmente de la causa, hasta que se </w:t>
      </w:r>
      <w:proofErr w:type="spellStart"/>
      <w:proofErr w:type="gramStart"/>
      <w:r w:rsidRPr="00E67349">
        <w:rPr>
          <w:rFonts w:ascii="Verdana" w:eastAsiaTheme="minorHAnsi" w:hAnsi="Verdana"/>
          <w:sz w:val="16"/>
          <w:szCs w:val="16"/>
          <w:lang w:val="es-AR"/>
        </w:rPr>
        <w:t>reun</w:t>
      </w:r>
      <w:proofErr w:type="spellEnd"/>
      <w:r w:rsidRPr="00E67349">
        <w:rPr>
          <w:rFonts w:ascii="Verdana" w:eastAsiaTheme="minorHAnsi" w:hAnsi="Verdana"/>
          <w:sz w:val="16"/>
          <w:szCs w:val="16"/>
          <w:lang w:val="es-AR"/>
        </w:rPr>
        <w:t>[</w:t>
      </w:r>
      <w:proofErr w:type="spellStart"/>
      <w:proofErr w:type="gramEnd"/>
      <w:r w:rsidRPr="00E67349">
        <w:rPr>
          <w:rFonts w:ascii="Verdana" w:eastAsiaTheme="minorHAnsi" w:hAnsi="Verdana"/>
          <w:sz w:val="16"/>
          <w:szCs w:val="16"/>
          <w:lang w:val="es-AR"/>
        </w:rPr>
        <w:t>ieran</w:t>
      </w:r>
      <w:proofErr w:type="spellEnd"/>
      <w:r w:rsidRPr="00E67349">
        <w:rPr>
          <w:rFonts w:ascii="Verdana" w:eastAsiaTheme="minorHAnsi" w:hAnsi="Verdana"/>
          <w:sz w:val="16"/>
          <w:szCs w:val="16"/>
          <w:lang w:val="es-AR"/>
        </w:rPr>
        <w:t xml:space="preserve">] nuevos y mejores datos de investigación”. Así, el 4 de agosto de 2008, en virtud de nuevos y mejores antecedentes, la representación de la familia del señor Poblete Vilches solicitó el desarchivo judicial y el 5 de agosto de 2008 el Primer Juzgado Civil ordenó el desarchivo de la causa </w:t>
      </w:r>
      <w:r w:rsidRPr="00B820DD">
        <w:rPr>
          <w:rFonts w:ascii="Verdana" w:eastAsiaTheme="minorHAnsi" w:hAnsi="Verdana"/>
          <w:sz w:val="16"/>
          <w:szCs w:val="16"/>
          <w:lang w:val="es-AR"/>
        </w:rPr>
        <w:t>(</w:t>
      </w:r>
      <w:r w:rsidRPr="00B820DD">
        <w:rPr>
          <w:rFonts w:ascii="Verdana" w:eastAsiaTheme="minorHAnsi" w:hAnsi="Verdana"/>
          <w:i/>
          <w:sz w:val="16"/>
          <w:szCs w:val="16"/>
          <w:lang w:val="es-AR"/>
        </w:rPr>
        <w:t>supra</w:t>
      </w:r>
      <w:r w:rsidRPr="00B820DD">
        <w:rPr>
          <w:rFonts w:ascii="Verdana" w:eastAsiaTheme="minorHAnsi" w:hAnsi="Verdana"/>
          <w:sz w:val="16"/>
          <w:szCs w:val="16"/>
          <w:lang w:val="es-AR"/>
        </w:rPr>
        <w:t xml:space="preserve"> </w:t>
      </w:r>
      <w:proofErr w:type="spellStart"/>
      <w:r w:rsidRPr="00B820DD">
        <w:rPr>
          <w:rFonts w:ascii="Verdana" w:eastAsiaTheme="minorHAnsi" w:hAnsi="Verdana"/>
          <w:sz w:val="16"/>
          <w:szCs w:val="16"/>
          <w:lang w:val="es-AR"/>
        </w:rPr>
        <w:t>párrs</w:t>
      </w:r>
      <w:proofErr w:type="spellEnd"/>
      <w:r w:rsidRPr="00B820DD">
        <w:rPr>
          <w:rFonts w:ascii="Verdana" w:eastAsiaTheme="minorHAnsi" w:hAnsi="Verdana"/>
          <w:sz w:val="16"/>
          <w:szCs w:val="16"/>
          <w:lang w:val="es-AR"/>
        </w:rPr>
        <w:t>. 71 a 79)</w:t>
      </w:r>
      <w:r>
        <w:rPr>
          <w:rFonts w:ascii="Verdana" w:eastAsiaTheme="minorHAnsi" w:hAnsi="Verdana"/>
          <w:sz w:val="16"/>
          <w:szCs w:val="16"/>
          <w:lang w:val="es-AR"/>
        </w:rPr>
        <w:t>.</w:t>
      </w:r>
    </w:p>
  </w:footnote>
  <w:footnote w:id="286">
    <w:p w14:paraId="0B53F473" w14:textId="77777777" w:rsidR="003C025E" w:rsidRPr="00F24D93" w:rsidRDefault="003C025E">
      <w:pPr>
        <w:pStyle w:val="FootnoteText"/>
      </w:pPr>
      <w:r w:rsidRPr="0059117C">
        <w:rPr>
          <w:rStyle w:val="FootnoteReference"/>
          <w:sz w:val="16"/>
          <w:szCs w:val="16"/>
        </w:rPr>
        <w:footnoteRef/>
      </w:r>
      <w:r w:rsidRPr="0059117C">
        <w:rPr>
          <w:sz w:val="16"/>
          <w:szCs w:val="16"/>
        </w:rPr>
        <w:t xml:space="preserve"> </w:t>
      </w:r>
      <w:r w:rsidRPr="0059117C">
        <w:rPr>
          <w:sz w:val="16"/>
          <w:szCs w:val="16"/>
        </w:rPr>
        <w:tab/>
      </w:r>
      <w:r w:rsidRPr="00062586">
        <w:rPr>
          <w:rFonts w:eastAsiaTheme="minorHAnsi"/>
          <w:i/>
          <w:sz w:val="16"/>
          <w:szCs w:val="16"/>
          <w:lang w:val="es-AR"/>
        </w:rPr>
        <w:t>Cfr.</w:t>
      </w:r>
      <w:r w:rsidRPr="00F24D93">
        <w:rPr>
          <w:rFonts w:eastAsiaTheme="minorHAnsi"/>
          <w:i/>
          <w:sz w:val="16"/>
          <w:szCs w:val="16"/>
          <w:lang w:val="es-AR"/>
        </w:rPr>
        <w:t xml:space="preserve"> </w:t>
      </w:r>
      <w:r w:rsidRPr="0059117C">
        <w:rPr>
          <w:i/>
          <w:sz w:val="16"/>
          <w:szCs w:val="16"/>
        </w:rPr>
        <w:t>Caso Osorio Rivera y familia Vs. Perú</w:t>
      </w:r>
      <w:r w:rsidRPr="0059117C">
        <w:rPr>
          <w:sz w:val="16"/>
          <w:szCs w:val="16"/>
        </w:rPr>
        <w:t xml:space="preserve">, </w:t>
      </w:r>
      <w:r w:rsidRPr="00062586">
        <w:rPr>
          <w:i/>
          <w:sz w:val="16"/>
          <w:szCs w:val="16"/>
        </w:rPr>
        <w:t>supra</w:t>
      </w:r>
      <w:r w:rsidRPr="0059117C">
        <w:rPr>
          <w:sz w:val="16"/>
          <w:szCs w:val="16"/>
        </w:rPr>
        <w:t>, párr. 184</w:t>
      </w:r>
      <w:r>
        <w:rPr>
          <w:sz w:val="16"/>
          <w:szCs w:val="16"/>
        </w:rPr>
        <w:t xml:space="preserve">, y </w:t>
      </w:r>
      <w:r w:rsidRPr="0059117C">
        <w:rPr>
          <w:i/>
          <w:sz w:val="16"/>
          <w:szCs w:val="16"/>
        </w:rPr>
        <w:t xml:space="preserve">Caso Tenorio Roca y otros Vs. Perú. Excepciones Preliminares, Fondo, Reparaciones y Costas. </w:t>
      </w:r>
      <w:r w:rsidRPr="005326B4">
        <w:rPr>
          <w:sz w:val="16"/>
          <w:szCs w:val="16"/>
        </w:rPr>
        <w:t>Sentencia de 22 de</w:t>
      </w:r>
      <w:r>
        <w:rPr>
          <w:sz w:val="16"/>
          <w:szCs w:val="16"/>
        </w:rPr>
        <w:t xml:space="preserve"> junio de 2016. Serie C No. 314, párr. 182.</w:t>
      </w:r>
    </w:p>
  </w:footnote>
  <w:footnote w:id="287">
    <w:p w14:paraId="2ED5A6A9" w14:textId="22AED950" w:rsidR="003C025E" w:rsidRPr="00E67349" w:rsidRDefault="003C025E" w:rsidP="00E67349">
      <w:pPr>
        <w:pStyle w:val="NoSpacing"/>
        <w:rPr>
          <w:rFonts w:ascii="Verdana" w:eastAsiaTheme="minorHAnsi" w:hAnsi="Verdana"/>
          <w:sz w:val="16"/>
          <w:szCs w:val="16"/>
          <w:lang w:val="es-CR"/>
        </w:rPr>
      </w:pPr>
      <w:r w:rsidRPr="00E67349">
        <w:rPr>
          <w:rStyle w:val="FootnoteReference"/>
          <w:rFonts w:ascii="Verdana" w:eastAsiaTheme="minorHAnsi" w:hAnsi="Verdana"/>
          <w:sz w:val="16"/>
          <w:szCs w:val="16"/>
          <w:lang w:val="es-AR"/>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062586">
        <w:rPr>
          <w:rFonts w:ascii="Verdana" w:eastAsiaTheme="minorHAnsi" w:hAnsi="Verdana"/>
          <w:i/>
          <w:sz w:val="16"/>
          <w:szCs w:val="16"/>
          <w:lang w:val="es-AR"/>
        </w:rPr>
        <w:t>Cfr.</w:t>
      </w:r>
      <w:r w:rsidRPr="00E67349">
        <w:rPr>
          <w:rFonts w:ascii="Verdana" w:eastAsiaTheme="minorHAnsi" w:hAnsi="Verdana"/>
          <w:i/>
          <w:sz w:val="16"/>
          <w:szCs w:val="16"/>
          <w:lang w:val="es-AR"/>
        </w:rPr>
        <w:t xml:space="preserve"> Caso de la Corte Suprema de Justicia (Quintana Coello y otros) Vs. Ecuador. Excepción Preliminar, Fondo, Reparaciones y Costas. </w:t>
      </w:r>
      <w:r w:rsidRPr="00E67349">
        <w:rPr>
          <w:rFonts w:ascii="Verdana" w:eastAsiaTheme="minorHAnsi" w:hAnsi="Verdana"/>
          <w:sz w:val="16"/>
          <w:szCs w:val="16"/>
          <w:lang w:val="es-AR"/>
        </w:rPr>
        <w:t xml:space="preserve">Sentencia de 23 de agosto de 2013. Serie C No. 266, párr. 158, y </w:t>
      </w:r>
      <w:r w:rsidRPr="00B1523A">
        <w:rPr>
          <w:rFonts w:ascii="Verdana" w:eastAsiaTheme="minorHAnsi" w:hAnsi="Verdana"/>
          <w:i/>
          <w:sz w:val="16"/>
          <w:szCs w:val="16"/>
          <w:lang w:val="es-AR"/>
        </w:rPr>
        <w:t>Caso Duque Vs. Colombia, supra,</w:t>
      </w:r>
      <w:r w:rsidRPr="00474B8B">
        <w:rPr>
          <w:rFonts w:ascii="Verdana" w:eastAsiaTheme="minorHAnsi" w:hAnsi="Verdana"/>
          <w:sz w:val="16"/>
          <w:szCs w:val="16"/>
          <w:lang w:val="es-AR"/>
        </w:rPr>
        <w:t xml:space="preserve"> párr. 159.</w:t>
      </w:r>
    </w:p>
  </w:footnote>
  <w:footnote w:id="288">
    <w:p w14:paraId="556774CA" w14:textId="7D55D828" w:rsidR="003C025E" w:rsidRPr="00E67349" w:rsidRDefault="003C025E" w:rsidP="00E67349">
      <w:pPr>
        <w:pStyle w:val="NoSpacing"/>
        <w:rPr>
          <w:rFonts w:ascii="Verdana" w:eastAsiaTheme="minorHAnsi" w:hAnsi="Verdana"/>
          <w:sz w:val="16"/>
          <w:szCs w:val="16"/>
          <w:lang w:val="es-AR"/>
        </w:rPr>
      </w:pPr>
      <w:r w:rsidRPr="00E67349">
        <w:rPr>
          <w:rStyle w:val="FootnoteReference"/>
          <w:rFonts w:ascii="Verdana" w:eastAsiaTheme="minorHAnsi" w:hAnsi="Verdana"/>
          <w:sz w:val="16"/>
          <w:szCs w:val="16"/>
          <w:lang w:val="es-AR"/>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062586">
        <w:rPr>
          <w:rFonts w:ascii="Verdana" w:eastAsiaTheme="minorHAnsi" w:hAnsi="Verdana"/>
          <w:i/>
          <w:sz w:val="16"/>
          <w:szCs w:val="16"/>
          <w:lang w:val="es-AR"/>
        </w:rPr>
        <w:t>Cfr.</w:t>
      </w:r>
      <w:r w:rsidRPr="00E67349">
        <w:rPr>
          <w:rFonts w:ascii="Verdana" w:eastAsiaTheme="minorHAnsi" w:hAnsi="Verdana"/>
          <w:i/>
          <w:sz w:val="16"/>
          <w:szCs w:val="16"/>
          <w:lang w:val="es-AR"/>
        </w:rPr>
        <w:t xml:space="preserve"> Caso Duque Vs. Colombia</w:t>
      </w:r>
      <w:r w:rsidRPr="00E67349">
        <w:rPr>
          <w:rFonts w:ascii="Verdana" w:eastAsiaTheme="minorHAnsi" w:hAnsi="Verdana"/>
          <w:sz w:val="16"/>
          <w:szCs w:val="16"/>
          <w:lang w:val="es-AR"/>
        </w:rPr>
        <w:t>,</w:t>
      </w:r>
      <w:r>
        <w:rPr>
          <w:rFonts w:ascii="Verdana" w:eastAsiaTheme="minorHAnsi" w:hAnsi="Verdana"/>
          <w:sz w:val="16"/>
          <w:szCs w:val="16"/>
          <w:lang w:val="es-AR"/>
        </w:rPr>
        <w:t xml:space="preserve"> </w:t>
      </w:r>
      <w:r w:rsidRPr="00B1523A">
        <w:rPr>
          <w:rFonts w:ascii="Verdana" w:eastAsiaTheme="minorHAnsi" w:hAnsi="Verdana"/>
          <w:i/>
          <w:sz w:val="16"/>
          <w:szCs w:val="16"/>
          <w:lang w:val="es-AR"/>
        </w:rPr>
        <w:t>supra,</w:t>
      </w:r>
      <w:r w:rsidRPr="00E67349">
        <w:rPr>
          <w:rFonts w:ascii="Verdana" w:eastAsiaTheme="minorHAnsi" w:hAnsi="Verdana"/>
          <w:sz w:val="16"/>
          <w:szCs w:val="16"/>
          <w:lang w:val="es-AR"/>
        </w:rPr>
        <w:t xml:space="preserve"> párr. 159.</w:t>
      </w:r>
    </w:p>
  </w:footnote>
  <w:footnote w:id="289">
    <w:p w14:paraId="7CF84996" w14:textId="28D39354" w:rsidR="003C025E" w:rsidRPr="00B1523A" w:rsidRDefault="003C025E" w:rsidP="00E67349">
      <w:pPr>
        <w:pStyle w:val="NoSpacing"/>
        <w:rPr>
          <w:rStyle w:val="FootnoteReference"/>
          <w:rFonts w:eastAsia="Calibri"/>
          <w:lang w:val="es-MX"/>
        </w:rPr>
      </w:pPr>
      <w:r w:rsidRPr="00E67349">
        <w:rPr>
          <w:rStyle w:val="FootnoteReference"/>
          <w:rFonts w:ascii="Verdana" w:eastAsiaTheme="majorEastAsia" w:hAnsi="Verdana"/>
          <w:sz w:val="16"/>
          <w:szCs w:val="16"/>
          <w:lang w:val="es-AR"/>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062586">
        <w:rPr>
          <w:rFonts w:ascii="Verdana" w:eastAsiaTheme="minorHAnsi" w:hAnsi="Verdana" w:cs="Arial"/>
          <w:i/>
          <w:iCs/>
          <w:sz w:val="16"/>
          <w:szCs w:val="16"/>
          <w:lang w:val="es-AR"/>
        </w:rPr>
        <w:t>Cfr.</w:t>
      </w:r>
      <w:r w:rsidRPr="00E67349">
        <w:rPr>
          <w:rFonts w:ascii="Verdana" w:eastAsiaTheme="minorHAnsi" w:hAnsi="Verdana" w:cs="Arial"/>
          <w:i/>
          <w:iCs/>
          <w:sz w:val="16"/>
          <w:szCs w:val="16"/>
          <w:lang w:val="es-AR"/>
        </w:rPr>
        <w:t xml:space="preserve"> Caso Herrera Ulloa Vs. Costa Rica</w:t>
      </w:r>
      <w:r w:rsidRPr="00E67349">
        <w:rPr>
          <w:rFonts w:ascii="Verdana" w:eastAsiaTheme="minorHAnsi" w:hAnsi="Verdana" w:cs="Arial"/>
          <w:iCs/>
          <w:sz w:val="16"/>
          <w:szCs w:val="16"/>
          <w:lang w:val="es-AR"/>
        </w:rPr>
        <w:t>, párr. 171, y</w:t>
      </w:r>
      <w:r w:rsidRPr="00E67349">
        <w:rPr>
          <w:rFonts w:ascii="Verdana" w:eastAsiaTheme="minorHAnsi" w:hAnsi="Verdana" w:cs="Arial"/>
          <w:i/>
          <w:iCs/>
          <w:sz w:val="16"/>
          <w:szCs w:val="16"/>
          <w:lang w:val="es-AR"/>
        </w:rPr>
        <w:t xml:space="preserve"> </w:t>
      </w:r>
      <w:r w:rsidRPr="00586679">
        <w:rPr>
          <w:rFonts w:ascii="Verdana" w:eastAsiaTheme="minorHAnsi" w:hAnsi="Verdana" w:cs="Arial"/>
          <w:i/>
          <w:iCs/>
          <w:sz w:val="16"/>
          <w:szCs w:val="16"/>
          <w:lang w:val="es-AR"/>
        </w:rPr>
        <w:t xml:space="preserve">Caso Duque Vs. Colombia, supra, </w:t>
      </w:r>
      <w:r w:rsidRPr="00586679">
        <w:rPr>
          <w:rFonts w:ascii="Verdana" w:eastAsiaTheme="minorHAnsi" w:hAnsi="Verdana" w:cs="Arial"/>
          <w:iCs/>
          <w:sz w:val="16"/>
          <w:szCs w:val="16"/>
          <w:lang w:val="es-AR"/>
        </w:rPr>
        <w:t>párr. 1</w:t>
      </w:r>
      <w:r>
        <w:rPr>
          <w:rFonts w:ascii="Verdana" w:eastAsiaTheme="minorHAnsi" w:hAnsi="Verdana" w:cs="Arial"/>
          <w:iCs/>
          <w:sz w:val="16"/>
          <w:szCs w:val="16"/>
          <w:lang w:val="es-AR"/>
        </w:rPr>
        <w:t>62.</w:t>
      </w:r>
    </w:p>
  </w:footnote>
  <w:footnote w:id="290">
    <w:p w14:paraId="5C2C0863" w14:textId="4A3A4C9B" w:rsidR="003C025E" w:rsidRPr="00BE6F31" w:rsidRDefault="003C025E" w:rsidP="00E67349">
      <w:pPr>
        <w:pStyle w:val="NoSpacing"/>
        <w:rPr>
          <w:rFonts w:ascii="Verdana" w:hAnsi="Verdana"/>
          <w:sz w:val="16"/>
          <w:szCs w:val="16"/>
          <w:lang w:val="es-CR"/>
        </w:rPr>
      </w:pPr>
      <w:r w:rsidRPr="00E67349">
        <w:rPr>
          <w:rStyle w:val="FootnoteReference"/>
          <w:rFonts w:ascii="Verdana" w:eastAsia="Calibri" w:hAnsi="Verdana"/>
          <w:sz w:val="16"/>
          <w:szCs w:val="16"/>
          <w:lang w:val="es-AR"/>
        </w:rPr>
        <w:footnoteRef/>
      </w:r>
      <w:r w:rsidRPr="00E67349">
        <w:rPr>
          <w:rFonts w:ascii="Verdana" w:eastAsiaTheme="minorHAnsi" w:hAnsi="Verdana"/>
          <w:sz w:val="16"/>
          <w:szCs w:val="16"/>
          <w:lang w:val="es-AR"/>
        </w:rPr>
        <w:t xml:space="preserve"> </w:t>
      </w:r>
      <w:r w:rsidRPr="00E67349">
        <w:rPr>
          <w:rFonts w:ascii="Verdana" w:eastAsiaTheme="minorHAnsi" w:hAnsi="Verdana"/>
          <w:sz w:val="16"/>
          <w:szCs w:val="16"/>
          <w:lang w:val="es-AR"/>
        </w:rPr>
        <w:tab/>
      </w:r>
      <w:r w:rsidRPr="00062586">
        <w:rPr>
          <w:rFonts w:ascii="Verdana" w:eastAsiaTheme="minorHAnsi" w:hAnsi="Verdana"/>
          <w:i/>
          <w:sz w:val="16"/>
          <w:szCs w:val="16"/>
          <w:lang w:val="es-AR"/>
        </w:rPr>
        <w:t>Cfr.</w:t>
      </w:r>
      <w:r w:rsidRPr="00E67349">
        <w:rPr>
          <w:rFonts w:ascii="Verdana" w:eastAsiaTheme="minorHAnsi" w:hAnsi="Verdana"/>
          <w:i/>
          <w:sz w:val="16"/>
          <w:szCs w:val="16"/>
          <w:lang w:val="es-AR"/>
        </w:rPr>
        <w:t xml:space="preserve"> </w:t>
      </w:r>
      <w:r w:rsidRPr="00E67349">
        <w:rPr>
          <w:rFonts w:ascii="Verdana" w:eastAsiaTheme="minorHAnsi" w:hAnsi="Verdana"/>
          <w:sz w:val="16"/>
          <w:szCs w:val="16"/>
          <w:lang w:val="es-AR"/>
        </w:rPr>
        <w:t>Caso Herrera</w:t>
      </w:r>
      <w:r w:rsidRPr="00E67349">
        <w:rPr>
          <w:rFonts w:ascii="Verdana" w:eastAsiaTheme="minorHAnsi" w:hAnsi="Verdana"/>
          <w:i/>
          <w:sz w:val="16"/>
          <w:szCs w:val="16"/>
          <w:lang w:val="es-AR"/>
        </w:rPr>
        <w:t xml:space="preserve"> Ulloa Vs. Costa Rica</w:t>
      </w:r>
      <w:r w:rsidRPr="00E67349">
        <w:rPr>
          <w:rFonts w:ascii="Verdana" w:eastAsiaTheme="minorHAnsi" w:hAnsi="Verdana"/>
          <w:sz w:val="16"/>
          <w:szCs w:val="16"/>
          <w:lang w:val="es-AR"/>
        </w:rPr>
        <w:t xml:space="preserve">, párr. 171, y </w:t>
      </w:r>
      <w:r w:rsidRPr="00B1523A">
        <w:rPr>
          <w:rFonts w:ascii="Verdana" w:eastAsiaTheme="minorHAnsi" w:hAnsi="Verdana"/>
          <w:i/>
          <w:sz w:val="16"/>
          <w:szCs w:val="16"/>
          <w:lang w:val="es-AR"/>
        </w:rPr>
        <w:t xml:space="preserve">Caso Duque Vs. Colombia, </w:t>
      </w:r>
      <w:r w:rsidRPr="00586679">
        <w:rPr>
          <w:rFonts w:ascii="Verdana" w:eastAsiaTheme="minorHAnsi" w:hAnsi="Verdana"/>
          <w:sz w:val="16"/>
          <w:szCs w:val="16"/>
          <w:lang w:val="es-AR"/>
        </w:rPr>
        <w:t>supra, párr. 1</w:t>
      </w:r>
      <w:r>
        <w:rPr>
          <w:rFonts w:ascii="Verdana" w:eastAsiaTheme="minorHAnsi" w:hAnsi="Verdana"/>
          <w:sz w:val="16"/>
          <w:szCs w:val="16"/>
          <w:lang w:val="es-AR"/>
        </w:rPr>
        <w:t>62</w:t>
      </w:r>
      <w:r w:rsidRPr="00586679">
        <w:rPr>
          <w:rFonts w:ascii="Verdana" w:eastAsiaTheme="minorHAnsi" w:hAnsi="Verdana"/>
          <w:sz w:val="16"/>
          <w:szCs w:val="16"/>
          <w:lang w:val="es-AR"/>
        </w:rPr>
        <w:t>.</w:t>
      </w:r>
    </w:p>
  </w:footnote>
  <w:footnote w:id="291">
    <w:p w14:paraId="204A9269" w14:textId="4BC40194" w:rsidR="003C025E" w:rsidRPr="00E67349" w:rsidRDefault="003C025E" w:rsidP="00E67349">
      <w:pPr>
        <w:pStyle w:val="FootnoteText"/>
        <w:rPr>
          <w:rFonts w:cs="Arial"/>
          <w:sz w:val="16"/>
          <w:szCs w:val="16"/>
        </w:rPr>
      </w:pPr>
      <w:r w:rsidRPr="00E67349">
        <w:rPr>
          <w:rStyle w:val="FootnoteReference"/>
          <w:rFonts w:eastAsiaTheme="majorEastAsia"/>
          <w:sz w:val="16"/>
          <w:szCs w:val="16"/>
        </w:rPr>
        <w:footnoteRef/>
      </w:r>
      <w:r w:rsidRPr="002536C1">
        <w:rPr>
          <w:sz w:val="16"/>
          <w:szCs w:val="16"/>
          <w:lang w:val="es-CR"/>
        </w:rPr>
        <w:t xml:space="preserve"> </w:t>
      </w:r>
      <w:r w:rsidRPr="002536C1">
        <w:rPr>
          <w:sz w:val="16"/>
          <w:szCs w:val="16"/>
          <w:lang w:val="es-CR"/>
        </w:rPr>
        <w:tab/>
      </w:r>
      <w:r w:rsidRPr="002536C1">
        <w:rPr>
          <w:i/>
          <w:sz w:val="16"/>
          <w:szCs w:val="16"/>
          <w:lang w:val="es-CR"/>
        </w:rPr>
        <w:t>Cfr.</w:t>
      </w:r>
      <w:r w:rsidRPr="002536C1">
        <w:rPr>
          <w:rFonts w:cs="Arial"/>
          <w:i/>
          <w:iCs/>
          <w:sz w:val="16"/>
          <w:szCs w:val="16"/>
          <w:lang w:val="es-CR"/>
        </w:rPr>
        <w:t xml:space="preserve"> Caso </w:t>
      </w:r>
      <w:proofErr w:type="spellStart"/>
      <w:r w:rsidRPr="002536C1">
        <w:rPr>
          <w:rFonts w:cs="Arial"/>
          <w:i/>
          <w:iCs/>
          <w:sz w:val="16"/>
          <w:szCs w:val="16"/>
          <w:lang w:val="es-CR"/>
        </w:rPr>
        <w:t>Palamara</w:t>
      </w:r>
      <w:proofErr w:type="spellEnd"/>
      <w:r w:rsidRPr="002536C1">
        <w:rPr>
          <w:rFonts w:cs="Arial"/>
          <w:i/>
          <w:iCs/>
          <w:sz w:val="16"/>
          <w:szCs w:val="16"/>
          <w:lang w:val="es-CR"/>
        </w:rPr>
        <w:t xml:space="preserve"> Iribarne Vs. </w:t>
      </w:r>
      <w:r w:rsidRPr="00E67349">
        <w:rPr>
          <w:rFonts w:cs="Arial"/>
          <w:i/>
          <w:iCs/>
          <w:sz w:val="16"/>
          <w:szCs w:val="16"/>
        </w:rPr>
        <w:t xml:space="preserve">Chile. Fondo, Reparaciones y Costas. </w:t>
      </w:r>
      <w:r w:rsidRPr="00E67349">
        <w:rPr>
          <w:rFonts w:cs="Arial"/>
          <w:iCs/>
          <w:sz w:val="16"/>
          <w:szCs w:val="16"/>
        </w:rPr>
        <w:t>Sentencia de 22 de noviembre de 2005. Serie C No. 135,</w:t>
      </w:r>
      <w:r w:rsidRPr="00E67349">
        <w:rPr>
          <w:rFonts w:cs="Arial"/>
          <w:sz w:val="16"/>
          <w:szCs w:val="16"/>
        </w:rPr>
        <w:t xml:space="preserve"> párr. 146, y </w:t>
      </w:r>
      <w:r w:rsidRPr="00B1523A">
        <w:rPr>
          <w:rFonts w:cs="Arial"/>
          <w:i/>
          <w:sz w:val="16"/>
          <w:szCs w:val="16"/>
        </w:rPr>
        <w:t>Caso Duque Vs. Colombia, supra,</w:t>
      </w:r>
      <w:r>
        <w:rPr>
          <w:rFonts w:cs="Arial"/>
          <w:sz w:val="16"/>
          <w:szCs w:val="16"/>
        </w:rPr>
        <w:t xml:space="preserve"> párr. 162.</w:t>
      </w:r>
    </w:p>
  </w:footnote>
  <w:footnote w:id="292">
    <w:p w14:paraId="67DF94D1" w14:textId="4E74008F" w:rsidR="003C025E" w:rsidRPr="00E67349" w:rsidRDefault="003C025E" w:rsidP="00E67349">
      <w:pPr>
        <w:pStyle w:val="FootnoteText"/>
        <w:rPr>
          <w:sz w:val="16"/>
          <w:szCs w:val="16"/>
        </w:rPr>
      </w:pPr>
      <w:r w:rsidRPr="00E67349">
        <w:rPr>
          <w:rStyle w:val="FootnoteReference"/>
          <w:rFonts w:eastAsiaTheme="majorEastAsia"/>
          <w:sz w:val="16"/>
          <w:szCs w:val="16"/>
        </w:rPr>
        <w:footnoteRef/>
      </w:r>
      <w:r w:rsidRPr="00E67349">
        <w:rPr>
          <w:sz w:val="16"/>
          <w:szCs w:val="16"/>
        </w:rPr>
        <w:t xml:space="preserve"> </w:t>
      </w:r>
      <w:r w:rsidRPr="00E67349">
        <w:rPr>
          <w:sz w:val="16"/>
          <w:szCs w:val="16"/>
        </w:rPr>
        <w:tab/>
        <w:t xml:space="preserve">Principio 2 de los Principios Básicos de </w:t>
      </w:r>
      <w:r>
        <w:rPr>
          <w:sz w:val="16"/>
          <w:szCs w:val="16"/>
        </w:rPr>
        <w:t>la ONU</w:t>
      </w:r>
      <w:r w:rsidRPr="00E67349">
        <w:rPr>
          <w:sz w:val="16"/>
          <w:szCs w:val="16"/>
        </w:rPr>
        <w:t xml:space="preserve"> relativos a la Independencia de la Judicatura.</w:t>
      </w:r>
    </w:p>
  </w:footnote>
  <w:footnote w:id="293">
    <w:p w14:paraId="075D0B7E" w14:textId="7FFF0791" w:rsidR="003C025E" w:rsidRPr="00E67349" w:rsidRDefault="003C025E" w:rsidP="00E67349">
      <w:pPr>
        <w:pStyle w:val="FootnoteText"/>
        <w:rPr>
          <w:sz w:val="16"/>
          <w:szCs w:val="16"/>
        </w:rPr>
      </w:pPr>
      <w:r w:rsidRPr="00E67349">
        <w:rPr>
          <w:rStyle w:val="FootnoteReference"/>
          <w:rFonts w:eastAsiaTheme="majorEastAsia"/>
          <w:sz w:val="16"/>
          <w:szCs w:val="16"/>
        </w:rPr>
        <w:footnoteRef/>
      </w:r>
      <w:r w:rsidRPr="00E67349">
        <w:rPr>
          <w:sz w:val="16"/>
          <w:szCs w:val="16"/>
        </w:rPr>
        <w:t xml:space="preserve"> </w:t>
      </w:r>
      <w:r w:rsidRPr="00E67349">
        <w:rPr>
          <w:sz w:val="16"/>
          <w:szCs w:val="16"/>
        </w:rPr>
        <w:tab/>
      </w:r>
      <w:r w:rsidRPr="00062586">
        <w:rPr>
          <w:i/>
          <w:sz w:val="16"/>
          <w:szCs w:val="16"/>
        </w:rPr>
        <w:t>Cfr.</w:t>
      </w:r>
      <w:r w:rsidRPr="00E67349">
        <w:rPr>
          <w:sz w:val="16"/>
          <w:szCs w:val="16"/>
        </w:rPr>
        <w:t xml:space="preserve"> </w:t>
      </w:r>
      <w:r w:rsidRPr="00E67349">
        <w:rPr>
          <w:i/>
          <w:sz w:val="16"/>
          <w:szCs w:val="16"/>
        </w:rPr>
        <w:t xml:space="preserve">Caso </w:t>
      </w:r>
      <w:proofErr w:type="spellStart"/>
      <w:r w:rsidRPr="00E67349">
        <w:rPr>
          <w:i/>
          <w:sz w:val="16"/>
          <w:szCs w:val="16"/>
        </w:rPr>
        <w:t>Caso</w:t>
      </w:r>
      <w:proofErr w:type="spellEnd"/>
      <w:r w:rsidRPr="00E67349">
        <w:rPr>
          <w:i/>
          <w:sz w:val="16"/>
          <w:szCs w:val="16"/>
        </w:rPr>
        <w:t xml:space="preserve"> </w:t>
      </w:r>
      <w:proofErr w:type="spellStart"/>
      <w:r w:rsidRPr="00E67349">
        <w:rPr>
          <w:i/>
          <w:sz w:val="16"/>
          <w:szCs w:val="16"/>
        </w:rPr>
        <w:t>Apitz</w:t>
      </w:r>
      <w:proofErr w:type="spellEnd"/>
      <w:r w:rsidRPr="00E67349">
        <w:rPr>
          <w:i/>
          <w:sz w:val="16"/>
          <w:szCs w:val="16"/>
        </w:rPr>
        <w:t xml:space="preserve"> Barbera y otros (“Corte Primera de lo Contencioso Administrativo”) Vs. Venezuela. Excepción Preliminar, Fondo, Reparaciones y Costas. </w:t>
      </w:r>
      <w:r w:rsidRPr="00E67349">
        <w:rPr>
          <w:sz w:val="16"/>
          <w:szCs w:val="16"/>
        </w:rPr>
        <w:t xml:space="preserve">Sentencia de 5 de agosto de 2008. Serie C No. 182, párr. 56, </w:t>
      </w:r>
      <w:proofErr w:type="gramStart"/>
      <w:r w:rsidRPr="00E67349">
        <w:rPr>
          <w:sz w:val="16"/>
          <w:szCs w:val="16"/>
        </w:rPr>
        <w:t xml:space="preserve">y </w:t>
      </w:r>
      <w:r w:rsidRPr="00586679">
        <w:rPr>
          <w:sz w:val="16"/>
          <w:szCs w:val="16"/>
        </w:rPr>
        <w:t>.</w:t>
      </w:r>
      <w:proofErr w:type="gramEnd"/>
      <w:r w:rsidRPr="00586679">
        <w:rPr>
          <w:sz w:val="16"/>
          <w:szCs w:val="16"/>
        </w:rPr>
        <w:t xml:space="preserve"> </w:t>
      </w:r>
      <w:r w:rsidRPr="00B1523A">
        <w:rPr>
          <w:i/>
          <w:sz w:val="16"/>
          <w:szCs w:val="16"/>
        </w:rPr>
        <w:t>Caso Duque Vs. Colombia, supra,</w:t>
      </w:r>
      <w:r w:rsidRPr="00586679">
        <w:rPr>
          <w:sz w:val="16"/>
          <w:szCs w:val="16"/>
        </w:rPr>
        <w:t xml:space="preserve"> párr. 1</w:t>
      </w:r>
      <w:r>
        <w:rPr>
          <w:sz w:val="16"/>
          <w:szCs w:val="16"/>
        </w:rPr>
        <w:t>62.</w:t>
      </w:r>
    </w:p>
  </w:footnote>
  <w:footnote w:id="294">
    <w:p w14:paraId="2926F574" w14:textId="75C71428" w:rsidR="003C025E" w:rsidRPr="00E67349" w:rsidRDefault="003C025E" w:rsidP="00E67349">
      <w:pPr>
        <w:pStyle w:val="FootnoteText"/>
        <w:rPr>
          <w:sz w:val="16"/>
          <w:szCs w:val="16"/>
        </w:rPr>
      </w:pPr>
      <w:r w:rsidRPr="00E67349">
        <w:rPr>
          <w:rStyle w:val="FootnoteReference"/>
          <w:rFonts w:eastAsiaTheme="majorEastAsia"/>
          <w:sz w:val="16"/>
          <w:szCs w:val="16"/>
        </w:rPr>
        <w:footnoteRef/>
      </w:r>
      <w:r w:rsidRPr="00E67349">
        <w:rPr>
          <w:sz w:val="16"/>
          <w:szCs w:val="16"/>
          <w:lang w:val="es-CR"/>
        </w:rPr>
        <w:t xml:space="preserve"> </w:t>
      </w:r>
      <w:r w:rsidRPr="00E67349">
        <w:rPr>
          <w:sz w:val="16"/>
          <w:szCs w:val="16"/>
          <w:lang w:val="es-CR"/>
        </w:rPr>
        <w:tab/>
      </w:r>
      <w:r w:rsidRPr="00B1523A">
        <w:rPr>
          <w:i/>
          <w:sz w:val="16"/>
          <w:szCs w:val="16"/>
          <w:lang w:val="es-CR"/>
        </w:rPr>
        <w:t>Cfr.</w:t>
      </w:r>
      <w:r>
        <w:rPr>
          <w:sz w:val="16"/>
          <w:szCs w:val="16"/>
          <w:lang w:val="es-CR"/>
        </w:rPr>
        <w:t xml:space="preserve"> </w:t>
      </w:r>
      <w:r w:rsidRPr="00B1523A">
        <w:rPr>
          <w:i/>
          <w:sz w:val="16"/>
          <w:szCs w:val="16"/>
          <w:lang w:val="es-CR"/>
        </w:rPr>
        <w:t xml:space="preserve">Caso </w:t>
      </w:r>
      <w:proofErr w:type="spellStart"/>
      <w:r w:rsidRPr="00B1523A">
        <w:rPr>
          <w:i/>
          <w:sz w:val="16"/>
          <w:szCs w:val="16"/>
          <w:lang w:val="es-CR"/>
        </w:rPr>
        <w:t>Atala</w:t>
      </w:r>
      <w:proofErr w:type="spellEnd"/>
      <w:r w:rsidRPr="00B1523A">
        <w:rPr>
          <w:i/>
          <w:sz w:val="16"/>
          <w:szCs w:val="16"/>
          <w:lang w:val="es-CR"/>
        </w:rPr>
        <w:t xml:space="preserve"> </w:t>
      </w:r>
      <w:proofErr w:type="spellStart"/>
      <w:r w:rsidRPr="00B1523A">
        <w:rPr>
          <w:i/>
          <w:sz w:val="16"/>
          <w:szCs w:val="16"/>
          <w:lang w:val="es-CR"/>
        </w:rPr>
        <w:t>Riffo</w:t>
      </w:r>
      <w:proofErr w:type="spellEnd"/>
      <w:r w:rsidRPr="00B1523A">
        <w:rPr>
          <w:i/>
          <w:sz w:val="16"/>
          <w:szCs w:val="16"/>
          <w:lang w:val="es-CR"/>
        </w:rPr>
        <w:t xml:space="preserve"> y niñas Vs. Chile. Fondo, Reparaciones y Costas.</w:t>
      </w:r>
      <w:r w:rsidRPr="00E67349">
        <w:rPr>
          <w:sz w:val="16"/>
          <w:szCs w:val="16"/>
          <w:lang w:val="es-CR"/>
        </w:rPr>
        <w:t xml:space="preserve"> Sentencia de 24 de febrero de 20</w:t>
      </w:r>
      <w:r>
        <w:rPr>
          <w:sz w:val="16"/>
          <w:szCs w:val="16"/>
          <w:lang w:val="es-CR"/>
        </w:rPr>
        <w:t>12. Serie C No. 239, párr. 234.</w:t>
      </w:r>
    </w:p>
  </w:footnote>
  <w:footnote w:id="295">
    <w:p w14:paraId="56A3303E" w14:textId="62B45862" w:rsidR="003C025E" w:rsidRPr="00E67349" w:rsidRDefault="003C025E" w:rsidP="00E67349">
      <w:pPr>
        <w:pStyle w:val="FootnoteText"/>
        <w:rPr>
          <w:sz w:val="16"/>
          <w:szCs w:val="16"/>
        </w:rPr>
      </w:pPr>
      <w:r w:rsidRPr="00E67349">
        <w:rPr>
          <w:rStyle w:val="FootnoteReference"/>
          <w:sz w:val="16"/>
          <w:szCs w:val="16"/>
        </w:rPr>
        <w:footnoteRef/>
      </w:r>
      <w:r w:rsidRPr="00E67349">
        <w:rPr>
          <w:sz w:val="16"/>
          <w:szCs w:val="16"/>
        </w:rPr>
        <w:t xml:space="preserve"> </w:t>
      </w:r>
      <w:r w:rsidRPr="00E67349">
        <w:rPr>
          <w:sz w:val="16"/>
          <w:szCs w:val="16"/>
        </w:rPr>
        <w:tab/>
      </w:r>
      <w:r w:rsidRPr="00062586">
        <w:rPr>
          <w:i/>
          <w:sz w:val="16"/>
          <w:szCs w:val="16"/>
        </w:rPr>
        <w:t>Cfr.</w:t>
      </w:r>
      <w:r w:rsidRPr="00E67349">
        <w:rPr>
          <w:sz w:val="16"/>
          <w:szCs w:val="16"/>
        </w:rPr>
        <w:t xml:space="preserve"> </w:t>
      </w:r>
      <w:r w:rsidRPr="00E67349">
        <w:rPr>
          <w:i/>
          <w:sz w:val="16"/>
          <w:szCs w:val="16"/>
        </w:rPr>
        <w:t xml:space="preserve">Caso </w:t>
      </w:r>
      <w:proofErr w:type="spellStart"/>
      <w:r w:rsidRPr="00E67349">
        <w:rPr>
          <w:i/>
          <w:sz w:val="16"/>
          <w:szCs w:val="16"/>
        </w:rPr>
        <w:t>Atala</w:t>
      </w:r>
      <w:proofErr w:type="spellEnd"/>
      <w:r w:rsidRPr="00E67349">
        <w:rPr>
          <w:i/>
          <w:sz w:val="16"/>
          <w:szCs w:val="16"/>
        </w:rPr>
        <w:t xml:space="preserve"> </w:t>
      </w:r>
      <w:proofErr w:type="spellStart"/>
      <w:r w:rsidRPr="00E67349">
        <w:rPr>
          <w:i/>
          <w:sz w:val="16"/>
          <w:szCs w:val="16"/>
        </w:rPr>
        <w:t>Riffo</w:t>
      </w:r>
      <w:proofErr w:type="spellEnd"/>
      <w:r w:rsidRPr="00E67349">
        <w:rPr>
          <w:i/>
          <w:sz w:val="16"/>
          <w:szCs w:val="16"/>
        </w:rPr>
        <w:t xml:space="preserve"> y Niñas Vs. Chile. </w:t>
      </w:r>
      <w:r>
        <w:rPr>
          <w:i/>
          <w:sz w:val="16"/>
          <w:szCs w:val="16"/>
        </w:rPr>
        <w:t>supra,</w:t>
      </w:r>
      <w:r w:rsidRPr="00E67349">
        <w:rPr>
          <w:sz w:val="16"/>
          <w:szCs w:val="16"/>
        </w:rPr>
        <w:t xml:space="preserve"> párr. 190</w:t>
      </w:r>
      <w:r>
        <w:rPr>
          <w:sz w:val="16"/>
          <w:szCs w:val="16"/>
        </w:rPr>
        <w:t xml:space="preserve">, y </w:t>
      </w:r>
      <w:r w:rsidRPr="00B1523A">
        <w:rPr>
          <w:i/>
          <w:sz w:val="16"/>
          <w:szCs w:val="16"/>
        </w:rPr>
        <w:t>Caso Duque Vs. Colombia, supra,</w:t>
      </w:r>
      <w:r w:rsidRPr="00586679">
        <w:rPr>
          <w:sz w:val="16"/>
          <w:szCs w:val="16"/>
        </w:rPr>
        <w:t xml:space="preserve"> párr. 16</w:t>
      </w:r>
      <w:r>
        <w:rPr>
          <w:sz w:val="16"/>
          <w:szCs w:val="16"/>
        </w:rPr>
        <w:t>5</w:t>
      </w:r>
      <w:r w:rsidRPr="00E67349">
        <w:rPr>
          <w:sz w:val="16"/>
          <w:szCs w:val="16"/>
        </w:rPr>
        <w:t>.</w:t>
      </w:r>
    </w:p>
  </w:footnote>
  <w:footnote w:id="296">
    <w:p w14:paraId="4D7E90D7" w14:textId="6B866F4E" w:rsidR="003C025E" w:rsidRPr="0095252C" w:rsidRDefault="003C025E" w:rsidP="00BE6F31">
      <w:pPr>
        <w:pStyle w:val="FootnoteText"/>
        <w:ind w:right="-360"/>
        <w:rPr>
          <w:sz w:val="16"/>
          <w:szCs w:val="16"/>
        </w:rPr>
      </w:pPr>
      <w:r w:rsidRPr="0095252C">
        <w:rPr>
          <w:rStyle w:val="FootnoteReference"/>
          <w:sz w:val="16"/>
          <w:szCs w:val="16"/>
        </w:rPr>
        <w:footnoteRef/>
      </w:r>
      <w:r w:rsidRPr="0095252C">
        <w:rPr>
          <w:sz w:val="16"/>
          <w:szCs w:val="16"/>
        </w:rPr>
        <w:t xml:space="preserve"> </w:t>
      </w:r>
      <w:r>
        <w:rPr>
          <w:sz w:val="16"/>
          <w:szCs w:val="16"/>
        </w:rPr>
        <w:tab/>
      </w:r>
      <w:r w:rsidRPr="0095252C">
        <w:rPr>
          <w:sz w:val="16"/>
          <w:szCs w:val="16"/>
        </w:rPr>
        <w:t xml:space="preserve">En su entendimiento, los maltratos y humillaciones padecidos por los familiares del señor Poblete Vilches durante la internación de este último provenientes del personal médico del Hospital </w:t>
      </w:r>
      <w:proofErr w:type="spellStart"/>
      <w:r w:rsidRPr="0095252C">
        <w:rPr>
          <w:sz w:val="16"/>
          <w:szCs w:val="16"/>
        </w:rPr>
        <w:t>Sótero</w:t>
      </w:r>
      <w:proofErr w:type="spellEnd"/>
      <w:r w:rsidRPr="0095252C">
        <w:rPr>
          <w:sz w:val="16"/>
          <w:szCs w:val="16"/>
        </w:rPr>
        <w:t xml:space="preserve"> del Río quedaron demostradas adicionalmente con los testimonios de Jorge Alejandro Fuentes Poblete, Alejandra M. Fuentes Poblete y Teresa del Carmen Campos Quinteros, “[…] y fueron crudamente explicadas durante el transcurso de la audiencia pública por el Sr. Vinicio Poblete Tapia”</w:t>
      </w:r>
      <w:r>
        <w:rPr>
          <w:sz w:val="16"/>
          <w:szCs w:val="16"/>
        </w:rPr>
        <w:t>.</w:t>
      </w:r>
    </w:p>
  </w:footnote>
  <w:footnote w:id="297">
    <w:p w14:paraId="0B876B8A" w14:textId="382B0EF2" w:rsidR="003C025E" w:rsidRPr="0095252C" w:rsidRDefault="003C025E" w:rsidP="00BE6F31">
      <w:pPr>
        <w:pStyle w:val="FootnoteText"/>
        <w:ind w:right="-360"/>
        <w:rPr>
          <w:sz w:val="16"/>
          <w:szCs w:val="16"/>
        </w:rPr>
      </w:pPr>
      <w:r w:rsidRPr="0095252C">
        <w:rPr>
          <w:rStyle w:val="FootnoteReference"/>
          <w:sz w:val="16"/>
          <w:szCs w:val="16"/>
        </w:rPr>
        <w:footnoteRef/>
      </w:r>
      <w:r w:rsidRPr="0095252C">
        <w:rPr>
          <w:sz w:val="16"/>
          <w:szCs w:val="16"/>
        </w:rPr>
        <w:t xml:space="preserve"> </w:t>
      </w:r>
      <w:r>
        <w:rPr>
          <w:sz w:val="16"/>
          <w:szCs w:val="16"/>
        </w:rPr>
        <w:tab/>
      </w:r>
      <w:r w:rsidRPr="00062586">
        <w:rPr>
          <w:i/>
          <w:sz w:val="16"/>
          <w:szCs w:val="16"/>
        </w:rPr>
        <w:t>Cfr.</w:t>
      </w:r>
      <w:r w:rsidRPr="0095252C">
        <w:rPr>
          <w:sz w:val="16"/>
          <w:szCs w:val="16"/>
        </w:rPr>
        <w:t xml:space="preserve"> </w:t>
      </w:r>
      <w:r w:rsidRPr="0095252C">
        <w:rPr>
          <w:i/>
          <w:sz w:val="16"/>
          <w:szCs w:val="16"/>
        </w:rPr>
        <w:t>Caso Blake Vs. Guatemala. Fondo.</w:t>
      </w:r>
      <w:r w:rsidRPr="0095252C">
        <w:rPr>
          <w:sz w:val="16"/>
          <w:szCs w:val="16"/>
        </w:rPr>
        <w:t xml:space="preserve"> Sentencia de 24 de enero de 1998. </w:t>
      </w:r>
      <w:r w:rsidRPr="00BB4919">
        <w:rPr>
          <w:sz w:val="16"/>
          <w:szCs w:val="16"/>
          <w:lang w:val="pt-BR"/>
        </w:rPr>
        <w:t xml:space="preserve">Serie C No. 36, párr. 114, y </w:t>
      </w:r>
      <w:r w:rsidRPr="00BB4919">
        <w:rPr>
          <w:i/>
          <w:sz w:val="16"/>
          <w:szCs w:val="16"/>
          <w:lang w:val="pt-BR"/>
        </w:rPr>
        <w:t xml:space="preserve">Caso Favela Nova Brasília Vs. </w:t>
      </w:r>
      <w:r w:rsidRPr="00B1523A">
        <w:rPr>
          <w:i/>
          <w:sz w:val="16"/>
          <w:szCs w:val="16"/>
        </w:rPr>
        <w:t>Brasil. Excepciones Preliminares, Fondo, Reparaciones y Costas.</w:t>
      </w:r>
      <w:r w:rsidRPr="002B0772">
        <w:rPr>
          <w:sz w:val="16"/>
          <w:szCs w:val="16"/>
        </w:rPr>
        <w:t xml:space="preserve"> Sentencia de 16 de f</w:t>
      </w:r>
      <w:r>
        <w:rPr>
          <w:sz w:val="16"/>
          <w:szCs w:val="16"/>
        </w:rPr>
        <w:t xml:space="preserve">ebrero de 2017. Serie C No. 333, párr. 67. </w:t>
      </w:r>
    </w:p>
  </w:footnote>
  <w:footnote w:id="298">
    <w:p w14:paraId="65354208" w14:textId="371F6A2A" w:rsidR="003C025E" w:rsidRPr="0095252C" w:rsidRDefault="003C025E" w:rsidP="00BE6F31">
      <w:pPr>
        <w:pStyle w:val="FootnoteText"/>
        <w:ind w:right="-360"/>
        <w:rPr>
          <w:sz w:val="16"/>
          <w:szCs w:val="16"/>
        </w:rPr>
      </w:pPr>
      <w:r w:rsidRPr="0095252C">
        <w:rPr>
          <w:rStyle w:val="FootnoteReference"/>
          <w:sz w:val="16"/>
          <w:szCs w:val="16"/>
        </w:rPr>
        <w:footnoteRef/>
      </w:r>
      <w:r w:rsidRPr="0095252C">
        <w:rPr>
          <w:sz w:val="16"/>
          <w:szCs w:val="16"/>
        </w:rPr>
        <w:t xml:space="preserve"> </w:t>
      </w:r>
      <w:r>
        <w:rPr>
          <w:sz w:val="16"/>
          <w:szCs w:val="16"/>
        </w:rPr>
        <w:tab/>
      </w:r>
      <w:r>
        <w:rPr>
          <w:i/>
          <w:sz w:val="16"/>
          <w:szCs w:val="16"/>
        </w:rPr>
        <w:t>Caso Suárez Peralta Vs. Ecuador,</w:t>
      </w:r>
      <w:r w:rsidRPr="0095252C">
        <w:rPr>
          <w:i/>
          <w:sz w:val="16"/>
          <w:szCs w:val="16"/>
        </w:rPr>
        <w:t xml:space="preserve"> </w:t>
      </w:r>
      <w:r>
        <w:rPr>
          <w:i/>
          <w:sz w:val="16"/>
          <w:szCs w:val="16"/>
        </w:rPr>
        <w:t>supra</w:t>
      </w:r>
      <w:r>
        <w:rPr>
          <w:sz w:val="16"/>
          <w:szCs w:val="16"/>
        </w:rPr>
        <w:t xml:space="preserve"> </w:t>
      </w:r>
      <w:r w:rsidRPr="0095252C">
        <w:rPr>
          <w:sz w:val="16"/>
          <w:szCs w:val="16"/>
        </w:rPr>
        <w:t>párr. 158</w:t>
      </w:r>
      <w:r>
        <w:rPr>
          <w:sz w:val="16"/>
          <w:szCs w:val="16"/>
        </w:rPr>
        <w:t xml:space="preserve">, y </w:t>
      </w:r>
      <w:r w:rsidRPr="00B1523A">
        <w:rPr>
          <w:i/>
          <w:sz w:val="16"/>
          <w:szCs w:val="16"/>
        </w:rPr>
        <w:t>Caso Valencia Hinojosa y otra Vs. Ecuador. Excepciones Preliminares, Fondo, Reparaciones y Costas.</w:t>
      </w:r>
      <w:r w:rsidRPr="002B0772">
        <w:rPr>
          <w:sz w:val="16"/>
          <w:szCs w:val="16"/>
        </w:rPr>
        <w:t xml:space="preserve"> Sentencia de 29 de noviembre de 2016. Serie C No. 327</w:t>
      </w:r>
      <w:r>
        <w:rPr>
          <w:sz w:val="16"/>
          <w:szCs w:val="16"/>
        </w:rPr>
        <w:t xml:space="preserve">, párr. 142. </w:t>
      </w:r>
    </w:p>
  </w:footnote>
  <w:footnote w:id="299">
    <w:p w14:paraId="47330FE3" w14:textId="77777777" w:rsidR="003C025E" w:rsidRPr="0095252C" w:rsidRDefault="003C025E" w:rsidP="00BE6F31">
      <w:pPr>
        <w:pStyle w:val="FootnoteText"/>
        <w:ind w:right="-360"/>
        <w:rPr>
          <w:sz w:val="16"/>
          <w:szCs w:val="16"/>
        </w:rPr>
      </w:pPr>
      <w:r w:rsidRPr="0095252C">
        <w:rPr>
          <w:rStyle w:val="FootnoteReference"/>
          <w:sz w:val="16"/>
          <w:szCs w:val="16"/>
        </w:rPr>
        <w:footnoteRef/>
      </w:r>
      <w:r w:rsidRPr="0095252C">
        <w:rPr>
          <w:sz w:val="16"/>
          <w:szCs w:val="16"/>
        </w:rPr>
        <w:t xml:space="preserve"> </w:t>
      </w:r>
      <w:r>
        <w:rPr>
          <w:sz w:val="16"/>
          <w:szCs w:val="16"/>
        </w:rPr>
        <w:tab/>
      </w:r>
      <w:r w:rsidRPr="0095252C">
        <w:rPr>
          <w:i/>
          <w:iCs/>
          <w:sz w:val="16"/>
          <w:szCs w:val="16"/>
        </w:rPr>
        <w:t xml:space="preserve">Caso de las Niñas </w:t>
      </w:r>
      <w:proofErr w:type="spellStart"/>
      <w:r w:rsidRPr="0095252C">
        <w:rPr>
          <w:i/>
          <w:iCs/>
          <w:sz w:val="16"/>
          <w:szCs w:val="16"/>
        </w:rPr>
        <w:t>Yean</w:t>
      </w:r>
      <w:proofErr w:type="spellEnd"/>
      <w:r w:rsidRPr="0095252C">
        <w:rPr>
          <w:i/>
          <w:iCs/>
          <w:sz w:val="16"/>
          <w:szCs w:val="16"/>
        </w:rPr>
        <w:t xml:space="preserve"> y </w:t>
      </w:r>
      <w:proofErr w:type="spellStart"/>
      <w:r w:rsidRPr="0095252C">
        <w:rPr>
          <w:i/>
          <w:iCs/>
          <w:sz w:val="16"/>
          <w:szCs w:val="16"/>
        </w:rPr>
        <w:t>Bosico</w:t>
      </w:r>
      <w:proofErr w:type="spellEnd"/>
      <w:r w:rsidRPr="0095252C">
        <w:rPr>
          <w:sz w:val="16"/>
          <w:szCs w:val="16"/>
        </w:rPr>
        <w:t xml:space="preserve">. Sentencia de 8 de septiembre de 2005. Serie C No 130, párr. 204.  </w:t>
      </w:r>
    </w:p>
  </w:footnote>
  <w:footnote w:id="300">
    <w:p w14:paraId="0CF54F49" w14:textId="35BB6D02" w:rsidR="003C025E" w:rsidRPr="0095252C" w:rsidRDefault="003C025E" w:rsidP="00BE6F31">
      <w:pPr>
        <w:pStyle w:val="FootnoteText"/>
        <w:ind w:right="-360"/>
        <w:rPr>
          <w:sz w:val="16"/>
          <w:szCs w:val="16"/>
          <w:lang w:val="es-CR"/>
        </w:rPr>
      </w:pPr>
      <w:r w:rsidRPr="0095252C">
        <w:rPr>
          <w:rStyle w:val="FootnoteReference"/>
          <w:sz w:val="16"/>
          <w:szCs w:val="16"/>
        </w:rPr>
        <w:footnoteRef/>
      </w:r>
      <w:r w:rsidRPr="0095252C">
        <w:rPr>
          <w:sz w:val="16"/>
          <w:szCs w:val="16"/>
        </w:rPr>
        <w:t xml:space="preserve"> </w:t>
      </w:r>
      <w:r>
        <w:rPr>
          <w:sz w:val="16"/>
          <w:szCs w:val="16"/>
        </w:rPr>
        <w:tab/>
      </w:r>
      <w:r w:rsidRPr="00062586">
        <w:rPr>
          <w:i/>
          <w:iCs/>
          <w:sz w:val="16"/>
          <w:szCs w:val="16"/>
        </w:rPr>
        <w:t>Cfr.</w:t>
      </w:r>
      <w:r w:rsidRPr="0095252C">
        <w:rPr>
          <w:i/>
          <w:iCs/>
          <w:sz w:val="16"/>
          <w:szCs w:val="16"/>
        </w:rPr>
        <w:t xml:space="preserve"> Ca</w:t>
      </w:r>
      <w:r>
        <w:rPr>
          <w:i/>
          <w:iCs/>
          <w:sz w:val="16"/>
          <w:szCs w:val="16"/>
        </w:rPr>
        <w:t xml:space="preserve">so Vera </w:t>
      </w:r>
      <w:proofErr w:type="spellStart"/>
      <w:r>
        <w:rPr>
          <w:i/>
          <w:iCs/>
          <w:sz w:val="16"/>
          <w:szCs w:val="16"/>
        </w:rPr>
        <w:t>Vera</w:t>
      </w:r>
      <w:proofErr w:type="spellEnd"/>
      <w:r>
        <w:rPr>
          <w:i/>
          <w:iCs/>
          <w:sz w:val="16"/>
          <w:szCs w:val="16"/>
        </w:rPr>
        <w:t xml:space="preserve"> y otra Vs. Ecuador,</w:t>
      </w:r>
      <w:r w:rsidRPr="0095252C">
        <w:rPr>
          <w:i/>
          <w:iCs/>
          <w:sz w:val="16"/>
          <w:szCs w:val="16"/>
        </w:rPr>
        <w:t xml:space="preserve"> </w:t>
      </w:r>
      <w:r>
        <w:rPr>
          <w:i/>
          <w:iCs/>
          <w:sz w:val="16"/>
          <w:szCs w:val="16"/>
        </w:rPr>
        <w:t>supra</w:t>
      </w:r>
      <w:r w:rsidRPr="0095252C">
        <w:rPr>
          <w:sz w:val="16"/>
          <w:szCs w:val="16"/>
          <w:lang w:val="es-CR"/>
        </w:rPr>
        <w:t xml:space="preserve"> párr. 104.  </w:t>
      </w:r>
    </w:p>
  </w:footnote>
  <w:footnote w:id="301">
    <w:p w14:paraId="39EF5280" w14:textId="5B1B2716" w:rsidR="003C025E" w:rsidRPr="0095252C" w:rsidRDefault="003C025E" w:rsidP="00BE6F31">
      <w:pPr>
        <w:pStyle w:val="FootnoteText"/>
        <w:ind w:right="-360"/>
        <w:rPr>
          <w:sz w:val="16"/>
          <w:szCs w:val="16"/>
          <w:lang w:val="es-CR"/>
        </w:rPr>
      </w:pPr>
      <w:r w:rsidRPr="0095252C">
        <w:rPr>
          <w:rStyle w:val="FootnoteReference"/>
          <w:sz w:val="16"/>
          <w:szCs w:val="16"/>
        </w:rPr>
        <w:footnoteRef/>
      </w:r>
      <w:r w:rsidRPr="0095252C">
        <w:rPr>
          <w:sz w:val="16"/>
          <w:szCs w:val="16"/>
        </w:rPr>
        <w:t xml:space="preserve"> </w:t>
      </w:r>
      <w:r>
        <w:rPr>
          <w:sz w:val="16"/>
          <w:szCs w:val="16"/>
        </w:rPr>
        <w:tab/>
      </w:r>
      <w:r w:rsidRPr="00AC3BF8">
        <w:rPr>
          <w:i/>
          <w:iCs/>
          <w:sz w:val="16"/>
          <w:szCs w:val="16"/>
        </w:rPr>
        <w:t xml:space="preserve">Cfr. Caso Blake Vs. Guatemala. Fondo. </w:t>
      </w:r>
      <w:r>
        <w:rPr>
          <w:i/>
          <w:iCs/>
          <w:sz w:val="16"/>
          <w:szCs w:val="16"/>
        </w:rPr>
        <w:t xml:space="preserve">supra </w:t>
      </w:r>
      <w:r w:rsidRPr="00AC3BF8">
        <w:rPr>
          <w:i/>
          <w:iCs/>
          <w:sz w:val="16"/>
          <w:szCs w:val="16"/>
        </w:rPr>
        <w:t xml:space="preserve">párr. 114, y Caso Miembros de la Aldea </w:t>
      </w:r>
      <w:proofErr w:type="spellStart"/>
      <w:r w:rsidRPr="00AC3BF8">
        <w:rPr>
          <w:i/>
          <w:iCs/>
          <w:sz w:val="16"/>
          <w:szCs w:val="16"/>
        </w:rPr>
        <w:t>Chichupac</w:t>
      </w:r>
      <w:proofErr w:type="spellEnd"/>
      <w:r w:rsidRPr="00AC3BF8">
        <w:rPr>
          <w:i/>
          <w:iCs/>
          <w:sz w:val="16"/>
          <w:szCs w:val="16"/>
        </w:rPr>
        <w:t xml:space="preserve"> y comunidades vecinas del Municipio de Rabinal Vs. Guatemala. Excepciones Preliminares, Fondo, Reparaciones y Costas. Sentencia de 30 de noviembr</w:t>
      </w:r>
      <w:r>
        <w:rPr>
          <w:i/>
          <w:iCs/>
          <w:sz w:val="16"/>
          <w:szCs w:val="16"/>
        </w:rPr>
        <w:t xml:space="preserve">e de 2016, </w:t>
      </w:r>
      <w:proofErr w:type="spellStart"/>
      <w:r w:rsidRPr="003B52C8">
        <w:rPr>
          <w:iCs/>
          <w:sz w:val="16"/>
          <w:szCs w:val="16"/>
        </w:rPr>
        <w:t>parr</w:t>
      </w:r>
      <w:proofErr w:type="spellEnd"/>
      <w:r w:rsidRPr="003B52C8">
        <w:rPr>
          <w:iCs/>
          <w:sz w:val="16"/>
          <w:szCs w:val="16"/>
        </w:rPr>
        <w:t>. 161.</w:t>
      </w:r>
    </w:p>
  </w:footnote>
  <w:footnote w:id="302">
    <w:p w14:paraId="2D3CCE12" w14:textId="6F295961" w:rsidR="003C025E" w:rsidRPr="0095252C" w:rsidRDefault="003C025E" w:rsidP="00BE6F31">
      <w:pPr>
        <w:pStyle w:val="FootnoteText"/>
        <w:ind w:right="-360"/>
        <w:rPr>
          <w:sz w:val="16"/>
          <w:szCs w:val="16"/>
          <w:lang w:val="es-CR"/>
        </w:rPr>
      </w:pPr>
      <w:r w:rsidRPr="0095252C">
        <w:rPr>
          <w:rStyle w:val="FootnoteReference"/>
          <w:sz w:val="16"/>
          <w:szCs w:val="16"/>
        </w:rPr>
        <w:footnoteRef/>
      </w:r>
      <w:r w:rsidRPr="0095252C">
        <w:rPr>
          <w:sz w:val="16"/>
          <w:szCs w:val="16"/>
        </w:rPr>
        <w:t xml:space="preserve"> </w:t>
      </w:r>
      <w:r>
        <w:rPr>
          <w:sz w:val="16"/>
          <w:szCs w:val="16"/>
        </w:rPr>
        <w:tab/>
      </w:r>
      <w:r w:rsidRPr="00AC3BF8">
        <w:rPr>
          <w:i/>
          <w:iCs/>
          <w:sz w:val="16"/>
          <w:szCs w:val="16"/>
        </w:rPr>
        <w:t xml:space="preserve">Cfr. Caso </w:t>
      </w:r>
      <w:proofErr w:type="spellStart"/>
      <w:r w:rsidRPr="00AC3BF8">
        <w:rPr>
          <w:i/>
          <w:iCs/>
          <w:sz w:val="16"/>
          <w:szCs w:val="16"/>
        </w:rPr>
        <w:t>Bámaca</w:t>
      </w:r>
      <w:proofErr w:type="spellEnd"/>
      <w:r w:rsidRPr="00AC3BF8">
        <w:rPr>
          <w:i/>
          <w:iCs/>
          <w:sz w:val="16"/>
          <w:szCs w:val="16"/>
        </w:rPr>
        <w:t xml:space="preserve"> Velásquez Vs. Guatemala. Fondo. Sentencia de 25 de noviembre de 2000,</w:t>
      </w:r>
      <w:r>
        <w:rPr>
          <w:i/>
          <w:iCs/>
          <w:sz w:val="16"/>
          <w:szCs w:val="16"/>
        </w:rPr>
        <w:t xml:space="preserve"> </w:t>
      </w:r>
      <w:proofErr w:type="spellStart"/>
      <w:r w:rsidRPr="003B52C8">
        <w:rPr>
          <w:iCs/>
          <w:sz w:val="16"/>
          <w:szCs w:val="16"/>
        </w:rPr>
        <w:t>párrs</w:t>
      </w:r>
      <w:proofErr w:type="spellEnd"/>
      <w:r w:rsidRPr="003B52C8">
        <w:rPr>
          <w:iCs/>
          <w:sz w:val="16"/>
          <w:szCs w:val="16"/>
        </w:rPr>
        <w:t>. 162 y 163,</w:t>
      </w:r>
      <w:r>
        <w:rPr>
          <w:i/>
          <w:iCs/>
          <w:sz w:val="16"/>
          <w:szCs w:val="16"/>
        </w:rPr>
        <w:t xml:space="preserve"> y</w:t>
      </w:r>
      <w:r w:rsidRPr="00AC3BF8">
        <w:rPr>
          <w:i/>
          <w:iCs/>
          <w:sz w:val="16"/>
          <w:szCs w:val="16"/>
        </w:rPr>
        <w:t xml:space="preserve"> Caso Vásquez Durand y otros Vs. Ecuador. Excepciones Preliminares, Fondo, Reparaciones y Costas. Sentencia de 15 de febrero de 2017. Serie </w:t>
      </w:r>
      <w:r>
        <w:rPr>
          <w:i/>
          <w:iCs/>
          <w:sz w:val="16"/>
          <w:szCs w:val="16"/>
        </w:rPr>
        <w:t xml:space="preserve">C No. 332, </w:t>
      </w:r>
      <w:r w:rsidRPr="003B52C8">
        <w:rPr>
          <w:iCs/>
          <w:sz w:val="16"/>
          <w:szCs w:val="16"/>
        </w:rPr>
        <w:t>párr. 182.</w:t>
      </w:r>
    </w:p>
  </w:footnote>
  <w:footnote w:id="303">
    <w:p w14:paraId="10BA4CA7" w14:textId="77777777" w:rsidR="003C025E" w:rsidRPr="00C079F5" w:rsidRDefault="003C025E" w:rsidP="00C079F5">
      <w:pPr>
        <w:pStyle w:val="FootnoteText"/>
        <w:rPr>
          <w:sz w:val="16"/>
          <w:szCs w:val="16"/>
        </w:rPr>
      </w:pPr>
      <w:r w:rsidRPr="00C079F5">
        <w:rPr>
          <w:rStyle w:val="FootnoteReference"/>
          <w:sz w:val="16"/>
          <w:szCs w:val="16"/>
        </w:rPr>
        <w:footnoteRef/>
      </w:r>
      <w:r w:rsidRPr="00C079F5">
        <w:rPr>
          <w:sz w:val="16"/>
          <w:szCs w:val="16"/>
        </w:rPr>
        <w:t xml:space="preserve"> </w:t>
      </w:r>
      <w:r>
        <w:rPr>
          <w:sz w:val="16"/>
          <w:szCs w:val="16"/>
        </w:rPr>
        <w:tab/>
      </w:r>
      <w:r w:rsidRPr="00C079F5">
        <w:rPr>
          <w:sz w:val="16"/>
          <w:szCs w:val="16"/>
        </w:rPr>
        <w:t>El artículo 63.1 de la Convención Americana establece: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04">
    <w:p w14:paraId="561B5A6A" w14:textId="622BE8B4" w:rsidR="003C025E" w:rsidRPr="00AB34B8" w:rsidRDefault="003C025E" w:rsidP="00C079F5">
      <w:pPr>
        <w:pStyle w:val="FootnoteText"/>
        <w:rPr>
          <w:sz w:val="16"/>
          <w:szCs w:val="16"/>
        </w:rPr>
      </w:pPr>
      <w:r w:rsidRPr="00C079F5">
        <w:rPr>
          <w:rStyle w:val="FootnoteReference"/>
          <w:sz w:val="16"/>
          <w:szCs w:val="16"/>
        </w:rPr>
        <w:footnoteRef/>
      </w:r>
      <w:r w:rsidRPr="00C079F5">
        <w:rPr>
          <w:sz w:val="16"/>
          <w:szCs w:val="16"/>
        </w:rPr>
        <w:t xml:space="preserve"> </w:t>
      </w:r>
      <w:r>
        <w:rPr>
          <w:sz w:val="16"/>
          <w:szCs w:val="16"/>
        </w:rPr>
        <w:tab/>
      </w:r>
      <w:r w:rsidRPr="00B1523A">
        <w:rPr>
          <w:i/>
          <w:sz w:val="16"/>
          <w:szCs w:val="16"/>
        </w:rPr>
        <w:t>Cfr. Caso Velásquez Rodríguez Vs. Honduras. Reparaciones y Costas</w:t>
      </w:r>
      <w:r w:rsidRPr="00AB34B8">
        <w:rPr>
          <w:i/>
          <w:sz w:val="16"/>
          <w:szCs w:val="16"/>
        </w:rPr>
        <w:t>.</w:t>
      </w:r>
      <w:r w:rsidRPr="00AB34B8">
        <w:rPr>
          <w:sz w:val="16"/>
          <w:szCs w:val="16"/>
        </w:rPr>
        <w:t xml:space="preserve"> Sentencia de 21 de julio de 1989. Serie C No. 7, párr. 25, y </w:t>
      </w:r>
      <w:r w:rsidRPr="00B1523A">
        <w:rPr>
          <w:i/>
          <w:sz w:val="16"/>
          <w:szCs w:val="16"/>
        </w:rPr>
        <w:t xml:space="preserve">Caso Pueblo </w:t>
      </w:r>
      <w:proofErr w:type="spellStart"/>
      <w:r w:rsidRPr="00B1523A">
        <w:rPr>
          <w:i/>
          <w:sz w:val="16"/>
          <w:szCs w:val="16"/>
        </w:rPr>
        <w:t>Ind</w:t>
      </w:r>
      <w:proofErr w:type="spellEnd"/>
      <w:r w:rsidRPr="00B1523A">
        <w:rPr>
          <w:i/>
          <w:sz w:val="16"/>
          <w:szCs w:val="16"/>
          <w:lang w:val="es-EC"/>
        </w:rPr>
        <w:t>í</w:t>
      </w:r>
      <w:r w:rsidRPr="00B1523A">
        <w:rPr>
          <w:i/>
          <w:sz w:val="16"/>
          <w:szCs w:val="16"/>
        </w:rPr>
        <w:t xml:space="preserve">gena </w:t>
      </w:r>
      <w:proofErr w:type="spellStart"/>
      <w:r w:rsidRPr="00B1523A">
        <w:rPr>
          <w:i/>
          <w:sz w:val="16"/>
          <w:szCs w:val="16"/>
        </w:rPr>
        <w:t>Xucuru</w:t>
      </w:r>
      <w:proofErr w:type="spellEnd"/>
      <w:r w:rsidRPr="00B1523A">
        <w:rPr>
          <w:i/>
          <w:sz w:val="16"/>
          <w:szCs w:val="16"/>
        </w:rPr>
        <w:t xml:space="preserve"> y sus miembros Vs. Brasil</w:t>
      </w:r>
      <w:r>
        <w:rPr>
          <w:sz w:val="16"/>
          <w:szCs w:val="16"/>
        </w:rPr>
        <w:t>,</w:t>
      </w:r>
      <w:r w:rsidRPr="00B1523A">
        <w:rPr>
          <w:sz w:val="16"/>
          <w:szCs w:val="16"/>
        </w:rPr>
        <w:t xml:space="preserve"> </w:t>
      </w:r>
      <w:r>
        <w:rPr>
          <w:i/>
          <w:sz w:val="16"/>
          <w:szCs w:val="16"/>
        </w:rPr>
        <w:t>supra</w:t>
      </w:r>
      <w:r w:rsidRPr="00B1523A">
        <w:rPr>
          <w:sz w:val="16"/>
          <w:szCs w:val="16"/>
        </w:rPr>
        <w:t>, párr. 182</w:t>
      </w:r>
      <w:r w:rsidRPr="00AB34B8">
        <w:rPr>
          <w:sz w:val="16"/>
          <w:szCs w:val="16"/>
        </w:rPr>
        <w:t>.</w:t>
      </w:r>
    </w:p>
  </w:footnote>
  <w:footnote w:id="305">
    <w:p w14:paraId="726873BD" w14:textId="6CFC562E" w:rsidR="003C025E" w:rsidRPr="00AB34B8" w:rsidRDefault="003C025E" w:rsidP="00C079F5">
      <w:pPr>
        <w:pStyle w:val="FootnoteText"/>
        <w:rPr>
          <w:sz w:val="16"/>
          <w:szCs w:val="16"/>
        </w:rPr>
      </w:pPr>
      <w:r w:rsidRPr="00AB34B8">
        <w:rPr>
          <w:rStyle w:val="FootnoteReference"/>
          <w:sz w:val="16"/>
          <w:szCs w:val="16"/>
        </w:rPr>
        <w:footnoteRef/>
      </w:r>
      <w:r w:rsidRPr="00AB34B8">
        <w:rPr>
          <w:sz w:val="16"/>
          <w:szCs w:val="16"/>
        </w:rPr>
        <w:t xml:space="preserve"> </w:t>
      </w:r>
      <w:r w:rsidRPr="00AB34B8">
        <w:rPr>
          <w:sz w:val="16"/>
          <w:szCs w:val="16"/>
        </w:rPr>
        <w:tab/>
      </w:r>
      <w:r w:rsidRPr="00AB34B8">
        <w:rPr>
          <w:i/>
          <w:sz w:val="16"/>
          <w:szCs w:val="16"/>
        </w:rPr>
        <w:t xml:space="preserve">Cfr. Caso </w:t>
      </w:r>
      <w:proofErr w:type="spellStart"/>
      <w:r w:rsidRPr="00AB34B8">
        <w:rPr>
          <w:i/>
          <w:sz w:val="16"/>
          <w:szCs w:val="16"/>
        </w:rPr>
        <w:t>Ticona</w:t>
      </w:r>
      <w:proofErr w:type="spellEnd"/>
      <w:r w:rsidRPr="00AB34B8">
        <w:rPr>
          <w:i/>
          <w:sz w:val="16"/>
          <w:szCs w:val="16"/>
        </w:rPr>
        <w:t xml:space="preserve"> Estrada y otros Vs. Bolivia. Fondo, Reparaciones y Costas.</w:t>
      </w:r>
      <w:r w:rsidRPr="00AB34B8">
        <w:rPr>
          <w:sz w:val="16"/>
          <w:szCs w:val="16"/>
        </w:rPr>
        <w:t xml:space="preserve"> Sentencia de 27 de noviembre de 2008. Serie C No. 191, párr. 110, y </w:t>
      </w:r>
      <w:r w:rsidRPr="00B1523A">
        <w:rPr>
          <w:i/>
          <w:sz w:val="16"/>
          <w:szCs w:val="16"/>
        </w:rPr>
        <w:t xml:space="preserve">Caso Pueblo Indígena </w:t>
      </w:r>
      <w:proofErr w:type="spellStart"/>
      <w:r w:rsidRPr="00B1523A">
        <w:rPr>
          <w:i/>
          <w:sz w:val="16"/>
          <w:szCs w:val="16"/>
        </w:rPr>
        <w:t>Xucuru</w:t>
      </w:r>
      <w:proofErr w:type="spellEnd"/>
      <w:r w:rsidRPr="00B1523A">
        <w:rPr>
          <w:i/>
          <w:sz w:val="16"/>
          <w:szCs w:val="16"/>
        </w:rPr>
        <w:t xml:space="preserve"> y sus miembros Vs. Brasil, supra</w:t>
      </w:r>
      <w:r w:rsidRPr="00B1523A">
        <w:rPr>
          <w:sz w:val="16"/>
          <w:szCs w:val="16"/>
        </w:rPr>
        <w:t>, párr.184.</w:t>
      </w:r>
    </w:p>
  </w:footnote>
  <w:footnote w:id="306">
    <w:p w14:paraId="2C2D14B2" w14:textId="2056C14C" w:rsidR="003C025E" w:rsidRPr="00AB34B8" w:rsidRDefault="003C025E" w:rsidP="00C079F5">
      <w:pPr>
        <w:pStyle w:val="FootnoteText"/>
        <w:rPr>
          <w:sz w:val="16"/>
          <w:szCs w:val="16"/>
        </w:rPr>
      </w:pPr>
      <w:r w:rsidRPr="00AB34B8">
        <w:rPr>
          <w:rStyle w:val="FootnoteReference"/>
          <w:sz w:val="16"/>
          <w:szCs w:val="16"/>
        </w:rPr>
        <w:footnoteRef/>
      </w:r>
      <w:r w:rsidRPr="00AB34B8">
        <w:rPr>
          <w:sz w:val="16"/>
          <w:szCs w:val="16"/>
        </w:rPr>
        <w:t xml:space="preserve"> </w:t>
      </w:r>
      <w:r w:rsidRPr="00AB34B8">
        <w:rPr>
          <w:sz w:val="16"/>
          <w:szCs w:val="16"/>
        </w:rPr>
        <w:tab/>
      </w:r>
      <w:r w:rsidRPr="00AB34B8">
        <w:rPr>
          <w:i/>
          <w:sz w:val="16"/>
          <w:szCs w:val="16"/>
        </w:rPr>
        <w:t>Cfr. Caso Velásquez Rodríguez Vs. Honduras. Reparaciones, supra</w:t>
      </w:r>
      <w:r w:rsidRPr="00AB34B8">
        <w:rPr>
          <w:sz w:val="16"/>
          <w:szCs w:val="16"/>
        </w:rPr>
        <w:t xml:space="preserve">, párr. 26, y </w:t>
      </w:r>
      <w:r w:rsidRPr="00B1523A">
        <w:rPr>
          <w:i/>
          <w:sz w:val="16"/>
          <w:szCs w:val="16"/>
        </w:rPr>
        <w:t xml:space="preserve">Caso Pueblo Indígena </w:t>
      </w:r>
      <w:proofErr w:type="spellStart"/>
      <w:r w:rsidRPr="00B1523A">
        <w:rPr>
          <w:i/>
          <w:sz w:val="16"/>
          <w:szCs w:val="16"/>
        </w:rPr>
        <w:t>Xucuru</w:t>
      </w:r>
      <w:proofErr w:type="spellEnd"/>
      <w:r w:rsidRPr="00B1523A">
        <w:rPr>
          <w:i/>
          <w:sz w:val="16"/>
          <w:szCs w:val="16"/>
        </w:rPr>
        <w:t xml:space="preserve"> y sus miembros Vs. Brasil, supra</w:t>
      </w:r>
      <w:r w:rsidRPr="00B1523A">
        <w:rPr>
          <w:sz w:val="16"/>
          <w:szCs w:val="16"/>
        </w:rPr>
        <w:t>, párr.</w:t>
      </w:r>
      <w:r>
        <w:rPr>
          <w:sz w:val="16"/>
          <w:szCs w:val="16"/>
        </w:rPr>
        <w:t xml:space="preserve"> </w:t>
      </w:r>
      <w:r w:rsidRPr="00B1523A">
        <w:rPr>
          <w:sz w:val="16"/>
          <w:szCs w:val="16"/>
        </w:rPr>
        <w:t>183.</w:t>
      </w:r>
    </w:p>
  </w:footnote>
  <w:footnote w:id="307">
    <w:p w14:paraId="587FADE1" w14:textId="3B423908" w:rsidR="003C025E" w:rsidRPr="00B1523A" w:rsidRDefault="003C025E" w:rsidP="00C079F5">
      <w:pPr>
        <w:pStyle w:val="FootnoteText"/>
        <w:rPr>
          <w:sz w:val="16"/>
          <w:szCs w:val="16"/>
        </w:rPr>
      </w:pPr>
      <w:r w:rsidRPr="00AB34B8">
        <w:rPr>
          <w:rStyle w:val="FootnoteReference"/>
          <w:sz w:val="16"/>
          <w:szCs w:val="16"/>
        </w:rPr>
        <w:footnoteRef/>
      </w:r>
      <w:r w:rsidRPr="00AB34B8">
        <w:rPr>
          <w:sz w:val="16"/>
          <w:szCs w:val="16"/>
        </w:rPr>
        <w:t xml:space="preserve"> </w:t>
      </w:r>
      <w:r w:rsidRPr="00AB34B8">
        <w:rPr>
          <w:sz w:val="16"/>
          <w:szCs w:val="16"/>
        </w:rPr>
        <w:tab/>
      </w:r>
      <w:r w:rsidRPr="00AB34B8">
        <w:rPr>
          <w:i/>
          <w:sz w:val="16"/>
          <w:szCs w:val="16"/>
        </w:rPr>
        <w:t>Cfr. Caso Velásquez Rodríguez. Reparaciones, supra</w:t>
      </w:r>
      <w:r w:rsidRPr="00AB34B8">
        <w:rPr>
          <w:sz w:val="16"/>
          <w:szCs w:val="16"/>
        </w:rPr>
        <w:t xml:space="preserve">, párr. 189, y </w:t>
      </w:r>
      <w:r w:rsidRPr="00B1523A">
        <w:rPr>
          <w:i/>
          <w:sz w:val="16"/>
          <w:szCs w:val="16"/>
        </w:rPr>
        <w:t xml:space="preserve">Caso Pueblo Indígena </w:t>
      </w:r>
      <w:proofErr w:type="spellStart"/>
      <w:r w:rsidRPr="00B1523A">
        <w:rPr>
          <w:i/>
          <w:sz w:val="16"/>
          <w:szCs w:val="16"/>
        </w:rPr>
        <w:t>Xucuru</w:t>
      </w:r>
      <w:proofErr w:type="spellEnd"/>
      <w:r w:rsidRPr="00B1523A">
        <w:rPr>
          <w:i/>
          <w:sz w:val="16"/>
          <w:szCs w:val="16"/>
        </w:rPr>
        <w:t xml:space="preserve"> y sus miembros Vs. Brasil, supra</w:t>
      </w:r>
      <w:r w:rsidRPr="00B1523A">
        <w:rPr>
          <w:sz w:val="16"/>
          <w:szCs w:val="16"/>
        </w:rPr>
        <w:t>, párr.</w:t>
      </w:r>
      <w:r>
        <w:rPr>
          <w:sz w:val="16"/>
          <w:szCs w:val="16"/>
        </w:rPr>
        <w:t xml:space="preserve"> </w:t>
      </w:r>
      <w:r w:rsidRPr="00B1523A">
        <w:rPr>
          <w:sz w:val="16"/>
          <w:szCs w:val="16"/>
        </w:rPr>
        <w:t>185.</w:t>
      </w:r>
    </w:p>
  </w:footnote>
  <w:footnote w:id="308">
    <w:p w14:paraId="353E79F0" w14:textId="7DAAB8E1" w:rsidR="003C025E" w:rsidRPr="00C079F5" w:rsidRDefault="003C025E" w:rsidP="00121AA0">
      <w:pPr>
        <w:pStyle w:val="FootnoteText"/>
        <w:rPr>
          <w:sz w:val="16"/>
          <w:szCs w:val="16"/>
          <w:lang w:val="es-CR"/>
        </w:rPr>
      </w:pPr>
      <w:r w:rsidRPr="002A64C9">
        <w:rPr>
          <w:rStyle w:val="FootnoteReference"/>
          <w:sz w:val="16"/>
          <w:szCs w:val="16"/>
        </w:rPr>
        <w:footnoteRef/>
      </w:r>
      <w:r w:rsidRPr="00B1523A">
        <w:rPr>
          <w:sz w:val="16"/>
          <w:szCs w:val="16"/>
        </w:rPr>
        <w:t xml:space="preserve"> </w:t>
      </w:r>
      <w:r w:rsidRPr="00B1523A">
        <w:rPr>
          <w:sz w:val="16"/>
          <w:szCs w:val="16"/>
        </w:rPr>
        <w:tab/>
      </w:r>
      <w:r w:rsidRPr="00B1523A">
        <w:rPr>
          <w:i/>
          <w:sz w:val="16"/>
          <w:szCs w:val="16"/>
        </w:rPr>
        <w:t>Cfr.</w:t>
      </w:r>
      <w:r w:rsidRPr="00B1523A">
        <w:rPr>
          <w:sz w:val="16"/>
          <w:szCs w:val="16"/>
        </w:rPr>
        <w:t xml:space="preserve"> </w:t>
      </w:r>
      <w:r w:rsidRPr="00B1523A">
        <w:rPr>
          <w:i/>
          <w:sz w:val="16"/>
          <w:szCs w:val="16"/>
        </w:rPr>
        <w:t>Caso Albán Cornejo</w:t>
      </w:r>
      <w:r>
        <w:rPr>
          <w:i/>
          <w:sz w:val="16"/>
          <w:szCs w:val="16"/>
        </w:rPr>
        <w:t xml:space="preserve"> Vs. Ecuador</w:t>
      </w:r>
      <w:r w:rsidRPr="00B1523A">
        <w:rPr>
          <w:sz w:val="16"/>
          <w:szCs w:val="16"/>
        </w:rPr>
        <w:t>,</w:t>
      </w:r>
      <w:r>
        <w:rPr>
          <w:sz w:val="16"/>
          <w:szCs w:val="16"/>
        </w:rPr>
        <w:t xml:space="preserve"> </w:t>
      </w:r>
      <w:r w:rsidRPr="00541592">
        <w:rPr>
          <w:i/>
          <w:sz w:val="16"/>
          <w:szCs w:val="16"/>
        </w:rPr>
        <w:t>supra,</w:t>
      </w:r>
      <w:r w:rsidRPr="00B1523A">
        <w:rPr>
          <w:sz w:val="16"/>
          <w:szCs w:val="16"/>
        </w:rPr>
        <w:t xml:space="preserve"> párr. 111;</w:t>
      </w:r>
      <w:r w:rsidRPr="00B1523A">
        <w:rPr>
          <w:i/>
          <w:sz w:val="16"/>
          <w:szCs w:val="16"/>
        </w:rPr>
        <w:t xml:space="preserve"> Caso Suárez Peralta</w:t>
      </w:r>
      <w:r>
        <w:rPr>
          <w:i/>
          <w:sz w:val="16"/>
          <w:szCs w:val="16"/>
        </w:rPr>
        <w:t xml:space="preserve"> Vs. Ecuador</w:t>
      </w:r>
      <w:r w:rsidRPr="00B1523A">
        <w:rPr>
          <w:i/>
          <w:sz w:val="16"/>
          <w:szCs w:val="16"/>
        </w:rPr>
        <w:t xml:space="preserve">, </w:t>
      </w:r>
      <w:r>
        <w:rPr>
          <w:i/>
          <w:sz w:val="16"/>
          <w:szCs w:val="16"/>
        </w:rPr>
        <w:t xml:space="preserve">supra, </w:t>
      </w:r>
      <w:r w:rsidRPr="00B1523A">
        <w:rPr>
          <w:sz w:val="16"/>
          <w:szCs w:val="16"/>
        </w:rPr>
        <w:t>pár. 176</w:t>
      </w:r>
      <w:r w:rsidRPr="00B1523A">
        <w:rPr>
          <w:i/>
          <w:sz w:val="16"/>
          <w:szCs w:val="16"/>
        </w:rPr>
        <w:t xml:space="preserve"> y Caso Vera </w:t>
      </w:r>
      <w:proofErr w:type="spellStart"/>
      <w:r w:rsidRPr="00B1523A">
        <w:rPr>
          <w:i/>
          <w:sz w:val="16"/>
          <w:szCs w:val="16"/>
        </w:rPr>
        <w:t>Vera</w:t>
      </w:r>
      <w:proofErr w:type="spellEnd"/>
      <w:r>
        <w:rPr>
          <w:i/>
          <w:sz w:val="16"/>
          <w:szCs w:val="16"/>
        </w:rPr>
        <w:t xml:space="preserve"> Vs. Ecuador</w:t>
      </w:r>
      <w:r w:rsidRPr="00B1523A">
        <w:rPr>
          <w:i/>
          <w:sz w:val="16"/>
          <w:szCs w:val="16"/>
        </w:rPr>
        <w:t>,</w:t>
      </w:r>
      <w:r>
        <w:rPr>
          <w:i/>
          <w:sz w:val="16"/>
          <w:szCs w:val="16"/>
        </w:rPr>
        <w:t xml:space="preserve"> supra,</w:t>
      </w:r>
      <w:r w:rsidRPr="00B1523A">
        <w:rPr>
          <w:i/>
          <w:sz w:val="16"/>
          <w:szCs w:val="16"/>
        </w:rPr>
        <w:t xml:space="preserve"> </w:t>
      </w:r>
      <w:r w:rsidRPr="00B1523A">
        <w:rPr>
          <w:sz w:val="16"/>
          <w:szCs w:val="16"/>
        </w:rPr>
        <w:t xml:space="preserve">párr. </w:t>
      </w:r>
      <w:r w:rsidRPr="002A64C9">
        <w:rPr>
          <w:sz w:val="16"/>
          <w:szCs w:val="16"/>
          <w:lang w:val="es-CR"/>
        </w:rPr>
        <w:t>117.</w:t>
      </w:r>
    </w:p>
  </w:footnote>
  <w:footnote w:id="309">
    <w:p w14:paraId="38D8C6ED" w14:textId="1983926A" w:rsidR="003C025E" w:rsidRPr="00C079F5" w:rsidRDefault="003C025E" w:rsidP="00C079F5">
      <w:pPr>
        <w:pStyle w:val="FootnoteText"/>
        <w:rPr>
          <w:sz w:val="16"/>
          <w:szCs w:val="16"/>
        </w:rPr>
      </w:pPr>
      <w:r w:rsidRPr="00C079F5">
        <w:rPr>
          <w:rStyle w:val="FootnoteReference"/>
          <w:sz w:val="16"/>
          <w:szCs w:val="16"/>
        </w:rPr>
        <w:footnoteRef/>
      </w:r>
      <w:r w:rsidRPr="00C079F5">
        <w:rPr>
          <w:sz w:val="16"/>
          <w:szCs w:val="16"/>
        </w:rPr>
        <w:t xml:space="preserve"> </w:t>
      </w:r>
      <w:r>
        <w:rPr>
          <w:sz w:val="16"/>
          <w:szCs w:val="16"/>
        </w:rPr>
        <w:tab/>
      </w:r>
      <w:r w:rsidRPr="00C079F5">
        <w:rPr>
          <w:i/>
          <w:sz w:val="16"/>
          <w:szCs w:val="16"/>
        </w:rPr>
        <w:t>Caso Ruano Torres y otros Vs. El Salvador. Fondo, Reparaciones y Costas.</w:t>
      </w:r>
      <w:r w:rsidRPr="00C079F5">
        <w:rPr>
          <w:sz w:val="16"/>
          <w:szCs w:val="16"/>
        </w:rPr>
        <w:t xml:space="preserve"> Sentencia de 5 de octubre de 2015. Serie C No. 303, párr. 225.</w:t>
      </w:r>
    </w:p>
  </w:footnote>
  <w:footnote w:id="310">
    <w:p w14:paraId="6F544AA9" w14:textId="689F104D" w:rsidR="003C025E" w:rsidRPr="005F2639" w:rsidRDefault="003C025E" w:rsidP="00C079F5">
      <w:pPr>
        <w:pStyle w:val="FootnoteText"/>
        <w:rPr>
          <w:sz w:val="16"/>
          <w:szCs w:val="16"/>
        </w:rPr>
      </w:pPr>
      <w:r w:rsidRPr="00C079F5">
        <w:rPr>
          <w:rStyle w:val="FootnoteReference"/>
          <w:sz w:val="16"/>
          <w:szCs w:val="16"/>
        </w:rPr>
        <w:footnoteRef/>
      </w:r>
      <w:r w:rsidRPr="00C079F5">
        <w:rPr>
          <w:sz w:val="16"/>
          <w:szCs w:val="16"/>
        </w:rPr>
        <w:t xml:space="preserve"> </w:t>
      </w:r>
      <w:r>
        <w:rPr>
          <w:sz w:val="16"/>
          <w:szCs w:val="16"/>
        </w:rPr>
        <w:tab/>
      </w:r>
      <w:r w:rsidRPr="00062586">
        <w:rPr>
          <w:i/>
          <w:sz w:val="16"/>
          <w:szCs w:val="16"/>
        </w:rPr>
        <w:t>Cfr.</w:t>
      </w:r>
      <w:r w:rsidRPr="00C079F5">
        <w:rPr>
          <w:sz w:val="16"/>
          <w:szCs w:val="16"/>
        </w:rPr>
        <w:t xml:space="preserve"> </w:t>
      </w:r>
      <w:r w:rsidRPr="00C079F5">
        <w:rPr>
          <w:i/>
          <w:sz w:val="16"/>
          <w:szCs w:val="16"/>
        </w:rPr>
        <w:t>Caso Cantoral Benavides Vs. Perú. Reparaciones y Costas</w:t>
      </w:r>
      <w:r w:rsidRPr="00C079F5">
        <w:rPr>
          <w:sz w:val="16"/>
          <w:szCs w:val="16"/>
        </w:rPr>
        <w:t xml:space="preserve">. Sentencia de 3 de diciembre de 2001. Serie C No. 88, párr. 79, </w:t>
      </w:r>
      <w:r w:rsidRPr="005F2639">
        <w:rPr>
          <w:sz w:val="16"/>
          <w:szCs w:val="16"/>
        </w:rPr>
        <w:t xml:space="preserve">y </w:t>
      </w:r>
      <w:r w:rsidRPr="00B1523A">
        <w:rPr>
          <w:i/>
          <w:sz w:val="16"/>
          <w:szCs w:val="16"/>
        </w:rPr>
        <w:t xml:space="preserve">Caso Pueblo Indígena </w:t>
      </w:r>
      <w:proofErr w:type="spellStart"/>
      <w:r w:rsidRPr="00B1523A">
        <w:rPr>
          <w:i/>
          <w:sz w:val="16"/>
          <w:szCs w:val="16"/>
        </w:rPr>
        <w:t>Xucuru</w:t>
      </w:r>
      <w:proofErr w:type="spellEnd"/>
      <w:r w:rsidRPr="00B1523A">
        <w:rPr>
          <w:i/>
          <w:sz w:val="16"/>
          <w:szCs w:val="16"/>
        </w:rPr>
        <w:t xml:space="preserve"> y sus miembros Vs. Brasil, supra</w:t>
      </w:r>
      <w:r w:rsidRPr="00B1523A">
        <w:rPr>
          <w:sz w:val="16"/>
          <w:szCs w:val="16"/>
        </w:rPr>
        <w:t>, párr. 199.</w:t>
      </w:r>
      <w:r w:rsidRPr="005F2639">
        <w:rPr>
          <w:sz w:val="16"/>
          <w:szCs w:val="16"/>
        </w:rPr>
        <w:t xml:space="preserve"> </w:t>
      </w:r>
    </w:p>
  </w:footnote>
  <w:footnote w:id="311">
    <w:p w14:paraId="7BDBEE2D" w14:textId="7D60674F" w:rsidR="003C025E" w:rsidRPr="00AB1E03" w:rsidRDefault="003C025E" w:rsidP="00512FDD">
      <w:pPr>
        <w:pStyle w:val="FootnoteText"/>
        <w:rPr>
          <w:lang w:val="es-CR"/>
        </w:rPr>
      </w:pPr>
      <w:r w:rsidRPr="005F2639">
        <w:rPr>
          <w:rStyle w:val="FootnoteReference"/>
          <w:sz w:val="16"/>
          <w:szCs w:val="16"/>
        </w:rPr>
        <w:footnoteRef/>
      </w:r>
      <w:r w:rsidRPr="005F2639">
        <w:rPr>
          <w:sz w:val="16"/>
          <w:szCs w:val="16"/>
        </w:rPr>
        <w:t xml:space="preserve"> </w:t>
      </w:r>
      <w:r>
        <w:rPr>
          <w:sz w:val="16"/>
          <w:szCs w:val="16"/>
        </w:rPr>
        <w:tab/>
      </w:r>
      <w:r w:rsidRPr="00B1523A">
        <w:rPr>
          <w:i/>
          <w:sz w:val="16"/>
          <w:szCs w:val="16"/>
        </w:rPr>
        <w:t>Cfr.</w:t>
      </w:r>
      <w:r w:rsidRPr="00B1523A">
        <w:rPr>
          <w:b/>
          <w:sz w:val="16"/>
          <w:szCs w:val="16"/>
        </w:rPr>
        <w:t xml:space="preserve"> </w:t>
      </w:r>
      <w:r w:rsidRPr="00B1523A">
        <w:rPr>
          <w:i/>
          <w:sz w:val="16"/>
          <w:lang w:val="es-CR"/>
        </w:rPr>
        <w:t xml:space="preserve">Caso Cantoral Benavides Vs. Perú. Reparaciones y Costas, supra, </w:t>
      </w:r>
      <w:r w:rsidRPr="00B1523A">
        <w:rPr>
          <w:sz w:val="16"/>
          <w:lang w:val="es-CR"/>
        </w:rPr>
        <w:t xml:space="preserve">párr. 81; </w:t>
      </w:r>
      <w:r w:rsidRPr="00B1523A">
        <w:rPr>
          <w:i/>
          <w:sz w:val="16"/>
          <w:lang w:val="es-CR"/>
        </w:rPr>
        <w:t>Caso I.V. Vs. Bolivia, supra</w:t>
      </w:r>
      <w:r w:rsidRPr="00B1523A">
        <w:rPr>
          <w:sz w:val="16"/>
          <w:lang w:val="es-CR"/>
        </w:rPr>
        <w:t xml:space="preserve">, párr. 336, y </w:t>
      </w:r>
      <w:r w:rsidRPr="00B1523A">
        <w:rPr>
          <w:i/>
          <w:sz w:val="16"/>
          <w:lang w:val="es-CR"/>
        </w:rPr>
        <w:t xml:space="preserve">Caso Gonzales </w:t>
      </w:r>
      <w:proofErr w:type="spellStart"/>
      <w:r w:rsidRPr="00B1523A">
        <w:rPr>
          <w:i/>
          <w:sz w:val="16"/>
          <w:lang w:val="es-CR"/>
        </w:rPr>
        <w:t>Lluy</w:t>
      </w:r>
      <w:proofErr w:type="spellEnd"/>
      <w:r w:rsidRPr="00B1523A">
        <w:rPr>
          <w:i/>
          <w:sz w:val="16"/>
          <w:lang w:val="es-CR"/>
        </w:rPr>
        <w:t xml:space="preserve"> y otros Vs. Ecuador, supra</w:t>
      </w:r>
      <w:r w:rsidRPr="00B1523A">
        <w:rPr>
          <w:sz w:val="16"/>
          <w:lang w:val="es-CR"/>
        </w:rPr>
        <w:t>, párr. 368.</w:t>
      </w:r>
      <w:r w:rsidRPr="0094544B">
        <w:rPr>
          <w:sz w:val="16"/>
          <w:szCs w:val="16"/>
        </w:rPr>
        <w:t xml:space="preserve"> </w:t>
      </w:r>
    </w:p>
  </w:footnote>
  <w:footnote w:id="312">
    <w:p w14:paraId="4E5376B4" w14:textId="761BC02B" w:rsidR="003C025E" w:rsidRPr="00531D45" w:rsidRDefault="003C025E" w:rsidP="00E33A8C">
      <w:pPr>
        <w:pStyle w:val="FootnoteText"/>
        <w:rPr>
          <w:rFonts w:eastAsia="Calibri"/>
          <w:sz w:val="16"/>
          <w:szCs w:val="16"/>
          <w:lang w:val="es-AR" w:eastAsia="es-ES"/>
        </w:rPr>
      </w:pPr>
      <w:r w:rsidRPr="00531D45">
        <w:rPr>
          <w:rStyle w:val="FootnoteReference"/>
          <w:sz w:val="16"/>
          <w:szCs w:val="16"/>
        </w:rPr>
        <w:footnoteRef/>
      </w:r>
      <w:r w:rsidRPr="00531D45">
        <w:rPr>
          <w:rStyle w:val="FootnoteReference"/>
          <w:sz w:val="16"/>
          <w:szCs w:val="16"/>
        </w:rPr>
        <w:t xml:space="preserve"> </w:t>
      </w:r>
      <w:r w:rsidRPr="002A64C9">
        <w:rPr>
          <w:lang w:val="es-CR"/>
        </w:rPr>
        <w:tab/>
      </w:r>
      <w:r w:rsidRPr="002A64C9">
        <w:rPr>
          <w:sz w:val="16"/>
          <w:szCs w:val="16"/>
          <w:lang w:val="es-CR"/>
        </w:rPr>
        <w:t xml:space="preserve">El Estado informó en cuanto a camas </w:t>
      </w:r>
      <w:r w:rsidRPr="002A64C9">
        <w:rPr>
          <w:rFonts w:eastAsia="Calibri"/>
          <w:sz w:val="16"/>
          <w:szCs w:val="16"/>
          <w:lang w:val="es-ES" w:eastAsia="es-ES"/>
        </w:rPr>
        <w:t xml:space="preserve">pasó de 1234 en 2006 a 2839 en 2016, debido a la labor realizada por el Ministerio de Salud. (f. 856). </w:t>
      </w:r>
      <w:r w:rsidRPr="00531D45">
        <w:rPr>
          <w:rFonts w:eastAsia="Calibri"/>
          <w:i/>
          <w:sz w:val="16"/>
          <w:szCs w:val="16"/>
          <w:lang w:val="es-AR" w:eastAsia="es-ES"/>
        </w:rPr>
        <w:t>Cfr</w:t>
      </w:r>
      <w:r w:rsidRPr="00E33A8C">
        <w:rPr>
          <w:rFonts w:eastAsia="Calibri"/>
          <w:sz w:val="16"/>
          <w:szCs w:val="16"/>
          <w:lang w:val="es-AR" w:eastAsia="es-ES"/>
        </w:rPr>
        <w:t>. Declaración jurada ante fedatario público, del Dr. Osvaldo Salgado Cepeda, (expediente de prueba, f. 4641).</w:t>
      </w:r>
    </w:p>
  </w:footnote>
  <w:footnote w:id="313">
    <w:p w14:paraId="7024759E" w14:textId="7AACA9FF" w:rsidR="003C025E" w:rsidRPr="002A64C9" w:rsidRDefault="003C025E" w:rsidP="00A7540B">
      <w:pPr>
        <w:pStyle w:val="FootnoteText"/>
        <w:rPr>
          <w:sz w:val="16"/>
          <w:szCs w:val="16"/>
        </w:rPr>
      </w:pPr>
      <w:r w:rsidRPr="002A64C9">
        <w:rPr>
          <w:rStyle w:val="FootnoteReference"/>
          <w:sz w:val="16"/>
          <w:szCs w:val="16"/>
        </w:rPr>
        <w:footnoteRef/>
      </w:r>
      <w:r w:rsidRPr="002A64C9">
        <w:rPr>
          <w:sz w:val="16"/>
          <w:szCs w:val="16"/>
        </w:rPr>
        <w:t xml:space="preserve"> </w:t>
      </w:r>
      <w:r>
        <w:rPr>
          <w:sz w:val="16"/>
          <w:szCs w:val="16"/>
        </w:rPr>
        <w:tab/>
      </w:r>
      <w:r w:rsidRPr="00531D45">
        <w:rPr>
          <w:i/>
          <w:sz w:val="16"/>
          <w:szCs w:val="16"/>
          <w:lang w:val="es-AR"/>
        </w:rPr>
        <w:t>Cfr</w:t>
      </w:r>
      <w:r w:rsidRPr="00E33A8C">
        <w:rPr>
          <w:sz w:val="16"/>
          <w:szCs w:val="16"/>
          <w:lang w:val="es-AR"/>
        </w:rPr>
        <w:t>. Nivel de Complejidad en Atención Cerrada,  Departamento de Procesos y Tr</w:t>
      </w:r>
      <w:r>
        <w:rPr>
          <w:sz w:val="16"/>
          <w:szCs w:val="16"/>
          <w:lang w:val="es-AR"/>
        </w:rPr>
        <w:t>ansformación Hospitalaria, 2012</w:t>
      </w:r>
      <w:r w:rsidRPr="00E33A8C">
        <w:rPr>
          <w:sz w:val="16"/>
          <w:szCs w:val="16"/>
          <w:lang w:val="es-AR"/>
        </w:rPr>
        <w:t>, (expediente de prueba, f. 5312).</w:t>
      </w:r>
      <w:r>
        <w:rPr>
          <w:sz w:val="16"/>
          <w:szCs w:val="16"/>
          <w:lang w:val="es-AR"/>
        </w:rPr>
        <w:t xml:space="preserve"> </w:t>
      </w:r>
      <w:r w:rsidRPr="002A64C9">
        <w:rPr>
          <w:sz w:val="16"/>
          <w:szCs w:val="16"/>
        </w:rPr>
        <w:t>Señala en el análisis comparativo entre el tipo de camas que disponen los hospitales de alta complejidad, (12% de camas críticas, 8% de camas de cuidados intensivos y 80% de camas de cuidados básicos).</w:t>
      </w:r>
      <w:r>
        <w:rPr>
          <w:sz w:val="16"/>
          <w:szCs w:val="16"/>
        </w:rPr>
        <w:t xml:space="preserve"> </w:t>
      </w:r>
      <w:r w:rsidRPr="002A64C9">
        <w:rPr>
          <w:sz w:val="16"/>
          <w:szCs w:val="16"/>
        </w:rPr>
        <w:t>Este desequilibrio entre la demanda y el tipo de oferta, hace que se profundice la falta de acceso para una hospitalización oportuna y adecuada a las necesidades del paciente, así mismo se produce un retraso en el flujo de pacient</w:t>
      </w:r>
      <w:r w:rsidRPr="00A7540B">
        <w:rPr>
          <w:sz w:val="16"/>
          <w:szCs w:val="16"/>
        </w:rPr>
        <w:t>es desde las unidades críticas.</w:t>
      </w:r>
      <w:r>
        <w:rPr>
          <w:sz w:val="16"/>
          <w:szCs w:val="16"/>
        </w:rPr>
        <w:t xml:space="preserve"> </w:t>
      </w:r>
    </w:p>
    <w:p w14:paraId="2A3641D1" w14:textId="7393C2A3" w:rsidR="003C025E" w:rsidRPr="002A64C9" w:rsidRDefault="003C025E" w:rsidP="00A7540B">
      <w:pPr>
        <w:pStyle w:val="FootnoteText"/>
        <w:rPr>
          <w:lang w:val="es-AR"/>
        </w:rPr>
      </w:pPr>
      <w:r w:rsidRPr="00531D45">
        <w:rPr>
          <w:i/>
          <w:sz w:val="16"/>
          <w:szCs w:val="16"/>
          <w:lang w:val="es-AR"/>
        </w:rPr>
        <w:t>Cfr</w:t>
      </w:r>
      <w:r w:rsidRPr="00E33A8C">
        <w:rPr>
          <w:sz w:val="16"/>
          <w:szCs w:val="16"/>
          <w:lang w:val="es-AR"/>
        </w:rPr>
        <w:t>. Guía de organización y funcionamiento, Unidades de pacientes críticos adu</w:t>
      </w:r>
      <w:r>
        <w:rPr>
          <w:sz w:val="16"/>
          <w:szCs w:val="16"/>
          <w:lang w:val="es-AR"/>
        </w:rPr>
        <w:t>ltos, Ministerio de Salud, 2004</w:t>
      </w:r>
      <w:r w:rsidRPr="00E33A8C">
        <w:rPr>
          <w:sz w:val="16"/>
          <w:szCs w:val="16"/>
          <w:lang w:val="es-AR"/>
        </w:rPr>
        <w:t>, (expediente de prueba, f. 5196).</w:t>
      </w:r>
      <w:r>
        <w:rPr>
          <w:sz w:val="16"/>
          <w:szCs w:val="16"/>
          <w:lang w:val="es-AR"/>
        </w:rPr>
        <w:t xml:space="preserve"> </w:t>
      </w:r>
      <w:r w:rsidRPr="002A64C9">
        <w:rPr>
          <w:sz w:val="16"/>
          <w:szCs w:val="16"/>
          <w:lang w:val="es-AR"/>
        </w:rPr>
        <w:t>Se explaya sobre la situación actual de la situación de camas críticas de adulto país en el país</w:t>
      </w:r>
      <w:r>
        <w:rPr>
          <w:sz w:val="16"/>
          <w:szCs w:val="16"/>
          <w:lang w:val="es-AR"/>
        </w:rPr>
        <w:t>.</w:t>
      </w:r>
    </w:p>
  </w:footnote>
  <w:footnote w:id="314">
    <w:p w14:paraId="72E4DFF3" w14:textId="6F1CABE3" w:rsidR="003C025E" w:rsidRPr="007E5CD5" w:rsidRDefault="003C025E">
      <w:pPr>
        <w:pStyle w:val="FootnoteText"/>
        <w:rPr>
          <w:sz w:val="16"/>
        </w:rPr>
      </w:pPr>
      <w:r w:rsidRPr="00842328">
        <w:rPr>
          <w:rStyle w:val="FootnoteReference"/>
          <w:sz w:val="16"/>
          <w:szCs w:val="16"/>
        </w:rPr>
        <w:footnoteRef/>
      </w:r>
      <w:r w:rsidRPr="00842328">
        <w:rPr>
          <w:sz w:val="16"/>
          <w:szCs w:val="16"/>
        </w:rPr>
        <w:t xml:space="preserve"> </w:t>
      </w:r>
      <w:r>
        <w:tab/>
      </w:r>
      <w:r w:rsidRPr="007E5CD5">
        <w:rPr>
          <w:sz w:val="16"/>
        </w:rPr>
        <w:t>De conformidad con el artículo 63.1, las</w:t>
      </w:r>
      <w:r w:rsidRPr="007E5CD5">
        <w:rPr>
          <w:sz w:val="12"/>
        </w:rPr>
        <w:t xml:space="preserve"> </w:t>
      </w:r>
      <w:r>
        <w:rPr>
          <w:sz w:val="16"/>
        </w:rPr>
        <w:t xml:space="preserve">garantías de no repetición tradicionalmente han estado destinadas a “reparar las consecuencias de la medidas o situación que ha configurado la vulneración de esos derechos”. </w:t>
      </w:r>
    </w:p>
  </w:footnote>
  <w:footnote w:id="315">
    <w:p w14:paraId="7CE7C3B5" w14:textId="00F190E4" w:rsidR="003C025E" w:rsidRPr="00842328" w:rsidRDefault="003C025E">
      <w:pPr>
        <w:pStyle w:val="FootnoteText"/>
        <w:rPr>
          <w:sz w:val="16"/>
          <w:szCs w:val="16"/>
        </w:rPr>
      </w:pPr>
      <w:r w:rsidRPr="0059117C">
        <w:rPr>
          <w:rStyle w:val="FootnoteReference"/>
          <w:sz w:val="16"/>
          <w:szCs w:val="16"/>
        </w:rPr>
        <w:footnoteRef/>
      </w:r>
      <w:r w:rsidRPr="0059117C">
        <w:rPr>
          <w:sz w:val="16"/>
          <w:szCs w:val="16"/>
        </w:rPr>
        <w:t xml:space="preserve"> </w:t>
      </w:r>
      <w:r w:rsidRPr="0059117C">
        <w:rPr>
          <w:sz w:val="16"/>
          <w:szCs w:val="16"/>
        </w:rPr>
        <w:tab/>
      </w:r>
      <w:r w:rsidRPr="00062586">
        <w:rPr>
          <w:i/>
          <w:sz w:val="16"/>
          <w:szCs w:val="16"/>
        </w:rPr>
        <w:t>Cfr.</w:t>
      </w:r>
      <w:r w:rsidRPr="0059117C">
        <w:rPr>
          <w:i/>
          <w:sz w:val="16"/>
          <w:szCs w:val="16"/>
        </w:rPr>
        <w:t xml:space="preserve"> Caso Albán Cor</w:t>
      </w:r>
      <w:r w:rsidRPr="00F24D93">
        <w:rPr>
          <w:i/>
          <w:sz w:val="16"/>
          <w:szCs w:val="16"/>
        </w:rPr>
        <w:t>nejo y otros Vs. Ecuador</w:t>
      </w:r>
      <w:r>
        <w:rPr>
          <w:i/>
          <w:sz w:val="16"/>
          <w:szCs w:val="16"/>
        </w:rPr>
        <w:t>, supra</w:t>
      </w:r>
      <w:r w:rsidRPr="0059117C">
        <w:rPr>
          <w:sz w:val="16"/>
          <w:szCs w:val="16"/>
        </w:rPr>
        <w:t>, párr. 164</w:t>
      </w:r>
      <w:r>
        <w:rPr>
          <w:sz w:val="16"/>
          <w:szCs w:val="16"/>
        </w:rPr>
        <w:t xml:space="preserve">, y </w:t>
      </w:r>
      <w:r w:rsidRPr="00B1523A">
        <w:rPr>
          <w:i/>
          <w:sz w:val="16"/>
          <w:szCs w:val="16"/>
        </w:rPr>
        <w:t xml:space="preserve">Caso </w:t>
      </w:r>
      <w:r>
        <w:rPr>
          <w:i/>
          <w:sz w:val="16"/>
          <w:szCs w:val="16"/>
        </w:rPr>
        <w:t xml:space="preserve">Gonzales </w:t>
      </w:r>
      <w:proofErr w:type="spellStart"/>
      <w:r>
        <w:rPr>
          <w:i/>
          <w:sz w:val="16"/>
          <w:szCs w:val="16"/>
        </w:rPr>
        <w:t>Lluy</w:t>
      </w:r>
      <w:proofErr w:type="spellEnd"/>
      <w:r>
        <w:rPr>
          <w:i/>
          <w:sz w:val="16"/>
          <w:szCs w:val="16"/>
        </w:rPr>
        <w:t xml:space="preserve"> y otros Vs. Ecuador, supra</w:t>
      </w:r>
      <w:r>
        <w:rPr>
          <w:sz w:val="16"/>
          <w:szCs w:val="16"/>
        </w:rPr>
        <w:t>, párr. 368.</w:t>
      </w:r>
    </w:p>
  </w:footnote>
  <w:footnote w:id="316">
    <w:p w14:paraId="624BFA41" w14:textId="1D686228" w:rsidR="003C025E" w:rsidRPr="005430FF" w:rsidRDefault="003C025E">
      <w:pPr>
        <w:pStyle w:val="FootnoteText"/>
        <w:rPr>
          <w:sz w:val="16"/>
          <w:lang w:val="es-CR"/>
        </w:rPr>
      </w:pPr>
      <w:r w:rsidRPr="0059117C">
        <w:rPr>
          <w:rStyle w:val="FootnoteReference"/>
          <w:sz w:val="16"/>
          <w:szCs w:val="16"/>
        </w:rPr>
        <w:footnoteRef/>
      </w:r>
      <w:r w:rsidRPr="0059117C">
        <w:rPr>
          <w:sz w:val="16"/>
          <w:szCs w:val="16"/>
        </w:rPr>
        <w:t xml:space="preserve"> </w:t>
      </w:r>
      <w:r w:rsidRPr="0059117C">
        <w:rPr>
          <w:sz w:val="16"/>
          <w:szCs w:val="16"/>
        </w:rPr>
        <w:tab/>
      </w:r>
      <w:r w:rsidRPr="00062586">
        <w:rPr>
          <w:i/>
          <w:sz w:val="16"/>
          <w:szCs w:val="16"/>
        </w:rPr>
        <w:t>Cfr.</w:t>
      </w:r>
      <w:r w:rsidRPr="00F24D93">
        <w:rPr>
          <w:sz w:val="16"/>
          <w:szCs w:val="16"/>
        </w:rPr>
        <w:t xml:space="preserve"> </w:t>
      </w:r>
      <w:r w:rsidRPr="00F24D93">
        <w:rPr>
          <w:i/>
          <w:sz w:val="16"/>
          <w:szCs w:val="16"/>
        </w:rPr>
        <w:t>Caso de la "Mas</w:t>
      </w:r>
      <w:r>
        <w:rPr>
          <w:i/>
          <w:sz w:val="16"/>
          <w:szCs w:val="16"/>
        </w:rPr>
        <w:t xml:space="preserve">acre de </w:t>
      </w:r>
      <w:proofErr w:type="spellStart"/>
      <w:r>
        <w:rPr>
          <w:i/>
          <w:sz w:val="16"/>
          <w:szCs w:val="16"/>
        </w:rPr>
        <w:t>Mapiripán</w:t>
      </w:r>
      <w:proofErr w:type="spellEnd"/>
      <w:r>
        <w:rPr>
          <w:i/>
          <w:sz w:val="16"/>
          <w:szCs w:val="16"/>
        </w:rPr>
        <w:t>" Vs. Colombia,</w:t>
      </w:r>
      <w:r w:rsidRPr="00F24D93">
        <w:rPr>
          <w:i/>
          <w:sz w:val="16"/>
          <w:szCs w:val="16"/>
        </w:rPr>
        <w:t xml:space="preserve"> </w:t>
      </w:r>
      <w:r>
        <w:rPr>
          <w:i/>
          <w:sz w:val="16"/>
          <w:szCs w:val="16"/>
        </w:rPr>
        <w:t>supra</w:t>
      </w:r>
      <w:r w:rsidRPr="00F24D93">
        <w:rPr>
          <w:sz w:val="16"/>
          <w:szCs w:val="16"/>
        </w:rPr>
        <w:t xml:space="preserve"> párr. 316, y </w:t>
      </w:r>
      <w:r w:rsidRPr="00F24D93">
        <w:rPr>
          <w:i/>
          <w:sz w:val="16"/>
          <w:szCs w:val="16"/>
        </w:rPr>
        <w:t>Caso</w:t>
      </w:r>
      <w:r>
        <w:rPr>
          <w:i/>
          <w:sz w:val="16"/>
          <w:szCs w:val="16"/>
        </w:rPr>
        <w:t xml:space="preserve"> I.V. Vs. Bolivia, supra</w:t>
      </w:r>
      <w:r>
        <w:rPr>
          <w:sz w:val="16"/>
          <w:szCs w:val="16"/>
        </w:rPr>
        <w:t>, párr. 342</w:t>
      </w:r>
      <w:r w:rsidRPr="00F24D93">
        <w:rPr>
          <w:sz w:val="16"/>
          <w:szCs w:val="16"/>
        </w:rPr>
        <w:t>.</w:t>
      </w:r>
    </w:p>
  </w:footnote>
  <w:footnote w:id="317">
    <w:p w14:paraId="3F8DDFCA" w14:textId="77777777" w:rsidR="003C025E" w:rsidRPr="00016220" w:rsidRDefault="003C025E" w:rsidP="008704CD">
      <w:pPr>
        <w:pStyle w:val="FootnoteText"/>
        <w:rPr>
          <w:sz w:val="16"/>
          <w:szCs w:val="16"/>
        </w:rPr>
      </w:pPr>
      <w:r w:rsidRPr="00016220">
        <w:rPr>
          <w:rStyle w:val="FootnoteReference"/>
          <w:sz w:val="16"/>
          <w:szCs w:val="16"/>
        </w:rPr>
        <w:footnoteRef/>
      </w:r>
      <w:r w:rsidRPr="00016220">
        <w:rPr>
          <w:sz w:val="16"/>
          <w:szCs w:val="16"/>
        </w:rPr>
        <w:t xml:space="preserve"> </w:t>
      </w:r>
      <w:r w:rsidRPr="00016220">
        <w:rPr>
          <w:sz w:val="16"/>
          <w:szCs w:val="16"/>
        </w:rPr>
        <w:tab/>
      </w:r>
      <w:r w:rsidRPr="00DB4A77">
        <w:rPr>
          <w:i/>
          <w:iCs/>
          <w:sz w:val="16"/>
          <w:szCs w:val="16"/>
        </w:rPr>
        <w:t xml:space="preserve">Cfr. Caso </w:t>
      </w:r>
      <w:proofErr w:type="spellStart"/>
      <w:r w:rsidRPr="00DB4A77">
        <w:rPr>
          <w:i/>
          <w:iCs/>
          <w:sz w:val="16"/>
          <w:szCs w:val="16"/>
        </w:rPr>
        <w:t>Furlan</w:t>
      </w:r>
      <w:proofErr w:type="spellEnd"/>
      <w:r w:rsidRPr="00DB4A77">
        <w:rPr>
          <w:i/>
          <w:iCs/>
          <w:sz w:val="16"/>
          <w:szCs w:val="16"/>
        </w:rPr>
        <w:t xml:space="preserve"> y Familiares Vs. Argentina, supra</w:t>
      </w:r>
      <w:r w:rsidRPr="00DB4A77">
        <w:rPr>
          <w:sz w:val="16"/>
          <w:szCs w:val="16"/>
        </w:rPr>
        <w:t xml:space="preserve">, párr. 295. </w:t>
      </w:r>
      <w:r w:rsidRPr="00016220">
        <w:rPr>
          <w:sz w:val="16"/>
          <w:szCs w:val="16"/>
        </w:rPr>
        <w:t xml:space="preserve">y </w:t>
      </w:r>
      <w:r w:rsidRPr="00DB4A77">
        <w:rPr>
          <w:rFonts w:eastAsia="Calibri"/>
          <w:i/>
          <w:sz w:val="16"/>
          <w:szCs w:val="16"/>
          <w:lang w:eastAsia="en-US"/>
        </w:rPr>
        <w:t xml:space="preserve">Caso I.V. Vs. Bolivia, supra, </w:t>
      </w:r>
      <w:r w:rsidRPr="00016220">
        <w:rPr>
          <w:rFonts w:eastAsia="Calibri"/>
          <w:sz w:val="16"/>
          <w:szCs w:val="16"/>
          <w:lang w:eastAsia="en-US"/>
        </w:rPr>
        <w:t>párr. 341</w:t>
      </w:r>
      <w:r w:rsidRPr="00DB4A77">
        <w:rPr>
          <w:rFonts w:eastAsia="Calibri"/>
          <w:i/>
          <w:sz w:val="16"/>
          <w:szCs w:val="16"/>
          <w:lang w:eastAsia="en-US"/>
        </w:rPr>
        <w:t>.</w:t>
      </w:r>
    </w:p>
  </w:footnote>
  <w:footnote w:id="318">
    <w:p w14:paraId="17CC6C74" w14:textId="77777777" w:rsidR="003C025E" w:rsidRPr="00C079F5" w:rsidRDefault="003C025E" w:rsidP="00C079F5">
      <w:pPr>
        <w:pStyle w:val="FootnoteText"/>
        <w:rPr>
          <w:sz w:val="16"/>
          <w:szCs w:val="16"/>
          <w:lang w:val="es-CL"/>
        </w:rPr>
      </w:pPr>
      <w:r w:rsidRPr="00C079F5">
        <w:rPr>
          <w:rStyle w:val="FootnoteReference"/>
          <w:sz w:val="16"/>
          <w:szCs w:val="16"/>
        </w:rPr>
        <w:footnoteRef/>
      </w:r>
      <w:r w:rsidRPr="00C079F5">
        <w:rPr>
          <w:sz w:val="16"/>
          <w:szCs w:val="16"/>
        </w:rPr>
        <w:t xml:space="preserve"> </w:t>
      </w:r>
      <w:r>
        <w:rPr>
          <w:sz w:val="16"/>
          <w:szCs w:val="16"/>
        </w:rPr>
        <w:tab/>
      </w:r>
      <w:r w:rsidRPr="00C079F5">
        <w:rPr>
          <w:sz w:val="16"/>
          <w:szCs w:val="16"/>
        </w:rPr>
        <w:t>http://www.sii.cl/pagina/valores/dolar/dolar2001.htm</w:t>
      </w:r>
    </w:p>
  </w:footnote>
  <w:footnote w:id="319">
    <w:p w14:paraId="186953A4" w14:textId="77777777" w:rsidR="003C025E" w:rsidRPr="00C079F5" w:rsidRDefault="003C025E" w:rsidP="00C079F5">
      <w:pPr>
        <w:pStyle w:val="FootnoteText"/>
        <w:rPr>
          <w:sz w:val="16"/>
          <w:szCs w:val="16"/>
          <w:lang w:val="es-CL"/>
        </w:rPr>
      </w:pPr>
      <w:r w:rsidRPr="00C079F5">
        <w:rPr>
          <w:rStyle w:val="FootnoteReference"/>
          <w:sz w:val="16"/>
          <w:szCs w:val="16"/>
        </w:rPr>
        <w:footnoteRef/>
      </w:r>
      <w:r w:rsidRPr="00C079F5">
        <w:rPr>
          <w:sz w:val="16"/>
          <w:szCs w:val="16"/>
          <w:lang w:val="es-CL"/>
        </w:rPr>
        <w:t xml:space="preserve"> </w:t>
      </w:r>
      <w:r>
        <w:rPr>
          <w:sz w:val="16"/>
          <w:szCs w:val="16"/>
          <w:lang w:val="es-CL"/>
        </w:rPr>
        <w:tab/>
      </w:r>
      <w:r w:rsidRPr="00C079F5">
        <w:rPr>
          <w:sz w:val="16"/>
          <w:szCs w:val="16"/>
          <w:lang w:val="es-CL"/>
        </w:rPr>
        <w:t>http://www.sii.cl/pagina/valores/dolar/dolar2001.htm</w:t>
      </w:r>
    </w:p>
  </w:footnote>
  <w:footnote w:id="320">
    <w:p w14:paraId="1BBA8895" w14:textId="7692B920" w:rsidR="003C025E" w:rsidRPr="000D56E1" w:rsidRDefault="003C025E" w:rsidP="00B658A3">
      <w:pPr>
        <w:pStyle w:val="FootnoteText"/>
        <w:rPr>
          <w:sz w:val="16"/>
          <w:szCs w:val="16"/>
        </w:rPr>
      </w:pPr>
      <w:r w:rsidRPr="00531D45">
        <w:rPr>
          <w:rStyle w:val="FootnoteReference"/>
          <w:sz w:val="16"/>
          <w:szCs w:val="16"/>
        </w:rPr>
        <w:footnoteRef/>
      </w:r>
      <w:r>
        <w:t xml:space="preserve"> </w:t>
      </w:r>
      <w:r>
        <w:tab/>
      </w:r>
      <w:r w:rsidRPr="000D56E1">
        <w:rPr>
          <w:sz w:val="16"/>
          <w:szCs w:val="16"/>
        </w:rPr>
        <w:t xml:space="preserve"> </w:t>
      </w:r>
      <w:r>
        <w:rPr>
          <w:sz w:val="16"/>
          <w:szCs w:val="16"/>
        </w:rPr>
        <w:t xml:space="preserve">Respecto de Gonzalo Tapia, </w:t>
      </w:r>
      <w:r w:rsidRPr="000D56E1">
        <w:rPr>
          <w:sz w:val="16"/>
          <w:szCs w:val="16"/>
        </w:rPr>
        <w:t xml:space="preserve">4) Gastos incurridos como consecuencia del funeral </w:t>
      </w:r>
      <w:r>
        <w:rPr>
          <w:sz w:val="16"/>
          <w:szCs w:val="16"/>
        </w:rPr>
        <w:t xml:space="preserve">de Gonzalo Poblete Tapia: $ </w:t>
      </w:r>
      <w:r w:rsidRPr="00B1523A">
        <w:rPr>
          <w:sz w:val="16"/>
          <w:szCs w:val="16"/>
        </w:rPr>
        <w:t>110,000</w:t>
      </w:r>
      <w:r>
        <w:rPr>
          <w:sz w:val="16"/>
          <w:szCs w:val="16"/>
        </w:rPr>
        <w:t xml:space="preserve"> pesos chilenos</w:t>
      </w:r>
      <w:r w:rsidRPr="000D56E1">
        <w:rPr>
          <w:sz w:val="16"/>
          <w:szCs w:val="16"/>
        </w:rPr>
        <w:t xml:space="preserve"> (</w:t>
      </w:r>
      <w:r>
        <w:rPr>
          <w:sz w:val="16"/>
          <w:szCs w:val="16"/>
        </w:rPr>
        <w:t>Escrito de solicitudes, argumentos y pruebas</w:t>
      </w:r>
      <w:r w:rsidRPr="000D56E1">
        <w:rPr>
          <w:sz w:val="16"/>
          <w:szCs w:val="16"/>
        </w:rPr>
        <w:t>, f</w:t>
      </w:r>
      <w:r>
        <w:rPr>
          <w:sz w:val="16"/>
          <w:szCs w:val="16"/>
        </w:rPr>
        <w:t>.</w:t>
      </w:r>
      <w:r w:rsidRPr="000D56E1">
        <w:rPr>
          <w:sz w:val="16"/>
          <w:szCs w:val="16"/>
        </w:rPr>
        <w:t xml:space="preserve"> 275 a 276)</w:t>
      </w:r>
      <w:r>
        <w:rPr>
          <w:sz w:val="16"/>
          <w:szCs w:val="16"/>
        </w:rPr>
        <w:t>.</w:t>
      </w:r>
    </w:p>
  </w:footnote>
  <w:footnote w:id="321">
    <w:p w14:paraId="5E1672FA" w14:textId="75D4FCEE" w:rsidR="003C025E" w:rsidRPr="00C079F5" w:rsidRDefault="003C025E" w:rsidP="00C079F5">
      <w:pPr>
        <w:rPr>
          <w:b/>
          <w:sz w:val="16"/>
          <w:szCs w:val="16"/>
        </w:rPr>
      </w:pPr>
      <w:r w:rsidRPr="00C079F5">
        <w:rPr>
          <w:rStyle w:val="FootnoteReference"/>
          <w:sz w:val="16"/>
          <w:szCs w:val="16"/>
        </w:rPr>
        <w:footnoteRef/>
      </w:r>
      <w:r w:rsidRPr="00C079F5">
        <w:rPr>
          <w:sz w:val="16"/>
          <w:szCs w:val="16"/>
        </w:rPr>
        <w:t xml:space="preserve"> </w:t>
      </w:r>
      <w:r>
        <w:rPr>
          <w:sz w:val="16"/>
          <w:szCs w:val="16"/>
        </w:rPr>
        <w:tab/>
      </w:r>
      <w:r w:rsidRPr="00C079F5">
        <w:rPr>
          <w:sz w:val="16"/>
          <w:szCs w:val="16"/>
        </w:rPr>
        <w:t xml:space="preserve">Para llegar a esta cifra, las representantes enumeraron los siguientes gastos: i) 12.000 pesos chilenos: gastos de traslado </w:t>
      </w:r>
      <w:r>
        <w:rPr>
          <w:sz w:val="16"/>
          <w:szCs w:val="16"/>
        </w:rPr>
        <w:t>en</w:t>
      </w:r>
      <w:r w:rsidRPr="00C079F5">
        <w:rPr>
          <w:sz w:val="16"/>
          <w:szCs w:val="16"/>
        </w:rPr>
        <w:t xml:space="preserve"> ambulancia</w:t>
      </w:r>
      <w:r>
        <w:rPr>
          <w:sz w:val="16"/>
          <w:szCs w:val="16"/>
        </w:rPr>
        <w:t xml:space="preserve"> particular</w:t>
      </w:r>
      <w:r w:rsidRPr="00C079F5">
        <w:rPr>
          <w:sz w:val="16"/>
          <w:szCs w:val="16"/>
        </w:rPr>
        <w:t xml:space="preserve">  (US$: </w:t>
      </w:r>
      <w:r>
        <w:rPr>
          <w:sz w:val="16"/>
          <w:szCs w:val="16"/>
        </w:rPr>
        <w:t xml:space="preserve">21 </w:t>
      </w:r>
      <w:r w:rsidRPr="00C079F5">
        <w:rPr>
          <w:sz w:val="16"/>
          <w:szCs w:val="16"/>
        </w:rPr>
        <w:t xml:space="preserve">aproximadamente en febrero de 2001); ii) 469.851 pesos chilenos: gastos de servicio funeral del </w:t>
      </w:r>
      <w:r>
        <w:rPr>
          <w:sz w:val="16"/>
          <w:szCs w:val="16"/>
        </w:rPr>
        <w:t xml:space="preserve">señor Poblete Vilches (US$: </w:t>
      </w:r>
      <w:r w:rsidRPr="00B1523A">
        <w:rPr>
          <w:sz w:val="16"/>
          <w:szCs w:val="16"/>
        </w:rPr>
        <w:t>834</w:t>
      </w:r>
      <w:r w:rsidRPr="00C079F5">
        <w:rPr>
          <w:sz w:val="16"/>
          <w:szCs w:val="16"/>
        </w:rPr>
        <w:t xml:space="preserve"> aproximadamente en febrero 2001); iii)</w:t>
      </w:r>
      <w:r w:rsidRPr="00C079F5">
        <w:rPr>
          <w:b/>
          <w:sz w:val="16"/>
          <w:szCs w:val="16"/>
        </w:rPr>
        <w:t xml:space="preserve"> </w:t>
      </w:r>
      <w:r w:rsidRPr="00C079F5">
        <w:rPr>
          <w:sz w:val="16"/>
          <w:szCs w:val="16"/>
        </w:rPr>
        <w:t xml:space="preserve">627.600 pesos chilenos de funeral de la señora Blanca Tapia (US$: </w:t>
      </w:r>
      <w:r>
        <w:rPr>
          <w:sz w:val="16"/>
          <w:szCs w:val="16"/>
        </w:rPr>
        <w:t>1,114</w:t>
      </w:r>
      <w:r w:rsidRPr="00C079F5">
        <w:rPr>
          <w:sz w:val="16"/>
          <w:szCs w:val="16"/>
        </w:rPr>
        <w:t xml:space="preserve"> aproximadamente en enero 2003); iv)  110.000 pesos chilenos: gastos del servicio de funeral del señor Gonzalo Poblete Tapia (US$: </w:t>
      </w:r>
      <w:r>
        <w:rPr>
          <w:sz w:val="16"/>
          <w:szCs w:val="16"/>
        </w:rPr>
        <w:t>195</w:t>
      </w:r>
      <w:r w:rsidRPr="00C079F5">
        <w:rPr>
          <w:sz w:val="16"/>
          <w:szCs w:val="16"/>
        </w:rPr>
        <w:t xml:space="preserve"> aproximadamente en diciembre de 2011); v) </w:t>
      </w:r>
      <w:r w:rsidRPr="00C079F5" w:rsidDel="00C8410B">
        <w:rPr>
          <w:sz w:val="16"/>
          <w:szCs w:val="16"/>
        </w:rPr>
        <w:t xml:space="preserve"> </w:t>
      </w:r>
      <w:r w:rsidRPr="00C079F5">
        <w:rPr>
          <w:sz w:val="16"/>
          <w:szCs w:val="16"/>
        </w:rPr>
        <w:t xml:space="preserve">33.777,341 pesos chilenos: gastos de servicios médicos durante la primera internacional en la Clínica Dávila de la señora </w:t>
      </w:r>
      <w:proofErr w:type="spellStart"/>
      <w:r w:rsidRPr="00C079F5">
        <w:rPr>
          <w:sz w:val="16"/>
          <w:szCs w:val="16"/>
        </w:rPr>
        <w:t>Cesia</w:t>
      </w:r>
      <w:proofErr w:type="spellEnd"/>
      <w:r w:rsidRPr="00C079F5">
        <w:rPr>
          <w:sz w:val="16"/>
          <w:szCs w:val="16"/>
        </w:rPr>
        <w:t xml:space="preserve"> Poblete Tapia tras </w:t>
      </w:r>
      <w:r>
        <w:rPr>
          <w:sz w:val="16"/>
          <w:szCs w:val="16"/>
        </w:rPr>
        <w:t xml:space="preserve">su intento de suicidio (US$: 59 </w:t>
      </w:r>
      <w:r w:rsidRPr="00C079F5">
        <w:rPr>
          <w:sz w:val="16"/>
          <w:szCs w:val="16"/>
        </w:rPr>
        <w:t xml:space="preserve">aproximadamente en la actualidad); vi) 21.179,310 pesos chilenos: gastos por servicios médicos durante la segunda internación en la Clínica Dávila de la señora </w:t>
      </w:r>
      <w:proofErr w:type="spellStart"/>
      <w:r w:rsidRPr="00C079F5">
        <w:rPr>
          <w:sz w:val="16"/>
          <w:szCs w:val="16"/>
        </w:rPr>
        <w:t>Cesia</w:t>
      </w:r>
      <w:proofErr w:type="spellEnd"/>
      <w:r w:rsidRPr="00C079F5">
        <w:rPr>
          <w:sz w:val="16"/>
          <w:szCs w:val="16"/>
        </w:rPr>
        <w:t xml:space="preserve"> Poblete Tapia tras </w:t>
      </w:r>
      <w:r>
        <w:rPr>
          <w:sz w:val="16"/>
          <w:szCs w:val="16"/>
        </w:rPr>
        <w:t>su intento de suicidio (US$: 37.609</w:t>
      </w:r>
      <w:r w:rsidRPr="00C079F5">
        <w:rPr>
          <w:sz w:val="16"/>
          <w:szCs w:val="16"/>
        </w:rPr>
        <w:t xml:space="preserve"> aproximadamente en la actualidad); vii) 6.000 pesos chilenos: gastos por los servicios médicos de la doctora Sa</w:t>
      </w:r>
      <w:r>
        <w:rPr>
          <w:sz w:val="16"/>
          <w:szCs w:val="16"/>
        </w:rPr>
        <w:t xml:space="preserve">ndra </w:t>
      </w:r>
      <w:proofErr w:type="spellStart"/>
      <w:r>
        <w:rPr>
          <w:sz w:val="16"/>
          <w:szCs w:val="16"/>
        </w:rPr>
        <w:t>Momtufar</w:t>
      </w:r>
      <w:proofErr w:type="spellEnd"/>
      <w:r>
        <w:rPr>
          <w:sz w:val="16"/>
          <w:szCs w:val="16"/>
        </w:rPr>
        <w:t xml:space="preserve"> Castillo (US$: 10.654 </w:t>
      </w:r>
      <w:r w:rsidRPr="00C079F5">
        <w:rPr>
          <w:sz w:val="16"/>
          <w:szCs w:val="16"/>
        </w:rPr>
        <w:t>aproximadamente en febrero de 2001)</w:t>
      </w:r>
      <w:r>
        <w:rPr>
          <w:sz w:val="16"/>
          <w:szCs w:val="16"/>
        </w:rPr>
        <w:t xml:space="preserve">. (Escrito de solicitudes, argumentos y pruebas, </w:t>
      </w:r>
      <w:proofErr w:type="spellStart"/>
      <w:r>
        <w:rPr>
          <w:sz w:val="16"/>
          <w:szCs w:val="16"/>
        </w:rPr>
        <w:t>ff</w:t>
      </w:r>
      <w:proofErr w:type="spellEnd"/>
      <w:r>
        <w:rPr>
          <w:sz w:val="16"/>
          <w:szCs w:val="16"/>
        </w:rPr>
        <w:t>. 277 a 278).</w:t>
      </w:r>
    </w:p>
  </w:footnote>
  <w:footnote w:id="322">
    <w:p w14:paraId="73DD39A6" w14:textId="71788F7B" w:rsidR="003C025E" w:rsidRPr="00C103E7" w:rsidRDefault="003C025E" w:rsidP="00C079F5">
      <w:pPr>
        <w:pStyle w:val="FootnoteText"/>
        <w:rPr>
          <w:sz w:val="16"/>
          <w:szCs w:val="16"/>
          <w:lang w:val="es-MX"/>
        </w:rPr>
      </w:pPr>
      <w:r w:rsidRPr="00C079F5">
        <w:rPr>
          <w:rStyle w:val="FootnoteReference"/>
          <w:sz w:val="16"/>
          <w:szCs w:val="16"/>
        </w:rPr>
        <w:footnoteRef/>
      </w:r>
      <w:r w:rsidRPr="00C079F5">
        <w:rPr>
          <w:sz w:val="16"/>
          <w:szCs w:val="16"/>
          <w:lang w:val="es-MX"/>
        </w:rPr>
        <w:t xml:space="preserve"> </w:t>
      </w:r>
      <w:r w:rsidRPr="00C079F5">
        <w:rPr>
          <w:sz w:val="16"/>
          <w:szCs w:val="16"/>
          <w:lang w:val="es-MX"/>
        </w:rPr>
        <w:tab/>
      </w:r>
      <w:r w:rsidRPr="00062586">
        <w:rPr>
          <w:i/>
          <w:sz w:val="16"/>
          <w:szCs w:val="16"/>
          <w:lang w:val="es-MX"/>
        </w:rPr>
        <w:t>Cfr.</w:t>
      </w:r>
      <w:r w:rsidRPr="00C079F5">
        <w:rPr>
          <w:sz w:val="16"/>
          <w:szCs w:val="16"/>
          <w:lang w:val="es-MX"/>
        </w:rPr>
        <w:t xml:space="preserve"> </w:t>
      </w:r>
      <w:r w:rsidRPr="00C079F5">
        <w:rPr>
          <w:i/>
          <w:sz w:val="16"/>
          <w:szCs w:val="16"/>
          <w:lang w:val="es-MX"/>
        </w:rPr>
        <w:t xml:space="preserve">Caso </w:t>
      </w:r>
      <w:proofErr w:type="spellStart"/>
      <w:r w:rsidRPr="00C079F5">
        <w:rPr>
          <w:i/>
          <w:sz w:val="16"/>
          <w:szCs w:val="16"/>
          <w:lang w:val="es-MX"/>
        </w:rPr>
        <w:t>Bámaca</w:t>
      </w:r>
      <w:proofErr w:type="spellEnd"/>
      <w:r w:rsidRPr="00C079F5">
        <w:rPr>
          <w:i/>
          <w:sz w:val="16"/>
          <w:szCs w:val="16"/>
          <w:lang w:val="es-MX"/>
        </w:rPr>
        <w:t xml:space="preserve"> Velásquez Vs. Guatemala. Reparaciones, </w:t>
      </w:r>
      <w:r w:rsidRPr="00062586">
        <w:rPr>
          <w:i/>
          <w:sz w:val="16"/>
          <w:szCs w:val="16"/>
          <w:lang w:val="es-MX"/>
        </w:rPr>
        <w:t>supra</w:t>
      </w:r>
      <w:r w:rsidRPr="00C079F5">
        <w:rPr>
          <w:sz w:val="16"/>
          <w:szCs w:val="16"/>
          <w:lang w:val="es-MX"/>
        </w:rPr>
        <w:t xml:space="preserve">, párr. 43, </w:t>
      </w:r>
      <w:r w:rsidRPr="00C079F5">
        <w:rPr>
          <w:i/>
          <w:sz w:val="16"/>
          <w:szCs w:val="16"/>
          <w:lang w:val="es-MX"/>
        </w:rPr>
        <w:t>y C</w:t>
      </w:r>
      <w:r>
        <w:rPr>
          <w:i/>
          <w:sz w:val="16"/>
          <w:szCs w:val="16"/>
          <w:lang w:val="es-MX"/>
        </w:rPr>
        <w:t xml:space="preserve">aso Pacheco León y otros Vs. Honduras. Fondo, Reparaciones y Costas. </w:t>
      </w:r>
      <w:r w:rsidRPr="00C103E7">
        <w:rPr>
          <w:sz w:val="16"/>
          <w:szCs w:val="16"/>
          <w:lang w:val="es-MX"/>
        </w:rPr>
        <w:t>Sentencia de 15 de noviembre de 2017.Serie  No. 342, párr. 217.</w:t>
      </w:r>
    </w:p>
  </w:footnote>
  <w:footnote w:id="323">
    <w:p w14:paraId="08F99AC1" w14:textId="06F81D7E" w:rsidR="003C025E" w:rsidRPr="00C079F5" w:rsidRDefault="003C025E" w:rsidP="00C079F5">
      <w:pPr>
        <w:pStyle w:val="FootnoteText"/>
        <w:rPr>
          <w:sz w:val="16"/>
          <w:szCs w:val="16"/>
        </w:rPr>
      </w:pPr>
      <w:r w:rsidRPr="00C079F5">
        <w:rPr>
          <w:rStyle w:val="FootnoteReference"/>
          <w:sz w:val="16"/>
          <w:szCs w:val="16"/>
        </w:rPr>
        <w:footnoteRef/>
      </w:r>
      <w:r w:rsidRPr="00C079F5">
        <w:rPr>
          <w:sz w:val="16"/>
          <w:szCs w:val="16"/>
        </w:rPr>
        <w:t xml:space="preserve"> </w:t>
      </w:r>
      <w:r>
        <w:rPr>
          <w:sz w:val="16"/>
          <w:szCs w:val="16"/>
        </w:rPr>
        <w:tab/>
      </w:r>
      <w:r w:rsidRPr="00C079F5">
        <w:rPr>
          <w:sz w:val="16"/>
          <w:szCs w:val="16"/>
        </w:rPr>
        <w:t>Las representantes indicaron que lo gastos correspondientes al traslado en ambulancia desde el Hospital Sotero del Río hacia el domicilio familiar tras la</w:t>
      </w:r>
      <w:r>
        <w:rPr>
          <w:sz w:val="16"/>
          <w:szCs w:val="16"/>
        </w:rPr>
        <w:t xml:space="preserve"> primera internación fue de </w:t>
      </w:r>
      <w:r w:rsidRPr="00B1523A">
        <w:rPr>
          <w:sz w:val="16"/>
          <w:szCs w:val="16"/>
        </w:rPr>
        <w:t>$12,000</w:t>
      </w:r>
      <w:r w:rsidRPr="00C079F5">
        <w:rPr>
          <w:sz w:val="16"/>
          <w:szCs w:val="16"/>
        </w:rPr>
        <w:t xml:space="preserve"> </w:t>
      </w:r>
      <w:r>
        <w:rPr>
          <w:sz w:val="16"/>
          <w:szCs w:val="16"/>
        </w:rPr>
        <w:t xml:space="preserve">pesos chilenos, </w:t>
      </w:r>
      <w:r w:rsidRPr="00C079F5">
        <w:rPr>
          <w:sz w:val="16"/>
          <w:szCs w:val="16"/>
        </w:rPr>
        <w:t>de acuerdo al comprobante presentado en el anexo 16 del Escrito de Solicitudes, Argumentos y Pruebas y los gastos referentes</w:t>
      </w:r>
      <w:r>
        <w:rPr>
          <w:sz w:val="16"/>
          <w:szCs w:val="16"/>
        </w:rPr>
        <w:t xml:space="preserve"> al funeral del señor Poblete Vilches corresponden a </w:t>
      </w:r>
      <w:r w:rsidRPr="00B1523A">
        <w:rPr>
          <w:sz w:val="16"/>
          <w:szCs w:val="16"/>
        </w:rPr>
        <w:t>$469,851</w:t>
      </w:r>
      <w:r w:rsidRPr="00C079F5">
        <w:rPr>
          <w:sz w:val="16"/>
          <w:szCs w:val="16"/>
        </w:rPr>
        <w:t xml:space="preserve"> </w:t>
      </w:r>
      <w:r>
        <w:rPr>
          <w:sz w:val="16"/>
          <w:szCs w:val="16"/>
        </w:rPr>
        <w:t xml:space="preserve">pesos chilenos, </w:t>
      </w:r>
      <w:r w:rsidRPr="00C079F5">
        <w:rPr>
          <w:sz w:val="16"/>
          <w:szCs w:val="16"/>
        </w:rPr>
        <w:t>de acuerdo a lo dispuesto en los comprobantes adjuntados en el anexo 72 del Escrito de Solicitudes, Argumentos y Pruebas.</w:t>
      </w:r>
      <w:r>
        <w:rPr>
          <w:sz w:val="16"/>
          <w:szCs w:val="16"/>
        </w:rPr>
        <w:t xml:space="preserve"> </w:t>
      </w:r>
      <w:r w:rsidRPr="00B1523A">
        <w:rPr>
          <w:sz w:val="16"/>
          <w:szCs w:val="16"/>
        </w:rPr>
        <w:t>(E</w:t>
      </w:r>
      <w:r>
        <w:rPr>
          <w:sz w:val="16"/>
          <w:szCs w:val="16"/>
        </w:rPr>
        <w:t xml:space="preserve">scrito de solicitudes, argumentos y pruebas, </w:t>
      </w:r>
      <w:r w:rsidRPr="00B1523A">
        <w:rPr>
          <w:sz w:val="16"/>
          <w:szCs w:val="16"/>
        </w:rPr>
        <w:t>f.277)</w:t>
      </w:r>
      <w:r>
        <w:rPr>
          <w:sz w:val="16"/>
          <w:szCs w:val="16"/>
        </w:rPr>
        <w:t>.</w:t>
      </w:r>
    </w:p>
  </w:footnote>
  <w:footnote w:id="324">
    <w:p w14:paraId="6AB2A4EB" w14:textId="206BD282" w:rsidR="003C025E" w:rsidRPr="00D83D35" w:rsidRDefault="003C025E" w:rsidP="00C079F5">
      <w:pPr>
        <w:pStyle w:val="FootnoteText"/>
        <w:rPr>
          <w:sz w:val="16"/>
          <w:szCs w:val="16"/>
          <w:lang w:val="es-HN"/>
        </w:rPr>
      </w:pPr>
      <w:r w:rsidRPr="00B1523A">
        <w:rPr>
          <w:rStyle w:val="FootnoteReference"/>
          <w:sz w:val="16"/>
          <w:szCs w:val="16"/>
        </w:rPr>
        <w:footnoteRef/>
      </w:r>
      <w:r w:rsidRPr="00C079F5">
        <w:rPr>
          <w:i/>
          <w:sz w:val="16"/>
          <w:szCs w:val="16"/>
        </w:rPr>
        <w:t xml:space="preserve"> </w:t>
      </w:r>
      <w:r>
        <w:rPr>
          <w:i/>
          <w:sz w:val="16"/>
          <w:szCs w:val="16"/>
        </w:rPr>
        <w:tab/>
      </w:r>
      <w:r w:rsidRPr="00C079F5">
        <w:rPr>
          <w:i/>
          <w:sz w:val="16"/>
          <w:szCs w:val="16"/>
        </w:rPr>
        <w:t>C</w:t>
      </w:r>
      <w:r w:rsidRPr="00D83D35">
        <w:rPr>
          <w:i/>
          <w:sz w:val="16"/>
          <w:szCs w:val="16"/>
        </w:rPr>
        <w:t>aso de los Niños de la Calle (Villagrán Morales y otros) Vs. Guatemala. Reparaciones y Costas</w:t>
      </w:r>
      <w:r w:rsidRPr="00D83D35">
        <w:rPr>
          <w:sz w:val="16"/>
          <w:szCs w:val="16"/>
        </w:rPr>
        <w:t xml:space="preserve">. Sentencia de 26 de mayo de 2001. Serie C No. 77, párr. 84 y </w:t>
      </w:r>
      <w:r w:rsidRPr="00B1523A">
        <w:rPr>
          <w:i/>
          <w:sz w:val="16"/>
          <w:szCs w:val="16"/>
        </w:rPr>
        <w:t>Caso Pacheco León y otros Vs. Honduras, supra</w:t>
      </w:r>
      <w:r w:rsidRPr="00B1523A">
        <w:rPr>
          <w:sz w:val="16"/>
          <w:szCs w:val="16"/>
        </w:rPr>
        <w:t>, párr. 217.</w:t>
      </w:r>
    </w:p>
  </w:footnote>
  <w:footnote w:id="325">
    <w:p w14:paraId="626DBE29" w14:textId="788429CD" w:rsidR="003C025E" w:rsidRPr="002A64C9" w:rsidRDefault="003C025E" w:rsidP="00C27894">
      <w:pPr>
        <w:pStyle w:val="FootnoteText"/>
        <w:rPr>
          <w:sz w:val="16"/>
          <w:szCs w:val="16"/>
        </w:rPr>
      </w:pPr>
      <w:r w:rsidRPr="00D83D35">
        <w:rPr>
          <w:rStyle w:val="FootnoteReference"/>
          <w:sz w:val="16"/>
          <w:szCs w:val="16"/>
        </w:rPr>
        <w:footnoteRef/>
      </w:r>
      <w:r w:rsidRPr="00D83D35">
        <w:rPr>
          <w:sz w:val="16"/>
          <w:szCs w:val="16"/>
        </w:rPr>
        <w:t xml:space="preserve"> </w:t>
      </w:r>
      <w:r>
        <w:rPr>
          <w:sz w:val="16"/>
          <w:szCs w:val="16"/>
        </w:rPr>
        <w:t xml:space="preserve">      </w:t>
      </w:r>
      <w:r w:rsidRPr="00D83D35">
        <w:rPr>
          <w:i/>
          <w:sz w:val="16"/>
          <w:szCs w:val="16"/>
        </w:rPr>
        <w:t>Cfr.</w:t>
      </w:r>
      <w:r w:rsidRPr="00D83D35">
        <w:rPr>
          <w:sz w:val="16"/>
          <w:szCs w:val="16"/>
        </w:rPr>
        <w:t xml:space="preserve"> </w:t>
      </w:r>
      <w:r w:rsidRPr="00541592">
        <w:rPr>
          <w:i/>
          <w:sz w:val="16"/>
          <w:szCs w:val="16"/>
        </w:rPr>
        <w:t>Caso de los “Niños de la Calle” (Villagrán Morales y otros) Vs. Guatemala. Reparaciones y Costas,</w:t>
      </w:r>
      <w:r w:rsidRPr="00D83D35">
        <w:rPr>
          <w:sz w:val="16"/>
          <w:szCs w:val="16"/>
        </w:rPr>
        <w:t xml:space="preserve"> </w:t>
      </w:r>
      <w:r w:rsidRPr="00D83D35">
        <w:rPr>
          <w:i/>
          <w:sz w:val="16"/>
          <w:szCs w:val="16"/>
        </w:rPr>
        <w:t>supra</w:t>
      </w:r>
      <w:r w:rsidRPr="00D83D35">
        <w:rPr>
          <w:sz w:val="16"/>
          <w:szCs w:val="16"/>
        </w:rPr>
        <w:t xml:space="preserve">, párr. 84. y </w:t>
      </w:r>
      <w:r w:rsidRPr="00B1523A">
        <w:rPr>
          <w:i/>
          <w:sz w:val="16"/>
          <w:szCs w:val="16"/>
        </w:rPr>
        <w:t>Caso Pacheco León y otros Vs. Honduras, supra</w:t>
      </w:r>
      <w:r w:rsidRPr="00B1523A">
        <w:rPr>
          <w:sz w:val="16"/>
          <w:szCs w:val="16"/>
        </w:rPr>
        <w:t>, párr. 217.</w:t>
      </w:r>
    </w:p>
  </w:footnote>
  <w:footnote w:id="326">
    <w:p w14:paraId="27250F3A" w14:textId="66072901" w:rsidR="003C025E" w:rsidRPr="00C079F5" w:rsidRDefault="003C025E" w:rsidP="00C27894">
      <w:pPr>
        <w:pStyle w:val="FootnoteText"/>
        <w:rPr>
          <w:sz w:val="16"/>
          <w:szCs w:val="16"/>
          <w:lang w:val="es-CR"/>
        </w:rPr>
      </w:pPr>
      <w:r w:rsidRPr="002A64C9">
        <w:rPr>
          <w:rStyle w:val="FootnoteReference"/>
          <w:sz w:val="16"/>
          <w:szCs w:val="16"/>
        </w:rPr>
        <w:footnoteRef/>
      </w:r>
      <w:r w:rsidRPr="002A64C9">
        <w:rPr>
          <w:sz w:val="16"/>
          <w:szCs w:val="16"/>
        </w:rPr>
        <w:t xml:space="preserve"> </w:t>
      </w:r>
      <w:r w:rsidRPr="002A64C9">
        <w:rPr>
          <w:sz w:val="16"/>
          <w:szCs w:val="16"/>
        </w:rPr>
        <w:tab/>
      </w:r>
      <w:r w:rsidRPr="00B1523A">
        <w:rPr>
          <w:i/>
          <w:sz w:val="16"/>
          <w:szCs w:val="16"/>
        </w:rPr>
        <w:t>Cfr</w:t>
      </w:r>
      <w:r w:rsidRPr="002A64C9">
        <w:rPr>
          <w:sz w:val="16"/>
          <w:szCs w:val="16"/>
        </w:rPr>
        <w:t xml:space="preserve">. </w:t>
      </w:r>
      <w:r>
        <w:rPr>
          <w:i/>
          <w:sz w:val="16"/>
          <w:szCs w:val="16"/>
          <w:lang w:val="es-CR"/>
        </w:rPr>
        <w:t>C</w:t>
      </w:r>
      <w:r w:rsidRPr="002A64C9">
        <w:rPr>
          <w:i/>
          <w:sz w:val="16"/>
          <w:szCs w:val="16"/>
          <w:lang w:val="es-CR"/>
        </w:rPr>
        <w:t>aso Albán Cornejo</w:t>
      </w:r>
      <w:r>
        <w:rPr>
          <w:i/>
          <w:sz w:val="16"/>
          <w:szCs w:val="16"/>
          <w:lang w:val="es-CR"/>
        </w:rPr>
        <w:t xml:space="preserve"> Vs. Ecuador, supra, </w:t>
      </w:r>
      <w:r>
        <w:rPr>
          <w:sz w:val="16"/>
          <w:szCs w:val="16"/>
          <w:lang w:val="es-CR"/>
        </w:rPr>
        <w:t>párr. 153;</w:t>
      </w:r>
      <w:r w:rsidRPr="002A64C9">
        <w:rPr>
          <w:i/>
          <w:sz w:val="16"/>
          <w:szCs w:val="16"/>
          <w:lang w:val="es-CR"/>
        </w:rPr>
        <w:t xml:space="preserve"> </w:t>
      </w:r>
      <w:proofErr w:type="spellStart"/>
      <w:r w:rsidRPr="002A64C9">
        <w:rPr>
          <w:i/>
          <w:sz w:val="16"/>
          <w:szCs w:val="16"/>
          <w:lang w:val="es-CR"/>
        </w:rPr>
        <w:t>Ximénes</w:t>
      </w:r>
      <w:proofErr w:type="spellEnd"/>
      <w:r w:rsidRPr="002A64C9">
        <w:rPr>
          <w:i/>
          <w:sz w:val="16"/>
          <w:szCs w:val="16"/>
          <w:lang w:val="es-CR"/>
        </w:rPr>
        <w:t xml:space="preserve"> </w:t>
      </w:r>
      <w:proofErr w:type="spellStart"/>
      <w:r w:rsidRPr="002A64C9">
        <w:rPr>
          <w:i/>
          <w:sz w:val="16"/>
          <w:szCs w:val="16"/>
          <w:lang w:val="es-CR"/>
        </w:rPr>
        <w:t>L</w:t>
      </w:r>
      <w:r>
        <w:rPr>
          <w:i/>
          <w:sz w:val="16"/>
          <w:szCs w:val="16"/>
          <w:lang w:val="es-CR"/>
        </w:rPr>
        <w:t>o</w:t>
      </w:r>
      <w:r w:rsidRPr="002A64C9">
        <w:rPr>
          <w:i/>
          <w:sz w:val="16"/>
          <w:szCs w:val="16"/>
          <w:lang w:val="es-CR"/>
        </w:rPr>
        <w:t>pe</w:t>
      </w:r>
      <w:r>
        <w:rPr>
          <w:i/>
          <w:sz w:val="16"/>
          <w:szCs w:val="16"/>
          <w:lang w:val="es-CR"/>
        </w:rPr>
        <w:t>s</w:t>
      </w:r>
      <w:proofErr w:type="spellEnd"/>
      <w:r>
        <w:rPr>
          <w:i/>
          <w:sz w:val="16"/>
          <w:szCs w:val="16"/>
          <w:lang w:val="es-CR"/>
        </w:rPr>
        <w:t xml:space="preserve"> Vs. Brasil, supra</w:t>
      </w:r>
      <w:r w:rsidRPr="00B1523A">
        <w:rPr>
          <w:sz w:val="16"/>
          <w:szCs w:val="16"/>
          <w:lang w:val="es-CR"/>
        </w:rPr>
        <w:t>,</w:t>
      </w:r>
      <w:r>
        <w:rPr>
          <w:i/>
          <w:sz w:val="16"/>
          <w:szCs w:val="16"/>
          <w:lang w:val="es-CR"/>
        </w:rPr>
        <w:t xml:space="preserve"> </w:t>
      </w:r>
      <w:r>
        <w:rPr>
          <w:sz w:val="16"/>
          <w:szCs w:val="16"/>
          <w:lang w:val="es-CR"/>
        </w:rPr>
        <w:t>párr. 238</w:t>
      </w:r>
      <w:r w:rsidRPr="002A64C9">
        <w:rPr>
          <w:i/>
          <w:sz w:val="16"/>
          <w:szCs w:val="16"/>
          <w:lang w:val="es-CR"/>
        </w:rPr>
        <w:t xml:space="preserve"> y Suárez Peralta</w:t>
      </w:r>
      <w:r>
        <w:rPr>
          <w:i/>
          <w:sz w:val="16"/>
          <w:szCs w:val="16"/>
          <w:lang w:val="es-CR"/>
        </w:rPr>
        <w:t xml:space="preserve"> Vs. Ecuador, supra, </w:t>
      </w:r>
      <w:r>
        <w:rPr>
          <w:sz w:val="16"/>
          <w:szCs w:val="16"/>
          <w:lang w:val="es-CR"/>
        </w:rPr>
        <w:t>párr. 214.</w:t>
      </w:r>
      <w:r w:rsidRPr="00C079F5">
        <w:rPr>
          <w:sz w:val="16"/>
          <w:szCs w:val="16"/>
          <w:lang w:val="es-CR"/>
        </w:rPr>
        <w:t xml:space="preserve"> </w:t>
      </w:r>
    </w:p>
  </w:footnote>
  <w:footnote w:id="327">
    <w:p w14:paraId="6929F92D" w14:textId="190F37B5" w:rsidR="003C025E" w:rsidRPr="00D83D35" w:rsidRDefault="003C025E" w:rsidP="00C27894">
      <w:pPr>
        <w:pStyle w:val="FootnoteText"/>
        <w:rPr>
          <w:bCs/>
          <w:sz w:val="16"/>
          <w:szCs w:val="16"/>
          <w:lang w:val="es-CR"/>
        </w:rPr>
      </w:pPr>
      <w:r w:rsidRPr="00D83D35">
        <w:rPr>
          <w:rStyle w:val="FootnoteReference"/>
          <w:sz w:val="16"/>
          <w:szCs w:val="16"/>
        </w:rPr>
        <w:footnoteRef/>
      </w:r>
      <w:r w:rsidRPr="00D83D35">
        <w:rPr>
          <w:sz w:val="16"/>
          <w:szCs w:val="16"/>
          <w:lang w:val="es-MX"/>
        </w:rPr>
        <w:t xml:space="preserve"> </w:t>
      </w:r>
      <w:r w:rsidRPr="00D83D35">
        <w:rPr>
          <w:sz w:val="16"/>
          <w:szCs w:val="16"/>
          <w:lang w:val="es-MX"/>
        </w:rPr>
        <w:tab/>
      </w:r>
      <w:r w:rsidRPr="00D83D35">
        <w:rPr>
          <w:i/>
          <w:sz w:val="16"/>
          <w:szCs w:val="16"/>
          <w:lang w:val="es-MX"/>
        </w:rPr>
        <w:t xml:space="preserve">Cfr. Caso Velásquez Rodríguez Vs. </w:t>
      </w:r>
      <w:r w:rsidRPr="00D83D35">
        <w:rPr>
          <w:i/>
          <w:sz w:val="16"/>
          <w:szCs w:val="16"/>
          <w:lang w:val="es-CR"/>
        </w:rPr>
        <w:t xml:space="preserve">Honduras. </w:t>
      </w:r>
      <w:r w:rsidRPr="00D83D35">
        <w:rPr>
          <w:i/>
          <w:sz w:val="16"/>
          <w:szCs w:val="16"/>
          <w:lang w:val="es-MX"/>
        </w:rPr>
        <w:t>Reparaciones, supra,</w:t>
      </w:r>
      <w:r w:rsidRPr="00D83D35">
        <w:rPr>
          <w:sz w:val="16"/>
          <w:szCs w:val="16"/>
          <w:lang w:val="es-MX"/>
        </w:rPr>
        <w:t xml:space="preserve"> párr. 42, y </w:t>
      </w:r>
      <w:r w:rsidRPr="00B1523A">
        <w:rPr>
          <w:bCs/>
          <w:i/>
          <w:sz w:val="16"/>
          <w:szCs w:val="16"/>
          <w:lang w:val="es-MX"/>
        </w:rPr>
        <w:t xml:space="preserve">Caso Pueblo Indígena </w:t>
      </w:r>
      <w:proofErr w:type="spellStart"/>
      <w:r w:rsidRPr="00B1523A">
        <w:rPr>
          <w:bCs/>
          <w:i/>
          <w:sz w:val="16"/>
          <w:szCs w:val="16"/>
          <w:lang w:val="es-MX"/>
        </w:rPr>
        <w:t>Xucuru</w:t>
      </w:r>
      <w:proofErr w:type="spellEnd"/>
      <w:r w:rsidRPr="00B1523A">
        <w:rPr>
          <w:bCs/>
          <w:i/>
          <w:sz w:val="16"/>
          <w:szCs w:val="16"/>
          <w:lang w:val="es-MX"/>
        </w:rPr>
        <w:t xml:space="preserve"> y sus miembros Vs. Brasil, supra</w:t>
      </w:r>
      <w:r w:rsidRPr="00B1523A">
        <w:rPr>
          <w:bCs/>
          <w:sz w:val="16"/>
          <w:szCs w:val="16"/>
          <w:lang w:val="es-MX"/>
        </w:rPr>
        <w:t>, párr.</w:t>
      </w:r>
      <w:r>
        <w:rPr>
          <w:bCs/>
          <w:sz w:val="16"/>
          <w:szCs w:val="16"/>
          <w:lang w:val="es-MX"/>
        </w:rPr>
        <w:t xml:space="preserve"> </w:t>
      </w:r>
      <w:r w:rsidRPr="00B1523A">
        <w:rPr>
          <w:bCs/>
          <w:sz w:val="16"/>
          <w:szCs w:val="16"/>
          <w:lang w:val="es-MX"/>
        </w:rPr>
        <w:t>214.</w:t>
      </w:r>
    </w:p>
  </w:footnote>
  <w:footnote w:id="328">
    <w:p w14:paraId="0A490FAA" w14:textId="2E694F2D" w:rsidR="003C025E" w:rsidRPr="00D83D35" w:rsidRDefault="003C025E" w:rsidP="00C27894">
      <w:pPr>
        <w:pStyle w:val="FootnoteText"/>
        <w:rPr>
          <w:bCs/>
          <w:sz w:val="16"/>
          <w:szCs w:val="16"/>
          <w:lang w:val="es-CR"/>
        </w:rPr>
      </w:pPr>
      <w:r w:rsidRPr="00D83D35">
        <w:rPr>
          <w:rStyle w:val="FootnoteReference"/>
          <w:sz w:val="16"/>
          <w:szCs w:val="16"/>
        </w:rPr>
        <w:footnoteRef/>
      </w:r>
      <w:r w:rsidRPr="00D83D35">
        <w:rPr>
          <w:sz w:val="16"/>
          <w:szCs w:val="16"/>
          <w:lang w:val="es-MX"/>
        </w:rPr>
        <w:t xml:space="preserve"> </w:t>
      </w:r>
      <w:r w:rsidRPr="00D83D35">
        <w:rPr>
          <w:sz w:val="16"/>
          <w:szCs w:val="16"/>
          <w:lang w:val="es-MX"/>
        </w:rPr>
        <w:tab/>
      </w:r>
      <w:r w:rsidRPr="00D83D35">
        <w:rPr>
          <w:i/>
          <w:sz w:val="16"/>
          <w:szCs w:val="16"/>
          <w:lang w:val="es-MX"/>
        </w:rPr>
        <w:t xml:space="preserve">Cfr. Caso Garrido y </w:t>
      </w:r>
      <w:proofErr w:type="spellStart"/>
      <w:r w:rsidRPr="00D83D35">
        <w:rPr>
          <w:i/>
          <w:sz w:val="16"/>
          <w:szCs w:val="16"/>
          <w:lang w:val="es-MX"/>
        </w:rPr>
        <w:t>Baigorria</w:t>
      </w:r>
      <w:proofErr w:type="spellEnd"/>
      <w:r w:rsidRPr="00D83D35">
        <w:rPr>
          <w:i/>
          <w:sz w:val="16"/>
          <w:szCs w:val="16"/>
          <w:lang w:val="es-MX"/>
        </w:rPr>
        <w:t xml:space="preserve"> Vs. </w:t>
      </w:r>
      <w:r w:rsidRPr="00D83D35">
        <w:rPr>
          <w:i/>
          <w:sz w:val="16"/>
          <w:szCs w:val="16"/>
          <w:lang w:val="es-CR"/>
        </w:rPr>
        <w:t xml:space="preserve">Argentina. </w:t>
      </w:r>
      <w:r w:rsidRPr="00D83D35">
        <w:rPr>
          <w:i/>
          <w:sz w:val="16"/>
          <w:szCs w:val="16"/>
          <w:lang w:val="es-MX"/>
        </w:rPr>
        <w:t>Reparaciones y Costas.</w:t>
      </w:r>
      <w:r w:rsidRPr="00D83D35">
        <w:rPr>
          <w:sz w:val="16"/>
          <w:szCs w:val="16"/>
          <w:lang w:val="es-MX"/>
        </w:rPr>
        <w:t xml:space="preserve"> Sentencia de 27 de agosto de 1998. Serie C No. 39, párr. 82, y </w:t>
      </w:r>
      <w:r w:rsidRPr="00B1523A">
        <w:rPr>
          <w:bCs/>
          <w:i/>
          <w:sz w:val="16"/>
          <w:szCs w:val="16"/>
          <w:lang w:val="es-MX"/>
        </w:rPr>
        <w:t xml:space="preserve">Caso Pueblo Indígena </w:t>
      </w:r>
      <w:proofErr w:type="spellStart"/>
      <w:r w:rsidRPr="00B1523A">
        <w:rPr>
          <w:bCs/>
          <w:i/>
          <w:sz w:val="16"/>
          <w:szCs w:val="16"/>
          <w:lang w:val="es-MX"/>
        </w:rPr>
        <w:t>Xucuru</w:t>
      </w:r>
      <w:proofErr w:type="spellEnd"/>
      <w:r w:rsidRPr="00B1523A">
        <w:rPr>
          <w:bCs/>
          <w:i/>
          <w:sz w:val="16"/>
          <w:szCs w:val="16"/>
          <w:lang w:val="es-MX"/>
        </w:rPr>
        <w:t xml:space="preserve"> y sus miembros Vs. Brasil, supra, </w:t>
      </w:r>
      <w:r w:rsidRPr="00B1523A">
        <w:rPr>
          <w:bCs/>
          <w:sz w:val="16"/>
          <w:szCs w:val="16"/>
          <w:lang w:val="es-MX"/>
        </w:rPr>
        <w:t>párr.</w:t>
      </w:r>
      <w:r>
        <w:rPr>
          <w:bCs/>
          <w:sz w:val="16"/>
          <w:szCs w:val="16"/>
          <w:lang w:val="es-MX"/>
        </w:rPr>
        <w:t xml:space="preserve"> </w:t>
      </w:r>
      <w:r w:rsidRPr="00B1523A">
        <w:rPr>
          <w:bCs/>
          <w:sz w:val="16"/>
          <w:szCs w:val="16"/>
          <w:lang w:val="es-MX"/>
        </w:rPr>
        <w:t>214</w:t>
      </w:r>
      <w:r w:rsidRPr="00B1523A">
        <w:rPr>
          <w:bCs/>
          <w:color w:val="000000"/>
          <w:sz w:val="16"/>
          <w:szCs w:val="16"/>
          <w:shd w:val="clear" w:color="auto" w:fill="FFFFFF"/>
          <w:lang w:val="es-CR"/>
        </w:rPr>
        <w:t>.</w:t>
      </w:r>
    </w:p>
  </w:footnote>
  <w:footnote w:id="329">
    <w:p w14:paraId="2FEA97D8" w14:textId="77777777" w:rsidR="003C025E" w:rsidRPr="00D83D35" w:rsidRDefault="003C025E" w:rsidP="00C079F5">
      <w:pPr>
        <w:pStyle w:val="FootnoteText"/>
        <w:rPr>
          <w:bCs/>
          <w:sz w:val="16"/>
          <w:szCs w:val="16"/>
          <w:lang w:val="es-CR"/>
        </w:rPr>
      </w:pPr>
      <w:r w:rsidRPr="00D83D35">
        <w:rPr>
          <w:rStyle w:val="FootnoteReference"/>
          <w:sz w:val="16"/>
          <w:szCs w:val="16"/>
        </w:rPr>
        <w:footnoteRef/>
      </w:r>
      <w:r w:rsidRPr="00D83D35">
        <w:rPr>
          <w:sz w:val="16"/>
          <w:szCs w:val="16"/>
          <w:lang w:val="es-MX"/>
        </w:rPr>
        <w:t xml:space="preserve"> </w:t>
      </w:r>
      <w:r w:rsidRPr="00D83D35">
        <w:rPr>
          <w:sz w:val="16"/>
          <w:szCs w:val="16"/>
          <w:lang w:val="es-MX"/>
        </w:rPr>
        <w:tab/>
      </w:r>
      <w:r w:rsidRPr="00D83D35">
        <w:rPr>
          <w:i/>
          <w:sz w:val="16"/>
          <w:szCs w:val="16"/>
          <w:lang w:val="es-MX"/>
        </w:rPr>
        <w:t>Cfr. C</w:t>
      </w:r>
      <w:r w:rsidRPr="00D83D35">
        <w:rPr>
          <w:i/>
          <w:spacing w:val="-1"/>
          <w:sz w:val="16"/>
          <w:szCs w:val="16"/>
          <w:lang w:val="es-MX"/>
        </w:rPr>
        <w:t>a</w:t>
      </w:r>
      <w:r w:rsidRPr="00D83D35">
        <w:rPr>
          <w:i/>
          <w:sz w:val="16"/>
          <w:szCs w:val="16"/>
          <w:lang w:val="es-MX"/>
        </w:rPr>
        <w:t xml:space="preserve">so Garrido y </w:t>
      </w:r>
      <w:proofErr w:type="spellStart"/>
      <w:r w:rsidRPr="00D83D35">
        <w:rPr>
          <w:i/>
          <w:sz w:val="16"/>
          <w:szCs w:val="16"/>
          <w:lang w:val="es-MX"/>
        </w:rPr>
        <w:t>Baigorria</w:t>
      </w:r>
      <w:proofErr w:type="spellEnd"/>
      <w:r w:rsidRPr="00D83D35">
        <w:rPr>
          <w:i/>
          <w:sz w:val="16"/>
          <w:szCs w:val="16"/>
          <w:lang w:val="es-MX"/>
        </w:rPr>
        <w:t xml:space="preserve"> Vs. </w:t>
      </w:r>
      <w:r w:rsidRPr="00D83D35">
        <w:rPr>
          <w:i/>
          <w:sz w:val="16"/>
          <w:szCs w:val="16"/>
          <w:lang w:val="es-CR"/>
        </w:rPr>
        <w:t xml:space="preserve">Argentina. </w:t>
      </w:r>
      <w:r w:rsidRPr="00D83D35">
        <w:rPr>
          <w:i/>
          <w:sz w:val="16"/>
          <w:szCs w:val="16"/>
          <w:lang w:val="es-MX"/>
        </w:rPr>
        <w:t>Reparaciones,</w:t>
      </w:r>
      <w:r w:rsidRPr="00D83D35">
        <w:rPr>
          <w:sz w:val="16"/>
          <w:szCs w:val="16"/>
          <w:lang w:val="es-MX"/>
        </w:rPr>
        <w:t xml:space="preserve"> </w:t>
      </w:r>
      <w:r w:rsidRPr="00D83D35">
        <w:rPr>
          <w:i/>
          <w:sz w:val="16"/>
          <w:szCs w:val="16"/>
          <w:lang w:val="es-MX"/>
        </w:rPr>
        <w:t>supra,</w:t>
      </w:r>
      <w:r w:rsidRPr="00D83D35">
        <w:rPr>
          <w:sz w:val="16"/>
          <w:szCs w:val="16"/>
          <w:lang w:val="es-MX"/>
        </w:rPr>
        <w:t xml:space="preserve"> p</w:t>
      </w:r>
      <w:r w:rsidRPr="00D83D35">
        <w:rPr>
          <w:spacing w:val="-3"/>
          <w:sz w:val="16"/>
          <w:szCs w:val="16"/>
          <w:lang w:val="es-MX"/>
        </w:rPr>
        <w:t>á</w:t>
      </w:r>
      <w:r w:rsidRPr="00D83D35">
        <w:rPr>
          <w:spacing w:val="1"/>
          <w:sz w:val="16"/>
          <w:szCs w:val="16"/>
          <w:lang w:val="es-MX"/>
        </w:rPr>
        <w:t>rr</w:t>
      </w:r>
      <w:r w:rsidRPr="00D83D35">
        <w:rPr>
          <w:sz w:val="16"/>
          <w:szCs w:val="16"/>
          <w:lang w:val="es-MX"/>
        </w:rPr>
        <w:t>.</w:t>
      </w:r>
      <w:r w:rsidRPr="00D83D35">
        <w:rPr>
          <w:spacing w:val="-1"/>
          <w:sz w:val="16"/>
          <w:szCs w:val="16"/>
          <w:lang w:val="es-MX"/>
        </w:rPr>
        <w:t>7</w:t>
      </w:r>
      <w:r w:rsidRPr="00D83D35">
        <w:rPr>
          <w:spacing w:val="1"/>
          <w:sz w:val="16"/>
          <w:szCs w:val="16"/>
          <w:lang w:val="es-MX"/>
        </w:rPr>
        <w:t>9</w:t>
      </w:r>
      <w:r w:rsidRPr="00D83D35">
        <w:rPr>
          <w:sz w:val="16"/>
          <w:szCs w:val="16"/>
          <w:lang w:val="es-MX"/>
        </w:rPr>
        <w:t>,</w:t>
      </w:r>
      <w:r w:rsidRPr="00D83D35">
        <w:rPr>
          <w:spacing w:val="36"/>
          <w:sz w:val="16"/>
          <w:szCs w:val="16"/>
          <w:lang w:val="es-MX"/>
        </w:rPr>
        <w:t xml:space="preserve"> </w:t>
      </w:r>
      <w:r w:rsidRPr="00D83D35">
        <w:rPr>
          <w:sz w:val="16"/>
          <w:szCs w:val="16"/>
          <w:lang w:val="es-MX"/>
        </w:rPr>
        <w:t>y</w:t>
      </w:r>
      <w:r w:rsidRPr="00D83D35">
        <w:rPr>
          <w:spacing w:val="37"/>
          <w:sz w:val="16"/>
          <w:szCs w:val="16"/>
          <w:lang w:val="es-MX"/>
        </w:rPr>
        <w:t xml:space="preserve"> </w:t>
      </w:r>
      <w:r w:rsidRPr="00D83D35">
        <w:rPr>
          <w:bCs/>
          <w:i/>
          <w:sz w:val="16"/>
          <w:szCs w:val="16"/>
          <w:lang w:val="es-MX"/>
        </w:rPr>
        <w:t xml:space="preserve">Caso Zegarra Marín Vs. </w:t>
      </w:r>
      <w:r w:rsidRPr="00D83D35">
        <w:rPr>
          <w:bCs/>
          <w:i/>
          <w:sz w:val="16"/>
          <w:szCs w:val="16"/>
          <w:lang w:val="es-CR"/>
        </w:rPr>
        <w:t>Perú, supra,</w:t>
      </w:r>
      <w:r w:rsidRPr="00D83D35">
        <w:rPr>
          <w:bCs/>
          <w:sz w:val="16"/>
          <w:szCs w:val="16"/>
          <w:lang w:val="es-CR"/>
        </w:rPr>
        <w:t xml:space="preserve"> párr. 230.</w:t>
      </w:r>
    </w:p>
  </w:footnote>
  <w:footnote w:id="330">
    <w:p w14:paraId="55CFFDF4" w14:textId="7A767B68" w:rsidR="003C025E" w:rsidRPr="00C079F5" w:rsidRDefault="003C025E" w:rsidP="00C079F5">
      <w:pPr>
        <w:pStyle w:val="FootnoteText"/>
        <w:rPr>
          <w:bCs/>
          <w:sz w:val="16"/>
          <w:szCs w:val="16"/>
          <w:lang w:val="es-MX"/>
        </w:rPr>
      </w:pPr>
      <w:r w:rsidRPr="00D83D35">
        <w:rPr>
          <w:rStyle w:val="FootnoteReference"/>
          <w:sz w:val="16"/>
          <w:szCs w:val="16"/>
        </w:rPr>
        <w:footnoteRef/>
      </w:r>
      <w:r w:rsidRPr="00D83D35">
        <w:rPr>
          <w:sz w:val="16"/>
          <w:szCs w:val="16"/>
          <w:lang w:val="es-MX"/>
        </w:rPr>
        <w:t xml:space="preserve"> </w:t>
      </w:r>
      <w:r w:rsidRPr="00D83D35">
        <w:rPr>
          <w:sz w:val="16"/>
          <w:szCs w:val="16"/>
          <w:lang w:val="es-MX"/>
        </w:rPr>
        <w:tab/>
      </w:r>
      <w:r w:rsidRPr="00D83D35">
        <w:rPr>
          <w:i/>
          <w:sz w:val="16"/>
          <w:szCs w:val="16"/>
          <w:lang w:val="es-MX"/>
        </w:rPr>
        <w:t>Cfr.</w:t>
      </w:r>
      <w:r w:rsidRPr="00D83D35">
        <w:rPr>
          <w:i/>
          <w:spacing w:val="15"/>
          <w:sz w:val="16"/>
          <w:szCs w:val="16"/>
          <w:lang w:val="es-MX"/>
        </w:rPr>
        <w:t xml:space="preserve"> </w:t>
      </w:r>
      <w:r w:rsidRPr="00D83D35">
        <w:rPr>
          <w:i/>
          <w:sz w:val="16"/>
          <w:szCs w:val="16"/>
          <w:lang w:val="es-MX"/>
        </w:rPr>
        <w:t>C</w:t>
      </w:r>
      <w:r w:rsidRPr="00D83D35">
        <w:rPr>
          <w:i/>
          <w:spacing w:val="-1"/>
          <w:sz w:val="16"/>
          <w:szCs w:val="16"/>
          <w:lang w:val="es-MX"/>
        </w:rPr>
        <w:t>a</w:t>
      </w:r>
      <w:r w:rsidRPr="00D83D35">
        <w:rPr>
          <w:i/>
          <w:spacing w:val="-2"/>
          <w:sz w:val="16"/>
          <w:szCs w:val="16"/>
          <w:lang w:val="es-MX"/>
        </w:rPr>
        <w:t>s</w:t>
      </w:r>
      <w:r w:rsidRPr="00D83D35">
        <w:rPr>
          <w:i/>
          <w:sz w:val="16"/>
          <w:szCs w:val="16"/>
          <w:lang w:val="es-MX"/>
        </w:rPr>
        <w:t>o</w:t>
      </w:r>
      <w:r w:rsidRPr="00D83D35">
        <w:rPr>
          <w:i/>
          <w:spacing w:val="16"/>
          <w:sz w:val="16"/>
          <w:szCs w:val="16"/>
          <w:lang w:val="es-MX"/>
        </w:rPr>
        <w:t xml:space="preserve"> </w:t>
      </w:r>
      <w:r w:rsidRPr="00D83D35">
        <w:rPr>
          <w:sz w:val="16"/>
          <w:szCs w:val="16"/>
          <w:lang w:val="es-MX"/>
        </w:rPr>
        <w:t>C</w:t>
      </w:r>
      <w:r w:rsidRPr="00D83D35">
        <w:rPr>
          <w:spacing w:val="-1"/>
          <w:sz w:val="16"/>
          <w:szCs w:val="16"/>
          <w:lang w:val="es-MX"/>
        </w:rPr>
        <w:t>h</w:t>
      </w:r>
      <w:r w:rsidRPr="00D83D35">
        <w:rPr>
          <w:spacing w:val="-3"/>
          <w:sz w:val="16"/>
          <w:szCs w:val="16"/>
          <w:lang w:val="es-MX"/>
        </w:rPr>
        <w:t>a</w:t>
      </w:r>
      <w:r w:rsidRPr="00D83D35">
        <w:rPr>
          <w:sz w:val="16"/>
          <w:szCs w:val="16"/>
          <w:lang w:val="es-MX"/>
        </w:rPr>
        <w:t>p</w:t>
      </w:r>
      <w:r w:rsidRPr="00D83D35">
        <w:rPr>
          <w:spacing w:val="-1"/>
          <w:sz w:val="16"/>
          <w:szCs w:val="16"/>
          <w:lang w:val="es-MX"/>
        </w:rPr>
        <w:t>ar</w:t>
      </w:r>
      <w:r w:rsidRPr="00D83D35">
        <w:rPr>
          <w:sz w:val="16"/>
          <w:szCs w:val="16"/>
          <w:lang w:val="es-MX"/>
        </w:rPr>
        <w:t>ro</w:t>
      </w:r>
      <w:r w:rsidRPr="00D83D35">
        <w:rPr>
          <w:i/>
          <w:spacing w:val="14"/>
          <w:sz w:val="16"/>
          <w:szCs w:val="16"/>
          <w:lang w:val="es-MX"/>
        </w:rPr>
        <w:t xml:space="preserve"> </w:t>
      </w:r>
      <w:r w:rsidRPr="00D83D35">
        <w:rPr>
          <w:i/>
          <w:sz w:val="16"/>
          <w:szCs w:val="16"/>
          <w:lang w:val="es-MX"/>
        </w:rPr>
        <w:t>Á</w:t>
      </w:r>
      <w:r w:rsidRPr="00D83D35">
        <w:rPr>
          <w:i/>
          <w:spacing w:val="-1"/>
          <w:sz w:val="16"/>
          <w:szCs w:val="16"/>
          <w:lang w:val="es-MX"/>
        </w:rPr>
        <w:t>l</w:t>
      </w:r>
      <w:r w:rsidRPr="00D83D35">
        <w:rPr>
          <w:i/>
          <w:sz w:val="16"/>
          <w:szCs w:val="16"/>
          <w:lang w:val="es-MX"/>
        </w:rPr>
        <w:t>v</w:t>
      </w:r>
      <w:r w:rsidRPr="00D83D35">
        <w:rPr>
          <w:i/>
          <w:spacing w:val="-3"/>
          <w:sz w:val="16"/>
          <w:szCs w:val="16"/>
          <w:lang w:val="es-MX"/>
        </w:rPr>
        <w:t>a</w:t>
      </w:r>
      <w:r w:rsidRPr="00D83D35">
        <w:rPr>
          <w:i/>
          <w:sz w:val="16"/>
          <w:szCs w:val="16"/>
          <w:lang w:val="es-MX"/>
        </w:rPr>
        <w:t>rez</w:t>
      </w:r>
      <w:r w:rsidRPr="00D83D35">
        <w:rPr>
          <w:i/>
          <w:spacing w:val="13"/>
          <w:sz w:val="16"/>
          <w:szCs w:val="16"/>
          <w:lang w:val="es-MX"/>
        </w:rPr>
        <w:t xml:space="preserve"> </w:t>
      </w:r>
      <w:r w:rsidRPr="00D83D35">
        <w:rPr>
          <w:i/>
          <w:sz w:val="16"/>
          <w:szCs w:val="16"/>
          <w:lang w:val="es-MX"/>
        </w:rPr>
        <w:t>y</w:t>
      </w:r>
      <w:r w:rsidRPr="00D83D35">
        <w:rPr>
          <w:i/>
          <w:spacing w:val="14"/>
          <w:sz w:val="16"/>
          <w:szCs w:val="16"/>
          <w:lang w:val="es-MX"/>
        </w:rPr>
        <w:t xml:space="preserve"> </w:t>
      </w:r>
      <w:r w:rsidRPr="00D83D35">
        <w:rPr>
          <w:i/>
          <w:spacing w:val="-1"/>
          <w:sz w:val="16"/>
          <w:szCs w:val="16"/>
          <w:lang w:val="es-MX"/>
        </w:rPr>
        <w:t>La</w:t>
      </w:r>
      <w:r w:rsidRPr="00D83D35">
        <w:rPr>
          <w:i/>
          <w:sz w:val="16"/>
          <w:szCs w:val="16"/>
          <w:lang w:val="es-MX"/>
        </w:rPr>
        <w:t>po</w:t>
      </w:r>
      <w:r w:rsidRPr="00D83D35">
        <w:rPr>
          <w:i/>
          <w:spacing w:val="16"/>
          <w:sz w:val="16"/>
          <w:szCs w:val="16"/>
          <w:lang w:val="es-MX"/>
        </w:rPr>
        <w:t xml:space="preserve"> </w:t>
      </w:r>
      <w:r w:rsidRPr="00D83D35">
        <w:rPr>
          <w:i/>
          <w:sz w:val="16"/>
          <w:szCs w:val="16"/>
          <w:lang w:val="es-MX"/>
        </w:rPr>
        <w:t>Í</w:t>
      </w:r>
      <w:r w:rsidRPr="00D83D35">
        <w:rPr>
          <w:i/>
          <w:spacing w:val="-1"/>
          <w:sz w:val="16"/>
          <w:szCs w:val="16"/>
          <w:lang w:val="es-MX"/>
        </w:rPr>
        <w:t>ñi</w:t>
      </w:r>
      <w:r w:rsidRPr="00D83D35">
        <w:rPr>
          <w:i/>
          <w:sz w:val="16"/>
          <w:szCs w:val="16"/>
          <w:lang w:val="es-MX"/>
        </w:rPr>
        <w:t>g</w:t>
      </w:r>
      <w:r w:rsidRPr="00D83D35">
        <w:rPr>
          <w:i/>
          <w:spacing w:val="-1"/>
          <w:sz w:val="16"/>
          <w:szCs w:val="16"/>
          <w:lang w:val="es-MX"/>
        </w:rPr>
        <w:t>u</w:t>
      </w:r>
      <w:r w:rsidRPr="00D83D35">
        <w:rPr>
          <w:i/>
          <w:sz w:val="16"/>
          <w:szCs w:val="16"/>
          <w:lang w:val="es-MX"/>
        </w:rPr>
        <w:t>ez</w:t>
      </w:r>
      <w:r w:rsidRPr="00D83D35">
        <w:rPr>
          <w:i/>
          <w:spacing w:val="13"/>
          <w:sz w:val="16"/>
          <w:szCs w:val="16"/>
          <w:lang w:val="es-MX"/>
        </w:rPr>
        <w:t xml:space="preserve"> </w:t>
      </w:r>
      <w:r w:rsidRPr="00D83D35">
        <w:rPr>
          <w:i/>
          <w:sz w:val="16"/>
          <w:szCs w:val="16"/>
          <w:lang w:val="es-MX"/>
        </w:rPr>
        <w:t>Vs.</w:t>
      </w:r>
      <w:r w:rsidRPr="00D83D35">
        <w:rPr>
          <w:i/>
          <w:spacing w:val="15"/>
          <w:sz w:val="16"/>
          <w:szCs w:val="16"/>
          <w:lang w:val="es-MX"/>
        </w:rPr>
        <w:t xml:space="preserve"> </w:t>
      </w:r>
      <w:r w:rsidRPr="00D83D35">
        <w:rPr>
          <w:i/>
          <w:spacing w:val="-1"/>
          <w:sz w:val="16"/>
          <w:szCs w:val="16"/>
          <w:lang w:val="es-CR"/>
        </w:rPr>
        <w:t>E</w:t>
      </w:r>
      <w:r w:rsidRPr="00D83D35">
        <w:rPr>
          <w:i/>
          <w:sz w:val="16"/>
          <w:szCs w:val="16"/>
          <w:lang w:val="es-CR"/>
        </w:rPr>
        <w:t>c</w:t>
      </w:r>
      <w:r w:rsidRPr="00D83D35">
        <w:rPr>
          <w:i/>
          <w:spacing w:val="-1"/>
          <w:sz w:val="16"/>
          <w:szCs w:val="16"/>
          <w:lang w:val="es-CR"/>
        </w:rPr>
        <w:t>u</w:t>
      </w:r>
      <w:r w:rsidRPr="00D83D35">
        <w:rPr>
          <w:i/>
          <w:spacing w:val="-3"/>
          <w:sz w:val="16"/>
          <w:szCs w:val="16"/>
          <w:lang w:val="es-CR"/>
        </w:rPr>
        <w:t>a</w:t>
      </w:r>
      <w:r w:rsidRPr="00D83D35">
        <w:rPr>
          <w:i/>
          <w:sz w:val="16"/>
          <w:szCs w:val="16"/>
          <w:lang w:val="es-CR"/>
        </w:rPr>
        <w:t>d</w:t>
      </w:r>
      <w:r w:rsidRPr="00D83D35">
        <w:rPr>
          <w:i/>
          <w:spacing w:val="-2"/>
          <w:sz w:val="16"/>
          <w:szCs w:val="16"/>
          <w:lang w:val="es-CR"/>
        </w:rPr>
        <w:t>o</w:t>
      </w:r>
      <w:r w:rsidRPr="00D83D35">
        <w:rPr>
          <w:i/>
          <w:sz w:val="16"/>
          <w:szCs w:val="16"/>
          <w:lang w:val="es-CR"/>
        </w:rPr>
        <w:t xml:space="preserve">r. </w:t>
      </w:r>
      <w:r w:rsidRPr="00D83D35">
        <w:rPr>
          <w:i/>
          <w:sz w:val="16"/>
          <w:szCs w:val="16"/>
          <w:lang w:val="es-MX"/>
        </w:rPr>
        <w:t>Excepciones Preliminares, Fondo, Reparaciones y Costas.</w:t>
      </w:r>
      <w:r w:rsidRPr="00D83D35">
        <w:rPr>
          <w:sz w:val="16"/>
          <w:szCs w:val="16"/>
          <w:lang w:val="es-MX"/>
        </w:rPr>
        <w:t xml:space="preserve"> Sentencia de 21 de noviembre de 2007. Serie C No. 170, </w:t>
      </w:r>
      <w:r w:rsidRPr="00D83D35">
        <w:rPr>
          <w:spacing w:val="-2"/>
          <w:sz w:val="16"/>
          <w:szCs w:val="16"/>
          <w:lang w:val="es-MX"/>
        </w:rPr>
        <w:t>p</w:t>
      </w:r>
      <w:r w:rsidRPr="00D83D35">
        <w:rPr>
          <w:spacing w:val="-1"/>
          <w:sz w:val="16"/>
          <w:szCs w:val="16"/>
          <w:lang w:val="es-MX"/>
        </w:rPr>
        <w:t>á</w:t>
      </w:r>
      <w:r w:rsidRPr="00D83D35">
        <w:rPr>
          <w:sz w:val="16"/>
          <w:szCs w:val="16"/>
          <w:lang w:val="es-MX"/>
        </w:rPr>
        <w:t>rr.</w:t>
      </w:r>
      <w:r w:rsidRPr="00D83D35">
        <w:rPr>
          <w:spacing w:val="-2"/>
          <w:sz w:val="16"/>
          <w:szCs w:val="16"/>
          <w:lang w:val="es-MX"/>
        </w:rPr>
        <w:t xml:space="preserve"> </w:t>
      </w:r>
      <w:r w:rsidRPr="00D83D35">
        <w:rPr>
          <w:spacing w:val="-1"/>
          <w:sz w:val="16"/>
          <w:szCs w:val="16"/>
          <w:lang w:val="es-MX"/>
        </w:rPr>
        <w:t>2</w:t>
      </w:r>
      <w:r w:rsidRPr="00D83D35">
        <w:rPr>
          <w:sz w:val="16"/>
          <w:szCs w:val="16"/>
          <w:lang w:val="es-MX"/>
        </w:rPr>
        <w:t xml:space="preserve">77, y </w:t>
      </w:r>
      <w:r w:rsidRPr="00B1523A">
        <w:rPr>
          <w:bCs/>
          <w:i/>
          <w:sz w:val="16"/>
          <w:szCs w:val="16"/>
          <w:lang w:val="es-MX"/>
        </w:rPr>
        <w:t xml:space="preserve">Caso Pueblo Indígena </w:t>
      </w:r>
      <w:proofErr w:type="spellStart"/>
      <w:r w:rsidRPr="00B1523A">
        <w:rPr>
          <w:bCs/>
          <w:i/>
          <w:sz w:val="16"/>
          <w:szCs w:val="16"/>
          <w:lang w:val="es-MX"/>
        </w:rPr>
        <w:t>Xucuru</w:t>
      </w:r>
      <w:proofErr w:type="spellEnd"/>
      <w:r w:rsidRPr="00B1523A">
        <w:rPr>
          <w:bCs/>
          <w:i/>
          <w:sz w:val="16"/>
          <w:szCs w:val="16"/>
          <w:lang w:val="es-MX"/>
        </w:rPr>
        <w:t xml:space="preserve"> y sus miembros Vs. Brasil, supra, </w:t>
      </w:r>
      <w:r w:rsidRPr="00B1523A">
        <w:rPr>
          <w:bCs/>
          <w:sz w:val="16"/>
          <w:szCs w:val="16"/>
          <w:lang w:val="es-MX"/>
        </w:rPr>
        <w:t>párr.</w:t>
      </w:r>
      <w:r>
        <w:rPr>
          <w:bCs/>
          <w:sz w:val="16"/>
          <w:szCs w:val="16"/>
          <w:lang w:val="es-MX"/>
        </w:rPr>
        <w:t xml:space="preserve"> </w:t>
      </w:r>
      <w:r w:rsidRPr="00B1523A">
        <w:rPr>
          <w:bCs/>
          <w:sz w:val="16"/>
          <w:szCs w:val="16"/>
          <w:lang w:val="es-MX"/>
        </w:rPr>
        <w:t>215</w:t>
      </w:r>
      <w:r w:rsidRPr="00B1523A">
        <w:rPr>
          <w:bCs/>
          <w:color w:val="000000"/>
          <w:sz w:val="16"/>
          <w:szCs w:val="16"/>
          <w:shd w:val="clear" w:color="auto" w:fill="FFFFFF"/>
          <w:lang w:val="es-CR"/>
        </w:rPr>
        <w:t>.</w:t>
      </w:r>
    </w:p>
  </w:footnote>
  <w:footnote w:id="331">
    <w:p w14:paraId="274E543B" w14:textId="77777777" w:rsidR="003C025E" w:rsidRPr="00C079F5" w:rsidRDefault="003C025E" w:rsidP="00C079F5">
      <w:pPr>
        <w:pStyle w:val="FootnoteText"/>
        <w:ind w:right="-144"/>
        <w:rPr>
          <w:sz w:val="16"/>
          <w:szCs w:val="16"/>
          <w:lang w:val="es-CR"/>
        </w:rPr>
      </w:pPr>
      <w:r w:rsidRPr="00C079F5">
        <w:rPr>
          <w:rStyle w:val="FootnoteReference"/>
          <w:sz w:val="16"/>
          <w:szCs w:val="16"/>
        </w:rPr>
        <w:footnoteRef/>
      </w:r>
      <w:r w:rsidRPr="00C079F5">
        <w:rPr>
          <w:sz w:val="16"/>
          <w:szCs w:val="16"/>
          <w:lang w:val="es-CR"/>
        </w:rPr>
        <w:t xml:space="preserve"> </w:t>
      </w:r>
      <w:r w:rsidRPr="00C079F5">
        <w:rPr>
          <w:sz w:val="16"/>
          <w:szCs w:val="16"/>
          <w:lang w:val="es-CR"/>
        </w:rPr>
        <w:tab/>
        <w:t>AG/RES. 2426 (XXXVIII-O/08), Resolución adoptada por la Asamblea General de la OEA durante la celebración del XXXVIII Período Ordinario de Sesiones de la OEA, en la cuarta sesión plenaria, celebrada el 3 de junio de 2008, “Creación del Fondo de Asistencia Legal del Sistema Interamericano de Derechos Humanos”, Punto Resolutivo 2.a), y CP/RES. 963 (1728/09), Resolución adoptada el 11 de noviembre de 2009 por el Consejo Permanente de la OEA, “Reglamento para el Funcionamiento del Fondo de Asistencia Legal del Sistema Interamericano de Derechos Humanos”, artículo 1.1.</w:t>
      </w:r>
    </w:p>
  </w:footnote>
  <w:footnote w:id="332">
    <w:p w14:paraId="03022611" w14:textId="77777777" w:rsidR="003C025E" w:rsidRPr="00C079F5" w:rsidRDefault="003C025E" w:rsidP="00C079F5">
      <w:pPr>
        <w:pStyle w:val="FootnoteText"/>
        <w:rPr>
          <w:sz w:val="16"/>
          <w:szCs w:val="16"/>
        </w:rPr>
      </w:pPr>
      <w:r w:rsidRPr="00C079F5">
        <w:rPr>
          <w:rStyle w:val="FootnoteReference"/>
          <w:sz w:val="16"/>
          <w:szCs w:val="16"/>
        </w:rPr>
        <w:footnoteRef/>
      </w:r>
      <w:r w:rsidRPr="00C079F5">
        <w:rPr>
          <w:sz w:val="16"/>
          <w:szCs w:val="16"/>
        </w:rPr>
        <w:t xml:space="preserve"> </w:t>
      </w:r>
      <w:r>
        <w:rPr>
          <w:sz w:val="16"/>
          <w:szCs w:val="16"/>
        </w:rPr>
        <w:tab/>
      </w:r>
      <w:r w:rsidRPr="00062586">
        <w:rPr>
          <w:bCs/>
          <w:i/>
          <w:sz w:val="16"/>
          <w:szCs w:val="16"/>
        </w:rPr>
        <w:t>Cfr.</w:t>
      </w:r>
      <w:r w:rsidRPr="00C079F5">
        <w:rPr>
          <w:bCs/>
          <w:sz w:val="16"/>
          <w:szCs w:val="16"/>
        </w:rPr>
        <w:t xml:space="preserve"> </w:t>
      </w:r>
      <w:r w:rsidRPr="00C079F5">
        <w:rPr>
          <w:bCs/>
          <w:i/>
          <w:sz w:val="16"/>
          <w:szCs w:val="16"/>
        </w:rPr>
        <w:t>Caso Poblete Vilches y otros Vs. Chile.</w:t>
      </w:r>
      <w:r w:rsidRPr="00C079F5">
        <w:rPr>
          <w:bCs/>
          <w:sz w:val="16"/>
          <w:szCs w:val="16"/>
        </w:rPr>
        <w:t xml:space="preserve"> Convocatoria de audiencia. Resolución del Presidente de la Corte Interamericana de Derechos Humanos de 21 de septiembre de 2017, párr. 21.</w:t>
      </w:r>
    </w:p>
  </w:footnote>
  <w:footnote w:id="333">
    <w:p w14:paraId="47935A91" w14:textId="1A55F338" w:rsidR="003C025E" w:rsidRPr="00201CC4" w:rsidRDefault="003C025E">
      <w:pPr>
        <w:pStyle w:val="FootnoteText"/>
      </w:pPr>
      <w:r w:rsidRPr="00B1523A">
        <w:rPr>
          <w:rStyle w:val="FootnoteReference"/>
          <w:sz w:val="16"/>
          <w:szCs w:val="16"/>
        </w:rPr>
        <w:footnoteRef/>
      </w:r>
      <w:r w:rsidRPr="00B1523A">
        <w:rPr>
          <w:rStyle w:val="FootnoteReference"/>
          <w:sz w:val="16"/>
          <w:szCs w:val="16"/>
        </w:rPr>
        <w:t xml:space="preserve"> </w:t>
      </w:r>
      <w:r>
        <w:rPr>
          <w:sz w:val="16"/>
          <w:szCs w:val="16"/>
        </w:rPr>
        <w:t xml:space="preserve">        (Expediente de fondo, </w:t>
      </w:r>
      <w:proofErr w:type="spellStart"/>
      <w:r>
        <w:rPr>
          <w:sz w:val="16"/>
          <w:szCs w:val="16"/>
        </w:rPr>
        <w:t>ff</w:t>
      </w:r>
      <w:proofErr w:type="spellEnd"/>
      <w:r>
        <w:rPr>
          <w:sz w:val="16"/>
          <w:szCs w:val="16"/>
        </w:rPr>
        <w:t>. 1327 a 1328).</w:t>
      </w:r>
    </w:p>
  </w:footnote>
  <w:footnote w:id="334">
    <w:p w14:paraId="047B0A5C" w14:textId="5E2C8E73" w:rsidR="003C025E" w:rsidRPr="00C079F5" w:rsidRDefault="003C025E" w:rsidP="00945DAA">
      <w:pPr>
        <w:pStyle w:val="FootnoteText"/>
        <w:rPr>
          <w:sz w:val="16"/>
          <w:szCs w:val="16"/>
          <w:lang w:val="es-MX"/>
        </w:rPr>
      </w:pPr>
      <w:r w:rsidRPr="00C079F5">
        <w:rPr>
          <w:rStyle w:val="FootnoteReference"/>
          <w:sz w:val="16"/>
          <w:szCs w:val="16"/>
        </w:rPr>
        <w:footnoteRef/>
      </w:r>
      <w:r w:rsidRPr="00C079F5">
        <w:rPr>
          <w:sz w:val="16"/>
          <w:szCs w:val="16"/>
        </w:rPr>
        <w:t xml:space="preserve"> </w:t>
      </w:r>
      <w:r>
        <w:rPr>
          <w:sz w:val="16"/>
          <w:szCs w:val="16"/>
        </w:rPr>
        <w:t xml:space="preserve">     </w:t>
      </w:r>
      <w:r w:rsidRPr="00C079F5">
        <w:rPr>
          <w:sz w:val="16"/>
          <w:szCs w:val="16"/>
          <w:lang w:val="es-MX"/>
        </w:rPr>
        <w:t xml:space="preserve">El monto requerido corresponde al: i) los boletos aéreos de las defensoras y declarantes en audiencia por el monto de USD 6,977.45 (seis mil novecientos setenta y siete dólares de los Estados Unidos de América), ii) viáticos por el monto de USD 2,893.00 (dos mil ochocientos noventa y tres dólares de los Estados Unidos de América), iii) gastos terminales por transporte por el monto de USD 570 (quinientos setenta dólares de los Estados Unidos de América), y iv) </w:t>
      </w:r>
      <w:r w:rsidRPr="00C079F5">
        <w:rPr>
          <w:i/>
          <w:sz w:val="16"/>
          <w:szCs w:val="16"/>
          <w:lang w:val="es-MX"/>
        </w:rPr>
        <w:t>affidávit</w:t>
      </w:r>
      <w:r w:rsidRPr="00C079F5">
        <w:rPr>
          <w:sz w:val="16"/>
          <w:szCs w:val="16"/>
          <w:lang w:val="es-MX"/>
        </w:rPr>
        <w:t xml:space="preserve"> por el monto de USD 499</w:t>
      </w:r>
      <w:r>
        <w:rPr>
          <w:sz w:val="16"/>
          <w:szCs w:val="16"/>
          <w:lang w:val="es-MX"/>
        </w:rPr>
        <w:t>,48</w:t>
      </w:r>
      <w:r w:rsidRPr="00C079F5">
        <w:rPr>
          <w:sz w:val="16"/>
          <w:szCs w:val="16"/>
          <w:lang w:val="es-MX"/>
        </w:rPr>
        <w:t xml:space="preserve"> (cuatrocientos noventa y nueve dólares de </w:t>
      </w:r>
      <w:r>
        <w:rPr>
          <w:sz w:val="16"/>
          <w:szCs w:val="16"/>
          <w:lang w:val="es-MX"/>
        </w:rPr>
        <w:t>los Estados Unidos de América).</w:t>
      </w:r>
    </w:p>
  </w:footnote>
  <w:footnote w:id="335">
    <w:p w14:paraId="7F491707" w14:textId="3AAE37D1" w:rsidR="003C025E" w:rsidRPr="00C079F5" w:rsidRDefault="003C025E" w:rsidP="00945DAA">
      <w:pPr>
        <w:pStyle w:val="FootnoteText"/>
        <w:rPr>
          <w:sz w:val="16"/>
          <w:szCs w:val="16"/>
          <w:lang w:val="es-MX"/>
        </w:rPr>
      </w:pPr>
      <w:r w:rsidRPr="00C079F5">
        <w:rPr>
          <w:rStyle w:val="FootnoteReference"/>
          <w:sz w:val="16"/>
          <w:szCs w:val="16"/>
        </w:rPr>
        <w:footnoteRef/>
      </w:r>
      <w:r w:rsidRPr="00C079F5">
        <w:rPr>
          <w:sz w:val="16"/>
          <w:szCs w:val="16"/>
          <w:lang w:val="es-MX"/>
        </w:rPr>
        <w:t xml:space="preserve"> </w:t>
      </w:r>
      <w:r w:rsidRPr="00C079F5">
        <w:rPr>
          <w:sz w:val="16"/>
          <w:szCs w:val="16"/>
          <w:lang w:val="es-MX"/>
        </w:rPr>
        <w:tab/>
      </w:r>
      <w:r w:rsidRPr="007D42DC">
        <w:rPr>
          <w:sz w:val="16"/>
          <w:szCs w:val="16"/>
          <w:lang w:val="es-MX"/>
        </w:rPr>
        <w:t xml:space="preserve">El monto requerido corresponde al: i) boletos aéreos por el monto de USD 6,977.45 (seis mil novecientos setenta y siete dólares de los Estados Unidos de América con cuarenta y cinco centavos), ii) viáticos por el monto de USD 2,893.00 (dos mil ochocientos noventa y tres dólares de los Estados Unidos de América), iii) gastos terminales por transporte por el monto de USD 570.00 (quinientos setenta dólares de los Estados Unidos de América), y iv) gastos de </w:t>
      </w:r>
      <w:r w:rsidRPr="007D42DC">
        <w:rPr>
          <w:i/>
          <w:sz w:val="16"/>
          <w:szCs w:val="16"/>
          <w:lang w:val="es-MX"/>
        </w:rPr>
        <w:t>affidávit</w:t>
      </w:r>
      <w:r w:rsidRPr="007D42DC">
        <w:rPr>
          <w:sz w:val="16"/>
          <w:szCs w:val="16"/>
          <w:lang w:val="es-MX"/>
        </w:rPr>
        <w:t xml:space="preserve"> por el monto de USD 499.48 (cuatrocientos noventa y nueve dólares de los Estados Unidos de América con cuarenta y ocho centavos) (expediente de fondo, f. 1328).</w:t>
      </w:r>
    </w:p>
  </w:footnote>
  <w:footnote w:id="336">
    <w:p w14:paraId="320573CE" w14:textId="49CB6A6F" w:rsidR="003C025E" w:rsidRPr="009E6ED2" w:rsidRDefault="003C025E" w:rsidP="00C079F5">
      <w:pPr>
        <w:pStyle w:val="FootnoteText"/>
        <w:rPr>
          <w:lang w:val="es-MX"/>
        </w:rPr>
      </w:pPr>
      <w:r w:rsidRPr="00C079F5">
        <w:rPr>
          <w:rStyle w:val="FootnoteReference"/>
          <w:sz w:val="16"/>
          <w:szCs w:val="16"/>
        </w:rPr>
        <w:footnoteRef/>
      </w:r>
      <w:r w:rsidRPr="00C079F5">
        <w:rPr>
          <w:sz w:val="16"/>
          <w:szCs w:val="16"/>
          <w:lang w:val="es-MX"/>
        </w:rPr>
        <w:t xml:space="preserve"> </w:t>
      </w:r>
      <w:r w:rsidRPr="00C079F5">
        <w:rPr>
          <w:sz w:val="16"/>
          <w:szCs w:val="16"/>
          <w:lang w:val="es-MX"/>
        </w:rPr>
        <w:tab/>
      </w:r>
      <w:r>
        <w:rPr>
          <w:sz w:val="16"/>
          <w:szCs w:val="16"/>
          <w:lang w:val="es-MX"/>
        </w:rPr>
        <w:t>Mediante comunicación de 6 de febrero de 2018 el Estado indicó que no tenía observaciones al Informe de erogaciones del Fondo de Asistencia (expediente de fondo, f</w:t>
      </w:r>
      <w:r w:rsidRPr="00C079F5">
        <w:rPr>
          <w:sz w:val="16"/>
          <w:szCs w:val="16"/>
          <w:lang w:val="es-MX"/>
        </w:rPr>
        <w:t xml:space="preserve">. </w:t>
      </w:r>
      <w:r>
        <w:rPr>
          <w:sz w:val="16"/>
          <w:szCs w:val="16"/>
          <w:lang w:val="es-MX"/>
        </w:rPr>
        <w:t>1382</w:t>
      </w:r>
      <w:r w:rsidRPr="00C079F5">
        <w:rPr>
          <w:sz w:val="16"/>
          <w:szCs w:val="16"/>
          <w:lang w:val="es-MX"/>
        </w:rPr>
        <w:t>).</w:t>
      </w:r>
    </w:p>
  </w:footnote>
  <w:footnote w:id="337">
    <w:p w14:paraId="194BD0D6" w14:textId="77777777" w:rsidR="00B370D2" w:rsidRPr="00B370D2" w:rsidRDefault="00B370D2" w:rsidP="00B370D2">
      <w:pPr>
        <w:pStyle w:val="FootnoteText"/>
        <w:rPr>
          <w:b/>
          <w:bCs/>
          <w:color w:val="000000"/>
          <w:sz w:val="16"/>
          <w:szCs w:val="16"/>
          <w:shd w:val="clear" w:color="auto" w:fill="FFFFFF"/>
        </w:rPr>
      </w:pPr>
      <w:r w:rsidRPr="00A71CD3">
        <w:rPr>
          <w:rStyle w:val="FootnoteReference"/>
          <w:sz w:val="16"/>
          <w:szCs w:val="16"/>
        </w:rPr>
        <w:footnoteRef/>
      </w:r>
      <w:r w:rsidRPr="00A71CD3">
        <w:rPr>
          <w:sz w:val="16"/>
          <w:szCs w:val="16"/>
        </w:rPr>
        <w:t xml:space="preserve"> </w:t>
      </w:r>
      <w:r w:rsidRPr="00A71CD3">
        <w:rPr>
          <w:b/>
          <w:sz w:val="16"/>
          <w:szCs w:val="16"/>
        </w:rPr>
        <w:tab/>
      </w:r>
      <w:r w:rsidRPr="00B370D2">
        <w:rPr>
          <w:rStyle w:val="Strong"/>
          <w:b w:val="0"/>
          <w:i/>
          <w:color w:val="000000"/>
          <w:sz w:val="16"/>
          <w:szCs w:val="16"/>
          <w:shd w:val="clear" w:color="auto" w:fill="FFFFFF"/>
        </w:rPr>
        <w:t>Caso Lagos del Campo Vs. Perú.</w:t>
      </w:r>
      <w:r w:rsidRPr="00A71CD3">
        <w:rPr>
          <w:rStyle w:val="Strong"/>
          <w:i/>
          <w:color w:val="000000"/>
          <w:sz w:val="16"/>
          <w:szCs w:val="16"/>
          <w:shd w:val="clear" w:color="auto" w:fill="FFFFFF"/>
        </w:rPr>
        <w:t xml:space="preserve"> </w:t>
      </w:r>
      <w:r w:rsidRPr="00A71CD3">
        <w:rPr>
          <w:bCs/>
          <w:i/>
          <w:color w:val="000000"/>
          <w:sz w:val="16"/>
          <w:szCs w:val="16"/>
          <w:shd w:val="clear" w:color="auto" w:fill="FFFFFF"/>
        </w:rPr>
        <w:t xml:space="preserve">Excepciones Preliminares, Fondo, Reparaciones y Costas. </w:t>
      </w:r>
      <w:r w:rsidRPr="004C1688">
        <w:rPr>
          <w:bCs/>
          <w:color w:val="000000"/>
          <w:sz w:val="16"/>
          <w:szCs w:val="16"/>
          <w:shd w:val="clear" w:color="auto" w:fill="FFFFFF"/>
        </w:rPr>
        <w:t>Sentencia de 31 de agosto de 2017. Serie C No. 340</w:t>
      </w:r>
      <w:r w:rsidRPr="00B370D2">
        <w:rPr>
          <w:b/>
          <w:bCs/>
          <w:color w:val="000000"/>
          <w:sz w:val="16"/>
          <w:szCs w:val="16"/>
          <w:shd w:val="clear" w:color="auto" w:fill="FFFFFF"/>
        </w:rPr>
        <w:t>.</w:t>
      </w:r>
      <w:r w:rsidRPr="00B370D2">
        <w:rPr>
          <w:b/>
          <w:bCs/>
          <w:i/>
          <w:color w:val="000000"/>
          <w:sz w:val="16"/>
          <w:szCs w:val="16"/>
          <w:shd w:val="clear" w:color="auto" w:fill="FFFFFF"/>
        </w:rPr>
        <w:t xml:space="preserve"> </w:t>
      </w:r>
      <w:r w:rsidRPr="00B370D2">
        <w:rPr>
          <w:rStyle w:val="Strong"/>
          <w:b w:val="0"/>
          <w:color w:val="000000"/>
          <w:sz w:val="16"/>
          <w:szCs w:val="16"/>
          <w:shd w:val="clear" w:color="auto" w:fill="FFFFFF"/>
        </w:rPr>
        <w:t xml:space="preserve">Voto parcialmente disidente del Juez Antonio Humberto Sierra Porto. </w:t>
      </w:r>
    </w:p>
  </w:footnote>
  <w:footnote w:id="338">
    <w:p w14:paraId="0C975692" w14:textId="77777777" w:rsidR="00B370D2" w:rsidRPr="00B370D2" w:rsidRDefault="00B370D2" w:rsidP="00B370D2">
      <w:pPr>
        <w:pStyle w:val="FootnoteText"/>
        <w:rPr>
          <w:rFonts w:eastAsia="Calibri"/>
          <w:b/>
          <w:bCs/>
          <w:color w:val="000000"/>
          <w:sz w:val="16"/>
          <w:szCs w:val="16"/>
          <w:shd w:val="clear" w:color="auto" w:fill="FFFFFF"/>
        </w:rPr>
      </w:pPr>
      <w:r w:rsidRPr="00A71CD3">
        <w:rPr>
          <w:rStyle w:val="FootnoteReference"/>
          <w:sz w:val="16"/>
          <w:szCs w:val="16"/>
        </w:rPr>
        <w:footnoteRef/>
      </w:r>
      <w:r w:rsidRPr="00A71CD3">
        <w:rPr>
          <w:sz w:val="16"/>
          <w:szCs w:val="16"/>
        </w:rPr>
        <w:t xml:space="preserve"> </w:t>
      </w:r>
      <w:r w:rsidRPr="00A71CD3">
        <w:rPr>
          <w:i/>
          <w:sz w:val="16"/>
          <w:szCs w:val="16"/>
        </w:rPr>
        <w:tab/>
      </w:r>
      <w:r w:rsidRPr="00A71CD3">
        <w:rPr>
          <w:bCs/>
          <w:i/>
          <w:sz w:val="16"/>
          <w:szCs w:val="16"/>
        </w:rPr>
        <w:t xml:space="preserve">Caso Trabajadores Cesados de Petroperú y otros Vs. Perú. Excepciones Preliminares, Fondo, Reparaciones y Costas. </w:t>
      </w:r>
      <w:r w:rsidRPr="004C1688">
        <w:rPr>
          <w:bCs/>
          <w:sz w:val="16"/>
          <w:szCs w:val="16"/>
        </w:rPr>
        <w:t>Sentencia de 23 de noviembre de 2017. Serie C No. 344</w:t>
      </w:r>
      <w:r w:rsidRPr="00B370D2">
        <w:rPr>
          <w:b/>
          <w:bCs/>
          <w:i/>
          <w:sz w:val="16"/>
          <w:szCs w:val="16"/>
        </w:rPr>
        <w:t>.</w:t>
      </w:r>
      <w:r w:rsidRPr="00B370D2">
        <w:rPr>
          <w:b/>
          <w:bCs/>
          <w:sz w:val="16"/>
          <w:szCs w:val="16"/>
        </w:rPr>
        <w:t xml:space="preserve"> </w:t>
      </w:r>
      <w:r w:rsidRPr="00B370D2">
        <w:rPr>
          <w:rStyle w:val="Strong"/>
          <w:b w:val="0"/>
          <w:color w:val="000000"/>
          <w:sz w:val="16"/>
          <w:szCs w:val="16"/>
          <w:shd w:val="clear" w:color="auto" w:fill="FFFFFF"/>
        </w:rPr>
        <w:t xml:space="preserve">Voto parcialmente disidente del Juez Antonio Humberto Sierra Porto. </w:t>
      </w:r>
    </w:p>
  </w:footnote>
  <w:footnote w:id="339">
    <w:p w14:paraId="24E0D4B1" w14:textId="77777777" w:rsidR="00B370D2" w:rsidRPr="00B370D2" w:rsidRDefault="00B370D2" w:rsidP="00B370D2">
      <w:pPr>
        <w:pStyle w:val="FootnoteText"/>
        <w:rPr>
          <w:b/>
          <w:sz w:val="16"/>
          <w:szCs w:val="16"/>
        </w:rPr>
      </w:pPr>
      <w:r w:rsidRPr="00B370D2">
        <w:rPr>
          <w:rStyle w:val="FootnoteReference"/>
          <w:b/>
          <w:sz w:val="16"/>
          <w:szCs w:val="16"/>
        </w:rPr>
        <w:footnoteRef/>
      </w:r>
      <w:r w:rsidRPr="00B370D2">
        <w:rPr>
          <w:b/>
          <w:sz w:val="16"/>
          <w:szCs w:val="16"/>
        </w:rPr>
        <w:t xml:space="preserve"> </w:t>
      </w:r>
      <w:r w:rsidRPr="00B370D2">
        <w:rPr>
          <w:b/>
          <w:sz w:val="16"/>
          <w:szCs w:val="16"/>
        </w:rPr>
        <w:tab/>
      </w:r>
      <w:r w:rsidRPr="00B370D2">
        <w:rPr>
          <w:rStyle w:val="Strong"/>
          <w:b w:val="0"/>
          <w:i/>
          <w:color w:val="000000"/>
          <w:sz w:val="16"/>
          <w:szCs w:val="16"/>
          <w:shd w:val="clear" w:color="auto" w:fill="FFFFFF"/>
        </w:rPr>
        <w:t>Caso San Miguel Sosa y otras Vs. Venezuela. Fondo, Reparaciones y Costas.</w:t>
      </w:r>
      <w:r w:rsidRPr="00B370D2">
        <w:rPr>
          <w:rStyle w:val="Strong"/>
          <w:b w:val="0"/>
          <w:color w:val="000000"/>
          <w:sz w:val="16"/>
          <w:szCs w:val="16"/>
          <w:shd w:val="clear" w:color="auto" w:fill="FFFFFF"/>
        </w:rPr>
        <w:t xml:space="preserve"> Sentencia de 8 de febrero de 2018. Serie C No. 348. Voto parcialmente disidente del Juez Humberto A. Sierra Porto.</w:t>
      </w:r>
    </w:p>
  </w:footnote>
  <w:footnote w:id="340">
    <w:p w14:paraId="604C3FDF" w14:textId="77777777" w:rsidR="00B370D2" w:rsidRPr="00B370D2" w:rsidRDefault="00B370D2" w:rsidP="00B370D2">
      <w:pPr>
        <w:pStyle w:val="FootnoteText"/>
        <w:rPr>
          <w:b/>
          <w:bCs/>
          <w:color w:val="000000"/>
          <w:sz w:val="16"/>
          <w:szCs w:val="16"/>
          <w:shd w:val="clear" w:color="auto" w:fill="FFFFFF"/>
        </w:rPr>
      </w:pPr>
      <w:r w:rsidRPr="00A71CD3">
        <w:rPr>
          <w:rStyle w:val="FootnoteReference"/>
          <w:sz w:val="16"/>
          <w:szCs w:val="16"/>
        </w:rPr>
        <w:footnoteRef/>
      </w:r>
      <w:r w:rsidRPr="00A71CD3">
        <w:rPr>
          <w:b/>
          <w:sz w:val="16"/>
          <w:szCs w:val="16"/>
        </w:rPr>
        <w:t xml:space="preserve"> </w:t>
      </w:r>
      <w:r w:rsidRPr="00A71CD3">
        <w:rPr>
          <w:b/>
          <w:sz w:val="16"/>
          <w:szCs w:val="16"/>
          <w:lang w:val="es-CR"/>
        </w:rPr>
        <w:tab/>
      </w:r>
      <w:r w:rsidRPr="00B370D2">
        <w:rPr>
          <w:rStyle w:val="Strong"/>
          <w:b w:val="0"/>
          <w:i/>
          <w:color w:val="000000"/>
          <w:sz w:val="16"/>
          <w:szCs w:val="16"/>
          <w:shd w:val="clear" w:color="auto" w:fill="FFFFFF"/>
        </w:rPr>
        <w:t xml:space="preserve">Caso Gonzales </w:t>
      </w:r>
      <w:proofErr w:type="spellStart"/>
      <w:r w:rsidRPr="00B370D2">
        <w:rPr>
          <w:rStyle w:val="Strong"/>
          <w:b w:val="0"/>
          <w:i/>
          <w:color w:val="000000"/>
          <w:sz w:val="16"/>
          <w:szCs w:val="16"/>
          <w:shd w:val="clear" w:color="auto" w:fill="FFFFFF"/>
        </w:rPr>
        <w:t>Lluy</w:t>
      </w:r>
      <w:proofErr w:type="spellEnd"/>
      <w:r w:rsidRPr="00B370D2">
        <w:rPr>
          <w:rStyle w:val="Strong"/>
          <w:b w:val="0"/>
          <w:i/>
          <w:color w:val="000000"/>
          <w:sz w:val="16"/>
          <w:szCs w:val="16"/>
          <w:shd w:val="clear" w:color="auto" w:fill="FFFFFF"/>
        </w:rPr>
        <w:t xml:space="preserve"> y otros Vs. Ecuador.</w:t>
      </w:r>
      <w:r w:rsidRPr="00A71CD3">
        <w:rPr>
          <w:rStyle w:val="Strong"/>
          <w:i/>
          <w:color w:val="000000"/>
          <w:sz w:val="16"/>
          <w:szCs w:val="16"/>
          <w:shd w:val="clear" w:color="auto" w:fill="FFFFFF"/>
        </w:rPr>
        <w:t xml:space="preserve"> </w:t>
      </w:r>
      <w:r w:rsidRPr="00A71CD3">
        <w:rPr>
          <w:bCs/>
          <w:i/>
          <w:color w:val="000000"/>
          <w:sz w:val="16"/>
          <w:szCs w:val="16"/>
          <w:shd w:val="clear" w:color="auto" w:fill="FFFFFF"/>
        </w:rPr>
        <w:t xml:space="preserve">Excepciones Preliminares, Fondo, Reparaciones y Costas. </w:t>
      </w:r>
      <w:r w:rsidRPr="004C1688">
        <w:rPr>
          <w:bCs/>
          <w:color w:val="000000"/>
          <w:sz w:val="16"/>
          <w:szCs w:val="16"/>
          <w:shd w:val="clear" w:color="auto" w:fill="FFFFFF"/>
        </w:rPr>
        <w:t>Sentencia de 1 de septiembre de 2015. Serie C No. 298</w:t>
      </w:r>
      <w:r w:rsidRPr="00B370D2">
        <w:rPr>
          <w:b/>
          <w:bCs/>
          <w:color w:val="000000"/>
          <w:sz w:val="16"/>
          <w:szCs w:val="16"/>
          <w:shd w:val="clear" w:color="auto" w:fill="FFFFFF"/>
        </w:rPr>
        <w:t>.</w:t>
      </w:r>
      <w:r w:rsidRPr="00B370D2">
        <w:rPr>
          <w:rStyle w:val="Strong"/>
          <w:b w:val="0"/>
          <w:color w:val="000000"/>
          <w:sz w:val="16"/>
          <w:szCs w:val="16"/>
          <w:shd w:val="clear" w:color="auto" w:fill="FFFFFF"/>
        </w:rPr>
        <w:t xml:space="preserve"> Voto Concurrente del Juez Humberto Antonio Sierra Porto. </w:t>
      </w:r>
    </w:p>
  </w:footnote>
  <w:footnote w:id="341">
    <w:p w14:paraId="683B4957" w14:textId="77777777" w:rsidR="00B370D2" w:rsidRPr="00A71CD3" w:rsidRDefault="00B370D2" w:rsidP="00B370D2">
      <w:pPr>
        <w:pStyle w:val="FootnoteText"/>
        <w:rPr>
          <w:sz w:val="16"/>
          <w:szCs w:val="16"/>
        </w:rPr>
      </w:pPr>
      <w:r w:rsidRPr="00A71CD3">
        <w:rPr>
          <w:rStyle w:val="FootnoteReference"/>
          <w:sz w:val="16"/>
          <w:szCs w:val="16"/>
        </w:rPr>
        <w:footnoteRef/>
      </w:r>
      <w:r w:rsidRPr="00A71CD3">
        <w:rPr>
          <w:sz w:val="16"/>
          <w:szCs w:val="16"/>
        </w:rPr>
        <w:t xml:space="preserve"> </w:t>
      </w:r>
      <w:r w:rsidRPr="00A71CD3">
        <w:rPr>
          <w:sz w:val="16"/>
          <w:szCs w:val="16"/>
        </w:rPr>
        <w:tab/>
      </w:r>
      <w:r w:rsidRPr="00B370D2">
        <w:rPr>
          <w:rStyle w:val="Strong"/>
          <w:b w:val="0"/>
          <w:i/>
          <w:color w:val="000000"/>
          <w:sz w:val="16"/>
          <w:szCs w:val="16"/>
          <w:shd w:val="clear" w:color="auto" w:fill="FFFFFF"/>
        </w:rPr>
        <w:t>Caso Lagos del Campo Vs. Perú.</w:t>
      </w:r>
      <w:r w:rsidRPr="00A71CD3">
        <w:rPr>
          <w:rStyle w:val="Strong"/>
          <w:i/>
          <w:color w:val="000000"/>
          <w:sz w:val="16"/>
          <w:szCs w:val="16"/>
          <w:shd w:val="clear" w:color="auto" w:fill="FFFFFF"/>
        </w:rPr>
        <w:t xml:space="preserve"> </w:t>
      </w:r>
      <w:r w:rsidRPr="00A71CD3">
        <w:rPr>
          <w:bCs/>
          <w:i/>
          <w:color w:val="000000"/>
          <w:sz w:val="16"/>
          <w:szCs w:val="16"/>
          <w:shd w:val="clear" w:color="auto" w:fill="FFFFFF"/>
        </w:rPr>
        <w:t xml:space="preserve">Excepciones Preliminares, Fondo, Reparaciones y Costas. </w:t>
      </w:r>
      <w:r w:rsidRPr="00D728B1">
        <w:rPr>
          <w:bCs/>
          <w:color w:val="000000"/>
          <w:sz w:val="16"/>
          <w:szCs w:val="16"/>
          <w:shd w:val="clear" w:color="auto" w:fill="FFFFFF"/>
        </w:rPr>
        <w:t>Sentencia de 31 de agosto de 2017. Serie C No. 340. Voto parcialmente disidente del Juez Humberto A. Sierra Porto</w:t>
      </w:r>
      <w:r w:rsidRPr="00A71CD3">
        <w:rPr>
          <w:bCs/>
          <w:i/>
          <w:color w:val="000000"/>
          <w:sz w:val="16"/>
          <w:szCs w:val="16"/>
          <w:shd w:val="clear" w:color="auto" w:fill="FFFFFF"/>
        </w:rPr>
        <w:t xml:space="preserve">; y Caso Trabajadores Cesados de Petroperú y otros Vs. Perú. Excepciones Preliminares, Fondo, Reparaciones y Costas. </w:t>
      </w:r>
      <w:r w:rsidRPr="00D728B1">
        <w:rPr>
          <w:bCs/>
          <w:color w:val="000000"/>
          <w:sz w:val="16"/>
          <w:szCs w:val="16"/>
          <w:shd w:val="clear" w:color="auto" w:fill="FFFFFF"/>
        </w:rPr>
        <w:t>Sentencia de 23 de noviembre de 2017. Serie C No. 344. Voto parcialmente disidente del Juez Humberto A. Sierra Porto.</w:t>
      </w:r>
    </w:p>
  </w:footnote>
  <w:footnote w:id="342">
    <w:p w14:paraId="45798E0F" w14:textId="77777777" w:rsidR="00B370D2" w:rsidRPr="00B370D2" w:rsidRDefault="00B370D2" w:rsidP="00B370D2">
      <w:pPr>
        <w:pStyle w:val="FootnoteText"/>
        <w:rPr>
          <w:b/>
          <w:sz w:val="16"/>
          <w:szCs w:val="16"/>
        </w:rPr>
      </w:pPr>
      <w:r w:rsidRPr="00A71CD3">
        <w:rPr>
          <w:rStyle w:val="FootnoteReference"/>
          <w:sz w:val="16"/>
          <w:szCs w:val="16"/>
        </w:rPr>
        <w:footnoteRef/>
      </w:r>
      <w:r w:rsidRPr="00A71CD3">
        <w:rPr>
          <w:sz w:val="16"/>
          <w:szCs w:val="16"/>
        </w:rPr>
        <w:t xml:space="preserve"> </w:t>
      </w:r>
      <w:r w:rsidRPr="00A71CD3">
        <w:rPr>
          <w:sz w:val="16"/>
          <w:szCs w:val="16"/>
        </w:rPr>
        <w:tab/>
      </w:r>
      <w:r w:rsidRPr="00B370D2">
        <w:rPr>
          <w:rStyle w:val="Strong"/>
          <w:b w:val="0"/>
          <w:i/>
          <w:color w:val="000000"/>
          <w:sz w:val="16"/>
          <w:szCs w:val="16"/>
          <w:shd w:val="clear" w:color="auto" w:fill="FFFFFF"/>
        </w:rPr>
        <w:t xml:space="preserve">Caso Lagos del Campo Vs. Perú. </w:t>
      </w:r>
      <w:r w:rsidRPr="00A71CD3">
        <w:rPr>
          <w:bCs/>
          <w:i/>
          <w:color w:val="000000"/>
          <w:sz w:val="16"/>
          <w:szCs w:val="16"/>
          <w:shd w:val="clear" w:color="auto" w:fill="FFFFFF"/>
        </w:rPr>
        <w:t xml:space="preserve">Excepciones Preliminares, Fondo, Reparaciones y Costas. </w:t>
      </w:r>
      <w:r w:rsidRPr="0092660F">
        <w:rPr>
          <w:bCs/>
          <w:color w:val="000000"/>
          <w:sz w:val="16"/>
          <w:szCs w:val="16"/>
          <w:shd w:val="clear" w:color="auto" w:fill="FFFFFF"/>
        </w:rPr>
        <w:t xml:space="preserve">Sentencia de 31 de agosto de 2017. </w:t>
      </w:r>
      <w:r w:rsidRPr="00647211">
        <w:rPr>
          <w:bCs/>
          <w:color w:val="000000"/>
          <w:sz w:val="16"/>
          <w:szCs w:val="16"/>
          <w:shd w:val="clear" w:color="auto" w:fill="FFFFFF"/>
        </w:rPr>
        <w:t>Serie C No. 340</w:t>
      </w:r>
      <w:r w:rsidRPr="00B370D2">
        <w:rPr>
          <w:b/>
          <w:bCs/>
          <w:color w:val="000000"/>
          <w:sz w:val="16"/>
          <w:szCs w:val="16"/>
          <w:shd w:val="clear" w:color="auto" w:fill="FFFFFF"/>
        </w:rPr>
        <w:t>.</w:t>
      </w:r>
      <w:r w:rsidRPr="00B370D2">
        <w:rPr>
          <w:b/>
          <w:bCs/>
          <w:i/>
          <w:color w:val="000000"/>
          <w:sz w:val="16"/>
          <w:szCs w:val="16"/>
          <w:shd w:val="clear" w:color="auto" w:fill="FFFFFF"/>
        </w:rPr>
        <w:t xml:space="preserve"> </w:t>
      </w:r>
      <w:r w:rsidRPr="00B370D2">
        <w:rPr>
          <w:rStyle w:val="Strong"/>
          <w:b w:val="0"/>
          <w:color w:val="000000"/>
          <w:sz w:val="16"/>
          <w:szCs w:val="16"/>
          <w:shd w:val="clear" w:color="auto" w:fill="FFFFFF"/>
        </w:rPr>
        <w:t>Voto parcialmente disidente del Juez Antonio Humberto Sierra Porto, párr. 9 y</w:t>
      </w:r>
      <w:r>
        <w:rPr>
          <w:rStyle w:val="Strong"/>
          <w:color w:val="000000"/>
          <w:sz w:val="16"/>
          <w:szCs w:val="16"/>
          <w:shd w:val="clear" w:color="auto" w:fill="FFFFFF"/>
        </w:rPr>
        <w:t xml:space="preserve"> </w:t>
      </w:r>
      <w:r w:rsidRPr="00A71CD3">
        <w:rPr>
          <w:bCs/>
          <w:i/>
          <w:sz w:val="16"/>
          <w:szCs w:val="16"/>
        </w:rPr>
        <w:t xml:space="preserve">Caso Gonzales </w:t>
      </w:r>
      <w:proofErr w:type="spellStart"/>
      <w:r w:rsidRPr="00A71CD3">
        <w:rPr>
          <w:bCs/>
          <w:i/>
          <w:sz w:val="16"/>
          <w:szCs w:val="16"/>
        </w:rPr>
        <w:t>Lluy</w:t>
      </w:r>
      <w:proofErr w:type="spellEnd"/>
      <w:r w:rsidRPr="00A71CD3">
        <w:rPr>
          <w:bCs/>
          <w:i/>
          <w:sz w:val="16"/>
          <w:szCs w:val="16"/>
        </w:rPr>
        <w:t xml:space="preserve"> y otros Vs. Ecuador. Excepciones Preliminares, Fondo, Reparaciones y Costas.</w:t>
      </w:r>
      <w:r w:rsidRPr="00A71CD3">
        <w:rPr>
          <w:bCs/>
          <w:sz w:val="16"/>
          <w:szCs w:val="16"/>
        </w:rPr>
        <w:t xml:space="preserve"> Sentencia de 1 de septiembre de 2015. Serie C No. 298</w:t>
      </w:r>
      <w:r w:rsidRPr="00B370D2">
        <w:rPr>
          <w:b/>
          <w:bCs/>
          <w:sz w:val="16"/>
          <w:szCs w:val="16"/>
        </w:rPr>
        <w:t xml:space="preserve">. </w:t>
      </w:r>
      <w:r w:rsidRPr="00B370D2">
        <w:rPr>
          <w:rStyle w:val="Strong"/>
          <w:b w:val="0"/>
          <w:color w:val="000000"/>
          <w:sz w:val="16"/>
          <w:szCs w:val="16"/>
          <w:shd w:val="clear" w:color="auto" w:fill="FFFFFF"/>
        </w:rPr>
        <w:t xml:space="preserve">Voto parcialmente disidente del Juez Antonio Humberto Sierra Porto, </w:t>
      </w:r>
      <w:proofErr w:type="spellStart"/>
      <w:r w:rsidRPr="00B370D2">
        <w:rPr>
          <w:rStyle w:val="Strong"/>
          <w:b w:val="0"/>
          <w:color w:val="000000"/>
          <w:sz w:val="16"/>
          <w:szCs w:val="16"/>
          <w:shd w:val="clear" w:color="auto" w:fill="FFFFFF"/>
        </w:rPr>
        <w:t>párrs</w:t>
      </w:r>
      <w:proofErr w:type="spellEnd"/>
      <w:r w:rsidRPr="00B370D2">
        <w:rPr>
          <w:rStyle w:val="Strong"/>
          <w:b w:val="0"/>
          <w:color w:val="000000"/>
          <w:sz w:val="16"/>
          <w:szCs w:val="16"/>
          <w:shd w:val="clear" w:color="auto" w:fill="FFFFFF"/>
        </w:rPr>
        <w:t>. 7 a 9</w:t>
      </w:r>
      <w:r w:rsidRPr="00B370D2">
        <w:rPr>
          <w:b/>
          <w:bCs/>
          <w:sz w:val="16"/>
          <w:szCs w:val="16"/>
        </w:rPr>
        <w:t>.</w:t>
      </w:r>
    </w:p>
  </w:footnote>
  <w:footnote w:id="343">
    <w:p w14:paraId="634BAE2A" w14:textId="77777777" w:rsidR="00B370D2" w:rsidRPr="00A71CD3" w:rsidRDefault="00B370D2" w:rsidP="00B370D2">
      <w:pPr>
        <w:pStyle w:val="FootnoteText"/>
        <w:rPr>
          <w:sz w:val="16"/>
          <w:szCs w:val="16"/>
        </w:rPr>
      </w:pPr>
      <w:r w:rsidRPr="00A71CD3">
        <w:rPr>
          <w:rStyle w:val="FootnoteReference"/>
          <w:sz w:val="16"/>
          <w:szCs w:val="16"/>
        </w:rPr>
        <w:footnoteRef/>
      </w:r>
      <w:r w:rsidRPr="00A71CD3">
        <w:rPr>
          <w:sz w:val="16"/>
          <w:szCs w:val="16"/>
        </w:rPr>
        <w:t xml:space="preserve"> </w:t>
      </w:r>
      <w:r w:rsidRPr="00A71CD3">
        <w:rPr>
          <w:sz w:val="16"/>
          <w:szCs w:val="16"/>
        </w:rPr>
        <w:tab/>
        <w:t xml:space="preserve">El </w:t>
      </w:r>
      <w:r w:rsidRPr="00A71CD3">
        <w:rPr>
          <w:i/>
          <w:sz w:val="16"/>
          <w:szCs w:val="16"/>
        </w:rPr>
        <w:t>Protocolo adicional a la Convención Americana sobre Derechos Humanos en materia de derechos económicos, sociales y culturales "Protocolo de San Salvador"</w:t>
      </w:r>
      <w:r w:rsidRPr="00A71CD3">
        <w:rPr>
          <w:sz w:val="16"/>
          <w:szCs w:val="16"/>
        </w:rPr>
        <w:t xml:space="preserve">, establece en el artículo 19.6 lo siguiente: </w:t>
      </w:r>
      <w:r w:rsidRPr="001D195B">
        <w:rPr>
          <w:sz w:val="16"/>
          <w:szCs w:val="16"/>
        </w:rPr>
        <w:t>“En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footnote>
  <w:footnote w:id="344">
    <w:p w14:paraId="69655D7E" w14:textId="77777777" w:rsidR="00B370D2" w:rsidRPr="00BE7922" w:rsidRDefault="00B370D2" w:rsidP="00B370D2">
      <w:pPr>
        <w:pStyle w:val="FootnoteText"/>
        <w:rPr>
          <w:b/>
          <w:sz w:val="14"/>
          <w:szCs w:val="16"/>
        </w:rPr>
      </w:pPr>
      <w:r w:rsidRPr="00A71CD3">
        <w:rPr>
          <w:rStyle w:val="FootnoteReference"/>
          <w:sz w:val="16"/>
          <w:szCs w:val="16"/>
        </w:rPr>
        <w:footnoteRef/>
      </w:r>
      <w:r w:rsidRPr="00A71CD3">
        <w:rPr>
          <w:sz w:val="16"/>
          <w:szCs w:val="16"/>
        </w:rPr>
        <w:t xml:space="preserve"> </w:t>
      </w:r>
      <w:r w:rsidRPr="00A71CD3">
        <w:rPr>
          <w:sz w:val="16"/>
          <w:szCs w:val="16"/>
        </w:rPr>
        <w:tab/>
      </w:r>
      <w:r w:rsidRPr="00B370D2">
        <w:rPr>
          <w:rStyle w:val="Strong"/>
          <w:b w:val="0"/>
          <w:i/>
          <w:color w:val="000000"/>
          <w:sz w:val="16"/>
          <w:szCs w:val="16"/>
          <w:shd w:val="clear" w:color="auto" w:fill="FFFFFF"/>
        </w:rPr>
        <w:t>Caso Lagos del Campo Vs. Perú.</w:t>
      </w:r>
      <w:r w:rsidRPr="00A71CD3">
        <w:rPr>
          <w:rStyle w:val="Strong"/>
          <w:i/>
          <w:color w:val="000000"/>
          <w:sz w:val="16"/>
          <w:szCs w:val="16"/>
          <w:shd w:val="clear" w:color="auto" w:fill="FFFFFF"/>
        </w:rPr>
        <w:t xml:space="preserve"> </w:t>
      </w:r>
      <w:r w:rsidRPr="00A71CD3">
        <w:rPr>
          <w:bCs/>
          <w:i/>
          <w:color w:val="000000"/>
          <w:sz w:val="16"/>
          <w:szCs w:val="16"/>
          <w:shd w:val="clear" w:color="auto" w:fill="FFFFFF"/>
        </w:rPr>
        <w:t xml:space="preserve">Excepciones Preliminares, Fondo, Reparaciones y Costas. </w:t>
      </w:r>
      <w:r w:rsidRPr="004C1688">
        <w:rPr>
          <w:bCs/>
          <w:color w:val="000000"/>
          <w:sz w:val="16"/>
          <w:szCs w:val="16"/>
          <w:shd w:val="clear" w:color="auto" w:fill="FFFFFF"/>
        </w:rPr>
        <w:t>Sentencia de 31 de agosto de 2017. Serie C No. 340</w:t>
      </w:r>
      <w:r w:rsidRPr="00A71CD3">
        <w:rPr>
          <w:bCs/>
          <w:i/>
          <w:color w:val="000000"/>
          <w:sz w:val="16"/>
          <w:szCs w:val="16"/>
          <w:shd w:val="clear" w:color="auto" w:fill="FFFFFF"/>
        </w:rPr>
        <w:t xml:space="preserve">. </w:t>
      </w:r>
      <w:r w:rsidRPr="00B370D2">
        <w:rPr>
          <w:rStyle w:val="Strong"/>
          <w:b w:val="0"/>
          <w:color w:val="000000"/>
          <w:sz w:val="16"/>
          <w:szCs w:val="16"/>
          <w:shd w:val="clear" w:color="auto" w:fill="FFFFFF"/>
        </w:rPr>
        <w:t xml:space="preserve">Voto parcialmente disidente del Juez Antonio Humberto Sierra Porto, </w:t>
      </w:r>
      <w:proofErr w:type="spellStart"/>
      <w:r w:rsidRPr="00B370D2">
        <w:rPr>
          <w:rStyle w:val="Strong"/>
          <w:b w:val="0"/>
          <w:color w:val="000000"/>
          <w:sz w:val="16"/>
          <w:szCs w:val="16"/>
          <w:shd w:val="clear" w:color="auto" w:fill="FFFFFF"/>
        </w:rPr>
        <w:t>párrs</w:t>
      </w:r>
      <w:proofErr w:type="spellEnd"/>
      <w:r w:rsidRPr="00B370D2">
        <w:rPr>
          <w:rStyle w:val="Strong"/>
          <w:b w:val="0"/>
          <w:color w:val="000000"/>
          <w:sz w:val="16"/>
          <w:szCs w:val="16"/>
          <w:shd w:val="clear" w:color="auto" w:fill="FFFFFF"/>
        </w:rPr>
        <w:t>. 15 a 17</w:t>
      </w:r>
      <w:r w:rsidRPr="00BE7922">
        <w:rPr>
          <w:rStyle w:val="Strong"/>
          <w:b w:val="0"/>
          <w:color w:val="000000"/>
          <w:sz w:val="14"/>
          <w:szCs w:val="16"/>
          <w:shd w:val="clear" w:color="auto" w:fill="FFFFFF"/>
        </w:rPr>
        <w:t>.</w:t>
      </w:r>
    </w:p>
  </w:footnote>
  <w:footnote w:id="345">
    <w:p w14:paraId="70C09B9D" w14:textId="77777777" w:rsidR="00B370D2" w:rsidRPr="00A71CD3" w:rsidRDefault="00B370D2" w:rsidP="00B370D2">
      <w:pPr>
        <w:pStyle w:val="FootnoteText"/>
        <w:rPr>
          <w:sz w:val="16"/>
          <w:szCs w:val="16"/>
        </w:rPr>
      </w:pPr>
      <w:r w:rsidRPr="00A71CD3">
        <w:rPr>
          <w:rStyle w:val="FootnoteReference"/>
          <w:sz w:val="16"/>
          <w:szCs w:val="16"/>
        </w:rPr>
        <w:footnoteRef/>
      </w:r>
      <w:r w:rsidRPr="00A71CD3">
        <w:rPr>
          <w:sz w:val="16"/>
          <w:szCs w:val="16"/>
        </w:rPr>
        <w:t xml:space="preserve"> </w:t>
      </w:r>
      <w:r w:rsidRPr="00A71CD3">
        <w:rPr>
          <w:sz w:val="16"/>
          <w:szCs w:val="16"/>
        </w:rPr>
        <w:tab/>
      </w:r>
      <w:r w:rsidRPr="00A71CD3">
        <w:rPr>
          <w:bCs/>
          <w:i/>
          <w:sz w:val="16"/>
          <w:szCs w:val="16"/>
        </w:rPr>
        <w:t xml:space="preserve">Caso Gonzales </w:t>
      </w:r>
      <w:proofErr w:type="spellStart"/>
      <w:r w:rsidRPr="00A71CD3">
        <w:rPr>
          <w:bCs/>
          <w:i/>
          <w:sz w:val="16"/>
          <w:szCs w:val="16"/>
        </w:rPr>
        <w:t>Lluy</w:t>
      </w:r>
      <w:proofErr w:type="spellEnd"/>
      <w:r w:rsidRPr="00A71CD3">
        <w:rPr>
          <w:bCs/>
          <w:i/>
          <w:sz w:val="16"/>
          <w:szCs w:val="16"/>
        </w:rPr>
        <w:t xml:space="preserve"> y otros Vs. Ecuador. Excepciones Preliminares, Fondo, Reparaciones y Costas.</w:t>
      </w:r>
      <w:r w:rsidRPr="00A71CD3">
        <w:rPr>
          <w:bCs/>
          <w:sz w:val="16"/>
          <w:szCs w:val="16"/>
        </w:rPr>
        <w:t xml:space="preserve"> Sentencia de 1 de septiembre de 2015. Serie C No. 298</w:t>
      </w:r>
      <w:r>
        <w:rPr>
          <w:bCs/>
          <w:sz w:val="16"/>
          <w:szCs w:val="16"/>
        </w:rPr>
        <w:t xml:space="preserve">, </w:t>
      </w:r>
      <w:proofErr w:type="spellStart"/>
      <w:r>
        <w:rPr>
          <w:bCs/>
          <w:sz w:val="16"/>
          <w:szCs w:val="16"/>
        </w:rPr>
        <w:t>párrs</w:t>
      </w:r>
      <w:proofErr w:type="spellEnd"/>
      <w:r>
        <w:rPr>
          <w:bCs/>
          <w:sz w:val="16"/>
          <w:szCs w:val="16"/>
        </w:rPr>
        <w:t>. 191 y 229</w:t>
      </w:r>
      <w:r w:rsidRPr="00A71CD3">
        <w:rPr>
          <w:bCs/>
          <w:sz w:val="16"/>
          <w:szCs w:val="16"/>
        </w:rPr>
        <w:t xml:space="preserve">; </w:t>
      </w:r>
      <w:r w:rsidRPr="00B370D2">
        <w:rPr>
          <w:rStyle w:val="Strong"/>
          <w:b w:val="0"/>
          <w:i/>
          <w:color w:val="000000"/>
          <w:sz w:val="16"/>
          <w:szCs w:val="16"/>
          <w:shd w:val="clear" w:color="auto" w:fill="FFFFFF"/>
        </w:rPr>
        <w:t>Caso Suárez Peralta Vs. Ecuador. Excepciones Preliminares, Fondo, Reparaciones y Costas.</w:t>
      </w:r>
      <w:r w:rsidRPr="00B370D2">
        <w:rPr>
          <w:rStyle w:val="Strong"/>
          <w:b w:val="0"/>
          <w:color w:val="000000"/>
          <w:sz w:val="16"/>
          <w:szCs w:val="16"/>
          <w:shd w:val="clear" w:color="auto" w:fill="FFFFFF"/>
        </w:rPr>
        <w:t xml:space="preserve"> Sentencia de 21 de mayo de 2013. Serie C No. 57, 89 y 90; </w:t>
      </w:r>
      <w:r w:rsidRPr="00B370D2">
        <w:rPr>
          <w:rStyle w:val="Strong"/>
          <w:b w:val="0"/>
          <w:i/>
          <w:color w:val="000000"/>
          <w:sz w:val="16"/>
          <w:szCs w:val="16"/>
          <w:shd w:val="clear" w:color="auto" w:fill="FFFFFF"/>
        </w:rPr>
        <w:t>C</w:t>
      </w:r>
      <w:r w:rsidRPr="00A71CD3">
        <w:rPr>
          <w:bCs/>
          <w:i/>
          <w:color w:val="000000"/>
          <w:sz w:val="16"/>
          <w:szCs w:val="16"/>
          <w:shd w:val="clear" w:color="auto" w:fill="FFFFFF"/>
        </w:rPr>
        <w:t>aso Lagos del Campo Vs. Perú. Excepciones Preliminares, Fondo, Reparaciones y Costas.</w:t>
      </w:r>
      <w:r w:rsidRPr="00A71CD3">
        <w:rPr>
          <w:bCs/>
          <w:color w:val="000000"/>
          <w:sz w:val="16"/>
          <w:szCs w:val="16"/>
          <w:shd w:val="clear" w:color="auto" w:fill="FFFFFF"/>
        </w:rPr>
        <w:t xml:space="preserve"> Sentencia de 31 de agosto de 2017. Serie C No. 340</w:t>
      </w:r>
      <w:r w:rsidRPr="00B370D2">
        <w:rPr>
          <w:rStyle w:val="Strong"/>
          <w:b w:val="0"/>
          <w:color w:val="000000"/>
          <w:sz w:val="16"/>
          <w:szCs w:val="16"/>
          <w:shd w:val="clear" w:color="auto" w:fill="FFFFFF"/>
        </w:rPr>
        <w:t>, párr. 154</w:t>
      </w:r>
      <w:r w:rsidRPr="00B370D2">
        <w:rPr>
          <w:b/>
          <w:bCs/>
          <w:color w:val="000000"/>
          <w:sz w:val="16"/>
          <w:szCs w:val="16"/>
          <w:shd w:val="clear" w:color="auto" w:fill="FFFFFF"/>
        </w:rPr>
        <w:t>.</w:t>
      </w:r>
    </w:p>
  </w:footnote>
  <w:footnote w:id="346">
    <w:p w14:paraId="281EC501" w14:textId="77777777" w:rsidR="00B370D2" w:rsidRPr="00A71CD3" w:rsidRDefault="00B370D2" w:rsidP="00B370D2">
      <w:pPr>
        <w:rPr>
          <w:sz w:val="16"/>
          <w:szCs w:val="16"/>
        </w:rPr>
      </w:pPr>
      <w:r w:rsidRPr="00A71CD3">
        <w:rPr>
          <w:rStyle w:val="FootnoteReference"/>
          <w:sz w:val="16"/>
          <w:szCs w:val="16"/>
        </w:rPr>
        <w:footnoteRef/>
      </w:r>
      <w:r w:rsidRPr="00A71CD3">
        <w:rPr>
          <w:sz w:val="16"/>
          <w:szCs w:val="16"/>
        </w:rPr>
        <w:t xml:space="preserve"> </w:t>
      </w:r>
      <w:r w:rsidRPr="00A71CD3">
        <w:rPr>
          <w:sz w:val="16"/>
          <w:szCs w:val="16"/>
        </w:rPr>
        <w:tab/>
      </w:r>
      <w:r w:rsidRPr="00B370D2">
        <w:rPr>
          <w:rStyle w:val="Strong"/>
          <w:b w:val="0"/>
          <w:i/>
          <w:color w:val="000000"/>
          <w:sz w:val="16"/>
          <w:szCs w:val="16"/>
          <w:shd w:val="clear" w:color="auto" w:fill="FFFFFF"/>
        </w:rPr>
        <w:t>Caso Lagos del Campo Vs. Perú.</w:t>
      </w:r>
      <w:r w:rsidRPr="00A71CD3">
        <w:rPr>
          <w:rStyle w:val="Strong"/>
          <w:i/>
          <w:color w:val="000000"/>
          <w:sz w:val="16"/>
          <w:szCs w:val="16"/>
          <w:shd w:val="clear" w:color="auto" w:fill="FFFFFF"/>
        </w:rPr>
        <w:t xml:space="preserve"> </w:t>
      </w:r>
      <w:r w:rsidRPr="00A71CD3">
        <w:rPr>
          <w:bCs/>
          <w:i/>
          <w:color w:val="000000"/>
          <w:sz w:val="16"/>
          <w:szCs w:val="16"/>
          <w:shd w:val="clear" w:color="auto" w:fill="FFFFFF"/>
        </w:rPr>
        <w:t xml:space="preserve">Excepciones Preliminares, Fondo, Reparaciones y Costas. </w:t>
      </w:r>
      <w:r w:rsidRPr="004C1688">
        <w:rPr>
          <w:bCs/>
          <w:color w:val="000000"/>
          <w:sz w:val="16"/>
          <w:szCs w:val="16"/>
          <w:shd w:val="clear" w:color="auto" w:fill="FFFFFF"/>
        </w:rPr>
        <w:t>Sentencia de 31 de agosto de 2017. Serie C No.</w:t>
      </w:r>
      <w:r w:rsidRPr="00B370D2">
        <w:rPr>
          <w:bCs/>
          <w:color w:val="000000"/>
          <w:sz w:val="16"/>
          <w:szCs w:val="16"/>
          <w:shd w:val="clear" w:color="auto" w:fill="FFFFFF"/>
        </w:rPr>
        <w:t xml:space="preserve"> 340</w:t>
      </w:r>
      <w:r w:rsidRPr="00B370D2">
        <w:rPr>
          <w:b/>
          <w:bCs/>
          <w:i/>
          <w:color w:val="000000"/>
          <w:sz w:val="16"/>
          <w:szCs w:val="16"/>
          <w:shd w:val="clear" w:color="auto" w:fill="FFFFFF"/>
        </w:rPr>
        <w:t xml:space="preserve"> </w:t>
      </w:r>
      <w:r w:rsidRPr="00B370D2">
        <w:rPr>
          <w:rStyle w:val="Strong"/>
          <w:b w:val="0"/>
          <w:color w:val="000000"/>
          <w:sz w:val="16"/>
          <w:szCs w:val="16"/>
          <w:shd w:val="clear" w:color="auto" w:fill="FFFFFF"/>
        </w:rPr>
        <w:t>Voto parcialmente disidente del Juez Antonio Humberto Sierra Porto.</w:t>
      </w:r>
      <w:r w:rsidRPr="00A71CD3">
        <w:rPr>
          <w:rStyle w:val="Strong"/>
          <w:color w:val="000000"/>
          <w:sz w:val="16"/>
          <w:szCs w:val="16"/>
          <w:shd w:val="clear" w:color="auto" w:fill="FFFFFF"/>
        </w:rPr>
        <w:t xml:space="preserve"> </w:t>
      </w:r>
      <w:r w:rsidRPr="00A71CD3">
        <w:rPr>
          <w:bCs/>
          <w:i/>
          <w:sz w:val="16"/>
          <w:szCs w:val="16"/>
        </w:rPr>
        <w:t xml:space="preserve">Caso Trabajadores Cesados de Petroperú y otros Vs. Perú. Excepciones Preliminares, Fondo, Reparaciones y Costas. </w:t>
      </w:r>
      <w:r w:rsidRPr="004C1688">
        <w:rPr>
          <w:bCs/>
          <w:sz w:val="16"/>
          <w:szCs w:val="16"/>
        </w:rPr>
        <w:t>Sentencia de 23 de noviembre de 2017. Serie C No. 344</w:t>
      </w:r>
      <w:r w:rsidRPr="00A71CD3">
        <w:rPr>
          <w:bCs/>
          <w:i/>
          <w:sz w:val="16"/>
          <w:szCs w:val="16"/>
        </w:rPr>
        <w:t>.</w:t>
      </w:r>
      <w:r w:rsidRPr="00B370D2">
        <w:rPr>
          <w:bCs/>
          <w:sz w:val="16"/>
          <w:szCs w:val="16"/>
        </w:rPr>
        <w:t xml:space="preserve"> </w:t>
      </w:r>
      <w:r w:rsidRPr="00B370D2">
        <w:rPr>
          <w:rStyle w:val="Strong"/>
          <w:b w:val="0"/>
          <w:color w:val="000000"/>
          <w:sz w:val="16"/>
          <w:szCs w:val="16"/>
          <w:shd w:val="clear" w:color="auto" w:fill="FFFFFF"/>
        </w:rPr>
        <w:t>Voto parcialmente disidente del Juez Antonio Humberto Sierra Porto</w:t>
      </w:r>
      <w:r w:rsidRPr="00B370D2">
        <w:rPr>
          <w:rStyle w:val="Strong"/>
          <w:color w:val="000000"/>
          <w:sz w:val="16"/>
          <w:szCs w:val="16"/>
          <w:shd w:val="clear" w:color="auto" w:fill="FFFFFF"/>
        </w:rPr>
        <w:t xml:space="preserve">. </w:t>
      </w:r>
      <w:r w:rsidRPr="00A71CD3">
        <w:rPr>
          <w:i/>
          <w:sz w:val="16"/>
          <w:szCs w:val="16"/>
        </w:rPr>
        <w:t>Caso San Miguel Sosa y otras Vs. Venezuela.</w:t>
      </w:r>
      <w:r w:rsidRPr="00A71CD3">
        <w:rPr>
          <w:sz w:val="16"/>
          <w:szCs w:val="16"/>
        </w:rPr>
        <w:t xml:space="preserve"> </w:t>
      </w:r>
      <w:r w:rsidRPr="00A71CD3">
        <w:rPr>
          <w:bCs/>
          <w:i/>
          <w:sz w:val="16"/>
          <w:szCs w:val="16"/>
        </w:rPr>
        <w:t xml:space="preserve">Excepciones Preliminares, Fondo, Reparaciones y Costas. </w:t>
      </w:r>
      <w:r w:rsidRPr="004C1688">
        <w:rPr>
          <w:bCs/>
          <w:sz w:val="16"/>
          <w:szCs w:val="16"/>
        </w:rPr>
        <w:t xml:space="preserve">Sentencia de </w:t>
      </w:r>
      <w:r w:rsidRPr="00DD607A">
        <w:rPr>
          <w:sz w:val="16"/>
          <w:szCs w:val="16"/>
        </w:rPr>
        <w:t>8 de febrero de 2018. Serie C. No. 348</w:t>
      </w:r>
      <w:r w:rsidRPr="00B370D2">
        <w:rPr>
          <w:b/>
          <w:sz w:val="16"/>
          <w:szCs w:val="16"/>
        </w:rPr>
        <w:t xml:space="preserve">; </w:t>
      </w:r>
      <w:r w:rsidRPr="00B370D2">
        <w:rPr>
          <w:rStyle w:val="Strong"/>
          <w:b w:val="0"/>
          <w:i/>
          <w:color w:val="000000"/>
          <w:sz w:val="16"/>
          <w:szCs w:val="16"/>
          <w:shd w:val="clear" w:color="auto" w:fill="FFFFFF"/>
        </w:rPr>
        <w:t>Caso</w:t>
      </w:r>
      <w:r w:rsidRPr="00A71CD3">
        <w:rPr>
          <w:rStyle w:val="Strong"/>
          <w:i/>
          <w:color w:val="000000"/>
          <w:sz w:val="16"/>
          <w:szCs w:val="16"/>
          <w:shd w:val="clear" w:color="auto" w:fill="FFFFFF"/>
        </w:rPr>
        <w:t xml:space="preserve"> </w:t>
      </w:r>
      <w:r w:rsidRPr="00B370D2">
        <w:rPr>
          <w:rStyle w:val="Strong"/>
          <w:b w:val="0"/>
          <w:i/>
          <w:color w:val="000000"/>
          <w:sz w:val="16"/>
          <w:szCs w:val="16"/>
          <w:shd w:val="clear" w:color="auto" w:fill="FFFFFF"/>
        </w:rPr>
        <w:t xml:space="preserve">Gonzales </w:t>
      </w:r>
      <w:proofErr w:type="spellStart"/>
      <w:r w:rsidRPr="00B370D2">
        <w:rPr>
          <w:rStyle w:val="Strong"/>
          <w:b w:val="0"/>
          <w:i/>
          <w:color w:val="000000"/>
          <w:sz w:val="16"/>
          <w:szCs w:val="16"/>
          <w:shd w:val="clear" w:color="auto" w:fill="FFFFFF"/>
        </w:rPr>
        <w:t>Lluy</w:t>
      </w:r>
      <w:proofErr w:type="spellEnd"/>
      <w:r w:rsidRPr="00B370D2">
        <w:rPr>
          <w:rStyle w:val="Strong"/>
          <w:b w:val="0"/>
          <w:i/>
          <w:color w:val="000000"/>
          <w:sz w:val="16"/>
          <w:szCs w:val="16"/>
          <w:shd w:val="clear" w:color="auto" w:fill="FFFFFF"/>
        </w:rPr>
        <w:t xml:space="preserve"> y otros Vs. Ecuador.</w:t>
      </w:r>
      <w:r w:rsidRPr="00A71CD3">
        <w:rPr>
          <w:rStyle w:val="Strong"/>
          <w:i/>
          <w:color w:val="000000"/>
          <w:sz w:val="16"/>
          <w:szCs w:val="16"/>
          <w:shd w:val="clear" w:color="auto" w:fill="FFFFFF"/>
        </w:rPr>
        <w:t xml:space="preserve"> </w:t>
      </w:r>
      <w:r w:rsidRPr="00A71CD3">
        <w:rPr>
          <w:bCs/>
          <w:i/>
          <w:color w:val="000000"/>
          <w:sz w:val="16"/>
          <w:szCs w:val="16"/>
          <w:shd w:val="clear" w:color="auto" w:fill="FFFFFF"/>
        </w:rPr>
        <w:t xml:space="preserve">Excepciones Preliminares, Fondo, Reparaciones y Costas. </w:t>
      </w:r>
      <w:r w:rsidRPr="004C1688">
        <w:rPr>
          <w:bCs/>
          <w:color w:val="000000"/>
          <w:sz w:val="16"/>
          <w:szCs w:val="16"/>
          <w:shd w:val="clear" w:color="auto" w:fill="FFFFFF"/>
        </w:rPr>
        <w:t>Sentencia de 1 de septiembre de 2015. Serie C No. 298</w:t>
      </w:r>
      <w:r w:rsidRPr="00B370D2">
        <w:rPr>
          <w:b/>
          <w:bCs/>
          <w:color w:val="000000"/>
          <w:sz w:val="16"/>
          <w:szCs w:val="16"/>
          <w:shd w:val="clear" w:color="auto" w:fill="FFFFFF"/>
        </w:rPr>
        <w:t>.</w:t>
      </w:r>
      <w:r w:rsidRPr="00B370D2">
        <w:rPr>
          <w:rStyle w:val="Strong"/>
          <w:b w:val="0"/>
          <w:color w:val="000000"/>
          <w:sz w:val="16"/>
          <w:szCs w:val="16"/>
          <w:shd w:val="clear" w:color="auto" w:fill="FFFFFF"/>
        </w:rPr>
        <w:t xml:space="preserve"> Voto Concurrente del Juez Humberto Antonio Sierra Porto.</w:t>
      </w:r>
      <w:r w:rsidRPr="00A71CD3">
        <w:rPr>
          <w:rStyle w:val="Strong"/>
          <w:color w:val="000000"/>
          <w:sz w:val="16"/>
          <w:szCs w:val="16"/>
          <w:shd w:val="clear" w:color="auto" w:fill="FFFFFF"/>
        </w:rPr>
        <w:t xml:space="preserve"> </w:t>
      </w:r>
    </w:p>
    <w:p w14:paraId="3F7891A7" w14:textId="77777777" w:rsidR="00B370D2" w:rsidRPr="00774CDE" w:rsidRDefault="00B370D2" w:rsidP="00B370D2">
      <w:pPr>
        <w:pStyle w:val="FootnoteText"/>
      </w:pPr>
    </w:p>
  </w:footnote>
  <w:footnote w:id="347">
    <w:p w14:paraId="0F7888CA" w14:textId="77777777" w:rsidR="00B370D2" w:rsidRPr="0092660F" w:rsidRDefault="00B370D2" w:rsidP="00B370D2">
      <w:pPr>
        <w:pStyle w:val="FootnoteText"/>
        <w:rPr>
          <w:sz w:val="16"/>
          <w:szCs w:val="16"/>
          <w:lang w:val="es-CR"/>
        </w:rPr>
      </w:pPr>
      <w:r w:rsidRPr="0092660F">
        <w:rPr>
          <w:rStyle w:val="FootnoteReference"/>
          <w:sz w:val="16"/>
          <w:szCs w:val="16"/>
        </w:rPr>
        <w:footnoteRef/>
      </w:r>
      <w:r w:rsidRPr="0092660F">
        <w:rPr>
          <w:sz w:val="16"/>
          <w:szCs w:val="16"/>
        </w:rPr>
        <w:t xml:space="preserve"> </w:t>
      </w:r>
      <w:r>
        <w:rPr>
          <w:sz w:val="16"/>
          <w:szCs w:val="16"/>
        </w:rPr>
        <w:tab/>
      </w:r>
      <w:r w:rsidRPr="0092660F">
        <w:rPr>
          <w:sz w:val="16"/>
          <w:szCs w:val="16"/>
        </w:rPr>
        <w:t xml:space="preserve">Por ejemplo, la Sentencia menciona las siguientes: </w:t>
      </w:r>
      <w:r w:rsidRPr="0092660F">
        <w:rPr>
          <w:sz w:val="16"/>
          <w:szCs w:val="16"/>
          <w:lang w:val="es-CR"/>
        </w:rPr>
        <w:t>(i) la falta de información a los familiares respecto a la condición y cuidados del paciente; (ii) la realización de una intervención quirúrgica sin el consentimiento informado; (iii) darlo de alta de forma precipitada; (iv) la falta de provisión de tratamiento intensivo que requería en la UCI Médica; (v) la falta de disponibilidad de camas; (vi) la falta de asistencia a través de un respirador mecánico; y (v) la omisión de dispensar al paciente traslado a otro centro médico que contara con las instalaciones necesarias.</w:t>
      </w:r>
    </w:p>
  </w:footnote>
  <w:footnote w:id="348">
    <w:p w14:paraId="1E246E0C" w14:textId="77777777" w:rsidR="00B370D2" w:rsidRPr="00A71CD3" w:rsidRDefault="00B370D2" w:rsidP="00B370D2">
      <w:pPr>
        <w:pStyle w:val="FootnoteText"/>
        <w:rPr>
          <w:sz w:val="16"/>
          <w:szCs w:val="16"/>
        </w:rPr>
      </w:pPr>
      <w:r w:rsidRPr="00A71CD3">
        <w:rPr>
          <w:rStyle w:val="FootnoteReference"/>
          <w:sz w:val="16"/>
          <w:szCs w:val="16"/>
        </w:rPr>
        <w:footnoteRef/>
      </w:r>
      <w:r w:rsidRPr="00A71CD3">
        <w:rPr>
          <w:sz w:val="16"/>
          <w:szCs w:val="16"/>
        </w:rPr>
        <w:t xml:space="preserve"> </w:t>
      </w:r>
      <w:r w:rsidRPr="00A71CD3">
        <w:rPr>
          <w:sz w:val="16"/>
          <w:szCs w:val="16"/>
        </w:rPr>
        <w:tab/>
      </w:r>
      <w:r w:rsidRPr="00B370D2">
        <w:rPr>
          <w:rStyle w:val="Strong"/>
          <w:b w:val="0"/>
          <w:i/>
          <w:color w:val="000000"/>
          <w:sz w:val="16"/>
          <w:szCs w:val="16"/>
          <w:shd w:val="clear" w:color="auto" w:fill="FFFFFF"/>
        </w:rPr>
        <w:t xml:space="preserve">Caso Gonzales </w:t>
      </w:r>
      <w:proofErr w:type="spellStart"/>
      <w:r w:rsidRPr="00B370D2">
        <w:rPr>
          <w:rStyle w:val="Strong"/>
          <w:b w:val="0"/>
          <w:i/>
          <w:color w:val="000000"/>
          <w:sz w:val="16"/>
          <w:szCs w:val="16"/>
          <w:shd w:val="clear" w:color="auto" w:fill="FFFFFF"/>
        </w:rPr>
        <w:t>Lluy</w:t>
      </w:r>
      <w:proofErr w:type="spellEnd"/>
      <w:r w:rsidRPr="00B370D2">
        <w:rPr>
          <w:rStyle w:val="Strong"/>
          <w:b w:val="0"/>
          <w:i/>
          <w:color w:val="000000"/>
          <w:sz w:val="16"/>
          <w:szCs w:val="16"/>
          <w:shd w:val="clear" w:color="auto" w:fill="FFFFFF"/>
        </w:rPr>
        <w:t xml:space="preserve"> y otros Vs. Ecuador.</w:t>
      </w:r>
      <w:r w:rsidRPr="00A71CD3">
        <w:rPr>
          <w:rStyle w:val="Strong"/>
          <w:i/>
          <w:color w:val="000000"/>
          <w:sz w:val="16"/>
          <w:szCs w:val="16"/>
          <w:shd w:val="clear" w:color="auto" w:fill="FFFFFF"/>
        </w:rPr>
        <w:t xml:space="preserve"> </w:t>
      </w:r>
      <w:r w:rsidRPr="00A71CD3">
        <w:rPr>
          <w:bCs/>
          <w:i/>
          <w:color w:val="000000"/>
          <w:sz w:val="16"/>
          <w:szCs w:val="16"/>
          <w:shd w:val="clear" w:color="auto" w:fill="FFFFFF"/>
        </w:rPr>
        <w:t xml:space="preserve">Excepciones Preliminares, Fondo, Reparaciones y Costas. </w:t>
      </w:r>
      <w:r w:rsidRPr="004C1688">
        <w:rPr>
          <w:bCs/>
          <w:color w:val="000000"/>
          <w:sz w:val="16"/>
          <w:szCs w:val="16"/>
          <w:shd w:val="clear" w:color="auto" w:fill="FFFFFF"/>
        </w:rPr>
        <w:t>Sentencia de 1 de septiembre de 2015. Serie C No. 298</w:t>
      </w:r>
      <w:r w:rsidRPr="00B370D2">
        <w:rPr>
          <w:b/>
          <w:bCs/>
          <w:i/>
          <w:color w:val="000000"/>
          <w:sz w:val="16"/>
          <w:szCs w:val="16"/>
          <w:shd w:val="clear" w:color="auto" w:fill="FFFFFF"/>
        </w:rPr>
        <w:t>.</w:t>
      </w:r>
      <w:r w:rsidRPr="00B370D2">
        <w:rPr>
          <w:rStyle w:val="Strong"/>
          <w:b w:val="0"/>
          <w:color w:val="000000"/>
          <w:sz w:val="16"/>
          <w:szCs w:val="16"/>
          <w:shd w:val="clear" w:color="auto" w:fill="FFFFFF"/>
        </w:rPr>
        <w:t xml:space="preserve"> Voto Concurrente del Juez Humberto Antonio Sierra Porto, </w:t>
      </w:r>
      <w:r w:rsidRPr="00A71CD3">
        <w:rPr>
          <w:bCs/>
          <w:color w:val="000000"/>
          <w:sz w:val="16"/>
          <w:szCs w:val="16"/>
          <w:shd w:val="clear" w:color="auto" w:fill="FFFFFF"/>
        </w:rPr>
        <w:t xml:space="preserve">párr. 4. </w:t>
      </w:r>
    </w:p>
  </w:footnote>
  <w:footnote w:id="349">
    <w:p w14:paraId="769E92D4" w14:textId="77777777" w:rsidR="00B370D2" w:rsidRPr="00A71CD3" w:rsidRDefault="00B370D2" w:rsidP="00B370D2">
      <w:pPr>
        <w:pStyle w:val="FootnoteText"/>
        <w:rPr>
          <w:sz w:val="16"/>
          <w:szCs w:val="16"/>
        </w:rPr>
      </w:pPr>
      <w:r w:rsidRPr="00A71CD3">
        <w:rPr>
          <w:rStyle w:val="FootnoteReference"/>
          <w:sz w:val="16"/>
          <w:szCs w:val="16"/>
        </w:rPr>
        <w:footnoteRef/>
      </w:r>
      <w:r w:rsidRPr="00A71CD3">
        <w:rPr>
          <w:sz w:val="16"/>
          <w:szCs w:val="16"/>
        </w:rPr>
        <w:t xml:space="preserve"> </w:t>
      </w:r>
      <w:r w:rsidRPr="00A71CD3">
        <w:rPr>
          <w:sz w:val="16"/>
          <w:szCs w:val="16"/>
        </w:rPr>
        <w:tab/>
        <w:t>En</w:t>
      </w:r>
      <w:r w:rsidRPr="00B370D2">
        <w:rPr>
          <w:sz w:val="16"/>
          <w:szCs w:val="16"/>
        </w:rPr>
        <w:t xml:space="preserve"> el</w:t>
      </w:r>
      <w:r w:rsidRPr="00B370D2">
        <w:rPr>
          <w:b/>
          <w:sz w:val="16"/>
          <w:szCs w:val="16"/>
        </w:rPr>
        <w:t xml:space="preserve"> </w:t>
      </w:r>
      <w:r w:rsidRPr="00B370D2">
        <w:rPr>
          <w:rStyle w:val="Strong"/>
          <w:b w:val="0"/>
          <w:i/>
          <w:color w:val="000000"/>
          <w:sz w:val="16"/>
          <w:szCs w:val="16"/>
          <w:shd w:val="clear" w:color="auto" w:fill="FFFFFF"/>
        </w:rPr>
        <w:t>Caso Lagos del Campo Vs. Perú.</w:t>
      </w:r>
      <w:r w:rsidRPr="00A71CD3">
        <w:rPr>
          <w:rStyle w:val="Strong"/>
          <w:i/>
          <w:color w:val="000000"/>
          <w:sz w:val="16"/>
          <w:szCs w:val="16"/>
          <w:shd w:val="clear" w:color="auto" w:fill="FFFFFF"/>
        </w:rPr>
        <w:t xml:space="preserve"> </w:t>
      </w:r>
      <w:r w:rsidRPr="00A71CD3">
        <w:rPr>
          <w:bCs/>
          <w:i/>
          <w:color w:val="000000"/>
          <w:sz w:val="16"/>
          <w:szCs w:val="16"/>
          <w:shd w:val="clear" w:color="auto" w:fill="FFFFFF"/>
        </w:rPr>
        <w:t xml:space="preserve">Excepciones Preliminares, Fondo, Reparaciones y Costas. </w:t>
      </w:r>
      <w:r w:rsidRPr="004C1688">
        <w:rPr>
          <w:bCs/>
          <w:color w:val="000000"/>
          <w:sz w:val="16"/>
          <w:szCs w:val="16"/>
          <w:shd w:val="clear" w:color="auto" w:fill="FFFFFF"/>
        </w:rPr>
        <w:t>Sentencia de 31 de agosto de 2017</w:t>
      </w:r>
      <w:r w:rsidRPr="00A71CD3">
        <w:rPr>
          <w:bCs/>
          <w:i/>
          <w:color w:val="000000"/>
          <w:sz w:val="16"/>
          <w:szCs w:val="16"/>
          <w:shd w:val="clear" w:color="auto" w:fill="FFFFFF"/>
        </w:rPr>
        <w:t xml:space="preserve">. </w:t>
      </w:r>
      <w:r w:rsidRPr="004C1688">
        <w:rPr>
          <w:bCs/>
          <w:color w:val="000000"/>
          <w:sz w:val="16"/>
          <w:szCs w:val="16"/>
          <w:shd w:val="clear" w:color="auto" w:fill="FFFFFF"/>
        </w:rPr>
        <w:t>Serie C No. 340</w:t>
      </w:r>
      <w:r w:rsidRPr="00B370D2">
        <w:rPr>
          <w:b/>
          <w:bCs/>
          <w:i/>
          <w:color w:val="000000"/>
          <w:sz w:val="16"/>
          <w:szCs w:val="16"/>
          <w:shd w:val="clear" w:color="auto" w:fill="FFFFFF"/>
        </w:rPr>
        <w:t xml:space="preserve">. </w:t>
      </w:r>
      <w:r w:rsidRPr="00B370D2">
        <w:rPr>
          <w:rStyle w:val="Strong"/>
          <w:b w:val="0"/>
          <w:color w:val="000000"/>
          <w:sz w:val="16"/>
          <w:szCs w:val="16"/>
          <w:shd w:val="clear" w:color="auto" w:fill="FFFFFF"/>
        </w:rPr>
        <w:t>Voto parcialmente disidente del Juez Antonio Humberto Sierra Porto. En este voto afirmé lo siguiente:</w:t>
      </w:r>
      <w:r>
        <w:rPr>
          <w:rStyle w:val="Strong"/>
          <w:color w:val="000000"/>
          <w:sz w:val="16"/>
          <w:szCs w:val="16"/>
          <w:shd w:val="clear" w:color="auto" w:fill="FFFFFF"/>
        </w:rPr>
        <w:t xml:space="preserve"> </w:t>
      </w:r>
      <w:r w:rsidRPr="009651F9">
        <w:rPr>
          <w:rStyle w:val="Strong"/>
          <w:color w:val="000000"/>
          <w:sz w:val="16"/>
          <w:szCs w:val="16"/>
          <w:shd w:val="clear" w:color="auto" w:fill="FFFFFF"/>
        </w:rPr>
        <w:t>“</w:t>
      </w:r>
      <w:r w:rsidRPr="009651F9">
        <w:rPr>
          <w:sz w:val="16"/>
          <w:szCs w:val="16"/>
          <w:lang w:val="es-CR"/>
        </w:rPr>
        <w:t xml:space="preserve">Si de por sí, intentar construir un catálogo de DESC a partir de la Carta es una tarea interpretativa compleja, entrar a utilizar cuanto tratado de derechos humanos existe para llenar de contenido al artículo 26 de la CADH, lo único que puede generar es </w:t>
      </w:r>
      <w:r w:rsidRPr="009651F9">
        <w:rPr>
          <w:rFonts w:cs="Arial"/>
          <w:sz w:val="16"/>
          <w:szCs w:val="16"/>
        </w:rPr>
        <w:t>una dinámica de “vis expansiva” de la responsabilidad internacional de los Estados. Es decir que al no tener presente un catálogo definido de los DESC cuya infracción genera responsabilidad de los Estados, estos no pueden prevenir ni reparar internamente las posibles infracciones porque básicamente la Corte IDH puede modificar el catálogo de los derechos dependiendo del caso.”</w:t>
      </w:r>
    </w:p>
  </w:footnote>
  <w:footnote w:id="350">
    <w:p w14:paraId="3C73D25E" w14:textId="77777777" w:rsidR="00B370D2" w:rsidRPr="00A71CD3" w:rsidRDefault="00B370D2" w:rsidP="00B370D2">
      <w:pPr>
        <w:pStyle w:val="FootnoteText"/>
        <w:rPr>
          <w:i/>
          <w:sz w:val="16"/>
          <w:szCs w:val="16"/>
        </w:rPr>
      </w:pPr>
      <w:r w:rsidRPr="00A71CD3">
        <w:rPr>
          <w:rStyle w:val="FootnoteReference"/>
          <w:sz w:val="16"/>
          <w:szCs w:val="16"/>
        </w:rPr>
        <w:footnoteRef/>
      </w:r>
      <w:r w:rsidRPr="00A71CD3">
        <w:rPr>
          <w:sz w:val="16"/>
          <w:szCs w:val="16"/>
        </w:rPr>
        <w:t xml:space="preserve"> </w:t>
      </w:r>
      <w:r w:rsidRPr="00A71CD3">
        <w:rPr>
          <w:sz w:val="16"/>
          <w:szCs w:val="16"/>
        </w:rPr>
        <w:tab/>
      </w:r>
      <w:r>
        <w:rPr>
          <w:sz w:val="16"/>
          <w:szCs w:val="16"/>
        </w:rPr>
        <w:t>Cabe recordar que e</w:t>
      </w:r>
      <w:r w:rsidRPr="00A71CD3">
        <w:rPr>
          <w:sz w:val="16"/>
          <w:szCs w:val="16"/>
        </w:rPr>
        <w:t>l artículo 38</w:t>
      </w:r>
      <w:r>
        <w:rPr>
          <w:sz w:val="16"/>
          <w:szCs w:val="16"/>
        </w:rPr>
        <w:t>.a</w:t>
      </w:r>
      <w:r w:rsidRPr="00A71CD3">
        <w:rPr>
          <w:sz w:val="16"/>
          <w:szCs w:val="16"/>
        </w:rPr>
        <w:t xml:space="preserve"> del Estatuto de la Corte Internacional de Justicia señala: </w:t>
      </w:r>
      <w:r w:rsidRPr="009651F9">
        <w:rPr>
          <w:sz w:val="16"/>
          <w:szCs w:val="16"/>
        </w:rPr>
        <w:t>“1. 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w:t>
      </w:r>
      <w:r>
        <w:rPr>
          <w:sz w:val="16"/>
          <w:szCs w:val="16"/>
        </w:rPr>
        <w:t xml:space="preserve"> lo dispuesto en el artículo 59.</w:t>
      </w:r>
      <w:r w:rsidRPr="009651F9">
        <w:rPr>
          <w:sz w:val="16"/>
          <w:szCs w:val="16"/>
        </w:rPr>
        <w:t>”</w:t>
      </w:r>
    </w:p>
  </w:footnote>
  <w:footnote w:id="351">
    <w:p w14:paraId="425A23A9" w14:textId="77777777" w:rsidR="00B370D2" w:rsidRPr="00A71CD3" w:rsidRDefault="00B370D2" w:rsidP="00B370D2">
      <w:pPr>
        <w:pStyle w:val="FootnoteText"/>
        <w:rPr>
          <w:bCs/>
          <w:color w:val="000000"/>
          <w:sz w:val="16"/>
          <w:szCs w:val="16"/>
          <w:shd w:val="clear" w:color="auto" w:fill="FFFFFF"/>
        </w:rPr>
      </w:pPr>
      <w:r w:rsidRPr="00A71CD3">
        <w:rPr>
          <w:rStyle w:val="FootnoteReference"/>
          <w:sz w:val="16"/>
          <w:szCs w:val="16"/>
        </w:rPr>
        <w:footnoteRef/>
      </w:r>
      <w:r w:rsidRPr="00A71CD3">
        <w:rPr>
          <w:sz w:val="16"/>
          <w:szCs w:val="16"/>
        </w:rPr>
        <w:t xml:space="preserve"> </w:t>
      </w:r>
      <w:r w:rsidRPr="00A71CD3">
        <w:rPr>
          <w:sz w:val="16"/>
          <w:szCs w:val="16"/>
        </w:rPr>
        <w:tab/>
      </w:r>
      <w:r w:rsidRPr="00A71CD3">
        <w:rPr>
          <w:bCs/>
          <w:i/>
          <w:sz w:val="16"/>
          <w:szCs w:val="16"/>
        </w:rPr>
        <w:t xml:space="preserve">Caso Trabajadores Cesados de Petroperú y otros Vs. Perú. Excepciones Preliminares, Fondo, Reparaciones y Costas. </w:t>
      </w:r>
      <w:r w:rsidRPr="004C1688">
        <w:rPr>
          <w:bCs/>
          <w:sz w:val="16"/>
          <w:szCs w:val="16"/>
        </w:rPr>
        <w:t>Sentencia de 23 de noviembre de 2017. Serie C No. 344</w:t>
      </w:r>
      <w:r w:rsidRPr="00A71CD3">
        <w:rPr>
          <w:bCs/>
          <w:i/>
          <w:sz w:val="16"/>
          <w:szCs w:val="16"/>
        </w:rPr>
        <w:t>.</w:t>
      </w:r>
      <w:r w:rsidRPr="00B370D2">
        <w:rPr>
          <w:bCs/>
          <w:sz w:val="16"/>
          <w:szCs w:val="16"/>
        </w:rPr>
        <w:t xml:space="preserve"> </w:t>
      </w:r>
      <w:r w:rsidRPr="00B370D2">
        <w:rPr>
          <w:rStyle w:val="Strong"/>
          <w:b w:val="0"/>
          <w:color w:val="000000"/>
          <w:sz w:val="16"/>
          <w:szCs w:val="16"/>
          <w:shd w:val="clear" w:color="auto" w:fill="FFFFFF"/>
        </w:rPr>
        <w:t>Voto parcialmente disidente del Juez Antonio Humberto Sierra Porto</w:t>
      </w:r>
      <w:r w:rsidRPr="00A71CD3">
        <w:rPr>
          <w:bCs/>
          <w:color w:val="000000"/>
          <w:sz w:val="16"/>
          <w:szCs w:val="16"/>
          <w:shd w:val="clear" w:color="auto" w:fill="FFFFFF"/>
          <w:lang w:val="es-CR"/>
        </w:rPr>
        <w:t xml:space="preserve">, </w:t>
      </w:r>
      <w:proofErr w:type="spellStart"/>
      <w:r w:rsidRPr="00A71CD3">
        <w:rPr>
          <w:bCs/>
          <w:color w:val="000000"/>
          <w:sz w:val="16"/>
          <w:szCs w:val="16"/>
          <w:shd w:val="clear" w:color="auto" w:fill="FFFFFF"/>
          <w:lang w:val="es-CR"/>
        </w:rPr>
        <w:t>párrs</w:t>
      </w:r>
      <w:proofErr w:type="spellEnd"/>
      <w:r w:rsidRPr="00A71CD3">
        <w:rPr>
          <w:bCs/>
          <w:color w:val="000000"/>
          <w:sz w:val="16"/>
          <w:szCs w:val="16"/>
          <w:shd w:val="clear" w:color="auto" w:fill="FFFFFF"/>
          <w:lang w:val="es-CR"/>
        </w:rPr>
        <w:t xml:space="preserve">. 14 a 20. </w:t>
      </w:r>
      <w:r w:rsidRPr="00A71CD3">
        <w:rPr>
          <w:bCs/>
          <w:i/>
          <w:color w:val="000000"/>
          <w:sz w:val="16"/>
          <w:szCs w:val="16"/>
          <w:shd w:val="clear" w:color="auto" w:fill="FFFFFF"/>
        </w:rPr>
        <w:t xml:space="preserve">Caso familia Pacheco Tineo Vs. Bolivia. Excepciones Preliminares, Fondo, Reparaciones y Costas. </w:t>
      </w:r>
      <w:r w:rsidRPr="004C1688">
        <w:rPr>
          <w:bCs/>
          <w:color w:val="000000"/>
          <w:sz w:val="16"/>
          <w:szCs w:val="16"/>
          <w:shd w:val="clear" w:color="auto" w:fill="FFFFFF"/>
        </w:rPr>
        <w:t xml:space="preserve">Sentencia de 25 de noviembre de 2013. Serie C No. 272, </w:t>
      </w:r>
      <w:r w:rsidRPr="00847D7F">
        <w:rPr>
          <w:bCs/>
          <w:color w:val="000000"/>
          <w:sz w:val="16"/>
          <w:szCs w:val="16"/>
          <w:shd w:val="clear" w:color="auto" w:fill="FFFFFF"/>
        </w:rPr>
        <w:t>párr. 143</w:t>
      </w:r>
      <w:r w:rsidRPr="00A71CD3">
        <w:rPr>
          <w:bCs/>
          <w:color w:val="000000"/>
          <w:sz w:val="16"/>
          <w:szCs w:val="16"/>
          <w:shd w:val="clear" w:color="auto" w:fill="FFFFFF"/>
        </w:rPr>
        <w:t>.</w:t>
      </w:r>
    </w:p>
  </w:footnote>
  <w:footnote w:id="352">
    <w:p w14:paraId="1716D720" w14:textId="77777777" w:rsidR="00B370D2" w:rsidRPr="00A71CD3" w:rsidRDefault="00B370D2" w:rsidP="00B370D2">
      <w:pPr>
        <w:pStyle w:val="FootnoteText"/>
        <w:rPr>
          <w:sz w:val="16"/>
          <w:szCs w:val="16"/>
          <w:lang w:val="es-CR"/>
        </w:rPr>
      </w:pPr>
      <w:r w:rsidRPr="00A71CD3">
        <w:rPr>
          <w:rStyle w:val="FootnoteReference"/>
          <w:sz w:val="16"/>
          <w:szCs w:val="16"/>
        </w:rPr>
        <w:footnoteRef/>
      </w:r>
      <w:r w:rsidRPr="00A71CD3">
        <w:rPr>
          <w:sz w:val="16"/>
          <w:szCs w:val="16"/>
        </w:rPr>
        <w:t xml:space="preserve"> </w:t>
      </w:r>
      <w:r w:rsidRPr="00A71CD3">
        <w:rPr>
          <w:sz w:val="16"/>
          <w:szCs w:val="16"/>
          <w:lang w:val="es-CR"/>
        </w:rPr>
        <w:tab/>
        <w:t>El entonces Juez de la Corte IDH, Sergio García Ramírez, en el artículo titulado “El control judicial interno de convencionalidad” publicado en IUS Revista del Instituto de Ciencias Jurídicas de Puebla, México, no. 28, julio-diciembre de 2011, págs. 123-159, expuso que en el derecho internacional de los derechos humanos figuran, además de los tratados y los protocolos aludidos como derecho “duro” de carácter imperioso y vinculante, otras fuentes de carácter diverso, como declaraciones, estatutos y reglamentos, opiniones consultivas, sentencias, otras resoluciones jurisdiccionales, recomendaciones, informes, principios, relatorías, conclusiones de encuentros internacionales, y así sucesivamente, las cuales constituyen un derecho “suave” (</w:t>
      </w:r>
      <w:proofErr w:type="spellStart"/>
      <w:r w:rsidRPr="00A71CD3">
        <w:rPr>
          <w:sz w:val="16"/>
          <w:szCs w:val="16"/>
          <w:lang w:val="es-CR"/>
        </w:rPr>
        <w:t>soft</w:t>
      </w:r>
      <w:proofErr w:type="spellEnd"/>
      <w:r w:rsidRPr="00A71CD3">
        <w:rPr>
          <w:sz w:val="16"/>
          <w:szCs w:val="16"/>
          <w:lang w:val="es-CR"/>
        </w:rPr>
        <w:t xml:space="preserve"> </w:t>
      </w:r>
      <w:proofErr w:type="spellStart"/>
      <w:r w:rsidRPr="00A71CD3">
        <w:rPr>
          <w:sz w:val="16"/>
          <w:szCs w:val="16"/>
          <w:lang w:val="es-CR"/>
        </w:rPr>
        <w:t>law</w:t>
      </w:r>
      <w:proofErr w:type="spellEnd"/>
      <w:r w:rsidRPr="00A71CD3">
        <w:rPr>
          <w:sz w:val="16"/>
          <w:szCs w:val="16"/>
          <w:lang w:val="es-CR"/>
        </w:rPr>
        <w:t xml:space="preserve">) que no posee el mismo carácter imperioso y vinculante. Existe una fuerte tendencia a dotar a este </w:t>
      </w:r>
      <w:proofErr w:type="spellStart"/>
      <w:r w:rsidRPr="00A71CD3">
        <w:rPr>
          <w:sz w:val="16"/>
          <w:szCs w:val="16"/>
          <w:lang w:val="es-CR"/>
        </w:rPr>
        <w:t>soft</w:t>
      </w:r>
      <w:proofErr w:type="spellEnd"/>
      <w:r w:rsidRPr="00A71CD3">
        <w:rPr>
          <w:sz w:val="16"/>
          <w:szCs w:val="16"/>
          <w:lang w:val="es-CR"/>
        </w:rPr>
        <w:t xml:space="preserve"> </w:t>
      </w:r>
      <w:proofErr w:type="spellStart"/>
      <w:r w:rsidRPr="00A71CD3">
        <w:rPr>
          <w:sz w:val="16"/>
          <w:szCs w:val="16"/>
          <w:lang w:val="es-CR"/>
        </w:rPr>
        <w:t>law</w:t>
      </w:r>
      <w:proofErr w:type="spellEnd"/>
      <w:r w:rsidRPr="00A71CD3">
        <w:rPr>
          <w:sz w:val="16"/>
          <w:szCs w:val="16"/>
          <w:lang w:val="es-CR"/>
        </w:rPr>
        <w:t xml:space="preserve"> de creciente eficacia. </w:t>
      </w:r>
    </w:p>
  </w:footnote>
  <w:footnote w:id="353">
    <w:p w14:paraId="62479A19" w14:textId="77777777" w:rsidR="00B370D2" w:rsidRPr="00A71CD3" w:rsidRDefault="00B370D2" w:rsidP="00B370D2">
      <w:pPr>
        <w:pStyle w:val="FootnoteText"/>
        <w:rPr>
          <w:sz w:val="16"/>
          <w:szCs w:val="16"/>
        </w:rPr>
      </w:pPr>
      <w:r w:rsidRPr="00A71CD3">
        <w:rPr>
          <w:rStyle w:val="FootnoteReference"/>
          <w:sz w:val="16"/>
          <w:szCs w:val="16"/>
        </w:rPr>
        <w:footnoteRef/>
      </w:r>
      <w:r w:rsidRPr="00A71CD3">
        <w:rPr>
          <w:sz w:val="16"/>
          <w:szCs w:val="16"/>
        </w:rPr>
        <w:t xml:space="preserve"> </w:t>
      </w:r>
      <w:r w:rsidRPr="00A71CD3">
        <w:rPr>
          <w:sz w:val="16"/>
          <w:szCs w:val="16"/>
        </w:rPr>
        <w:tab/>
      </w:r>
      <w:r w:rsidRPr="00DB0D75">
        <w:rPr>
          <w:i/>
          <w:sz w:val="16"/>
          <w:szCs w:val="16"/>
        </w:rPr>
        <w:t>Cfr.</w:t>
      </w:r>
      <w:r w:rsidRPr="00A71CD3">
        <w:rPr>
          <w:sz w:val="16"/>
          <w:szCs w:val="16"/>
        </w:rPr>
        <w:t xml:space="preserve"> El derecho a la Información sobre la asistencia consular en el marco de las garantías del debido proceso legal. Opinión Consultiva OC-16/99, párr. 114, y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Opinión Consultiva OC22/16, párr.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5418"/>
      <w:docPartObj>
        <w:docPartGallery w:val="Page Numbers (Top of Page)"/>
        <w:docPartUnique/>
      </w:docPartObj>
    </w:sdtPr>
    <w:sdtEndPr>
      <w:rPr>
        <w:rFonts w:ascii="Verdana" w:hAnsi="Verdana"/>
        <w:noProof/>
        <w:sz w:val="20"/>
        <w:szCs w:val="20"/>
      </w:rPr>
    </w:sdtEndPr>
    <w:sdtContent>
      <w:p w14:paraId="51514B28" w14:textId="77777777" w:rsidR="003C025E" w:rsidRDefault="003C025E" w:rsidP="00383565">
        <w:pPr>
          <w:pStyle w:val="Header"/>
          <w:jc w:val="center"/>
        </w:pPr>
        <w:r w:rsidRPr="000214BA">
          <w:rPr>
            <w:rFonts w:ascii="Verdana" w:hAnsi="Verdana"/>
            <w:sz w:val="20"/>
            <w:szCs w:val="20"/>
          </w:rPr>
          <w:fldChar w:fldCharType="begin"/>
        </w:r>
        <w:r w:rsidRPr="000214BA">
          <w:rPr>
            <w:rFonts w:ascii="Verdana" w:hAnsi="Verdana"/>
            <w:sz w:val="20"/>
            <w:szCs w:val="20"/>
          </w:rPr>
          <w:instrText xml:space="preserve"> PAGE   \* MERGEFORMAT </w:instrText>
        </w:r>
        <w:r w:rsidRPr="000214BA">
          <w:rPr>
            <w:rFonts w:ascii="Verdana" w:hAnsi="Verdana"/>
            <w:sz w:val="20"/>
            <w:szCs w:val="20"/>
          </w:rPr>
          <w:fldChar w:fldCharType="separate"/>
        </w:r>
        <w:r w:rsidR="00BE7922">
          <w:rPr>
            <w:rFonts w:ascii="Verdana" w:hAnsi="Verdana"/>
            <w:noProof/>
            <w:sz w:val="20"/>
            <w:szCs w:val="20"/>
          </w:rPr>
          <w:t>81</w:t>
        </w:r>
        <w:r w:rsidRPr="000214BA">
          <w:rPr>
            <w:rFonts w:ascii="Verdana" w:hAnsi="Verdana"/>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3E4E" w14:textId="44DFDE80" w:rsidR="003C025E" w:rsidRPr="000214BA" w:rsidRDefault="003C025E" w:rsidP="005415CD">
    <w:pPr>
      <w:pStyle w:val="Header"/>
      <w:tabs>
        <w:tab w:val="center" w:pos="8931"/>
        <w:tab w:val="left" w:pos="9498"/>
        <w:tab w:val="left" w:pos="9639"/>
        <w:tab w:val="right" w:pos="10065"/>
      </w:tabs>
      <w:rPr>
        <w:lang w:val="es-C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820299137"/>
      <w:docPartObj>
        <w:docPartGallery w:val="Page Numbers (Top of Page)"/>
        <w:docPartUnique/>
      </w:docPartObj>
    </w:sdtPr>
    <w:sdtEndPr>
      <w:rPr>
        <w:noProof/>
      </w:rPr>
    </w:sdtEndPr>
    <w:sdtContent>
      <w:p w14:paraId="6FEFA91D" w14:textId="77777777" w:rsidR="00DD607A" w:rsidRPr="008F2B34" w:rsidRDefault="004F68AF">
        <w:pPr>
          <w:pStyle w:val="Header"/>
          <w:jc w:val="center"/>
          <w:rPr>
            <w:rFonts w:ascii="Verdana" w:hAnsi="Verdana"/>
          </w:rPr>
        </w:pPr>
        <w:r>
          <w:rPr>
            <w:rFonts w:ascii="Verdana" w:hAnsi="Verdana"/>
          </w:rPr>
          <w:t>-</w:t>
        </w:r>
        <w:r w:rsidRPr="008F2B34">
          <w:rPr>
            <w:rFonts w:ascii="Verdana" w:hAnsi="Verdana"/>
          </w:rPr>
          <w:fldChar w:fldCharType="begin"/>
        </w:r>
        <w:r w:rsidRPr="008F2B34">
          <w:rPr>
            <w:rFonts w:ascii="Verdana" w:hAnsi="Verdana"/>
          </w:rPr>
          <w:instrText xml:space="preserve"> PAGE   \* MERGEFORMAT </w:instrText>
        </w:r>
        <w:r w:rsidRPr="008F2B34">
          <w:rPr>
            <w:rFonts w:ascii="Verdana" w:hAnsi="Verdana"/>
          </w:rPr>
          <w:fldChar w:fldCharType="separate"/>
        </w:r>
        <w:r w:rsidR="00BE7922">
          <w:rPr>
            <w:rFonts w:ascii="Verdana" w:hAnsi="Verdana"/>
            <w:noProof/>
          </w:rPr>
          <w:t>2</w:t>
        </w:r>
        <w:r w:rsidRPr="008F2B34">
          <w:rPr>
            <w:rFonts w:ascii="Verdana" w:hAnsi="Verdana"/>
            <w:noProof/>
          </w:rPr>
          <w:fldChar w:fldCharType="end"/>
        </w:r>
        <w:r>
          <w:rPr>
            <w:rFonts w:ascii="Verdana" w:hAnsi="Verdana"/>
            <w:noProof/>
          </w:rPr>
          <w:t>-</w:t>
        </w:r>
      </w:p>
    </w:sdtContent>
  </w:sdt>
  <w:p w14:paraId="5837BD49" w14:textId="77777777" w:rsidR="00DD607A" w:rsidRDefault="00BE7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0E973D3"/>
    <w:multiLevelType w:val="hybridMultilevel"/>
    <w:tmpl w:val="6128D9BA"/>
    <w:lvl w:ilvl="0" w:tplc="140A0013">
      <w:start w:val="1"/>
      <w:numFmt w:val="upperRoman"/>
      <w:lvlText w:val="%1."/>
      <w:lvlJc w:val="righ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
    <w:nsid w:val="1592333A"/>
    <w:multiLevelType w:val="hybridMultilevel"/>
    <w:tmpl w:val="5D5C0794"/>
    <w:lvl w:ilvl="0" w:tplc="9FFE7D72">
      <w:start w:val="1"/>
      <w:numFmt w:val="decimal"/>
      <w:lvlText w:val="%1."/>
      <w:lvlJc w:val="left"/>
      <w:pPr>
        <w:ind w:left="360" w:hanging="360"/>
      </w:pPr>
      <w:rPr>
        <w:b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B7775"/>
    <w:multiLevelType w:val="hybridMultilevel"/>
    <w:tmpl w:val="0860B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146EE"/>
    <w:multiLevelType w:val="hybridMultilevel"/>
    <w:tmpl w:val="BF50F62E"/>
    <w:lvl w:ilvl="0" w:tplc="ECB22588">
      <w:start w:val="42"/>
      <w:numFmt w:val="decimal"/>
      <w:lvlText w:val="%1."/>
      <w:lvlJc w:val="left"/>
      <w:pPr>
        <w:ind w:left="825" w:hanging="825"/>
      </w:pPr>
      <w:rPr>
        <w:rFonts w:ascii="Verdana" w:eastAsia="Verdana" w:hAnsi="Verdana"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A74DB"/>
    <w:multiLevelType w:val="hybridMultilevel"/>
    <w:tmpl w:val="94ECBB18"/>
    <w:lvl w:ilvl="0" w:tplc="140A000F">
      <w:start w:val="1"/>
      <w:numFmt w:val="decimal"/>
      <w:lvlText w:val="%1."/>
      <w:lvlJc w:val="left"/>
      <w:pPr>
        <w:ind w:left="2407" w:hanging="360"/>
      </w:pPr>
    </w:lvl>
    <w:lvl w:ilvl="1" w:tplc="140A0019" w:tentative="1">
      <w:start w:val="1"/>
      <w:numFmt w:val="lowerLetter"/>
      <w:lvlText w:val="%2."/>
      <w:lvlJc w:val="left"/>
      <w:pPr>
        <w:ind w:left="3127" w:hanging="360"/>
      </w:pPr>
    </w:lvl>
    <w:lvl w:ilvl="2" w:tplc="140A001B" w:tentative="1">
      <w:start w:val="1"/>
      <w:numFmt w:val="lowerRoman"/>
      <w:lvlText w:val="%3."/>
      <w:lvlJc w:val="right"/>
      <w:pPr>
        <w:ind w:left="3847" w:hanging="180"/>
      </w:pPr>
    </w:lvl>
    <w:lvl w:ilvl="3" w:tplc="140A000F" w:tentative="1">
      <w:start w:val="1"/>
      <w:numFmt w:val="decimal"/>
      <w:lvlText w:val="%4."/>
      <w:lvlJc w:val="left"/>
      <w:pPr>
        <w:ind w:left="4567" w:hanging="360"/>
      </w:pPr>
    </w:lvl>
    <w:lvl w:ilvl="4" w:tplc="140A0019" w:tentative="1">
      <w:start w:val="1"/>
      <w:numFmt w:val="lowerLetter"/>
      <w:lvlText w:val="%5."/>
      <w:lvlJc w:val="left"/>
      <w:pPr>
        <w:ind w:left="5287" w:hanging="360"/>
      </w:pPr>
    </w:lvl>
    <w:lvl w:ilvl="5" w:tplc="140A001B" w:tentative="1">
      <w:start w:val="1"/>
      <w:numFmt w:val="lowerRoman"/>
      <w:lvlText w:val="%6."/>
      <w:lvlJc w:val="right"/>
      <w:pPr>
        <w:ind w:left="6007" w:hanging="180"/>
      </w:pPr>
    </w:lvl>
    <w:lvl w:ilvl="6" w:tplc="140A000F" w:tentative="1">
      <w:start w:val="1"/>
      <w:numFmt w:val="decimal"/>
      <w:lvlText w:val="%7."/>
      <w:lvlJc w:val="left"/>
      <w:pPr>
        <w:ind w:left="6727" w:hanging="360"/>
      </w:pPr>
    </w:lvl>
    <w:lvl w:ilvl="7" w:tplc="140A0019" w:tentative="1">
      <w:start w:val="1"/>
      <w:numFmt w:val="lowerLetter"/>
      <w:lvlText w:val="%8."/>
      <w:lvlJc w:val="left"/>
      <w:pPr>
        <w:ind w:left="7447" w:hanging="360"/>
      </w:pPr>
    </w:lvl>
    <w:lvl w:ilvl="8" w:tplc="140A001B" w:tentative="1">
      <w:start w:val="1"/>
      <w:numFmt w:val="lowerRoman"/>
      <w:lvlText w:val="%9."/>
      <w:lvlJc w:val="right"/>
      <w:pPr>
        <w:ind w:left="8167" w:hanging="180"/>
      </w:pPr>
    </w:lvl>
  </w:abstractNum>
  <w:abstractNum w:abstractNumId="6">
    <w:nsid w:val="2D095EE0"/>
    <w:multiLevelType w:val="hybridMultilevel"/>
    <w:tmpl w:val="EAE0492E"/>
    <w:lvl w:ilvl="0" w:tplc="140A0017">
      <w:start w:val="1"/>
      <w:numFmt w:val="lowerLetter"/>
      <w:lvlText w:val="%1)"/>
      <w:lvlJc w:val="left"/>
      <w:pPr>
        <w:ind w:left="630" w:hanging="360"/>
      </w:pPr>
    </w:lvl>
    <w:lvl w:ilvl="1" w:tplc="140A0019" w:tentative="1">
      <w:start w:val="1"/>
      <w:numFmt w:val="lowerLetter"/>
      <w:lvlText w:val="%2."/>
      <w:lvlJc w:val="left"/>
      <w:pPr>
        <w:ind w:left="1350" w:hanging="360"/>
      </w:pPr>
    </w:lvl>
    <w:lvl w:ilvl="2" w:tplc="140A001B" w:tentative="1">
      <w:start w:val="1"/>
      <w:numFmt w:val="lowerRoman"/>
      <w:lvlText w:val="%3."/>
      <w:lvlJc w:val="right"/>
      <w:pPr>
        <w:ind w:left="2070" w:hanging="180"/>
      </w:pPr>
    </w:lvl>
    <w:lvl w:ilvl="3" w:tplc="140A000F" w:tentative="1">
      <w:start w:val="1"/>
      <w:numFmt w:val="decimal"/>
      <w:lvlText w:val="%4."/>
      <w:lvlJc w:val="left"/>
      <w:pPr>
        <w:ind w:left="2790" w:hanging="360"/>
      </w:pPr>
    </w:lvl>
    <w:lvl w:ilvl="4" w:tplc="140A0019" w:tentative="1">
      <w:start w:val="1"/>
      <w:numFmt w:val="lowerLetter"/>
      <w:lvlText w:val="%5."/>
      <w:lvlJc w:val="left"/>
      <w:pPr>
        <w:ind w:left="3510" w:hanging="360"/>
      </w:pPr>
    </w:lvl>
    <w:lvl w:ilvl="5" w:tplc="140A001B" w:tentative="1">
      <w:start w:val="1"/>
      <w:numFmt w:val="lowerRoman"/>
      <w:lvlText w:val="%6."/>
      <w:lvlJc w:val="right"/>
      <w:pPr>
        <w:ind w:left="4230" w:hanging="180"/>
      </w:pPr>
    </w:lvl>
    <w:lvl w:ilvl="6" w:tplc="140A000F" w:tentative="1">
      <w:start w:val="1"/>
      <w:numFmt w:val="decimal"/>
      <w:lvlText w:val="%7."/>
      <w:lvlJc w:val="left"/>
      <w:pPr>
        <w:ind w:left="4950" w:hanging="360"/>
      </w:pPr>
    </w:lvl>
    <w:lvl w:ilvl="7" w:tplc="140A0019" w:tentative="1">
      <w:start w:val="1"/>
      <w:numFmt w:val="lowerLetter"/>
      <w:lvlText w:val="%8."/>
      <w:lvlJc w:val="left"/>
      <w:pPr>
        <w:ind w:left="5670" w:hanging="360"/>
      </w:pPr>
    </w:lvl>
    <w:lvl w:ilvl="8" w:tplc="140A001B" w:tentative="1">
      <w:start w:val="1"/>
      <w:numFmt w:val="lowerRoman"/>
      <w:lvlText w:val="%9."/>
      <w:lvlJc w:val="right"/>
      <w:pPr>
        <w:ind w:left="6390" w:hanging="180"/>
      </w:pPr>
    </w:lvl>
  </w:abstractNum>
  <w:abstractNum w:abstractNumId="7">
    <w:nsid w:val="2E872B63"/>
    <w:multiLevelType w:val="hybridMultilevel"/>
    <w:tmpl w:val="77C43ED4"/>
    <w:lvl w:ilvl="0" w:tplc="140A000F">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8">
    <w:nsid w:val="2F994D82"/>
    <w:multiLevelType w:val="multilevel"/>
    <w:tmpl w:val="0D7EE0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9">
    <w:nsid w:val="305866C9"/>
    <w:multiLevelType w:val="hybridMultilevel"/>
    <w:tmpl w:val="6B120C9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34237BB"/>
    <w:multiLevelType w:val="hybridMultilevel"/>
    <w:tmpl w:val="6B120C9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8846AB7"/>
    <w:multiLevelType w:val="hybridMultilevel"/>
    <w:tmpl w:val="744046D6"/>
    <w:lvl w:ilvl="0" w:tplc="E0B63F4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957786C"/>
    <w:multiLevelType w:val="hybridMultilevel"/>
    <w:tmpl w:val="59464F3A"/>
    <w:lvl w:ilvl="0" w:tplc="E5103F26">
      <w:start w:val="1"/>
      <w:numFmt w:val="lowerLetter"/>
      <w:lvlText w:val="%1)"/>
      <w:lvlJc w:val="left"/>
      <w:pPr>
        <w:ind w:left="786"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CE144EC"/>
    <w:multiLevelType w:val="hybridMultilevel"/>
    <w:tmpl w:val="22D6D010"/>
    <w:lvl w:ilvl="0" w:tplc="88C44CC4">
      <w:start w:val="1"/>
      <w:numFmt w:val="upperLetter"/>
      <w:pStyle w:val="Heading2"/>
      <w:lvlText w:val="%1."/>
      <w:lvlJc w:val="left"/>
      <w:pPr>
        <w:ind w:left="1068" w:hanging="360"/>
      </w:pPr>
      <w:rPr>
        <w:b/>
      </w:rPr>
    </w:lvl>
    <w:lvl w:ilvl="1" w:tplc="140A000F">
      <w:start w:val="1"/>
      <w:numFmt w:val="decimal"/>
      <w:lvlText w:val="%2."/>
      <w:lvlJc w:val="left"/>
      <w:pPr>
        <w:ind w:left="1788" w:hanging="360"/>
      </w:pPr>
    </w:lvl>
    <w:lvl w:ilvl="2" w:tplc="750811A8">
      <w:start w:val="1"/>
      <w:numFmt w:val="lowerRoman"/>
      <w:lvlText w:val="%3."/>
      <w:lvlJc w:val="right"/>
      <w:pPr>
        <w:ind w:left="2508" w:hanging="180"/>
      </w:pPr>
    </w:lvl>
    <w:lvl w:ilvl="3" w:tplc="140A0015">
      <w:start w:val="1"/>
      <w:numFmt w:val="upperLetter"/>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80830A9"/>
    <w:multiLevelType w:val="hybridMultilevel"/>
    <w:tmpl w:val="59464F3A"/>
    <w:lvl w:ilvl="0" w:tplc="E5103F26">
      <w:start w:val="1"/>
      <w:numFmt w:val="lowerLetter"/>
      <w:lvlText w:val="%1)"/>
      <w:lvlJc w:val="left"/>
      <w:pPr>
        <w:ind w:left="2484" w:hanging="360"/>
      </w:pPr>
      <w:rPr>
        <w:rFonts w:hint="default"/>
        <w:i/>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6">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17">
    <w:nsid w:val="590E2BBA"/>
    <w:multiLevelType w:val="hybridMultilevel"/>
    <w:tmpl w:val="663C65EC"/>
    <w:lvl w:ilvl="0" w:tplc="140A000F">
      <w:start w:val="1"/>
      <w:numFmt w:val="decimal"/>
      <w:lvlText w:val="%1."/>
      <w:lvlJc w:val="left"/>
      <w:pPr>
        <w:ind w:left="2407" w:hanging="360"/>
      </w:pPr>
    </w:lvl>
    <w:lvl w:ilvl="1" w:tplc="140A0019" w:tentative="1">
      <w:start w:val="1"/>
      <w:numFmt w:val="lowerLetter"/>
      <w:lvlText w:val="%2."/>
      <w:lvlJc w:val="left"/>
      <w:pPr>
        <w:ind w:left="3127" w:hanging="360"/>
      </w:pPr>
    </w:lvl>
    <w:lvl w:ilvl="2" w:tplc="140A001B" w:tentative="1">
      <w:start w:val="1"/>
      <w:numFmt w:val="lowerRoman"/>
      <w:lvlText w:val="%3."/>
      <w:lvlJc w:val="right"/>
      <w:pPr>
        <w:ind w:left="3847" w:hanging="180"/>
      </w:pPr>
    </w:lvl>
    <w:lvl w:ilvl="3" w:tplc="140A000F" w:tentative="1">
      <w:start w:val="1"/>
      <w:numFmt w:val="decimal"/>
      <w:lvlText w:val="%4."/>
      <w:lvlJc w:val="left"/>
      <w:pPr>
        <w:ind w:left="4567" w:hanging="360"/>
      </w:pPr>
    </w:lvl>
    <w:lvl w:ilvl="4" w:tplc="140A0019" w:tentative="1">
      <w:start w:val="1"/>
      <w:numFmt w:val="lowerLetter"/>
      <w:lvlText w:val="%5."/>
      <w:lvlJc w:val="left"/>
      <w:pPr>
        <w:ind w:left="5287" w:hanging="360"/>
      </w:pPr>
    </w:lvl>
    <w:lvl w:ilvl="5" w:tplc="140A001B" w:tentative="1">
      <w:start w:val="1"/>
      <w:numFmt w:val="lowerRoman"/>
      <w:lvlText w:val="%6."/>
      <w:lvlJc w:val="right"/>
      <w:pPr>
        <w:ind w:left="6007" w:hanging="180"/>
      </w:pPr>
    </w:lvl>
    <w:lvl w:ilvl="6" w:tplc="140A000F" w:tentative="1">
      <w:start w:val="1"/>
      <w:numFmt w:val="decimal"/>
      <w:lvlText w:val="%7."/>
      <w:lvlJc w:val="left"/>
      <w:pPr>
        <w:ind w:left="6727" w:hanging="360"/>
      </w:pPr>
    </w:lvl>
    <w:lvl w:ilvl="7" w:tplc="140A0019" w:tentative="1">
      <w:start w:val="1"/>
      <w:numFmt w:val="lowerLetter"/>
      <w:lvlText w:val="%8."/>
      <w:lvlJc w:val="left"/>
      <w:pPr>
        <w:ind w:left="7447" w:hanging="360"/>
      </w:pPr>
    </w:lvl>
    <w:lvl w:ilvl="8" w:tplc="140A001B" w:tentative="1">
      <w:start w:val="1"/>
      <w:numFmt w:val="lowerRoman"/>
      <w:lvlText w:val="%9."/>
      <w:lvlJc w:val="right"/>
      <w:pPr>
        <w:ind w:left="8167" w:hanging="180"/>
      </w:pPr>
    </w:lvl>
  </w:abstractNum>
  <w:abstractNum w:abstractNumId="18">
    <w:nsid w:val="5A204743"/>
    <w:multiLevelType w:val="hybridMultilevel"/>
    <w:tmpl w:val="77C43ED4"/>
    <w:lvl w:ilvl="0" w:tplc="140A000F">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19">
    <w:nsid w:val="76753A80"/>
    <w:multiLevelType w:val="hybridMultilevel"/>
    <w:tmpl w:val="82E06D80"/>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68C6F5F2">
      <w:start w:val="1"/>
      <w:numFmt w:val="upperLetter"/>
      <w:lvlText w:val="%4."/>
      <w:lvlJc w:val="left"/>
      <w:pPr>
        <w:ind w:left="3083" w:hanging="705"/>
      </w:pPr>
      <w:rPr>
        <w:rFonts w:hint="default"/>
      </w:r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0">
    <w:nsid w:val="79354707"/>
    <w:multiLevelType w:val="hybridMultilevel"/>
    <w:tmpl w:val="A6E41CB0"/>
    <w:lvl w:ilvl="0" w:tplc="D406991C">
      <w:start w:val="1"/>
      <w:numFmt w:val="decimal"/>
      <w:lvlText w:val="%1."/>
      <w:lvlJc w:val="left"/>
      <w:pPr>
        <w:ind w:left="825" w:hanging="825"/>
      </w:pPr>
      <w:rPr>
        <w:rFonts w:ascii="Verdana" w:eastAsia="Verdana" w:hAnsi="Verdana" w:cs="Times New Roman" w:hint="default"/>
        <w:b w:val="0"/>
        <w:i w:val="0"/>
        <w:color w:val="auto"/>
        <w:sz w:val="20"/>
        <w:szCs w:val="20"/>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nsid w:val="7C2D1FE5"/>
    <w:multiLevelType w:val="hybridMultilevel"/>
    <w:tmpl w:val="8EF6EB3C"/>
    <w:lvl w:ilvl="0" w:tplc="399A4540">
      <w:start w:val="1"/>
      <w:numFmt w:val="decimal"/>
      <w:lvlText w:val="%1."/>
      <w:lvlJc w:val="left"/>
      <w:pPr>
        <w:ind w:left="360" w:hanging="360"/>
      </w:pPr>
      <w:rPr>
        <w:rFonts w:ascii="Verdana" w:hAnsi="Verdana" w:hint="default"/>
        <w:b w:val="0"/>
        <w:i w:val="0"/>
        <w:strike w:val="0"/>
        <w:dstrike w:val="0"/>
        <w:color w:val="auto"/>
        <w:sz w:val="20"/>
        <w:szCs w:val="20"/>
        <w:u w:val="none"/>
        <w:effect w:val="no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nsid w:val="7CE64D32"/>
    <w:multiLevelType w:val="hybridMultilevel"/>
    <w:tmpl w:val="9F8AF72C"/>
    <w:lvl w:ilvl="0" w:tplc="B09255D8">
      <w:start w:val="1"/>
      <w:numFmt w:val="decimal"/>
      <w:lvlText w:val="%1."/>
      <w:lvlJc w:val="left"/>
      <w:pPr>
        <w:tabs>
          <w:tab w:val="num" w:pos="0"/>
        </w:tabs>
        <w:ind w:left="0" w:firstLine="0"/>
      </w:pPr>
      <w:rPr>
        <w:rFonts w:ascii="Verdana" w:eastAsia="Times New Roman" w:hAnsi="Verdana" w:cs="Times New Roman" w:hint="default"/>
        <w:b w:val="0"/>
        <w:i w:val="0"/>
        <w:strike w:val="0"/>
        <w:dstrike w:val="0"/>
        <w:color w:val="auto"/>
        <w:sz w:val="20"/>
        <w:u w:val="none"/>
        <w:effect w:val="none"/>
        <w:lang w:val="es-CO"/>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dstrike w:val="0"/>
        <w:color w:val="auto"/>
        <w:sz w:val="20"/>
        <w:u w:val="none"/>
        <w:effect w:val="none"/>
        <w:lang w:val="es-C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F5652C1"/>
    <w:multiLevelType w:val="hybridMultilevel"/>
    <w:tmpl w:val="FCBA338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F611009"/>
    <w:multiLevelType w:val="hybridMultilevel"/>
    <w:tmpl w:val="5E009AE8"/>
    <w:lvl w:ilvl="0" w:tplc="0114A58C">
      <w:start w:val="29"/>
      <w:numFmt w:val="bullet"/>
      <w:lvlText w:val="-"/>
      <w:lvlJc w:val="left"/>
      <w:pPr>
        <w:ind w:left="360" w:hanging="360"/>
      </w:pPr>
      <w:rPr>
        <w:rFonts w:ascii="Verdana" w:eastAsia="Times New Roman" w:hAnsi="Verdana"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1"/>
  </w:num>
  <w:num w:numId="7">
    <w:abstractNumId w:val="13"/>
  </w:num>
  <w:num w:numId="8">
    <w:abstractNumId w:val="3"/>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4"/>
  </w:num>
  <w:num w:numId="15">
    <w:abstractNumId w:val="8"/>
  </w:num>
  <w:num w:numId="16">
    <w:abstractNumId w:val="12"/>
  </w:num>
  <w:num w:numId="17">
    <w:abstractNumId w:val="6"/>
  </w:num>
  <w:num w:numId="18">
    <w:abstractNumId w:val="13"/>
    <w:lvlOverride w:ilvl="0">
      <w:startOverride w:val="1"/>
    </w:lvlOverride>
  </w:num>
  <w:num w:numId="19">
    <w:abstractNumId w:val="7"/>
  </w:num>
  <w:num w:numId="20">
    <w:abstractNumId w:val="18"/>
  </w:num>
  <w:num w:numId="21">
    <w:abstractNumId w:val="13"/>
    <w:lvlOverride w:ilvl="0">
      <w:startOverride w:val="1"/>
    </w:lvlOverride>
  </w:num>
  <w:num w:numId="22">
    <w:abstractNumId w:val="15"/>
  </w:num>
  <w:num w:numId="23">
    <w:abstractNumId w:val="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0"/>
  </w:num>
  <w:num w:numId="27">
    <w:abstractNumId w:val="9"/>
  </w:num>
  <w:num w:numId="28">
    <w:abstractNumId w:val="4"/>
  </w:num>
  <w:num w:numId="29">
    <w:abstractNumId w:val="11"/>
  </w:num>
  <w:num w:numId="30">
    <w:abstractNumId w:val="24"/>
  </w:num>
  <w:num w:numId="31">
    <w:abstractNumId w:val="1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IdMacAtCleanup w:val="2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a vargas climent">
    <w15:presenceInfo w15:providerId="Windows Live" w15:userId="f764d91fc2329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4096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DD"/>
    <w:rsid w:val="00000131"/>
    <w:rsid w:val="0000041A"/>
    <w:rsid w:val="00000433"/>
    <w:rsid w:val="0000057A"/>
    <w:rsid w:val="000005DD"/>
    <w:rsid w:val="00000D64"/>
    <w:rsid w:val="000012D8"/>
    <w:rsid w:val="000013E8"/>
    <w:rsid w:val="00001866"/>
    <w:rsid w:val="0000214E"/>
    <w:rsid w:val="000026ED"/>
    <w:rsid w:val="00002BD1"/>
    <w:rsid w:val="000041B7"/>
    <w:rsid w:val="0000442C"/>
    <w:rsid w:val="00004B34"/>
    <w:rsid w:val="00004B71"/>
    <w:rsid w:val="00004CCB"/>
    <w:rsid w:val="000055DC"/>
    <w:rsid w:val="000064FD"/>
    <w:rsid w:val="00007977"/>
    <w:rsid w:val="00007D98"/>
    <w:rsid w:val="0001019C"/>
    <w:rsid w:val="00010CFA"/>
    <w:rsid w:val="00011543"/>
    <w:rsid w:val="0001173B"/>
    <w:rsid w:val="00011740"/>
    <w:rsid w:val="00011DD0"/>
    <w:rsid w:val="000122E9"/>
    <w:rsid w:val="00012B33"/>
    <w:rsid w:val="00012D32"/>
    <w:rsid w:val="000136CC"/>
    <w:rsid w:val="00013978"/>
    <w:rsid w:val="00014157"/>
    <w:rsid w:val="000147D2"/>
    <w:rsid w:val="00014DDD"/>
    <w:rsid w:val="0001567D"/>
    <w:rsid w:val="00015E21"/>
    <w:rsid w:val="00016122"/>
    <w:rsid w:val="00016220"/>
    <w:rsid w:val="0001661C"/>
    <w:rsid w:val="000166FA"/>
    <w:rsid w:val="00016B6D"/>
    <w:rsid w:val="000170FA"/>
    <w:rsid w:val="00017359"/>
    <w:rsid w:val="000173E2"/>
    <w:rsid w:val="000174AE"/>
    <w:rsid w:val="00017C10"/>
    <w:rsid w:val="000203F0"/>
    <w:rsid w:val="00020A9A"/>
    <w:rsid w:val="000214BA"/>
    <w:rsid w:val="000219C5"/>
    <w:rsid w:val="00021BE1"/>
    <w:rsid w:val="00022FA6"/>
    <w:rsid w:val="00023342"/>
    <w:rsid w:val="00023643"/>
    <w:rsid w:val="00024506"/>
    <w:rsid w:val="000251CE"/>
    <w:rsid w:val="00025E57"/>
    <w:rsid w:val="000262AD"/>
    <w:rsid w:val="000272DF"/>
    <w:rsid w:val="000277A2"/>
    <w:rsid w:val="000279A8"/>
    <w:rsid w:val="00030828"/>
    <w:rsid w:val="00030D94"/>
    <w:rsid w:val="00030E2E"/>
    <w:rsid w:val="00030FED"/>
    <w:rsid w:val="000315FE"/>
    <w:rsid w:val="0003189C"/>
    <w:rsid w:val="00031D84"/>
    <w:rsid w:val="00031DB1"/>
    <w:rsid w:val="0003268B"/>
    <w:rsid w:val="00032981"/>
    <w:rsid w:val="00032C84"/>
    <w:rsid w:val="00032E6D"/>
    <w:rsid w:val="000339A2"/>
    <w:rsid w:val="00033DD8"/>
    <w:rsid w:val="00034C26"/>
    <w:rsid w:val="000360B5"/>
    <w:rsid w:val="000364C5"/>
    <w:rsid w:val="00036856"/>
    <w:rsid w:val="0003709D"/>
    <w:rsid w:val="00037611"/>
    <w:rsid w:val="00037A15"/>
    <w:rsid w:val="000403BA"/>
    <w:rsid w:val="00040BA7"/>
    <w:rsid w:val="000412C5"/>
    <w:rsid w:val="000423C6"/>
    <w:rsid w:val="00042C39"/>
    <w:rsid w:val="00042D8A"/>
    <w:rsid w:val="000435D5"/>
    <w:rsid w:val="0004360F"/>
    <w:rsid w:val="00043B83"/>
    <w:rsid w:val="00044325"/>
    <w:rsid w:val="00045B83"/>
    <w:rsid w:val="000470EB"/>
    <w:rsid w:val="00047A3B"/>
    <w:rsid w:val="0005049A"/>
    <w:rsid w:val="00050799"/>
    <w:rsid w:val="0005131A"/>
    <w:rsid w:val="00051707"/>
    <w:rsid w:val="00051985"/>
    <w:rsid w:val="00051F3F"/>
    <w:rsid w:val="000525AA"/>
    <w:rsid w:val="00053076"/>
    <w:rsid w:val="00053475"/>
    <w:rsid w:val="00053B96"/>
    <w:rsid w:val="00053DEB"/>
    <w:rsid w:val="000542BC"/>
    <w:rsid w:val="0005490E"/>
    <w:rsid w:val="0005494C"/>
    <w:rsid w:val="00055759"/>
    <w:rsid w:val="00055993"/>
    <w:rsid w:val="000565E4"/>
    <w:rsid w:val="0005710F"/>
    <w:rsid w:val="000572F7"/>
    <w:rsid w:val="00057F48"/>
    <w:rsid w:val="00057F8B"/>
    <w:rsid w:val="00060589"/>
    <w:rsid w:val="00060FFF"/>
    <w:rsid w:val="00062285"/>
    <w:rsid w:val="00062586"/>
    <w:rsid w:val="0006464E"/>
    <w:rsid w:val="000650AB"/>
    <w:rsid w:val="0006522F"/>
    <w:rsid w:val="000663FA"/>
    <w:rsid w:val="00066D4A"/>
    <w:rsid w:val="00067E98"/>
    <w:rsid w:val="000700F9"/>
    <w:rsid w:val="000704CD"/>
    <w:rsid w:val="00070941"/>
    <w:rsid w:val="00071A93"/>
    <w:rsid w:val="00071FF3"/>
    <w:rsid w:val="00072121"/>
    <w:rsid w:val="000723CB"/>
    <w:rsid w:val="000732AE"/>
    <w:rsid w:val="00073A86"/>
    <w:rsid w:val="00073ECE"/>
    <w:rsid w:val="0007433C"/>
    <w:rsid w:val="00074D55"/>
    <w:rsid w:val="00074DBF"/>
    <w:rsid w:val="0007552A"/>
    <w:rsid w:val="00075585"/>
    <w:rsid w:val="00075931"/>
    <w:rsid w:val="00075B12"/>
    <w:rsid w:val="000775B9"/>
    <w:rsid w:val="000776E8"/>
    <w:rsid w:val="000804BE"/>
    <w:rsid w:val="00080C65"/>
    <w:rsid w:val="00080CCE"/>
    <w:rsid w:val="0008155F"/>
    <w:rsid w:val="00082225"/>
    <w:rsid w:val="00082283"/>
    <w:rsid w:val="00082399"/>
    <w:rsid w:val="000826E8"/>
    <w:rsid w:val="00082A67"/>
    <w:rsid w:val="00082AC3"/>
    <w:rsid w:val="00084003"/>
    <w:rsid w:val="00084D8C"/>
    <w:rsid w:val="000852DF"/>
    <w:rsid w:val="00085704"/>
    <w:rsid w:val="00085BDD"/>
    <w:rsid w:val="00085C23"/>
    <w:rsid w:val="00085FE6"/>
    <w:rsid w:val="00086920"/>
    <w:rsid w:val="00086B49"/>
    <w:rsid w:val="00086B4C"/>
    <w:rsid w:val="00086DFF"/>
    <w:rsid w:val="00090F6D"/>
    <w:rsid w:val="00091418"/>
    <w:rsid w:val="00091F07"/>
    <w:rsid w:val="00092361"/>
    <w:rsid w:val="00092CBD"/>
    <w:rsid w:val="000932A6"/>
    <w:rsid w:val="000937EB"/>
    <w:rsid w:val="00094003"/>
    <w:rsid w:val="0009464E"/>
    <w:rsid w:val="00094BE6"/>
    <w:rsid w:val="000951AE"/>
    <w:rsid w:val="00097021"/>
    <w:rsid w:val="000977B9"/>
    <w:rsid w:val="000A0FEB"/>
    <w:rsid w:val="000A19C2"/>
    <w:rsid w:val="000A1D79"/>
    <w:rsid w:val="000A257A"/>
    <w:rsid w:val="000A30A9"/>
    <w:rsid w:val="000A373E"/>
    <w:rsid w:val="000A4835"/>
    <w:rsid w:val="000A5483"/>
    <w:rsid w:val="000A5E7C"/>
    <w:rsid w:val="000A6094"/>
    <w:rsid w:val="000A6BEC"/>
    <w:rsid w:val="000A6D89"/>
    <w:rsid w:val="000A701A"/>
    <w:rsid w:val="000A72F5"/>
    <w:rsid w:val="000A7774"/>
    <w:rsid w:val="000A7866"/>
    <w:rsid w:val="000A7CBB"/>
    <w:rsid w:val="000B0801"/>
    <w:rsid w:val="000B08FF"/>
    <w:rsid w:val="000B0D9C"/>
    <w:rsid w:val="000B12F8"/>
    <w:rsid w:val="000B18D8"/>
    <w:rsid w:val="000B1D4F"/>
    <w:rsid w:val="000B1E30"/>
    <w:rsid w:val="000B2169"/>
    <w:rsid w:val="000B252B"/>
    <w:rsid w:val="000B285B"/>
    <w:rsid w:val="000B2DC8"/>
    <w:rsid w:val="000B4230"/>
    <w:rsid w:val="000B50C1"/>
    <w:rsid w:val="000B5D06"/>
    <w:rsid w:val="000B6B01"/>
    <w:rsid w:val="000B6E81"/>
    <w:rsid w:val="000B7373"/>
    <w:rsid w:val="000B747A"/>
    <w:rsid w:val="000C0406"/>
    <w:rsid w:val="000C1B19"/>
    <w:rsid w:val="000C1FFD"/>
    <w:rsid w:val="000C2265"/>
    <w:rsid w:val="000C2E18"/>
    <w:rsid w:val="000C3041"/>
    <w:rsid w:val="000C307C"/>
    <w:rsid w:val="000C3436"/>
    <w:rsid w:val="000C3D54"/>
    <w:rsid w:val="000C3DF5"/>
    <w:rsid w:val="000C44D9"/>
    <w:rsid w:val="000C49C6"/>
    <w:rsid w:val="000C4D4F"/>
    <w:rsid w:val="000C54B0"/>
    <w:rsid w:val="000C5821"/>
    <w:rsid w:val="000C5D8A"/>
    <w:rsid w:val="000C69ED"/>
    <w:rsid w:val="000C7C05"/>
    <w:rsid w:val="000D021C"/>
    <w:rsid w:val="000D0359"/>
    <w:rsid w:val="000D080E"/>
    <w:rsid w:val="000D0AE0"/>
    <w:rsid w:val="000D11D5"/>
    <w:rsid w:val="000D1638"/>
    <w:rsid w:val="000D1F26"/>
    <w:rsid w:val="000D1FDF"/>
    <w:rsid w:val="000D230F"/>
    <w:rsid w:val="000D264C"/>
    <w:rsid w:val="000D2734"/>
    <w:rsid w:val="000D2B4C"/>
    <w:rsid w:val="000D2D98"/>
    <w:rsid w:val="000D309F"/>
    <w:rsid w:val="000D3303"/>
    <w:rsid w:val="000D4A1F"/>
    <w:rsid w:val="000D4F2A"/>
    <w:rsid w:val="000D4F90"/>
    <w:rsid w:val="000D5CD4"/>
    <w:rsid w:val="000D627F"/>
    <w:rsid w:val="000D6F86"/>
    <w:rsid w:val="000D7067"/>
    <w:rsid w:val="000D7768"/>
    <w:rsid w:val="000D7769"/>
    <w:rsid w:val="000D77F2"/>
    <w:rsid w:val="000E01D3"/>
    <w:rsid w:val="000E0902"/>
    <w:rsid w:val="000E0C09"/>
    <w:rsid w:val="000E117B"/>
    <w:rsid w:val="000E14C2"/>
    <w:rsid w:val="000E307E"/>
    <w:rsid w:val="000E33C8"/>
    <w:rsid w:val="000E37CE"/>
    <w:rsid w:val="000E43D8"/>
    <w:rsid w:val="000E47C8"/>
    <w:rsid w:val="000E4E75"/>
    <w:rsid w:val="000E53C9"/>
    <w:rsid w:val="000E6B1F"/>
    <w:rsid w:val="000E6E63"/>
    <w:rsid w:val="000E73D9"/>
    <w:rsid w:val="000E7866"/>
    <w:rsid w:val="000E7C80"/>
    <w:rsid w:val="000F05BA"/>
    <w:rsid w:val="000F072D"/>
    <w:rsid w:val="000F113F"/>
    <w:rsid w:val="000F14B8"/>
    <w:rsid w:val="000F1A26"/>
    <w:rsid w:val="000F2206"/>
    <w:rsid w:val="000F26A4"/>
    <w:rsid w:val="000F2AAB"/>
    <w:rsid w:val="000F35F9"/>
    <w:rsid w:val="000F37C9"/>
    <w:rsid w:val="000F4170"/>
    <w:rsid w:val="000F44C5"/>
    <w:rsid w:val="000F49A2"/>
    <w:rsid w:val="000F5205"/>
    <w:rsid w:val="000F5ADD"/>
    <w:rsid w:val="000F6179"/>
    <w:rsid w:val="000F7278"/>
    <w:rsid w:val="000F78D0"/>
    <w:rsid w:val="000F7EA2"/>
    <w:rsid w:val="0010034A"/>
    <w:rsid w:val="001008EF"/>
    <w:rsid w:val="00100ACF"/>
    <w:rsid w:val="0010100E"/>
    <w:rsid w:val="001016A7"/>
    <w:rsid w:val="00101845"/>
    <w:rsid w:val="00104B22"/>
    <w:rsid w:val="00107455"/>
    <w:rsid w:val="0010746C"/>
    <w:rsid w:val="00107649"/>
    <w:rsid w:val="00110716"/>
    <w:rsid w:val="00110B3D"/>
    <w:rsid w:val="00111B66"/>
    <w:rsid w:val="001123F2"/>
    <w:rsid w:val="0011342A"/>
    <w:rsid w:val="001135DA"/>
    <w:rsid w:val="001137DA"/>
    <w:rsid w:val="0011383A"/>
    <w:rsid w:val="00113FF5"/>
    <w:rsid w:val="0011447C"/>
    <w:rsid w:val="00114577"/>
    <w:rsid w:val="0011473D"/>
    <w:rsid w:val="00115056"/>
    <w:rsid w:val="0011543E"/>
    <w:rsid w:val="0011659B"/>
    <w:rsid w:val="001165F9"/>
    <w:rsid w:val="00116807"/>
    <w:rsid w:val="00117E41"/>
    <w:rsid w:val="0012025F"/>
    <w:rsid w:val="00120592"/>
    <w:rsid w:val="00120E41"/>
    <w:rsid w:val="001216F5"/>
    <w:rsid w:val="001218A0"/>
    <w:rsid w:val="00121AA0"/>
    <w:rsid w:val="00122A38"/>
    <w:rsid w:val="0012335E"/>
    <w:rsid w:val="001242D0"/>
    <w:rsid w:val="00124478"/>
    <w:rsid w:val="00124A33"/>
    <w:rsid w:val="00125A17"/>
    <w:rsid w:val="00125F25"/>
    <w:rsid w:val="0012612E"/>
    <w:rsid w:val="00126389"/>
    <w:rsid w:val="00126DBA"/>
    <w:rsid w:val="00126F91"/>
    <w:rsid w:val="00127556"/>
    <w:rsid w:val="00130531"/>
    <w:rsid w:val="001307D1"/>
    <w:rsid w:val="0013081F"/>
    <w:rsid w:val="00130944"/>
    <w:rsid w:val="00130A02"/>
    <w:rsid w:val="00131356"/>
    <w:rsid w:val="001317E8"/>
    <w:rsid w:val="001320B0"/>
    <w:rsid w:val="001320D4"/>
    <w:rsid w:val="0013235D"/>
    <w:rsid w:val="00132C26"/>
    <w:rsid w:val="00133B67"/>
    <w:rsid w:val="00134BEC"/>
    <w:rsid w:val="00134D64"/>
    <w:rsid w:val="00135580"/>
    <w:rsid w:val="00135E0A"/>
    <w:rsid w:val="00135E3E"/>
    <w:rsid w:val="00136108"/>
    <w:rsid w:val="0013738C"/>
    <w:rsid w:val="0013799D"/>
    <w:rsid w:val="0014134B"/>
    <w:rsid w:val="0014155F"/>
    <w:rsid w:val="00141692"/>
    <w:rsid w:val="00142649"/>
    <w:rsid w:val="00142E20"/>
    <w:rsid w:val="001445DA"/>
    <w:rsid w:val="00145A34"/>
    <w:rsid w:val="00145EDA"/>
    <w:rsid w:val="00146F77"/>
    <w:rsid w:val="00147721"/>
    <w:rsid w:val="00147909"/>
    <w:rsid w:val="00150189"/>
    <w:rsid w:val="00150806"/>
    <w:rsid w:val="00150C25"/>
    <w:rsid w:val="00150FD5"/>
    <w:rsid w:val="001512CA"/>
    <w:rsid w:val="00151E4D"/>
    <w:rsid w:val="00151EBB"/>
    <w:rsid w:val="001521C3"/>
    <w:rsid w:val="00152B77"/>
    <w:rsid w:val="00152F4C"/>
    <w:rsid w:val="00152FBF"/>
    <w:rsid w:val="001532C0"/>
    <w:rsid w:val="00153315"/>
    <w:rsid w:val="00153436"/>
    <w:rsid w:val="001535F8"/>
    <w:rsid w:val="001544FC"/>
    <w:rsid w:val="00154AB0"/>
    <w:rsid w:val="00155E8E"/>
    <w:rsid w:val="00156A04"/>
    <w:rsid w:val="001575F7"/>
    <w:rsid w:val="001579D1"/>
    <w:rsid w:val="00157A8F"/>
    <w:rsid w:val="00160819"/>
    <w:rsid w:val="00161694"/>
    <w:rsid w:val="001617ED"/>
    <w:rsid w:val="001620F7"/>
    <w:rsid w:val="00162D62"/>
    <w:rsid w:val="00162DF3"/>
    <w:rsid w:val="00164083"/>
    <w:rsid w:val="0016488D"/>
    <w:rsid w:val="00164C05"/>
    <w:rsid w:val="00164F7B"/>
    <w:rsid w:val="001656F7"/>
    <w:rsid w:val="00165999"/>
    <w:rsid w:val="001667A9"/>
    <w:rsid w:val="00166D6F"/>
    <w:rsid w:val="00166F3E"/>
    <w:rsid w:val="001705C2"/>
    <w:rsid w:val="001710B8"/>
    <w:rsid w:val="001713A1"/>
    <w:rsid w:val="00171A5D"/>
    <w:rsid w:val="00171B4B"/>
    <w:rsid w:val="00171F67"/>
    <w:rsid w:val="001721BD"/>
    <w:rsid w:val="00172F23"/>
    <w:rsid w:val="00172FE0"/>
    <w:rsid w:val="001736E4"/>
    <w:rsid w:val="0017482E"/>
    <w:rsid w:val="00174941"/>
    <w:rsid w:val="00174D2D"/>
    <w:rsid w:val="0017539B"/>
    <w:rsid w:val="001754D4"/>
    <w:rsid w:val="0017602D"/>
    <w:rsid w:val="001760C9"/>
    <w:rsid w:val="001763B2"/>
    <w:rsid w:val="00176A21"/>
    <w:rsid w:val="001770EA"/>
    <w:rsid w:val="00177292"/>
    <w:rsid w:val="00177399"/>
    <w:rsid w:val="001773EF"/>
    <w:rsid w:val="00177495"/>
    <w:rsid w:val="00177605"/>
    <w:rsid w:val="00177D3C"/>
    <w:rsid w:val="00180117"/>
    <w:rsid w:val="00180AD7"/>
    <w:rsid w:val="00180D4D"/>
    <w:rsid w:val="001826D8"/>
    <w:rsid w:val="00182A7C"/>
    <w:rsid w:val="00183265"/>
    <w:rsid w:val="00183FBB"/>
    <w:rsid w:val="001841C5"/>
    <w:rsid w:val="0018429A"/>
    <w:rsid w:val="001860D1"/>
    <w:rsid w:val="00186404"/>
    <w:rsid w:val="001871B8"/>
    <w:rsid w:val="00187538"/>
    <w:rsid w:val="001878A1"/>
    <w:rsid w:val="00190CCC"/>
    <w:rsid w:val="00190E75"/>
    <w:rsid w:val="0019170F"/>
    <w:rsid w:val="0019187D"/>
    <w:rsid w:val="00191950"/>
    <w:rsid w:val="001925E9"/>
    <w:rsid w:val="00192CF7"/>
    <w:rsid w:val="001932EF"/>
    <w:rsid w:val="00193FA9"/>
    <w:rsid w:val="00194FF1"/>
    <w:rsid w:val="00195333"/>
    <w:rsid w:val="0019584C"/>
    <w:rsid w:val="00195867"/>
    <w:rsid w:val="00196410"/>
    <w:rsid w:val="00196E41"/>
    <w:rsid w:val="001975E2"/>
    <w:rsid w:val="0019790E"/>
    <w:rsid w:val="00197D5A"/>
    <w:rsid w:val="001A113C"/>
    <w:rsid w:val="001A230F"/>
    <w:rsid w:val="001A2AC7"/>
    <w:rsid w:val="001A2BBA"/>
    <w:rsid w:val="001A2E32"/>
    <w:rsid w:val="001A3986"/>
    <w:rsid w:val="001A5114"/>
    <w:rsid w:val="001A5C40"/>
    <w:rsid w:val="001A60FB"/>
    <w:rsid w:val="001A622B"/>
    <w:rsid w:val="001A65F9"/>
    <w:rsid w:val="001A751D"/>
    <w:rsid w:val="001A76EC"/>
    <w:rsid w:val="001A7A8E"/>
    <w:rsid w:val="001A7B45"/>
    <w:rsid w:val="001B0177"/>
    <w:rsid w:val="001B02F1"/>
    <w:rsid w:val="001B0324"/>
    <w:rsid w:val="001B222D"/>
    <w:rsid w:val="001B334A"/>
    <w:rsid w:val="001B5224"/>
    <w:rsid w:val="001B53DF"/>
    <w:rsid w:val="001B5AD7"/>
    <w:rsid w:val="001B6272"/>
    <w:rsid w:val="001B6A44"/>
    <w:rsid w:val="001B7255"/>
    <w:rsid w:val="001B7433"/>
    <w:rsid w:val="001B7E69"/>
    <w:rsid w:val="001C013B"/>
    <w:rsid w:val="001C02D8"/>
    <w:rsid w:val="001C03B7"/>
    <w:rsid w:val="001C0876"/>
    <w:rsid w:val="001C1F1A"/>
    <w:rsid w:val="001C2FCF"/>
    <w:rsid w:val="001C30F9"/>
    <w:rsid w:val="001C43D1"/>
    <w:rsid w:val="001C4462"/>
    <w:rsid w:val="001C46AD"/>
    <w:rsid w:val="001C4AA5"/>
    <w:rsid w:val="001C4D75"/>
    <w:rsid w:val="001C4FBC"/>
    <w:rsid w:val="001C5850"/>
    <w:rsid w:val="001C5E14"/>
    <w:rsid w:val="001C5F7B"/>
    <w:rsid w:val="001C7633"/>
    <w:rsid w:val="001D0395"/>
    <w:rsid w:val="001D0D75"/>
    <w:rsid w:val="001D1448"/>
    <w:rsid w:val="001D2174"/>
    <w:rsid w:val="001D21F5"/>
    <w:rsid w:val="001D33AE"/>
    <w:rsid w:val="001D3801"/>
    <w:rsid w:val="001D3E76"/>
    <w:rsid w:val="001D3F0C"/>
    <w:rsid w:val="001D4863"/>
    <w:rsid w:val="001D498B"/>
    <w:rsid w:val="001D523B"/>
    <w:rsid w:val="001D5D80"/>
    <w:rsid w:val="001D5D94"/>
    <w:rsid w:val="001D5FD5"/>
    <w:rsid w:val="001D6B4F"/>
    <w:rsid w:val="001D7B6D"/>
    <w:rsid w:val="001E06A6"/>
    <w:rsid w:val="001E0790"/>
    <w:rsid w:val="001E145A"/>
    <w:rsid w:val="001E1CBD"/>
    <w:rsid w:val="001E1D73"/>
    <w:rsid w:val="001E272C"/>
    <w:rsid w:val="001E299B"/>
    <w:rsid w:val="001E454A"/>
    <w:rsid w:val="001E5513"/>
    <w:rsid w:val="001E5AFC"/>
    <w:rsid w:val="001E651F"/>
    <w:rsid w:val="001F033C"/>
    <w:rsid w:val="001F0787"/>
    <w:rsid w:val="001F0C1C"/>
    <w:rsid w:val="001F1858"/>
    <w:rsid w:val="001F313A"/>
    <w:rsid w:val="001F3E25"/>
    <w:rsid w:val="001F4D0D"/>
    <w:rsid w:val="001F56F1"/>
    <w:rsid w:val="001F570C"/>
    <w:rsid w:val="001F604C"/>
    <w:rsid w:val="001F67C0"/>
    <w:rsid w:val="001F770D"/>
    <w:rsid w:val="001F7B33"/>
    <w:rsid w:val="00200019"/>
    <w:rsid w:val="00201341"/>
    <w:rsid w:val="00201CC4"/>
    <w:rsid w:val="00202430"/>
    <w:rsid w:val="002035CD"/>
    <w:rsid w:val="00203A6C"/>
    <w:rsid w:val="00203B8D"/>
    <w:rsid w:val="00204724"/>
    <w:rsid w:val="00204D29"/>
    <w:rsid w:val="00204F1E"/>
    <w:rsid w:val="0020518D"/>
    <w:rsid w:val="002052F4"/>
    <w:rsid w:val="0020728F"/>
    <w:rsid w:val="0020768A"/>
    <w:rsid w:val="00210616"/>
    <w:rsid w:val="002108C0"/>
    <w:rsid w:val="00210DF6"/>
    <w:rsid w:val="0021162F"/>
    <w:rsid w:val="0021178D"/>
    <w:rsid w:val="00211E7C"/>
    <w:rsid w:val="00212E7A"/>
    <w:rsid w:val="002143A9"/>
    <w:rsid w:val="00214553"/>
    <w:rsid w:val="00215790"/>
    <w:rsid w:val="002169EE"/>
    <w:rsid w:val="00216D7B"/>
    <w:rsid w:val="002175A2"/>
    <w:rsid w:val="002179E6"/>
    <w:rsid w:val="002179F7"/>
    <w:rsid w:val="00217C59"/>
    <w:rsid w:val="002201C8"/>
    <w:rsid w:val="00221042"/>
    <w:rsid w:val="0022111B"/>
    <w:rsid w:val="00221693"/>
    <w:rsid w:val="002217FA"/>
    <w:rsid w:val="00221FF8"/>
    <w:rsid w:val="00223B9F"/>
    <w:rsid w:val="00223DC5"/>
    <w:rsid w:val="00224CF6"/>
    <w:rsid w:val="00225483"/>
    <w:rsid w:val="0022594B"/>
    <w:rsid w:val="00225E59"/>
    <w:rsid w:val="00225F9C"/>
    <w:rsid w:val="00226E9B"/>
    <w:rsid w:val="0022762E"/>
    <w:rsid w:val="00227F83"/>
    <w:rsid w:val="002304F8"/>
    <w:rsid w:val="0023074A"/>
    <w:rsid w:val="00231052"/>
    <w:rsid w:val="00231122"/>
    <w:rsid w:val="0023255C"/>
    <w:rsid w:val="00232B5E"/>
    <w:rsid w:val="00232EE0"/>
    <w:rsid w:val="00232FE2"/>
    <w:rsid w:val="0023392F"/>
    <w:rsid w:val="002345C0"/>
    <w:rsid w:val="0023528D"/>
    <w:rsid w:val="00236127"/>
    <w:rsid w:val="0023635B"/>
    <w:rsid w:val="002365F6"/>
    <w:rsid w:val="00236C13"/>
    <w:rsid w:val="002377D6"/>
    <w:rsid w:val="00240276"/>
    <w:rsid w:val="00241F19"/>
    <w:rsid w:val="00243925"/>
    <w:rsid w:val="0024408F"/>
    <w:rsid w:val="00244879"/>
    <w:rsid w:val="00244A5E"/>
    <w:rsid w:val="002450E6"/>
    <w:rsid w:val="00245D81"/>
    <w:rsid w:val="00246255"/>
    <w:rsid w:val="00246782"/>
    <w:rsid w:val="00246FD5"/>
    <w:rsid w:val="002476ED"/>
    <w:rsid w:val="0024788F"/>
    <w:rsid w:val="00247CE6"/>
    <w:rsid w:val="002504A1"/>
    <w:rsid w:val="00250809"/>
    <w:rsid w:val="00250B81"/>
    <w:rsid w:val="002517F2"/>
    <w:rsid w:val="00251DEC"/>
    <w:rsid w:val="00252231"/>
    <w:rsid w:val="002536C1"/>
    <w:rsid w:val="0025438E"/>
    <w:rsid w:val="00255B98"/>
    <w:rsid w:val="002570D1"/>
    <w:rsid w:val="00257B0D"/>
    <w:rsid w:val="00257B56"/>
    <w:rsid w:val="00257C75"/>
    <w:rsid w:val="002600F6"/>
    <w:rsid w:val="002606EA"/>
    <w:rsid w:val="00260F52"/>
    <w:rsid w:val="00261285"/>
    <w:rsid w:val="00261E01"/>
    <w:rsid w:val="00261FCE"/>
    <w:rsid w:val="0026263B"/>
    <w:rsid w:val="00262786"/>
    <w:rsid w:val="002628BF"/>
    <w:rsid w:val="00262AE4"/>
    <w:rsid w:val="00262E5D"/>
    <w:rsid w:val="00263423"/>
    <w:rsid w:val="00263BD6"/>
    <w:rsid w:val="00263E42"/>
    <w:rsid w:val="0026400F"/>
    <w:rsid w:val="0026404B"/>
    <w:rsid w:val="0026509B"/>
    <w:rsid w:val="00265B04"/>
    <w:rsid w:val="00266D66"/>
    <w:rsid w:val="00267054"/>
    <w:rsid w:val="002675AE"/>
    <w:rsid w:val="002707FC"/>
    <w:rsid w:val="00271050"/>
    <w:rsid w:val="0027107F"/>
    <w:rsid w:val="0027127F"/>
    <w:rsid w:val="002726E0"/>
    <w:rsid w:val="002729B7"/>
    <w:rsid w:val="00272E30"/>
    <w:rsid w:val="002730F1"/>
    <w:rsid w:val="002740DF"/>
    <w:rsid w:val="0027467C"/>
    <w:rsid w:val="002755C3"/>
    <w:rsid w:val="002756CE"/>
    <w:rsid w:val="002758B6"/>
    <w:rsid w:val="00275B80"/>
    <w:rsid w:val="00275D74"/>
    <w:rsid w:val="0027661C"/>
    <w:rsid w:val="00276A87"/>
    <w:rsid w:val="00277001"/>
    <w:rsid w:val="00277354"/>
    <w:rsid w:val="002773E7"/>
    <w:rsid w:val="002774BE"/>
    <w:rsid w:val="00277C1E"/>
    <w:rsid w:val="00277EBB"/>
    <w:rsid w:val="00280180"/>
    <w:rsid w:val="0028033B"/>
    <w:rsid w:val="0028036A"/>
    <w:rsid w:val="002807C6"/>
    <w:rsid w:val="00281FD8"/>
    <w:rsid w:val="00282A5A"/>
    <w:rsid w:val="00283330"/>
    <w:rsid w:val="002850E6"/>
    <w:rsid w:val="00285F49"/>
    <w:rsid w:val="00286054"/>
    <w:rsid w:val="0028766B"/>
    <w:rsid w:val="002878EC"/>
    <w:rsid w:val="00287A07"/>
    <w:rsid w:val="00287FC4"/>
    <w:rsid w:val="0029043A"/>
    <w:rsid w:val="002908C0"/>
    <w:rsid w:val="002908D6"/>
    <w:rsid w:val="00290CED"/>
    <w:rsid w:val="00291E55"/>
    <w:rsid w:val="002925AA"/>
    <w:rsid w:val="00292FD2"/>
    <w:rsid w:val="00294152"/>
    <w:rsid w:val="002953DB"/>
    <w:rsid w:val="00295906"/>
    <w:rsid w:val="00295CFC"/>
    <w:rsid w:val="00295FF0"/>
    <w:rsid w:val="00296777"/>
    <w:rsid w:val="00296802"/>
    <w:rsid w:val="0029691A"/>
    <w:rsid w:val="002977A8"/>
    <w:rsid w:val="002A02FD"/>
    <w:rsid w:val="002A0A51"/>
    <w:rsid w:val="002A17D5"/>
    <w:rsid w:val="002A188F"/>
    <w:rsid w:val="002A22B8"/>
    <w:rsid w:val="002A26F6"/>
    <w:rsid w:val="002A285B"/>
    <w:rsid w:val="002A2A62"/>
    <w:rsid w:val="002A41C4"/>
    <w:rsid w:val="002A4265"/>
    <w:rsid w:val="002A4402"/>
    <w:rsid w:val="002A45EC"/>
    <w:rsid w:val="002A463B"/>
    <w:rsid w:val="002A47A3"/>
    <w:rsid w:val="002A488F"/>
    <w:rsid w:val="002A4CAB"/>
    <w:rsid w:val="002A4E66"/>
    <w:rsid w:val="002A50DB"/>
    <w:rsid w:val="002A5123"/>
    <w:rsid w:val="002A51CA"/>
    <w:rsid w:val="002A5452"/>
    <w:rsid w:val="002A5941"/>
    <w:rsid w:val="002A5D01"/>
    <w:rsid w:val="002A605E"/>
    <w:rsid w:val="002A61EB"/>
    <w:rsid w:val="002A63FD"/>
    <w:rsid w:val="002A64C9"/>
    <w:rsid w:val="002A698E"/>
    <w:rsid w:val="002A74C9"/>
    <w:rsid w:val="002A75B3"/>
    <w:rsid w:val="002A78EE"/>
    <w:rsid w:val="002B0772"/>
    <w:rsid w:val="002B0943"/>
    <w:rsid w:val="002B0D2F"/>
    <w:rsid w:val="002B1C33"/>
    <w:rsid w:val="002B2180"/>
    <w:rsid w:val="002B240B"/>
    <w:rsid w:val="002B3EE6"/>
    <w:rsid w:val="002B3F67"/>
    <w:rsid w:val="002B460F"/>
    <w:rsid w:val="002B4969"/>
    <w:rsid w:val="002B5243"/>
    <w:rsid w:val="002B5548"/>
    <w:rsid w:val="002B5619"/>
    <w:rsid w:val="002B5B79"/>
    <w:rsid w:val="002B7B3B"/>
    <w:rsid w:val="002B7BEC"/>
    <w:rsid w:val="002C0526"/>
    <w:rsid w:val="002C11BA"/>
    <w:rsid w:val="002C199F"/>
    <w:rsid w:val="002C2235"/>
    <w:rsid w:val="002C2258"/>
    <w:rsid w:val="002C350A"/>
    <w:rsid w:val="002C3546"/>
    <w:rsid w:val="002C3F2F"/>
    <w:rsid w:val="002C4226"/>
    <w:rsid w:val="002C4EDE"/>
    <w:rsid w:val="002C5668"/>
    <w:rsid w:val="002C5AE0"/>
    <w:rsid w:val="002C646D"/>
    <w:rsid w:val="002C672D"/>
    <w:rsid w:val="002C6D1C"/>
    <w:rsid w:val="002C78D7"/>
    <w:rsid w:val="002C7F70"/>
    <w:rsid w:val="002D0041"/>
    <w:rsid w:val="002D0B3A"/>
    <w:rsid w:val="002D1A1A"/>
    <w:rsid w:val="002D20D9"/>
    <w:rsid w:val="002D219E"/>
    <w:rsid w:val="002D2D7E"/>
    <w:rsid w:val="002D3464"/>
    <w:rsid w:val="002D3E5E"/>
    <w:rsid w:val="002D4428"/>
    <w:rsid w:val="002D481C"/>
    <w:rsid w:val="002D48AE"/>
    <w:rsid w:val="002D5393"/>
    <w:rsid w:val="002D53C7"/>
    <w:rsid w:val="002D54E6"/>
    <w:rsid w:val="002D5950"/>
    <w:rsid w:val="002D64C1"/>
    <w:rsid w:val="002D6C48"/>
    <w:rsid w:val="002D740D"/>
    <w:rsid w:val="002D74EC"/>
    <w:rsid w:val="002D755D"/>
    <w:rsid w:val="002D76C1"/>
    <w:rsid w:val="002E0259"/>
    <w:rsid w:val="002E06CD"/>
    <w:rsid w:val="002E1325"/>
    <w:rsid w:val="002E13BB"/>
    <w:rsid w:val="002E1C87"/>
    <w:rsid w:val="002E1F02"/>
    <w:rsid w:val="002E3DEB"/>
    <w:rsid w:val="002E51A7"/>
    <w:rsid w:val="002E54E5"/>
    <w:rsid w:val="002E5AE5"/>
    <w:rsid w:val="002E620D"/>
    <w:rsid w:val="002E6439"/>
    <w:rsid w:val="002E6629"/>
    <w:rsid w:val="002E6860"/>
    <w:rsid w:val="002E6E7D"/>
    <w:rsid w:val="002F009E"/>
    <w:rsid w:val="002F0436"/>
    <w:rsid w:val="002F05BB"/>
    <w:rsid w:val="002F13EB"/>
    <w:rsid w:val="002F2481"/>
    <w:rsid w:val="002F278F"/>
    <w:rsid w:val="002F2869"/>
    <w:rsid w:val="002F2FB1"/>
    <w:rsid w:val="002F381E"/>
    <w:rsid w:val="002F4501"/>
    <w:rsid w:val="002F5E37"/>
    <w:rsid w:val="002F5F28"/>
    <w:rsid w:val="002F63BF"/>
    <w:rsid w:val="002F67EC"/>
    <w:rsid w:val="00300233"/>
    <w:rsid w:val="00300424"/>
    <w:rsid w:val="00300432"/>
    <w:rsid w:val="00300A42"/>
    <w:rsid w:val="00300D33"/>
    <w:rsid w:val="0030107B"/>
    <w:rsid w:val="0030109D"/>
    <w:rsid w:val="0030145D"/>
    <w:rsid w:val="003017F3"/>
    <w:rsid w:val="00301C6B"/>
    <w:rsid w:val="00302950"/>
    <w:rsid w:val="0030381D"/>
    <w:rsid w:val="003041C3"/>
    <w:rsid w:val="0030498F"/>
    <w:rsid w:val="00304E3D"/>
    <w:rsid w:val="00305AD4"/>
    <w:rsid w:val="00305C47"/>
    <w:rsid w:val="00306A29"/>
    <w:rsid w:val="00307E6C"/>
    <w:rsid w:val="00307E84"/>
    <w:rsid w:val="00310187"/>
    <w:rsid w:val="003108B8"/>
    <w:rsid w:val="00311A9C"/>
    <w:rsid w:val="00311B5D"/>
    <w:rsid w:val="00312217"/>
    <w:rsid w:val="00312262"/>
    <w:rsid w:val="00312276"/>
    <w:rsid w:val="00312D11"/>
    <w:rsid w:val="00313124"/>
    <w:rsid w:val="00315090"/>
    <w:rsid w:val="003155AD"/>
    <w:rsid w:val="00315C5F"/>
    <w:rsid w:val="003160E8"/>
    <w:rsid w:val="003163B7"/>
    <w:rsid w:val="00316FBC"/>
    <w:rsid w:val="0031710B"/>
    <w:rsid w:val="0031725D"/>
    <w:rsid w:val="003176B8"/>
    <w:rsid w:val="00317E0D"/>
    <w:rsid w:val="00320BB4"/>
    <w:rsid w:val="00320EF8"/>
    <w:rsid w:val="00322175"/>
    <w:rsid w:val="00322D69"/>
    <w:rsid w:val="0032362E"/>
    <w:rsid w:val="00323B3A"/>
    <w:rsid w:val="0032498A"/>
    <w:rsid w:val="00324D89"/>
    <w:rsid w:val="003258E8"/>
    <w:rsid w:val="003270BD"/>
    <w:rsid w:val="00327657"/>
    <w:rsid w:val="00327F49"/>
    <w:rsid w:val="00327F5D"/>
    <w:rsid w:val="00330396"/>
    <w:rsid w:val="00332034"/>
    <w:rsid w:val="003326A2"/>
    <w:rsid w:val="003326E6"/>
    <w:rsid w:val="0033298B"/>
    <w:rsid w:val="00332EA1"/>
    <w:rsid w:val="00334425"/>
    <w:rsid w:val="003354BF"/>
    <w:rsid w:val="00335B72"/>
    <w:rsid w:val="00335C32"/>
    <w:rsid w:val="00335E6E"/>
    <w:rsid w:val="00337078"/>
    <w:rsid w:val="00337C65"/>
    <w:rsid w:val="00337F39"/>
    <w:rsid w:val="00340404"/>
    <w:rsid w:val="0034044A"/>
    <w:rsid w:val="0034078E"/>
    <w:rsid w:val="00340F58"/>
    <w:rsid w:val="00341BF1"/>
    <w:rsid w:val="00341C5A"/>
    <w:rsid w:val="00341CDC"/>
    <w:rsid w:val="00342270"/>
    <w:rsid w:val="00342D38"/>
    <w:rsid w:val="003437A0"/>
    <w:rsid w:val="0034410C"/>
    <w:rsid w:val="0034439B"/>
    <w:rsid w:val="00346477"/>
    <w:rsid w:val="00346688"/>
    <w:rsid w:val="00346A60"/>
    <w:rsid w:val="0035061C"/>
    <w:rsid w:val="00350A3F"/>
    <w:rsid w:val="0035139B"/>
    <w:rsid w:val="0035188F"/>
    <w:rsid w:val="0035263A"/>
    <w:rsid w:val="00352643"/>
    <w:rsid w:val="00352A6D"/>
    <w:rsid w:val="0035348F"/>
    <w:rsid w:val="003539BE"/>
    <w:rsid w:val="00353A88"/>
    <w:rsid w:val="00354417"/>
    <w:rsid w:val="003555F3"/>
    <w:rsid w:val="003564F3"/>
    <w:rsid w:val="003568FC"/>
    <w:rsid w:val="00356C7F"/>
    <w:rsid w:val="00356E2C"/>
    <w:rsid w:val="00356E5D"/>
    <w:rsid w:val="00356F43"/>
    <w:rsid w:val="00357DE8"/>
    <w:rsid w:val="00357E5B"/>
    <w:rsid w:val="0036020D"/>
    <w:rsid w:val="00360357"/>
    <w:rsid w:val="0036056E"/>
    <w:rsid w:val="00360579"/>
    <w:rsid w:val="00360666"/>
    <w:rsid w:val="003608F6"/>
    <w:rsid w:val="00360D48"/>
    <w:rsid w:val="00360DAD"/>
    <w:rsid w:val="00360E36"/>
    <w:rsid w:val="00360F95"/>
    <w:rsid w:val="003617F1"/>
    <w:rsid w:val="00361B6A"/>
    <w:rsid w:val="00362A2A"/>
    <w:rsid w:val="00362CC1"/>
    <w:rsid w:val="00362DB2"/>
    <w:rsid w:val="00363BEE"/>
    <w:rsid w:val="00364B77"/>
    <w:rsid w:val="00366709"/>
    <w:rsid w:val="0036691F"/>
    <w:rsid w:val="00366CB9"/>
    <w:rsid w:val="003670DF"/>
    <w:rsid w:val="003700C4"/>
    <w:rsid w:val="00370FCA"/>
    <w:rsid w:val="00371AE2"/>
    <w:rsid w:val="00371F4B"/>
    <w:rsid w:val="003730AC"/>
    <w:rsid w:val="003737A1"/>
    <w:rsid w:val="00373CD6"/>
    <w:rsid w:val="00374633"/>
    <w:rsid w:val="00374897"/>
    <w:rsid w:val="00374D79"/>
    <w:rsid w:val="00374DA6"/>
    <w:rsid w:val="00374EE5"/>
    <w:rsid w:val="00376276"/>
    <w:rsid w:val="003765A7"/>
    <w:rsid w:val="003801F3"/>
    <w:rsid w:val="003810C4"/>
    <w:rsid w:val="0038230F"/>
    <w:rsid w:val="00382384"/>
    <w:rsid w:val="003827FB"/>
    <w:rsid w:val="0038290B"/>
    <w:rsid w:val="00383565"/>
    <w:rsid w:val="00384158"/>
    <w:rsid w:val="00384386"/>
    <w:rsid w:val="00384CD3"/>
    <w:rsid w:val="003852C8"/>
    <w:rsid w:val="003859F3"/>
    <w:rsid w:val="00385F97"/>
    <w:rsid w:val="00386BA9"/>
    <w:rsid w:val="00386E16"/>
    <w:rsid w:val="003871DE"/>
    <w:rsid w:val="003878F0"/>
    <w:rsid w:val="00391572"/>
    <w:rsid w:val="0039254B"/>
    <w:rsid w:val="003929C3"/>
    <w:rsid w:val="00392A25"/>
    <w:rsid w:val="00393690"/>
    <w:rsid w:val="00393931"/>
    <w:rsid w:val="003946BF"/>
    <w:rsid w:val="003947F3"/>
    <w:rsid w:val="00394B9A"/>
    <w:rsid w:val="00395325"/>
    <w:rsid w:val="0039676A"/>
    <w:rsid w:val="00397EA9"/>
    <w:rsid w:val="003A00EF"/>
    <w:rsid w:val="003A15F8"/>
    <w:rsid w:val="003A1EE9"/>
    <w:rsid w:val="003A2292"/>
    <w:rsid w:val="003A236A"/>
    <w:rsid w:val="003A2812"/>
    <w:rsid w:val="003A30FF"/>
    <w:rsid w:val="003A33FF"/>
    <w:rsid w:val="003A4487"/>
    <w:rsid w:val="003A45E0"/>
    <w:rsid w:val="003A46E0"/>
    <w:rsid w:val="003A6303"/>
    <w:rsid w:val="003A63EB"/>
    <w:rsid w:val="003A6657"/>
    <w:rsid w:val="003A7633"/>
    <w:rsid w:val="003A7739"/>
    <w:rsid w:val="003B0185"/>
    <w:rsid w:val="003B0ACE"/>
    <w:rsid w:val="003B1465"/>
    <w:rsid w:val="003B1BB9"/>
    <w:rsid w:val="003B274A"/>
    <w:rsid w:val="003B2FED"/>
    <w:rsid w:val="003B3B17"/>
    <w:rsid w:val="003B481B"/>
    <w:rsid w:val="003B4BAE"/>
    <w:rsid w:val="003B52C8"/>
    <w:rsid w:val="003B532A"/>
    <w:rsid w:val="003B547B"/>
    <w:rsid w:val="003B5861"/>
    <w:rsid w:val="003B5AE5"/>
    <w:rsid w:val="003B6F74"/>
    <w:rsid w:val="003B7367"/>
    <w:rsid w:val="003B78A0"/>
    <w:rsid w:val="003B7E40"/>
    <w:rsid w:val="003C025E"/>
    <w:rsid w:val="003C0CC7"/>
    <w:rsid w:val="003C0DF9"/>
    <w:rsid w:val="003C122A"/>
    <w:rsid w:val="003C2506"/>
    <w:rsid w:val="003C2B4C"/>
    <w:rsid w:val="003C3E42"/>
    <w:rsid w:val="003C4534"/>
    <w:rsid w:val="003C4D6C"/>
    <w:rsid w:val="003C69E7"/>
    <w:rsid w:val="003C7B72"/>
    <w:rsid w:val="003D03EA"/>
    <w:rsid w:val="003D0D9C"/>
    <w:rsid w:val="003D1148"/>
    <w:rsid w:val="003D148B"/>
    <w:rsid w:val="003D1BAB"/>
    <w:rsid w:val="003D1DC1"/>
    <w:rsid w:val="003D1DED"/>
    <w:rsid w:val="003D221D"/>
    <w:rsid w:val="003D2912"/>
    <w:rsid w:val="003D2C15"/>
    <w:rsid w:val="003D34BB"/>
    <w:rsid w:val="003D366C"/>
    <w:rsid w:val="003D36BF"/>
    <w:rsid w:val="003D3A4A"/>
    <w:rsid w:val="003D51CA"/>
    <w:rsid w:val="003D55AD"/>
    <w:rsid w:val="003D5699"/>
    <w:rsid w:val="003D592C"/>
    <w:rsid w:val="003D5C15"/>
    <w:rsid w:val="003D5EFF"/>
    <w:rsid w:val="003D7674"/>
    <w:rsid w:val="003E1017"/>
    <w:rsid w:val="003E1128"/>
    <w:rsid w:val="003E1D49"/>
    <w:rsid w:val="003E1ECD"/>
    <w:rsid w:val="003E2646"/>
    <w:rsid w:val="003E2F69"/>
    <w:rsid w:val="003E42C5"/>
    <w:rsid w:val="003E49CC"/>
    <w:rsid w:val="003E4F6F"/>
    <w:rsid w:val="003E676B"/>
    <w:rsid w:val="003E74F4"/>
    <w:rsid w:val="003E7BB0"/>
    <w:rsid w:val="003E7CFD"/>
    <w:rsid w:val="003E7F63"/>
    <w:rsid w:val="003F01F0"/>
    <w:rsid w:val="003F0556"/>
    <w:rsid w:val="003F0801"/>
    <w:rsid w:val="003F0817"/>
    <w:rsid w:val="003F107B"/>
    <w:rsid w:val="003F1D7C"/>
    <w:rsid w:val="003F1E3C"/>
    <w:rsid w:val="003F27B2"/>
    <w:rsid w:val="003F3006"/>
    <w:rsid w:val="003F35D0"/>
    <w:rsid w:val="003F402C"/>
    <w:rsid w:val="003F4368"/>
    <w:rsid w:val="003F43EC"/>
    <w:rsid w:val="003F4CF6"/>
    <w:rsid w:val="003F59FE"/>
    <w:rsid w:val="003F5C05"/>
    <w:rsid w:val="003F5FC6"/>
    <w:rsid w:val="003F7439"/>
    <w:rsid w:val="003F760A"/>
    <w:rsid w:val="004000F2"/>
    <w:rsid w:val="004001C4"/>
    <w:rsid w:val="00400469"/>
    <w:rsid w:val="0040047C"/>
    <w:rsid w:val="00401AC4"/>
    <w:rsid w:val="0040215C"/>
    <w:rsid w:val="00402215"/>
    <w:rsid w:val="004034AA"/>
    <w:rsid w:val="004041EE"/>
    <w:rsid w:val="00404D7D"/>
    <w:rsid w:val="0040507C"/>
    <w:rsid w:val="004060AF"/>
    <w:rsid w:val="004068BC"/>
    <w:rsid w:val="0040799E"/>
    <w:rsid w:val="00407E71"/>
    <w:rsid w:val="00407F47"/>
    <w:rsid w:val="00410B28"/>
    <w:rsid w:val="00410DB8"/>
    <w:rsid w:val="004111C3"/>
    <w:rsid w:val="0041169A"/>
    <w:rsid w:val="00411921"/>
    <w:rsid w:val="00411D22"/>
    <w:rsid w:val="004128B3"/>
    <w:rsid w:val="004135D6"/>
    <w:rsid w:val="004136F9"/>
    <w:rsid w:val="00413F6D"/>
    <w:rsid w:val="00414F4D"/>
    <w:rsid w:val="0041557F"/>
    <w:rsid w:val="004155AB"/>
    <w:rsid w:val="00415836"/>
    <w:rsid w:val="00416DFA"/>
    <w:rsid w:val="00416EC0"/>
    <w:rsid w:val="00417925"/>
    <w:rsid w:val="004203FF"/>
    <w:rsid w:val="0042042C"/>
    <w:rsid w:val="00420BB7"/>
    <w:rsid w:val="004214E3"/>
    <w:rsid w:val="0042225E"/>
    <w:rsid w:val="004222DC"/>
    <w:rsid w:val="0042308A"/>
    <w:rsid w:val="0042344A"/>
    <w:rsid w:val="004236FA"/>
    <w:rsid w:val="00424B63"/>
    <w:rsid w:val="004254C4"/>
    <w:rsid w:val="00426DDF"/>
    <w:rsid w:val="004307E1"/>
    <w:rsid w:val="00430983"/>
    <w:rsid w:val="00430EB8"/>
    <w:rsid w:val="0043100B"/>
    <w:rsid w:val="004311FD"/>
    <w:rsid w:val="00431327"/>
    <w:rsid w:val="0043175A"/>
    <w:rsid w:val="00431F9F"/>
    <w:rsid w:val="00432C15"/>
    <w:rsid w:val="00432D8A"/>
    <w:rsid w:val="0043433B"/>
    <w:rsid w:val="00434483"/>
    <w:rsid w:val="004345DD"/>
    <w:rsid w:val="00434B81"/>
    <w:rsid w:val="00435259"/>
    <w:rsid w:val="004364A5"/>
    <w:rsid w:val="004367F6"/>
    <w:rsid w:val="004368CD"/>
    <w:rsid w:val="00436D11"/>
    <w:rsid w:val="0043704C"/>
    <w:rsid w:val="00437918"/>
    <w:rsid w:val="00437A56"/>
    <w:rsid w:val="00437B83"/>
    <w:rsid w:val="00437EB8"/>
    <w:rsid w:val="0044053E"/>
    <w:rsid w:val="004408F1"/>
    <w:rsid w:val="00441D3D"/>
    <w:rsid w:val="00442BB2"/>
    <w:rsid w:val="00442CC5"/>
    <w:rsid w:val="00442F78"/>
    <w:rsid w:val="004437D1"/>
    <w:rsid w:val="00444091"/>
    <w:rsid w:val="00444319"/>
    <w:rsid w:val="00444526"/>
    <w:rsid w:val="00444715"/>
    <w:rsid w:val="004448A5"/>
    <w:rsid w:val="00444B4C"/>
    <w:rsid w:val="004450BE"/>
    <w:rsid w:val="0044516E"/>
    <w:rsid w:val="00445339"/>
    <w:rsid w:val="004456F1"/>
    <w:rsid w:val="00445E28"/>
    <w:rsid w:val="00446D11"/>
    <w:rsid w:val="00447A8B"/>
    <w:rsid w:val="00450D62"/>
    <w:rsid w:val="004515D5"/>
    <w:rsid w:val="00451625"/>
    <w:rsid w:val="004523E0"/>
    <w:rsid w:val="0045242E"/>
    <w:rsid w:val="00452EE0"/>
    <w:rsid w:val="00453423"/>
    <w:rsid w:val="0045413E"/>
    <w:rsid w:val="00454BB3"/>
    <w:rsid w:val="00454EEA"/>
    <w:rsid w:val="00454FEF"/>
    <w:rsid w:val="004568E1"/>
    <w:rsid w:val="00456F5F"/>
    <w:rsid w:val="00457162"/>
    <w:rsid w:val="004575DE"/>
    <w:rsid w:val="00457742"/>
    <w:rsid w:val="00457766"/>
    <w:rsid w:val="00460078"/>
    <w:rsid w:val="004605F3"/>
    <w:rsid w:val="00460FE6"/>
    <w:rsid w:val="0046175B"/>
    <w:rsid w:val="0046240C"/>
    <w:rsid w:val="0046269E"/>
    <w:rsid w:val="004628B6"/>
    <w:rsid w:val="00462AA4"/>
    <w:rsid w:val="0046460D"/>
    <w:rsid w:val="00465B7D"/>
    <w:rsid w:val="00465B8C"/>
    <w:rsid w:val="00465FCF"/>
    <w:rsid w:val="00466488"/>
    <w:rsid w:val="004669FF"/>
    <w:rsid w:val="0046731A"/>
    <w:rsid w:val="004704A9"/>
    <w:rsid w:val="004707E3"/>
    <w:rsid w:val="00470F52"/>
    <w:rsid w:val="00470F9C"/>
    <w:rsid w:val="0047130D"/>
    <w:rsid w:val="00471A10"/>
    <w:rsid w:val="00471B72"/>
    <w:rsid w:val="00472794"/>
    <w:rsid w:val="00472FC5"/>
    <w:rsid w:val="00473343"/>
    <w:rsid w:val="0047367F"/>
    <w:rsid w:val="004738DD"/>
    <w:rsid w:val="00473CF8"/>
    <w:rsid w:val="00473D19"/>
    <w:rsid w:val="004747B9"/>
    <w:rsid w:val="00474932"/>
    <w:rsid w:val="00474B8B"/>
    <w:rsid w:val="0047501D"/>
    <w:rsid w:val="00475387"/>
    <w:rsid w:val="00476690"/>
    <w:rsid w:val="004766A7"/>
    <w:rsid w:val="00476F42"/>
    <w:rsid w:val="00476F87"/>
    <w:rsid w:val="004773AB"/>
    <w:rsid w:val="00477BFF"/>
    <w:rsid w:val="0048005A"/>
    <w:rsid w:val="00481778"/>
    <w:rsid w:val="004817B0"/>
    <w:rsid w:val="00481C3B"/>
    <w:rsid w:val="00481CEF"/>
    <w:rsid w:val="0048229F"/>
    <w:rsid w:val="004822DA"/>
    <w:rsid w:val="00482E11"/>
    <w:rsid w:val="00483013"/>
    <w:rsid w:val="00483945"/>
    <w:rsid w:val="00483CE1"/>
    <w:rsid w:val="00483E0B"/>
    <w:rsid w:val="00484C68"/>
    <w:rsid w:val="004854EF"/>
    <w:rsid w:val="004863BE"/>
    <w:rsid w:val="00486AF7"/>
    <w:rsid w:val="00490AC3"/>
    <w:rsid w:val="00491724"/>
    <w:rsid w:val="0049199F"/>
    <w:rsid w:val="00491B37"/>
    <w:rsid w:val="004920F4"/>
    <w:rsid w:val="0049258D"/>
    <w:rsid w:val="004926CE"/>
    <w:rsid w:val="0049291B"/>
    <w:rsid w:val="00492CDA"/>
    <w:rsid w:val="004931B5"/>
    <w:rsid w:val="00494FB0"/>
    <w:rsid w:val="0049542D"/>
    <w:rsid w:val="004959F0"/>
    <w:rsid w:val="00496EE1"/>
    <w:rsid w:val="00497952"/>
    <w:rsid w:val="004A0636"/>
    <w:rsid w:val="004A078F"/>
    <w:rsid w:val="004A0B57"/>
    <w:rsid w:val="004A0BDC"/>
    <w:rsid w:val="004A116E"/>
    <w:rsid w:val="004A1175"/>
    <w:rsid w:val="004A1210"/>
    <w:rsid w:val="004A1B11"/>
    <w:rsid w:val="004A1B76"/>
    <w:rsid w:val="004A1FCA"/>
    <w:rsid w:val="004A27D9"/>
    <w:rsid w:val="004A2CE4"/>
    <w:rsid w:val="004A2E72"/>
    <w:rsid w:val="004A4192"/>
    <w:rsid w:val="004A424B"/>
    <w:rsid w:val="004A4B3D"/>
    <w:rsid w:val="004A4FA6"/>
    <w:rsid w:val="004A51E5"/>
    <w:rsid w:val="004A5218"/>
    <w:rsid w:val="004A5897"/>
    <w:rsid w:val="004A5A15"/>
    <w:rsid w:val="004A6440"/>
    <w:rsid w:val="004A647D"/>
    <w:rsid w:val="004A6780"/>
    <w:rsid w:val="004A6E03"/>
    <w:rsid w:val="004A6FC7"/>
    <w:rsid w:val="004A71AF"/>
    <w:rsid w:val="004A781B"/>
    <w:rsid w:val="004B1140"/>
    <w:rsid w:val="004B2395"/>
    <w:rsid w:val="004B2A92"/>
    <w:rsid w:val="004B32A6"/>
    <w:rsid w:val="004B441B"/>
    <w:rsid w:val="004B47EE"/>
    <w:rsid w:val="004B50F2"/>
    <w:rsid w:val="004B58EC"/>
    <w:rsid w:val="004B69B5"/>
    <w:rsid w:val="004B6D26"/>
    <w:rsid w:val="004B7B1D"/>
    <w:rsid w:val="004C02A8"/>
    <w:rsid w:val="004C0DCF"/>
    <w:rsid w:val="004C15EA"/>
    <w:rsid w:val="004C2302"/>
    <w:rsid w:val="004C24DE"/>
    <w:rsid w:val="004C2823"/>
    <w:rsid w:val="004C2A62"/>
    <w:rsid w:val="004C341F"/>
    <w:rsid w:val="004C3A8C"/>
    <w:rsid w:val="004C45AC"/>
    <w:rsid w:val="004C4759"/>
    <w:rsid w:val="004C5B8B"/>
    <w:rsid w:val="004C5E16"/>
    <w:rsid w:val="004C6DE2"/>
    <w:rsid w:val="004C6FE6"/>
    <w:rsid w:val="004C7691"/>
    <w:rsid w:val="004D073D"/>
    <w:rsid w:val="004D0BDF"/>
    <w:rsid w:val="004D0D5D"/>
    <w:rsid w:val="004D1873"/>
    <w:rsid w:val="004D1969"/>
    <w:rsid w:val="004D1DCA"/>
    <w:rsid w:val="004D1EA5"/>
    <w:rsid w:val="004D1EF8"/>
    <w:rsid w:val="004D2954"/>
    <w:rsid w:val="004D2BDB"/>
    <w:rsid w:val="004D3B73"/>
    <w:rsid w:val="004D4585"/>
    <w:rsid w:val="004D4E43"/>
    <w:rsid w:val="004D659E"/>
    <w:rsid w:val="004D67BE"/>
    <w:rsid w:val="004D6D4D"/>
    <w:rsid w:val="004D7592"/>
    <w:rsid w:val="004D7E7A"/>
    <w:rsid w:val="004E0261"/>
    <w:rsid w:val="004E03F6"/>
    <w:rsid w:val="004E1443"/>
    <w:rsid w:val="004E179E"/>
    <w:rsid w:val="004E28D5"/>
    <w:rsid w:val="004E38EA"/>
    <w:rsid w:val="004E3DCA"/>
    <w:rsid w:val="004E3FE8"/>
    <w:rsid w:val="004E43C0"/>
    <w:rsid w:val="004E4EB7"/>
    <w:rsid w:val="004E5057"/>
    <w:rsid w:val="004E5082"/>
    <w:rsid w:val="004E51D0"/>
    <w:rsid w:val="004E5810"/>
    <w:rsid w:val="004E5D37"/>
    <w:rsid w:val="004E6620"/>
    <w:rsid w:val="004F0A13"/>
    <w:rsid w:val="004F1888"/>
    <w:rsid w:val="004F1F09"/>
    <w:rsid w:val="004F32C5"/>
    <w:rsid w:val="004F459F"/>
    <w:rsid w:val="004F523B"/>
    <w:rsid w:val="004F53BF"/>
    <w:rsid w:val="004F5B3D"/>
    <w:rsid w:val="004F5C3E"/>
    <w:rsid w:val="004F62EF"/>
    <w:rsid w:val="004F64D1"/>
    <w:rsid w:val="004F68AF"/>
    <w:rsid w:val="004F6AD0"/>
    <w:rsid w:val="004F7705"/>
    <w:rsid w:val="004F7AF2"/>
    <w:rsid w:val="0050012E"/>
    <w:rsid w:val="005006C3"/>
    <w:rsid w:val="0050125C"/>
    <w:rsid w:val="00501509"/>
    <w:rsid w:val="00502B43"/>
    <w:rsid w:val="00502C5F"/>
    <w:rsid w:val="0050312F"/>
    <w:rsid w:val="00503639"/>
    <w:rsid w:val="005039E4"/>
    <w:rsid w:val="00505D00"/>
    <w:rsid w:val="005073A4"/>
    <w:rsid w:val="00510578"/>
    <w:rsid w:val="005108A8"/>
    <w:rsid w:val="00510A23"/>
    <w:rsid w:val="00510A90"/>
    <w:rsid w:val="00511A03"/>
    <w:rsid w:val="00512C11"/>
    <w:rsid w:val="00512E12"/>
    <w:rsid w:val="00512FDD"/>
    <w:rsid w:val="0051442A"/>
    <w:rsid w:val="00514AD5"/>
    <w:rsid w:val="00514B47"/>
    <w:rsid w:val="005155B4"/>
    <w:rsid w:val="0051570D"/>
    <w:rsid w:val="00515FB4"/>
    <w:rsid w:val="00516FA0"/>
    <w:rsid w:val="0051702C"/>
    <w:rsid w:val="00517B6B"/>
    <w:rsid w:val="00517E1A"/>
    <w:rsid w:val="005213C8"/>
    <w:rsid w:val="0052281A"/>
    <w:rsid w:val="00522E88"/>
    <w:rsid w:val="00522F92"/>
    <w:rsid w:val="00523160"/>
    <w:rsid w:val="00523226"/>
    <w:rsid w:val="0052367E"/>
    <w:rsid w:val="005238FD"/>
    <w:rsid w:val="00523A91"/>
    <w:rsid w:val="00523FA6"/>
    <w:rsid w:val="00524176"/>
    <w:rsid w:val="00524DB5"/>
    <w:rsid w:val="00525E92"/>
    <w:rsid w:val="00525ED8"/>
    <w:rsid w:val="00525F0E"/>
    <w:rsid w:val="00525FDC"/>
    <w:rsid w:val="00527C83"/>
    <w:rsid w:val="00530CA7"/>
    <w:rsid w:val="00530E99"/>
    <w:rsid w:val="00531741"/>
    <w:rsid w:val="00531D0E"/>
    <w:rsid w:val="00531D45"/>
    <w:rsid w:val="005326B4"/>
    <w:rsid w:val="00532A07"/>
    <w:rsid w:val="00532DA9"/>
    <w:rsid w:val="00533480"/>
    <w:rsid w:val="00533BCD"/>
    <w:rsid w:val="00534252"/>
    <w:rsid w:val="00534769"/>
    <w:rsid w:val="00534E55"/>
    <w:rsid w:val="00534EB4"/>
    <w:rsid w:val="0053539A"/>
    <w:rsid w:val="0053642E"/>
    <w:rsid w:val="00536EF6"/>
    <w:rsid w:val="00537C69"/>
    <w:rsid w:val="0054061E"/>
    <w:rsid w:val="00540684"/>
    <w:rsid w:val="0054087F"/>
    <w:rsid w:val="00541592"/>
    <w:rsid w:val="005415CD"/>
    <w:rsid w:val="005419F8"/>
    <w:rsid w:val="005422B7"/>
    <w:rsid w:val="00542AD4"/>
    <w:rsid w:val="005430FF"/>
    <w:rsid w:val="00543A87"/>
    <w:rsid w:val="00543B5C"/>
    <w:rsid w:val="00543E84"/>
    <w:rsid w:val="00545693"/>
    <w:rsid w:val="00545820"/>
    <w:rsid w:val="00545E1D"/>
    <w:rsid w:val="00546701"/>
    <w:rsid w:val="0054681A"/>
    <w:rsid w:val="0054712C"/>
    <w:rsid w:val="005474C2"/>
    <w:rsid w:val="00550480"/>
    <w:rsid w:val="0055158C"/>
    <w:rsid w:val="00552DD8"/>
    <w:rsid w:val="00553091"/>
    <w:rsid w:val="00553514"/>
    <w:rsid w:val="00553D1C"/>
    <w:rsid w:val="005555BA"/>
    <w:rsid w:val="00555DF5"/>
    <w:rsid w:val="00556339"/>
    <w:rsid w:val="005568FD"/>
    <w:rsid w:val="00556BEA"/>
    <w:rsid w:val="0055703C"/>
    <w:rsid w:val="005570C8"/>
    <w:rsid w:val="005617C7"/>
    <w:rsid w:val="005624D3"/>
    <w:rsid w:val="00562EF2"/>
    <w:rsid w:val="005644EC"/>
    <w:rsid w:val="00564842"/>
    <w:rsid w:val="00565413"/>
    <w:rsid w:val="00565870"/>
    <w:rsid w:val="005661A9"/>
    <w:rsid w:val="0056695D"/>
    <w:rsid w:val="00567CD2"/>
    <w:rsid w:val="00570EA8"/>
    <w:rsid w:val="005715BA"/>
    <w:rsid w:val="00572128"/>
    <w:rsid w:val="00572657"/>
    <w:rsid w:val="00572831"/>
    <w:rsid w:val="00572F3A"/>
    <w:rsid w:val="005730BA"/>
    <w:rsid w:val="00573141"/>
    <w:rsid w:val="0057415B"/>
    <w:rsid w:val="005747CB"/>
    <w:rsid w:val="00574A9C"/>
    <w:rsid w:val="00574CEA"/>
    <w:rsid w:val="005750AB"/>
    <w:rsid w:val="00575B8D"/>
    <w:rsid w:val="00575BC2"/>
    <w:rsid w:val="00577C10"/>
    <w:rsid w:val="00577C37"/>
    <w:rsid w:val="0058113B"/>
    <w:rsid w:val="005813EC"/>
    <w:rsid w:val="0058236F"/>
    <w:rsid w:val="005829B2"/>
    <w:rsid w:val="00582C07"/>
    <w:rsid w:val="00582F88"/>
    <w:rsid w:val="005836B4"/>
    <w:rsid w:val="00583824"/>
    <w:rsid w:val="00583A77"/>
    <w:rsid w:val="00583DD6"/>
    <w:rsid w:val="00583E86"/>
    <w:rsid w:val="005847E3"/>
    <w:rsid w:val="00585774"/>
    <w:rsid w:val="00586518"/>
    <w:rsid w:val="00586523"/>
    <w:rsid w:val="00586679"/>
    <w:rsid w:val="00586752"/>
    <w:rsid w:val="00586FF1"/>
    <w:rsid w:val="00587043"/>
    <w:rsid w:val="00587934"/>
    <w:rsid w:val="00587BD6"/>
    <w:rsid w:val="0059016D"/>
    <w:rsid w:val="00590559"/>
    <w:rsid w:val="00590618"/>
    <w:rsid w:val="00590C03"/>
    <w:rsid w:val="00590D49"/>
    <w:rsid w:val="0059117C"/>
    <w:rsid w:val="005918A0"/>
    <w:rsid w:val="00591941"/>
    <w:rsid w:val="00591A35"/>
    <w:rsid w:val="00592420"/>
    <w:rsid w:val="00593BF7"/>
    <w:rsid w:val="0059400B"/>
    <w:rsid w:val="0059400D"/>
    <w:rsid w:val="005946A6"/>
    <w:rsid w:val="005946CD"/>
    <w:rsid w:val="0059470B"/>
    <w:rsid w:val="00594717"/>
    <w:rsid w:val="00594726"/>
    <w:rsid w:val="00594B2E"/>
    <w:rsid w:val="00594CE1"/>
    <w:rsid w:val="005955E5"/>
    <w:rsid w:val="00596771"/>
    <w:rsid w:val="0059696D"/>
    <w:rsid w:val="00596E5A"/>
    <w:rsid w:val="00597361"/>
    <w:rsid w:val="0059795E"/>
    <w:rsid w:val="005A0B77"/>
    <w:rsid w:val="005A0BBA"/>
    <w:rsid w:val="005A16FB"/>
    <w:rsid w:val="005A17F7"/>
    <w:rsid w:val="005A1A34"/>
    <w:rsid w:val="005A21B2"/>
    <w:rsid w:val="005A2370"/>
    <w:rsid w:val="005A27AA"/>
    <w:rsid w:val="005A34F9"/>
    <w:rsid w:val="005A39DD"/>
    <w:rsid w:val="005A3CF5"/>
    <w:rsid w:val="005A48FE"/>
    <w:rsid w:val="005A4CC5"/>
    <w:rsid w:val="005A53BF"/>
    <w:rsid w:val="005A5704"/>
    <w:rsid w:val="005A5C10"/>
    <w:rsid w:val="005A5E7B"/>
    <w:rsid w:val="005A65DF"/>
    <w:rsid w:val="005A66B7"/>
    <w:rsid w:val="005A6FC7"/>
    <w:rsid w:val="005A730E"/>
    <w:rsid w:val="005A75E7"/>
    <w:rsid w:val="005A79EA"/>
    <w:rsid w:val="005B01ED"/>
    <w:rsid w:val="005B0906"/>
    <w:rsid w:val="005B1698"/>
    <w:rsid w:val="005B1C54"/>
    <w:rsid w:val="005B283C"/>
    <w:rsid w:val="005B28E1"/>
    <w:rsid w:val="005B2D4A"/>
    <w:rsid w:val="005B2D83"/>
    <w:rsid w:val="005B306E"/>
    <w:rsid w:val="005B33CE"/>
    <w:rsid w:val="005B384D"/>
    <w:rsid w:val="005B3B3D"/>
    <w:rsid w:val="005B4304"/>
    <w:rsid w:val="005B4670"/>
    <w:rsid w:val="005B4C57"/>
    <w:rsid w:val="005B4D59"/>
    <w:rsid w:val="005B52E1"/>
    <w:rsid w:val="005B54DA"/>
    <w:rsid w:val="005B5EE0"/>
    <w:rsid w:val="005B5FE7"/>
    <w:rsid w:val="005B62B6"/>
    <w:rsid w:val="005B65C4"/>
    <w:rsid w:val="005B681C"/>
    <w:rsid w:val="005B718C"/>
    <w:rsid w:val="005B72D0"/>
    <w:rsid w:val="005B7901"/>
    <w:rsid w:val="005B7EA5"/>
    <w:rsid w:val="005C0418"/>
    <w:rsid w:val="005C1A24"/>
    <w:rsid w:val="005C1E49"/>
    <w:rsid w:val="005C3110"/>
    <w:rsid w:val="005C5213"/>
    <w:rsid w:val="005C5479"/>
    <w:rsid w:val="005C5516"/>
    <w:rsid w:val="005C564E"/>
    <w:rsid w:val="005C56F6"/>
    <w:rsid w:val="005C58FB"/>
    <w:rsid w:val="005C63B8"/>
    <w:rsid w:val="005C6661"/>
    <w:rsid w:val="005C76FF"/>
    <w:rsid w:val="005C7B93"/>
    <w:rsid w:val="005D003D"/>
    <w:rsid w:val="005D04FF"/>
    <w:rsid w:val="005D083B"/>
    <w:rsid w:val="005D0C7A"/>
    <w:rsid w:val="005D0E21"/>
    <w:rsid w:val="005D202F"/>
    <w:rsid w:val="005D236B"/>
    <w:rsid w:val="005D2883"/>
    <w:rsid w:val="005D3093"/>
    <w:rsid w:val="005D30A2"/>
    <w:rsid w:val="005D382F"/>
    <w:rsid w:val="005D383C"/>
    <w:rsid w:val="005D3C07"/>
    <w:rsid w:val="005D402A"/>
    <w:rsid w:val="005D459B"/>
    <w:rsid w:val="005D46F8"/>
    <w:rsid w:val="005D4761"/>
    <w:rsid w:val="005D4AAE"/>
    <w:rsid w:val="005D5050"/>
    <w:rsid w:val="005D55C1"/>
    <w:rsid w:val="005D5CFE"/>
    <w:rsid w:val="005D64A7"/>
    <w:rsid w:val="005D657F"/>
    <w:rsid w:val="005D68AD"/>
    <w:rsid w:val="005D7460"/>
    <w:rsid w:val="005D7628"/>
    <w:rsid w:val="005E01C8"/>
    <w:rsid w:val="005E0B32"/>
    <w:rsid w:val="005E11F1"/>
    <w:rsid w:val="005E1605"/>
    <w:rsid w:val="005E18C3"/>
    <w:rsid w:val="005E18C4"/>
    <w:rsid w:val="005E206C"/>
    <w:rsid w:val="005E23C4"/>
    <w:rsid w:val="005E365A"/>
    <w:rsid w:val="005E3877"/>
    <w:rsid w:val="005E4241"/>
    <w:rsid w:val="005E45C2"/>
    <w:rsid w:val="005E505F"/>
    <w:rsid w:val="005E6643"/>
    <w:rsid w:val="005E7B72"/>
    <w:rsid w:val="005F0632"/>
    <w:rsid w:val="005F0942"/>
    <w:rsid w:val="005F0AE5"/>
    <w:rsid w:val="005F14CE"/>
    <w:rsid w:val="005F1B06"/>
    <w:rsid w:val="005F2639"/>
    <w:rsid w:val="005F2EFA"/>
    <w:rsid w:val="005F34DA"/>
    <w:rsid w:val="005F3969"/>
    <w:rsid w:val="005F3EE7"/>
    <w:rsid w:val="005F3F45"/>
    <w:rsid w:val="005F4369"/>
    <w:rsid w:val="005F5171"/>
    <w:rsid w:val="005F5AFD"/>
    <w:rsid w:val="005F5D90"/>
    <w:rsid w:val="005F687F"/>
    <w:rsid w:val="005F6CC5"/>
    <w:rsid w:val="005F719C"/>
    <w:rsid w:val="005F7362"/>
    <w:rsid w:val="005F76BB"/>
    <w:rsid w:val="005F7B3D"/>
    <w:rsid w:val="005F7E29"/>
    <w:rsid w:val="005F7EB5"/>
    <w:rsid w:val="00600DD9"/>
    <w:rsid w:val="00601D88"/>
    <w:rsid w:val="006021A4"/>
    <w:rsid w:val="00602517"/>
    <w:rsid w:val="00602A58"/>
    <w:rsid w:val="006036FE"/>
    <w:rsid w:val="006046C8"/>
    <w:rsid w:val="00604E4C"/>
    <w:rsid w:val="0060530D"/>
    <w:rsid w:val="0060562F"/>
    <w:rsid w:val="006060D6"/>
    <w:rsid w:val="00606CAB"/>
    <w:rsid w:val="00606F0D"/>
    <w:rsid w:val="006078F8"/>
    <w:rsid w:val="00607FEE"/>
    <w:rsid w:val="00610C08"/>
    <w:rsid w:val="006118FE"/>
    <w:rsid w:val="00611ED2"/>
    <w:rsid w:val="00612B35"/>
    <w:rsid w:val="00612C39"/>
    <w:rsid w:val="00612DC3"/>
    <w:rsid w:val="00612ECC"/>
    <w:rsid w:val="006137ED"/>
    <w:rsid w:val="00613C00"/>
    <w:rsid w:val="006145CE"/>
    <w:rsid w:val="006158E5"/>
    <w:rsid w:val="006160FD"/>
    <w:rsid w:val="006168D5"/>
    <w:rsid w:val="00616DDA"/>
    <w:rsid w:val="00617031"/>
    <w:rsid w:val="0061771F"/>
    <w:rsid w:val="00617BCD"/>
    <w:rsid w:val="00617CE8"/>
    <w:rsid w:val="006206B7"/>
    <w:rsid w:val="00621499"/>
    <w:rsid w:val="006219A3"/>
    <w:rsid w:val="006234FE"/>
    <w:rsid w:val="00623889"/>
    <w:rsid w:val="00623C22"/>
    <w:rsid w:val="006247BB"/>
    <w:rsid w:val="006256C3"/>
    <w:rsid w:val="0062647A"/>
    <w:rsid w:val="0062664E"/>
    <w:rsid w:val="00626BE4"/>
    <w:rsid w:val="00626E28"/>
    <w:rsid w:val="00627007"/>
    <w:rsid w:val="00627657"/>
    <w:rsid w:val="00630070"/>
    <w:rsid w:val="0063023F"/>
    <w:rsid w:val="006309C6"/>
    <w:rsid w:val="006314EA"/>
    <w:rsid w:val="00631F52"/>
    <w:rsid w:val="006320D8"/>
    <w:rsid w:val="006323AD"/>
    <w:rsid w:val="006324DE"/>
    <w:rsid w:val="006327C6"/>
    <w:rsid w:val="00632D6E"/>
    <w:rsid w:val="00632DC0"/>
    <w:rsid w:val="006344B6"/>
    <w:rsid w:val="00634EC2"/>
    <w:rsid w:val="00635183"/>
    <w:rsid w:val="00635B7F"/>
    <w:rsid w:val="00635E15"/>
    <w:rsid w:val="0063655F"/>
    <w:rsid w:val="00636C77"/>
    <w:rsid w:val="00636E55"/>
    <w:rsid w:val="0063790F"/>
    <w:rsid w:val="006401ED"/>
    <w:rsid w:val="00640364"/>
    <w:rsid w:val="00640E30"/>
    <w:rsid w:val="00641088"/>
    <w:rsid w:val="00641350"/>
    <w:rsid w:val="00641553"/>
    <w:rsid w:val="00641CEB"/>
    <w:rsid w:val="00642B69"/>
    <w:rsid w:val="0064345D"/>
    <w:rsid w:val="00643664"/>
    <w:rsid w:val="00643CDD"/>
    <w:rsid w:val="00646A09"/>
    <w:rsid w:val="00646DAF"/>
    <w:rsid w:val="00646DFC"/>
    <w:rsid w:val="00647808"/>
    <w:rsid w:val="00647C76"/>
    <w:rsid w:val="00647F1E"/>
    <w:rsid w:val="00650CBF"/>
    <w:rsid w:val="00651FFD"/>
    <w:rsid w:val="00653864"/>
    <w:rsid w:val="00654175"/>
    <w:rsid w:val="006546A6"/>
    <w:rsid w:val="00654917"/>
    <w:rsid w:val="00654AB8"/>
    <w:rsid w:val="00654B3D"/>
    <w:rsid w:val="0065542C"/>
    <w:rsid w:val="00655E16"/>
    <w:rsid w:val="0065621C"/>
    <w:rsid w:val="0065705B"/>
    <w:rsid w:val="00657861"/>
    <w:rsid w:val="006601BF"/>
    <w:rsid w:val="006610FD"/>
    <w:rsid w:val="00661E6A"/>
    <w:rsid w:val="00662CFA"/>
    <w:rsid w:val="00662D92"/>
    <w:rsid w:val="00664146"/>
    <w:rsid w:val="006655E4"/>
    <w:rsid w:val="006656A6"/>
    <w:rsid w:val="0066579C"/>
    <w:rsid w:val="00665D45"/>
    <w:rsid w:val="00665FA7"/>
    <w:rsid w:val="006664B2"/>
    <w:rsid w:val="00666D5B"/>
    <w:rsid w:val="00666EB0"/>
    <w:rsid w:val="0067116F"/>
    <w:rsid w:val="006725E2"/>
    <w:rsid w:val="00672A28"/>
    <w:rsid w:val="00674531"/>
    <w:rsid w:val="0067469B"/>
    <w:rsid w:val="00674700"/>
    <w:rsid w:val="0067571B"/>
    <w:rsid w:val="006758BF"/>
    <w:rsid w:val="00676CC2"/>
    <w:rsid w:val="00676FAA"/>
    <w:rsid w:val="00677C4E"/>
    <w:rsid w:val="006801CD"/>
    <w:rsid w:val="0068091F"/>
    <w:rsid w:val="006815BD"/>
    <w:rsid w:val="0068183F"/>
    <w:rsid w:val="006823B8"/>
    <w:rsid w:val="006833AF"/>
    <w:rsid w:val="00683734"/>
    <w:rsid w:val="00684042"/>
    <w:rsid w:val="00684B38"/>
    <w:rsid w:val="00684EE0"/>
    <w:rsid w:val="00685AA1"/>
    <w:rsid w:val="00685E58"/>
    <w:rsid w:val="00685F27"/>
    <w:rsid w:val="00686A8C"/>
    <w:rsid w:val="00687A07"/>
    <w:rsid w:val="00687A15"/>
    <w:rsid w:val="006905D0"/>
    <w:rsid w:val="006908F5"/>
    <w:rsid w:val="0069199E"/>
    <w:rsid w:val="00692A3A"/>
    <w:rsid w:val="00692FAE"/>
    <w:rsid w:val="00693023"/>
    <w:rsid w:val="00693029"/>
    <w:rsid w:val="006930C3"/>
    <w:rsid w:val="00693379"/>
    <w:rsid w:val="00693F02"/>
    <w:rsid w:val="00694053"/>
    <w:rsid w:val="0069453F"/>
    <w:rsid w:val="00694610"/>
    <w:rsid w:val="00695168"/>
    <w:rsid w:val="006954EE"/>
    <w:rsid w:val="00695A9E"/>
    <w:rsid w:val="00696506"/>
    <w:rsid w:val="00696E4E"/>
    <w:rsid w:val="0069764D"/>
    <w:rsid w:val="006A0692"/>
    <w:rsid w:val="006A08E5"/>
    <w:rsid w:val="006A0957"/>
    <w:rsid w:val="006A0B0C"/>
    <w:rsid w:val="006A0FF4"/>
    <w:rsid w:val="006A1285"/>
    <w:rsid w:val="006A16C8"/>
    <w:rsid w:val="006A2301"/>
    <w:rsid w:val="006A302D"/>
    <w:rsid w:val="006A4045"/>
    <w:rsid w:val="006A46F9"/>
    <w:rsid w:val="006A4C68"/>
    <w:rsid w:val="006A4F6B"/>
    <w:rsid w:val="006A552C"/>
    <w:rsid w:val="006A671B"/>
    <w:rsid w:val="006A6F80"/>
    <w:rsid w:val="006A725F"/>
    <w:rsid w:val="006A770C"/>
    <w:rsid w:val="006A7984"/>
    <w:rsid w:val="006B0A71"/>
    <w:rsid w:val="006B0DAE"/>
    <w:rsid w:val="006B17E0"/>
    <w:rsid w:val="006B1865"/>
    <w:rsid w:val="006B18E9"/>
    <w:rsid w:val="006B1BC8"/>
    <w:rsid w:val="006B2309"/>
    <w:rsid w:val="006B25F3"/>
    <w:rsid w:val="006B28C3"/>
    <w:rsid w:val="006B2A4D"/>
    <w:rsid w:val="006B31A2"/>
    <w:rsid w:val="006B33AD"/>
    <w:rsid w:val="006B4191"/>
    <w:rsid w:val="006B458C"/>
    <w:rsid w:val="006B4745"/>
    <w:rsid w:val="006B54EE"/>
    <w:rsid w:val="006B59AA"/>
    <w:rsid w:val="006B5AEE"/>
    <w:rsid w:val="006B6580"/>
    <w:rsid w:val="006B6A49"/>
    <w:rsid w:val="006B7316"/>
    <w:rsid w:val="006B7531"/>
    <w:rsid w:val="006B77A4"/>
    <w:rsid w:val="006C0820"/>
    <w:rsid w:val="006C0F76"/>
    <w:rsid w:val="006C1013"/>
    <w:rsid w:val="006C128C"/>
    <w:rsid w:val="006C2C6C"/>
    <w:rsid w:val="006C32D0"/>
    <w:rsid w:val="006C37C9"/>
    <w:rsid w:val="006C39CC"/>
    <w:rsid w:val="006C3E33"/>
    <w:rsid w:val="006C45F1"/>
    <w:rsid w:val="006C53E7"/>
    <w:rsid w:val="006C564D"/>
    <w:rsid w:val="006C5CE7"/>
    <w:rsid w:val="006C6A15"/>
    <w:rsid w:val="006C6F9D"/>
    <w:rsid w:val="006C7606"/>
    <w:rsid w:val="006D0111"/>
    <w:rsid w:val="006D0864"/>
    <w:rsid w:val="006D0C07"/>
    <w:rsid w:val="006D14B8"/>
    <w:rsid w:val="006D1797"/>
    <w:rsid w:val="006D3097"/>
    <w:rsid w:val="006D3C42"/>
    <w:rsid w:val="006D3F9E"/>
    <w:rsid w:val="006D45C2"/>
    <w:rsid w:val="006D45DD"/>
    <w:rsid w:val="006D484D"/>
    <w:rsid w:val="006D4C33"/>
    <w:rsid w:val="006D5706"/>
    <w:rsid w:val="006D5C94"/>
    <w:rsid w:val="006D6467"/>
    <w:rsid w:val="006D69CD"/>
    <w:rsid w:val="006D754E"/>
    <w:rsid w:val="006D75F7"/>
    <w:rsid w:val="006D7709"/>
    <w:rsid w:val="006D787F"/>
    <w:rsid w:val="006D78F3"/>
    <w:rsid w:val="006D7ECE"/>
    <w:rsid w:val="006E0894"/>
    <w:rsid w:val="006E0CC2"/>
    <w:rsid w:val="006E1049"/>
    <w:rsid w:val="006E114C"/>
    <w:rsid w:val="006E2468"/>
    <w:rsid w:val="006E25EC"/>
    <w:rsid w:val="006E2875"/>
    <w:rsid w:val="006E2E6F"/>
    <w:rsid w:val="006E33C5"/>
    <w:rsid w:val="006E34A3"/>
    <w:rsid w:val="006E3876"/>
    <w:rsid w:val="006E44F6"/>
    <w:rsid w:val="006E452C"/>
    <w:rsid w:val="006E472A"/>
    <w:rsid w:val="006E5661"/>
    <w:rsid w:val="006E579E"/>
    <w:rsid w:val="006E5F5E"/>
    <w:rsid w:val="006E61E1"/>
    <w:rsid w:val="006E671C"/>
    <w:rsid w:val="006E71D6"/>
    <w:rsid w:val="006E74B8"/>
    <w:rsid w:val="006E754A"/>
    <w:rsid w:val="006E7F35"/>
    <w:rsid w:val="006F10C3"/>
    <w:rsid w:val="006F1294"/>
    <w:rsid w:val="006F12CB"/>
    <w:rsid w:val="006F1855"/>
    <w:rsid w:val="006F1EDE"/>
    <w:rsid w:val="006F43CE"/>
    <w:rsid w:val="006F4DEC"/>
    <w:rsid w:val="006F5048"/>
    <w:rsid w:val="006F54B8"/>
    <w:rsid w:val="006F5B8D"/>
    <w:rsid w:val="006F6796"/>
    <w:rsid w:val="006F6C66"/>
    <w:rsid w:val="006F6F8F"/>
    <w:rsid w:val="006F77C0"/>
    <w:rsid w:val="006F7C7E"/>
    <w:rsid w:val="00700536"/>
    <w:rsid w:val="007016EF"/>
    <w:rsid w:val="007020DF"/>
    <w:rsid w:val="00702B1D"/>
    <w:rsid w:val="0070330E"/>
    <w:rsid w:val="00703805"/>
    <w:rsid w:val="0070441D"/>
    <w:rsid w:val="00704856"/>
    <w:rsid w:val="0070497A"/>
    <w:rsid w:val="007057F7"/>
    <w:rsid w:val="00705A0B"/>
    <w:rsid w:val="0070614B"/>
    <w:rsid w:val="007065C5"/>
    <w:rsid w:val="00706BB3"/>
    <w:rsid w:val="00706CE6"/>
    <w:rsid w:val="0070729A"/>
    <w:rsid w:val="0070743B"/>
    <w:rsid w:val="00707C6F"/>
    <w:rsid w:val="00710780"/>
    <w:rsid w:val="0071118D"/>
    <w:rsid w:val="007113F5"/>
    <w:rsid w:val="00711488"/>
    <w:rsid w:val="00711774"/>
    <w:rsid w:val="00711ED9"/>
    <w:rsid w:val="0071233F"/>
    <w:rsid w:val="0071238B"/>
    <w:rsid w:val="00713261"/>
    <w:rsid w:val="007135E3"/>
    <w:rsid w:val="00713D68"/>
    <w:rsid w:val="007143B1"/>
    <w:rsid w:val="007145A9"/>
    <w:rsid w:val="00714692"/>
    <w:rsid w:val="0071485A"/>
    <w:rsid w:val="0071582F"/>
    <w:rsid w:val="007158CA"/>
    <w:rsid w:val="00715CEA"/>
    <w:rsid w:val="007162F0"/>
    <w:rsid w:val="00716C30"/>
    <w:rsid w:val="007173C5"/>
    <w:rsid w:val="00720C15"/>
    <w:rsid w:val="00721176"/>
    <w:rsid w:val="00721955"/>
    <w:rsid w:val="0072265A"/>
    <w:rsid w:val="00722D08"/>
    <w:rsid w:val="00722FC1"/>
    <w:rsid w:val="0072329F"/>
    <w:rsid w:val="00724CA8"/>
    <w:rsid w:val="00724CF8"/>
    <w:rsid w:val="00726590"/>
    <w:rsid w:val="00727570"/>
    <w:rsid w:val="007276BD"/>
    <w:rsid w:val="00727880"/>
    <w:rsid w:val="00727911"/>
    <w:rsid w:val="0073006E"/>
    <w:rsid w:val="0073045D"/>
    <w:rsid w:val="007305A3"/>
    <w:rsid w:val="0073067B"/>
    <w:rsid w:val="00730CA7"/>
    <w:rsid w:val="00730FFA"/>
    <w:rsid w:val="00731210"/>
    <w:rsid w:val="007331BA"/>
    <w:rsid w:val="007334E5"/>
    <w:rsid w:val="007343E9"/>
    <w:rsid w:val="00735197"/>
    <w:rsid w:val="00735C7C"/>
    <w:rsid w:val="00736AA2"/>
    <w:rsid w:val="007379EB"/>
    <w:rsid w:val="007401E6"/>
    <w:rsid w:val="00740376"/>
    <w:rsid w:val="007416CA"/>
    <w:rsid w:val="00742CEC"/>
    <w:rsid w:val="007435D7"/>
    <w:rsid w:val="00744CDD"/>
    <w:rsid w:val="00744FDE"/>
    <w:rsid w:val="0074553C"/>
    <w:rsid w:val="0074598D"/>
    <w:rsid w:val="00746759"/>
    <w:rsid w:val="007470FF"/>
    <w:rsid w:val="00747194"/>
    <w:rsid w:val="007474B0"/>
    <w:rsid w:val="007501BB"/>
    <w:rsid w:val="00751BB7"/>
    <w:rsid w:val="007526A9"/>
    <w:rsid w:val="00752710"/>
    <w:rsid w:val="00753606"/>
    <w:rsid w:val="00755164"/>
    <w:rsid w:val="00755620"/>
    <w:rsid w:val="00756801"/>
    <w:rsid w:val="00756AA2"/>
    <w:rsid w:val="00757329"/>
    <w:rsid w:val="00757999"/>
    <w:rsid w:val="00757AA1"/>
    <w:rsid w:val="00757B12"/>
    <w:rsid w:val="007603A1"/>
    <w:rsid w:val="00760507"/>
    <w:rsid w:val="00760A6C"/>
    <w:rsid w:val="00760B51"/>
    <w:rsid w:val="00761234"/>
    <w:rsid w:val="007615EA"/>
    <w:rsid w:val="00761F3B"/>
    <w:rsid w:val="00761FF9"/>
    <w:rsid w:val="00762119"/>
    <w:rsid w:val="007626CD"/>
    <w:rsid w:val="007642D5"/>
    <w:rsid w:val="00764440"/>
    <w:rsid w:val="007646F9"/>
    <w:rsid w:val="0076525E"/>
    <w:rsid w:val="00765481"/>
    <w:rsid w:val="00765681"/>
    <w:rsid w:val="00765E3D"/>
    <w:rsid w:val="0076661A"/>
    <w:rsid w:val="0076681C"/>
    <w:rsid w:val="00767D07"/>
    <w:rsid w:val="00767D21"/>
    <w:rsid w:val="0077038C"/>
    <w:rsid w:val="007708BD"/>
    <w:rsid w:val="00770FA4"/>
    <w:rsid w:val="00771E3B"/>
    <w:rsid w:val="00771FA4"/>
    <w:rsid w:val="00772812"/>
    <w:rsid w:val="00772C29"/>
    <w:rsid w:val="0077554A"/>
    <w:rsid w:val="007763C9"/>
    <w:rsid w:val="00777CBF"/>
    <w:rsid w:val="00780558"/>
    <w:rsid w:val="00780C33"/>
    <w:rsid w:val="00780C9B"/>
    <w:rsid w:val="00781759"/>
    <w:rsid w:val="007819B5"/>
    <w:rsid w:val="00781D9B"/>
    <w:rsid w:val="00782FF7"/>
    <w:rsid w:val="00783461"/>
    <w:rsid w:val="00784296"/>
    <w:rsid w:val="00785188"/>
    <w:rsid w:val="007851C5"/>
    <w:rsid w:val="00785BBD"/>
    <w:rsid w:val="00785D5B"/>
    <w:rsid w:val="007864DA"/>
    <w:rsid w:val="00787014"/>
    <w:rsid w:val="0078709C"/>
    <w:rsid w:val="007870CF"/>
    <w:rsid w:val="00787D9C"/>
    <w:rsid w:val="00790FEF"/>
    <w:rsid w:val="00791071"/>
    <w:rsid w:val="00791118"/>
    <w:rsid w:val="00791285"/>
    <w:rsid w:val="00791D28"/>
    <w:rsid w:val="00791DD6"/>
    <w:rsid w:val="00794CC2"/>
    <w:rsid w:val="00795461"/>
    <w:rsid w:val="007958BC"/>
    <w:rsid w:val="00796F18"/>
    <w:rsid w:val="00797662"/>
    <w:rsid w:val="007A0443"/>
    <w:rsid w:val="007A0F0B"/>
    <w:rsid w:val="007A10F3"/>
    <w:rsid w:val="007A111F"/>
    <w:rsid w:val="007A17A3"/>
    <w:rsid w:val="007A17DE"/>
    <w:rsid w:val="007A1A14"/>
    <w:rsid w:val="007A1D73"/>
    <w:rsid w:val="007A2416"/>
    <w:rsid w:val="007A2A90"/>
    <w:rsid w:val="007A3D65"/>
    <w:rsid w:val="007A42E1"/>
    <w:rsid w:val="007A48A3"/>
    <w:rsid w:val="007A4BD8"/>
    <w:rsid w:val="007A632E"/>
    <w:rsid w:val="007A6CEA"/>
    <w:rsid w:val="007A6F15"/>
    <w:rsid w:val="007A7252"/>
    <w:rsid w:val="007A73F7"/>
    <w:rsid w:val="007A74DF"/>
    <w:rsid w:val="007A7B2C"/>
    <w:rsid w:val="007B1148"/>
    <w:rsid w:val="007B230B"/>
    <w:rsid w:val="007B23E9"/>
    <w:rsid w:val="007B389A"/>
    <w:rsid w:val="007B4CF3"/>
    <w:rsid w:val="007B4E6C"/>
    <w:rsid w:val="007B60BD"/>
    <w:rsid w:val="007B6452"/>
    <w:rsid w:val="007B6AF3"/>
    <w:rsid w:val="007B788A"/>
    <w:rsid w:val="007B7A6A"/>
    <w:rsid w:val="007B7F69"/>
    <w:rsid w:val="007C128C"/>
    <w:rsid w:val="007C1F73"/>
    <w:rsid w:val="007C28D2"/>
    <w:rsid w:val="007C2917"/>
    <w:rsid w:val="007C30DE"/>
    <w:rsid w:val="007C3787"/>
    <w:rsid w:val="007C37B3"/>
    <w:rsid w:val="007C43EF"/>
    <w:rsid w:val="007C5A47"/>
    <w:rsid w:val="007C6211"/>
    <w:rsid w:val="007C71EB"/>
    <w:rsid w:val="007C75A0"/>
    <w:rsid w:val="007C7624"/>
    <w:rsid w:val="007C763D"/>
    <w:rsid w:val="007C786B"/>
    <w:rsid w:val="007D00D9"/>
    <w:rsid w:val="007D08D3"/>
    <w:rsid w:val="007D09EC"/>
    <w:rsid w:val="007D1C3E"/>
    <w:rsid w:val="007D2815"/>
    <w:rsid w:val="007D2A94"/>
    <w:rsid w:val="007D37D5"/>
    <w:rsid w:val="007D42DC"/>
    <w:rsid w:val="007D493C"/>
    <w:rsid w:val="007D496D"/>
    <w:rsid w:val="007D61D6"/>
    <w:rsid w:val="007D6301"/>
    <w:rsid w:val="007D7D81"/>
    <w:rsid w:val="007E023E"/>
    <w:rsid w:val="007E08D6"/>
    <w:rsid w:val="007E0EC1"/>
    <w:rsid w:val="007E0F4E"/>
    <w:rsid w:val="007E2412"/>
    <w:rsid w:val="007E2554"/>
    <w:rsid w:val="007E2FB5"/>
    <w:rsid w:val="007E3026"/>
    <w:rsid w:val="007E472C"/>
    <w:rsid w:val="007E52FE"/>
    <w:rsid w:val="007E5683"/>
    <w:rsid w:val="007E5CD5"/>
    <w:rsid w:val="007E5DD8"/>
    <w:rsid w:val="007E7824"/>
    <w:rsid w:val="007E7BCF"/>
    <w:rsid w:val="007F108A"/>
    <w:rsid w:val="007F1D5B"/>
    <w:rsid w:val="007F313F"/>
    <w:rsid w:val="007F348D"/>
    <w:rsid w:val="007F3A86"/>
    <w:rsid w:val="007F3F8A"/>
    <w:rsid w:val="007F4A16"/>
    <w:rsid w:val="007F4C0F"/>
    <w:rsid w:val="007F5673"/>
    <w:rsid w:val="007F57F9"/>
    <w:rsid w:val="007F6915"/>
    <w:rsid w:val="007F6D85"/>
    <w:rsid w:val="00800077"/>
    <w:rsid w:val="008008A5"/>
    <w:rsid w:val="008016C2"/>
    <w:rsid w:val="0080260D"/>
    <w:rsid w:val="00803C26"/>
    <w:rsid w:val="00804282"/>
    <w:rsid w:val="008057AA"/>
    <w:rsid w:val="0080616B"/>
    <w:rsid w:val="00806365"/>
    <w:rsid w:val="008063D2"/>
    <w:rsid w:val="00806688"/>
    <w:rsid w:val="008079FB"/>
    <w:rsid w:val="00807D42"/>
    <w:rsid w:val="00810637"/>
    <w:rsid w:val="008108C4"/>
    <w:rsid w:val="00810C63"/>
    <w:rsid w:val="00811717"/>
    <w:rsid w:val="00812345"/>
    <w:rsid w:val="008126CE"/>
    <w:rsid w:val="00812EC2"/>
    <w:rsid w:val="008134CF"/>
    <w:rsid w:val="0081403F"/>
    <w:rsid w:val="00814600"/>
    <w:rsid w:val="00814768"/>
    <w:rsid w:val="00814C6C"/>
    <w:rsid w:val="00817F8F"/>
    <w:rsid w:val="00820CEC"/>
    <w:rsid w:val="00821074"/>
    <w:rsid w:val="00822883"/>
    <w:rsid w:val="008236DF"/>
    <w:rsid w:val="00823735"/>
    <w:rsid w:val="00823AB0"/>
    <w:rsid w:val="00824008"/>
    <w:rsid w:val="008240FF"/>
    <w:rsid w:val="0082425E"/>
    <w:rsid w:val="0082496B"/>
    <w:rsid w:val="0082541B"/>
    <w:rsid w:val="008264B6"/>
    <w:rsid w:val="00826773"/>
    <w:rsid w:val="00827A1E"/>
    <w:rsid w:val="00827BF9"/>
    <w:rsid w:val="00827DEC"/>
    <w:rsid w:val="00830298"/>
    <w:rsid w:val="00830A32"/>
    <w:rsid w:val="008311E2"/>
    <w:rsid w:val="00832A80"/>
    <w:rsid w:val="00832AF9"/>
    <w:rsid w:val="00832D31"/>
    <w:rsid w:val="00832F9D"/>
    <w:rsid w:val="00832FF9"/>
    <w:rsid w:val="00834A2E"/>
    <w:rsid w:val="00834A64"/>
    <w:rsid w:val="00834C0D"/>
    <w:rsid w:val="00834D6C"/>
    <w:rsid w:val="00836B35"/>
    <w:rsid w:val="00836D38"/>
    <w:rsid w:val="008374C7"/>
    <w:rsid w:val="00840233"/>
    <w:rsid w:val="00840E52"/>
    <w:rsid w:val="00840E72"/>
    <w:rsid w:val="00841FF6"/>
    <w:rsid w:val="00842188"/>
    <w:rsid w:val="00842328"/>
    <w:rsid w:val="0084234E"/>
    <w:rsid w:val="00842932"/>
    <w:rsid w:val="00842B31"/>
    <w:rsid w:val="00842B58"/>
    <w:rsid w:val="00843450"/>
    <w:rsid w:val="00843F40"/>
    <w:rsid w:val="0084418C"/>
    <w:rsid w:val="008442F7"/>
    <w:rsid w:val="008446C9"/>
    <w:rsid w:val="00845187"/>
    <w:rsid w:val="00845737"/>
    <w:rsid w:val="008466E0"/>
    <w:rsid w:val="00846785"/>
    <w:rsid w:val="0084691F"/>
    <w:rsid w:val="00847C4A"/>
    <w:rsid w:val="00847ED2"/>
    <w:rsid w:val="00850630"/>
    <w:rsid w:val="00850E99"/>
    <w:rsid w:val="00850EF9"/>
    <w:rsid w:val="00851A12"/>
    <w:rsid w:val="00851DA7"/>
    <w:rsid w:val="00852B4B"/>
    <w:rsid w:val="00853F33"/>
    <w:rsid w:val="0085451F"/>
    <w:rsid w:val="00854F1A"/>
    <w:rsid w:val="00855665"/>
    <w:rsid w:val="008557E8"/>
    <w:rsid w:val="00855904"/>
    <w:rsid w:val="00856042"/>
    <w:rsid w:val="008562EA"/>
    <w:rsid w:val="00856442"/>
    <w:rsid w:val="00856608"/>
    <w:rsid w:val="0086090E"/>
    <w:rsid w:val="00860B19"/>
    <w:rsid w:val="00860FAC"/>
    <w:rsid w:val="00861B53"/>
    <w:rsid w:val="00861D72"/>
    <w:rsid w:val="0086210B"/>
    <w:rsid w:val="008636CA"/>
    <w:rsid w:val="0086435F"/>
    <w:rsid w:val="0086493F"/>
    <w:rsid w:val="008651FD"/>
    <w:rsid w:val="00865B4E"/>
    <w:rsid w:val="008660E9"/>
    <w:rsid w:val="008669D2"/>
    <w:rsid w:val="00866BDE"/>
    <w:rsid w:val="00867066"/>
    <w:rsid w:val="00867138"/>
    <w:rsid w:val="00867830"/>
    <w:rsid w:val="00867E7F"/>
    <w:rsid w:val="00867F2F"/>
    <w:rsid w:val="00870022"/>
    <w:rsid w:val="008701B5"/>
    <w:rsid w:val="008704CD"/>
    <w:rsid w:val="008719A8"/>
    <w:rsid w:val="00871AD7"/>
    <w:rsid w:val="00871DD7"/>
    <w:rsid w:val="00871EF3"/>
    <w:rsid w:val="00873335"/>
    <w:rsid w:val="00874200"/>
    <w:rsid w:val="00874307"/>
    <w:rsid w:val="00874DF5"/>
    <w:rsid w:val="00875C8A"/>
    <w:rsid w:val="00875D6F"/>
    <w:rsid w:val="0087641E"/>
    <w:rsid w:val="0088079E"/>
    <w:rsid w:val="00880D4E"/>
    <w:rsid w:val="008815C2"/>
    <w:rsid w:val="008826DF"/>
    <w:rsid w:val="0088289F"/>
    <w:rsid w:val="00882938"/>
    <w:rsid w:val="008834E4"/>
    <w:rsid w:val="008840C9"/>
    <w:rsid w:val="00884289"/>
    <w:rsid w:val="008849DA"/>
    <w:rsid w:val="0088537F"/>
    <w:rsid w:val="00885D58"/>
    <w:rsid w:val="00885EE8"/>
    <w:rsid w:val="008867EC"/>
    <w:rsid w:val="008873C4"/>
    <w:rsid w:val="0088767D"/>
    <w:rsid w:val="00887822"/>
    <w:rsid w:val="00890389"/>
    <w:rsid w:val="00890857"/>
    <w:rsid w:val="00890EB6"/>
    <w:rsid w:val="00891108"/>
    <w:rsid w:val="008920BF"/>
    <w:rsid w:val="0089259F"/>
    <w:rsid w:val="00894628"/>
    <w:rsid w:val="008952D9"/>
    <w:rsid w:val="00895A39"/>
    <w:rsid w:val="00895BF1"/>
    <w:rsid w:val="00897895"/>
    <w:rsid w:val="00897ABB"/>
    <w:rsid w:val="008A0188"/>
    <w:rsid w:val="008A0C5E"/>
    <w:rsid w:val="008A1115"/>
    <w:rsid w:val="008A113A"/>
    <w:rsid w:val="008A114C"/>
    <w:rsid w:val="008A1467"/>
    <w:rsid w:val="008A187A"/>
    <w:rsid w:val="008A1B7C"/>
    <w:rsid w:val="008A2242"/>
    <w:rsid w:val="008A36C6"/>
    <w:rsid w:val="008A43A5"/>
    <w:rsid w:val="008A5119"/>
    <w:rsid w:val="008A610E"/>
    <w:rsid w:val="008A6487"/>
    <w:rsid w:val="008A7995"/>
    <w:rsid w:val="008A7A6F"/>
    <w:rsid w:val="008B0574"/>
    <w:rsid w:val="008B06CE"/>
    <w:rsid w:val="008B11A2"/>
    <w:rsid w:val="008B1A12"/>
    <w:rsid w:val="008B1E81"/>
    <w:rsid w:val="008B35F7"/>
    <w:rsid w:val="008B393D"/>
    <w:rsid w:val="008B3984"/>
    <w:rsid w:val="008B3AF7"/>
    <w:rsid w:val="008B46FE"/>
    <w:rsid w:val="008B4865"/>
    <w:rsid w:val="008B5F35"/>
    <w:rsid w:val="008B60C4"/>
    <w:rsid w:val="008B617C"/>
    <w:rsid w:val="008B6294"/>
    <w:rsid w:val="008C0049"/>
    <w:rsid w:val="008C033C"/>
    <w:rsid w:val="008C0723"/>
    <w:rsid w:val="008C15F9"/>
    <w:rsid w:val="008C24E5"/>
    <w:rsid w:val="008C29B5"/>
    <w:rsid w:val="008C3321"/>
    <w:rsid w:val="008C358C"/>
    <w:rsid w:val="008C35B3"/>
    <w:rsid w:val="008C38A5"/>
    <w:rsid w:val="008C3DBC"/>
    <w:rsid w:val="008C453D"/>
    <w:rsid w:val="008C576D"/>
    <w:rsid w:val="008C5DA0"/>
    <w:rsid w:val="008C5F52"/>
    <w:rsid w:val="008C6226"/>
    <w:rsid w:val="008C750D"/>
    <w:rsid w:val="008C7E07"/>
    <w:rsid w:val="008C7FE4"/>
    <w:rsid w:val="008D0202"/>
    <w:rsid w:val="008D03CA"/>
    <w:rsid w:val="008D0691"/>
    <w:rsid w:val="008D0B77"/>
    <w:rsid w:val="008D0DAC"/>
    <w:rsid w:val="008D0F8E"/>
    <w:rsid w:val="008D1152"/>
    <w:rsid w:val="008D14D4"/>
    <w:rsid w:val="008D1A20"/>
    <w:rsid w:val="008D21C1"/>
    <w:rsid w:val="008D2C24"/>
    <w:rsid w:val="008D3189"/>
    <w:rsid w:val="008D3BF2"/>
    <w:rsid w:val="008D4EB8"/>
    <w:rsid w:val="008D5A60"/>
    <w:rsid w:val="008D5BE4"/>
    <w:rsid w:val="008D5BE8"/>
    <w:rsid w:val="008D609E"/>
    <w:rsid w:val="008D6508"/>
    <w:rsid w:val="008D6B5C"/>
    <w:rsid w:val="008D6DBF"/>
    <w:rsid w:val="008D6F8B"/>
    <w:rsid w:val="008D74EE"/>
    <w:rsid w:val="008E0570"/>
    <w:rsid w:val="008E2178"/>
    <w:rsid w:val="008E2676"/>
    <w:rsid w:val="008E2FAF"/>
    <w:rsid w:val="008E3012"/>
    <w:rsid w:val="008E33B8"/>
    <w:rsid w:val="008E3C9D"/>
    <w:rsid w:val="008E3E41"/>
    <w:rsid w:val="008E3F5D"/>
    <w:rsid w:val="008E4584"/>
    <w:rsid w:val="008E467A"/>
    <w:rsid w:val="008E50CD"/>
    <w:rsid w:val="008E5458"/>
    <w:rsid w:val="008E6A18"/>
    <w:rsid w:val="008E7378"/>
    <w:rsid w:val="008E756E"/>
    <w:rsid w:val="008E769B"/>
    <w:rsid w:val="008E7915"/>
    <w:rsid w:val="008F0341"/>
    <w:rsid w:val="008F1192"/>
    <w:rsid w:val="008F1A1F"/>
    <w:rsid w:val="008F1F44"/>
    <w:rsid w:val="008F2376"/>
    <w:rsid w:val="008F281D"/>
    <w:rsid w:val="008F36CB"/>
    <w:rsid w:val="008F470D"/>
    <w:rsid w:val="008F499B"/>
    <w:rsid w:val="008F5D50"/>
    <w:rsid w:val="008F60B6"/>
    <w:rsid w:val="008F60E3"/>
    <w:rsid w:val="008F6D80"/>
    <w:rsid w:val="008F6F5D"/>
    <w:rsid w:val="008F7034"/>
    <w:rsid w:val="008F7091"/>
    <w:rsid w:val="008F7B38"/>
    <w:rsid w:val="008F7DD9"/>
    <w:rsid w:val="008F7EA5"/>
    <w:rsid w:val="00901426"/>
    <w:rsid w:val="009014AF"/>
    <w:rsid w:val="0090190B"/>
    <w:rsid w:val="009020F5"/>
    <w:rsid w:val="00902B4C"/>
    <w:rsid w:val="00902D92"/>
    <w:rsid w:val="009034D7"/>
    <w:rsid w:val="009050E8"/>
    <w:rsid w:val="009066F0"/>
    <w:rsid w:val="00906B4E"/>
    <w:rsid w:val="00906ED3"/>
    <w:rsid w:val="0090722C"/>
    <w:rsid w:val="00907338"/>
    <w:rsid w:val="00907AE0"/>
    <w:rsid w:val="00910053"/>
    <w:rsid w:val="00910C78"/>
    <w:rsid w:val="00910CC0"/>
    <w:rsid w:val="00910EA7"/>
    <w:rsid w:val="00910F6C"/>
    <w:rsid w:val="00911089"/>
    <w:rsid w:val="00911143"/>
    <w:rsid w:val="00911489"/>
    <w:rsid w:val="009117BE"/>
    <w:rsid w:val="009120B4"/>
    <w:rsid w:val="009123CB"/>
    <w:rsid w:val="009124DA"/>
    <w:rsid w:val="00913524"/>
    <w:rsid w:val="00913694"/>
    <w:rsid w:val="009137CF"/>
    <w:rsid w:val="00914889"/>
    <w:rsid w:val="00915653"/>
    <w:rsid w:val="00915C50"/>
    <w:rsid w:val="00915FF6"/>
    <w:rsid w:val="00916853"/>
    <w:rsid w:val="009169F4"/>
    <w:rsid w:val="00916B75"/>
    <w:rsid w:val="00916C0C"/>
    <w:rsid w:val="00916EC3"/>
    <w:rsid w:val="00916FDC"/>
    <w:rsid w:val="00917939"/>
    <w:rsid w:val="00917B15"/>
    <w:rsid w:val="009209EC"/>
    <w:rsid w:val="00920CDE"/>
    <w:rsid w:val="00920D09"/>
    <w:rsid w:val="009213AE"/>
    <w:rsid w:val="00921596"/>
    <w:rsid w:val="009243C1"/>
    <w:rsid w:val="00925FAA"/>
    <w:rsid w:val="00926D1B"/>
    <w:rsid w:val="00926D33"/>
    <w:rsid w:val="009278B1"/>
    <w:rsid w:val="00927C16"/>
    <w:rsid w:val="00927C7A"/>
    <w:rsid w:val="00927FDF"/>
    <w:rsid w:val="00930629"/>
    <w:rsid w:val="00930D2E"/>
    <w:rsid w:val="0093104D"/>
    <w:rsid w:val="0093117B"/>
    <w:rsid w:val="0093185C"/>
    <w:rsid w:val="00932AC2"/>
    <w:rsid w:val="00932F9E"/>
    <w:rsid w:val="00933E5E"/>
    <w:rsid w:val="00933FD4"/>
    <w:rsid w:val="00934883"/>
    <w:rsid w:val="00934E4C"/>
    <w:rsid w:val="009351CD"/>
    <w:rsid w:val="009358A0"/>
    <w:rsid w:val="00937877"/>
    <w:rsid w:val="00937D84"/>
    <w:rsid w:val="00940884"/>
    <w:rsid w:val="00940E4E"/>
    <w:rsid w:val="009417B7"/>
    <w:rsid w:val="00942DFB"/>
    <w:rsid w:val="009436CF"/>
    <w:rsid w:val="0094375A"/>
    <w:rsid w:val="009444F8"/>
    <w:rsid w:val="009446BC"/>
    <w:rsid w:val="0094544B"/>
    <w:rsid w:val="0094554D"/>
    <w:rsid w:val="009455C8"/>
    <w:rsid w:val="00945A37"/>
    <w:rsid w:val="00945A6E"/>
    <w:rsid w:val="00945CB6"/>
    <w:rsid w:val="00945DAA"/>
    <w:rsid w:val="009468B2"/>
    <w:rsid w:val="00951017"/>
    <w:rsid w:val="00953023"/>
    <w:rsid w:val="009536AC"/>
    <w:rsid w:val="00953A44"/>
    <w:rsid w:val="00953AA3"/>
    <w:rsid w:val="00954685"/>
    <w:rsid w:val="00954736"/>
    <w:rsid w:val="009547CB"/>
    <w:rsid w:val="00954835"/>
    <w:rsid w:val="0095485C"/>
    <w:rsid w:val="00955D19"/>
    <w:rsid w:val="00955F4A"/>
    <w:rsid w:val="00956078"/>
    <w:rsid w:val="0095623E"/>
    <w:rsid w:val="00957D73"/>
    <w:rsid w:val="00961E6A"/>
    <w:rsid w:val="0096292E"/>
    <w:rsid w:val="00962981"/>
    <w:rsid w:val="00963653"/>
    <w:rsid w:val="00963929"/>
    <w:rsid w:val="0096489E"/>
    <w:rsid w:val="00965111"/>
    <w:rsid w:val="00965668"/>
    <w:rsid w:val="00965E4A"/>
    <w:rsid w:val="009661C1"/>
    <w:rsid w:val="00966BDF"/>
    <w:rsid w:val="00967A2C"/>
    <w:rsid w:val="00967B67"/>
    <w:rsid w:val="00967ED8"/>
    <w:rsid w:val="00967FCB"/>
    <w:rsid w:val="009713B7"/>
    <w:rsid w:val="0097177B"/>
    <w:rsid w:val="00973D32"/>
    <w:rsid w:val="00973F87"/>
    <w:rsid w:val="00973FE6"/>
    <w:rsid w:val="00974664"/>
    <w:rsid w:val="0097487C"/>
    <w:rsid w:val="00974B49"/>
    <w:rsid w:val="00974D1E"/>
    <w:rsid w:val="00974E1B"/>
    <w:rsid w:val="00975E30"/>
    <w:rsid w:val="0097657E"/>
    <w:rsid w:val="00976759"/>
    <w:rsid w:val="00976DFC"/>
    <w:rsid w:val="00977A63"/>
    <w:rsid w:val="00980B14"/>
    <w:rsid w:val="009810B5"/>
    <w:rsid w:val="009814F8"/>
    <w:rsid w:val="0098165A"/>
    <w:rsid w:val="009816FB"/>
    <w:rsid w:val="00981872"/>
    <w:rsid w:val="00982A11"/>
    <w:rsid w:val="00983973"/>
    <w:rsid w:val="00983B8A"/>
    <w:rsid w:val="00984ACC"/>
    <w:rsid w:val="0098569D"/>
    <w:rsid w:val="00985A98"/>
    <w:rsid w:val="00985C83"/>
    <w:rsid w:val="00985E20"/>
    <w:rsid w:val="0098635C"/>
    <w:rsid w:val="009867D6"/>
    <w:rsid w:val="00987714"/>
    <w:rsid w:val="00987F91"/>
    <w:rsid w:val="009900CF"/>
    <w:rsid w:val="009908FD"/>
    <w:rsid w:val="009910C4"/>
    <w:rsid w:val="00991597"/>
    <w:rsid w:val="0099287A"/>
    <w:rsid w:val="0099348C"/>
    <w:rsid w:val="009943EE"/>
    <w:rsid w:val="009945AE"/>
    <w:rsid w:val="0099485F"/>
    <w:rsid w:val="00994879"/>
    <w:rsid w:val="00994B32"/>
    <w:rsid w:val="00994C8A"/>
    <w:rsid w:val="00995340"/>
    <w:rsid w:val="00995B44"/>
    <w:rsid w:val="00995C8E"/>
    <w:rsid w:val="00995F87"/>
    <w:rsid w:val="00996363"/>
    <w:rsid w:val="009963BB"/>
    <w:rsid w:val="00996B40"/>
    <w:rsid w:val="00996C8C"/>
    <w:rsid w:val="00997CF0"/>
    <w:rsid w:val="009A0060"/>
    <w:rsid w:val="009A04A2"/>
    <w:rsid w:val="009A0520"/>
    <w:rsid w:val="009A08AB"/>
    <w:rsid w:val="009A0C93"/>
    <w:rsid w:val="009A1370"/>
    <w:rsid w:val="009A160C"/>
    <w:rsid w:val="009A2250"/>
    <w:rsid w:val="009A27E4"/>
    <w:rsid w:val="009A2BCC"/>
    <w:rsid w:val="009A38EB"/>
    <w:rsid w:val="009A3CB2"/>
    <w:rsid w:val="009A4044"/>
    <w:rsid w:val="009A4445"/>
    <w:rsid w:val="009A51A6"/>
    <w:rsid w:val="009A6892"/>
    <w:rsid w:val="009A7037"/>
    <w:rsid w:val="009A7BFF"/>
    <w:rsid w:val="009B04EC"/>
    <w:rsid w:val="009B0534"/>
    <w:rsid w:val="009B0EAA"/>
    <w:rsid w:val="009B0EC4"/>
    <w:rsid w:val="009B1767"/>
    <w:rsid w:val="009B190B"/>
    <w:rsid w:val="009B220F"/>
    <w:rsid w:val="009B27E0"/>
    <w:rsid w:val="009B28C6"/>
    <w:rsid w:val="009B2C99"/>
    <w:rsid w:val="009B2DB7"/>
    <w:rsid w:val="009B2FB2"/>
    <w:rsid w:val="009B320D"/>
    <w:rsid w:val="009B3B3C"/>
    <w:rsid w:val="009B607B"/>
    <w:rsid w:val="009B6633"/>
    <w:rsid w:val="009B67CE"/>
    <w:rsid w:val="009B69C9"/>
    <w:rsid w:val="009B6C09"/>
    <w:rsid w:val="009B7FFA"/>
    <w:rsid w:val="009C054F"/>
    <w:rsid w:val="009C137E"/>
    <w:rsid w:val="009C1C2E"/>
    <w:rsid w:val="009C1FCF"/>
    <w:rsid w:val="009C22FA"/>
    <w:rsid w:val="009C34A2"/>
    <w:rsid w:val="009C3B9F"/>
    <w:rsid w:val="009C4178"/>
    <w:rsid w:val="009C473D"/>
    <w:rsid w:val="009C51B9"/>
    <w:rsid w:val="009C5FE9"/>
    <w:rsid w:val="009C76BC"/>
    <w:rsid w:val="009C7793"/>
    <w:rsid w:val="009C7A84"/>
    <w:rsid w:val="009D01BA"/>
    <w:rsid w:val="009D09AA"/>
    <w:rsid w:val="009D11EF"/>
    <w:rsid w:val="009D12A7"/>
    <w:rsid w:val="009D12D6"/>
    <w:rsid w:val="009D242C"/>
    <w:rsid w:val="009D2DB9"/>
    <w:rsid w:val="009D420B"/>
    <w:rsid w:val="009D4913"/>
    <w:rsid w:val="009D546A"/>
    <w:rsid w:val="009D5B46"/>
    <w:rsid w:val="009D5E29"/>
    <w:rsid w:val="009D6205"/>
    <w:rsid w:val="009D6B92"/>
    <w:rsid w:val="009E064A"/>
    <w:rsid w:val="009E0B39"/>
    <w:rsid w:val="009E0B68"/>
    <w:rsid w:val="009E12B4"/>
    <w:rsid w:val="009E1C36"/>
    <w:rsid w:val="009E1E15"/>
    <w:rsid w:val="009E259D"/>
    <w:rsid w:val="009E2D35"/>
    <w:rsid w:val="009E32F3"/>
    <w:rsid w:val="009E38AD"/>
    <w:rsid w:val="009E3966"/>
    <w:rsid w:val="009E543A"/>
    <w:rsid w:val="009E5AD1"/>
    <w:rsid w:val="009E5D7F"/>
    <w:rsid w:val="009E6277"/>
    <w:rsid w:val="009E6D8D"/>
    <w:rsid w:val="009E6E53"/>
    <w:rsid w:val="009F015A"/>
    <w:rsid w:val="009F0D62"/>
    <w:rsid w:val="009F0E23"/>
    <w:rsid w:val="009F0F61"/>
    <w:rsid w:val="009F0FC8"/>
    <w:rsid w:val="009F112A"/>
    <w:rsid w:val="009F1A09"/>
    <w:rsid w:val="009F1F26"/>
    <w:rsid w:val="009F2AFF"/>
    <w:rsid w:val="009F30EC"/>
    <w:rsid w:val="009F3187"/>
    <w:rsid w:val="009F4015"/>
    <w:rsid w:val="009F41B8"/>
    <w:rsid w:val="009F4886"/>
    <w:rsid w:val="009F48CA"/>
    <w:rsid w:val="009F637A"/>
    <w:rsid w:val="009F6426"/>
    <w:rsid w:val="009F687B"/>
    <w:rsid w:val="009F6E7D"/>
    <w:rsid w:val="009F7D42"/>
    <w:rsid w:val="009F7EBE"/>
    <w:rsid w:val="009F7F67"/>
    <w:rsid w:val="009F7FDD"/>
    <w:rsid w:val="00A01AA9"/>
    <w:rsid w:val="00A03804"/>
    <w:rsid w:val="00A03C5B"/>
    <w:rsid w:val="00A053F1"/>
    <w:rsid w:val="00A055CB"/>
    <w:rsid w:val="00A05606"/>
    <w:rsid w:val="00A063FD"/>
    <w:rsid w:val="00A069FC"/>
    <w:rsid w:val="00A074F3"/>
    <w:rsid w:val="00A07555"/>
    <w:rsid w:val="00A075FC"/>
    <w:rsid w:val="00A07DDA"/>
    <w:rsid w:val="00A1071C"/>
    <w:rsid w:val="00A11333"/>
    <w:rsid w:val="00A12BA9"/>
    <w:rsid w:val="00A132A2"/>
    <w:rsid w:val="00A1332B"/>
    <w:rsid w:val="00A145A0"/>
    <w:rsid w:val="00A14B91"/>
    <w:rsid w:val="00A15504"/>
    <w:rsid w:val="00A1637E"/>
    <w:rsid w:val="00A163D6"/>
    <w:rsid w:val="00A166A7"/>
    <w:rsid w:val="00A169C0"/>
    <w:rsid w:val="00A174AD"/>
    <w:rsid w:val="00A17650"/>
    <w:rsid w:val="00A176E2"/>
    <w:rsid w:val="00A178A8"/>
    <w:rsid w:val="00A17AB4"/>
    <w:rsid w:val="00A20D88"/>
    <w:rsid w:val="00A21978"/>
    <w:rsid w:val="00A22A01"/>
    <w:rsid w:val="00A22E8D"/>
    <w:rsid w:val="00A23CC0"/>
    <w:rsid w:val="00A23D78"/>
    <w:rsid w:val="00A24269"/>
    <w:rsid w:val="00A24670"/>
    <w:rsid w:val="00A246A1"/>
    <w:rsid w:val="00A24B7F"/>
    <w:rsid w:val="00A24BA7"/>
    <w:rsid w:val="00A256D4"/>
    <w:rsid w:val="00A2587C"/>
    <w:rsid w:val="00A26522"/>
    <w:rsid w:val="00A26F4E"/>
    <w:rsid w:val="00A26FFD"/>
    <w:rsid w:val="00A2783A"/>
    <w:rsid w:val="00A279EB"/>
    <w:rsid w:val="00A27BE6"/>
    <w:rsid w:val="00A30348"/>
    <w:rsid w:val="00A303F0"/>
    <w:rsid w:val="00A307E5"/>
    <w:rsid w:val="00A309F3"/>
    <w:rsid w:val="00A30E34"/>
    <w:rsid w:val="00A3172B"/>
    <w:rsid w:val="00A32354"/>
    <w:rsid w:val="00A328F6"/>
    <w:rsid w:val="00A32E83"/>
    <w:rsid w:val="00A32EB1"/>
    <w:rsid w:val="00A340D0"/>
    <w:rsid w:val="00A34109"/>
    <w:rsid w:val="00A344B1"/>
    <w:rsid w:val="00A34C6F"/>
    <w:rsid w:val="00A34D22"/>
    <w:rsid w:val="00A34F70"/>
    <w:rsid w:val="00A3578B"/>
    <w:rsid w:val="00A3617C"/>
    <w:rsid w:val="00A36D68"/>
    <w:rsid w:val="00A371D3"/>
    <w:rsid w:val="00A37590"/>
    <w:rsid w:val="00A37648"/>
    <w:rsid w:val="00A37C03"/>
    <w:rsid w:val="00A37E3B"/>
    <w:rsid w:val="00A40487"/>
    <w:rsid w:val="00A40E5D"/>
    <w:rsid w:val="00A4114A"/>
    <w:rsid w:val="00A4129C"/>
    <w:rsid w:val="00A4181C"/>
    <w:rsid w:val="00A4184D"/>
    <w:rsid w:val="00A42106"/>
    <w:rsid w:val="00A42854"/>
    <w:rsid w:val="00A42EDD"/>
    <w:rsid w:val="00A431D7"/>
    <w:rsid w:val="00A43FE8"/>
    <w:rsid w:val="00A44E87"/>
    <w:rsid w:val="00A44FD8"/>
    <w:rsid w:val="00A45DF0"/>
    <w:rsid w:val="00A464D8"/>
    <w:rsid w:val="00A46AD1"/>
    <w:rsid w:val="00A470D3"/>
    <w:rsid w:val="00A473DF"/>
    <w:rsid w:val="00A501E1"/>
    <w:rsid w:val="00A50544"/>
    <w:rsid w:val="00A507E2"/>
    <w:rsid w:val="00A50B06"/>
    <w:rsid w:val="00A52297"/>
    <w:rsid w:val="00A524E0"/>
    <w:rsid w:val="00A52E82"/>
    <w:rsid w:val="00A536F2"/>
    <w:rsid w:val="00A538B5"/>
    <w:rsid w:val="00A53D37"/>
    <w:rsid w:val="00A54114"/>
    <w:rsid w:val="00A54761"/>
    <w:rsid w:val="00A5486E"/>
    <w:rsid w:val="00A54B13"/>
    <w:rsid w:val="00A558B0"/>
    <w:rsid w:val="00A60103"/>
    <w:rsid w:val="00A60538"/>
    <w:rsid w:val="00A60A35"/>
    <w:rsid w:val="00A61050"/>
    <w:rsid w:val="00A62420"/>
    <w:rsid w:val="00A6246E"/>
    <w:rsid w:val="00A62899"/>
    <w:rsid w:val="00A62F04"/>
    <w:rsid w:val="00A637AA"/>
    <w:rsid w:val="00A63BDD"/>
    <w:rsid w:val="00A6468A"/>
    <w:rsid w:val="00A647F5"/>
    <w:rsid w:val="00A65D81"/>
    <w:rsid w:val="00A66A43"/>
    <w:rsid w:val="00A66D5D"/>
    <w:rsid w:val="00A66E47"/>
    <w:rsid w:val="00A67061"/>
    <w:rsid w:val="00A67230"/>
    <w:rsid w:val="00A6746A"/>
    <w:rsid w:val="00A675BC"/>
    <w:rsid w:val="00A67D93"/>
    <w:rsid w:val="00A70429"/>
    <w:rsid w:val="00A7133E"/>
    <w:rsid w:val="00A71482"/>
    <w:rsid w:val="00A7222D"/>
    <w:rsid w:val="00A7242E"/>
    <w:rsid w:val="00A72628"/>
    <w:rsid w:val="00A727EC"/>
    <w:rsid w:val="00A72BD7"/>
    <w:rsid w:val="00A7309A"/>
    <w:rsid w:val="00A7363F"/>
    <w:rsid w:val="00A73EE4"/>
    <w:rsid w:val="00A740DF"/>
    <w:rsid w:val="00A7431C"/>
    <w:rsid w:val="00A74954"/>
    <w:rsid w:val="00A749C5"/>
    <w:rsid w:val="00A7540B"/>
    <w:rsid w:val="00A75652"/>
    <w:rsid w:val="00A7669A"/>
    <w:rsid w:val="00A767BE"/>
    <w:rsid w:val="00A76F9F"/>
    <w:rsid w:val="00A77311"/>
    <w:rsid w:val="00A777D4"/>
    <w:rsid w:val="00A809A6"/>
    <w:rsid w:val="00A81049"/>
    <w:rsid w:val="00A82826"/>
    <w:rsid w:val="00A8292F"/>
    <w:rsid w:val="00A83854"/>
    <w:rsid w:val="00A83894"/>
    <w:rsid w:val="00A85178"/>
    <w:rsid w:val="00A85909"/>
    <w:rsid w:val="00A86D37"/>
    <w:rsid w:val="00A878DB"/>
    <w:rsid w:val="00A87F65"/>
    <w:rsid w:val="00A90211"/>
    <w:rsid w:val="00A90265"/>
    <w:rsid w:val="00A903C7"/>
    <w:rsid w:val="00A90433"/>
    <w:rsid w:val="00A90C28"/>
    <w:rsid w:val="00A92F2B"/>
    <w:rsid w:val="00A93182"/>
    <w:rsid w:val="00A93967"/>
    <w:rsid w:val="00A9444B"/>
    <w:rsid w:val="00A9450C"/>
    <w:rsid w:val="00A94D8D"/>
    <w:rsid w:val="00A94E12"/>
    <w:rsid w:val="00A9508D"/>
    <w:rsid w:val="00A95AEB"/>
    <w:rsid w:val="00A95E0D"/>
    <w:rsid w:val="00A96991"/>
    <w:rsid w:val="00A9708C"/>
    <w:rsid w:val="00A9765D"/>
    <w:rsid w:val="00A97EE0"/>
    <w:rsid w:val="00AA1A44"/>
    <w:rsid w:val="00AA21E1"/>
    <w:rsid w:val="00AA34D5"/>
    <w:rsid w:val="00AA380D"/>
    <w:rsid w:val="00AA413F"/>
    <w:rsid w:val="00AA4CD3"/>
    <w:rsid w:val="00AA4F53"/>
    <w:rsid w:val="00AA4FE7"/>
    <w:rsid w:val="00AA539D"/>
    <w:rsid w:val="00AA56B4"/>
    <w:rsid w:val="00AA62BF"/>
    <w:rsid w:val="00AA65C5"/>
    <w:rsid w:val="00AA6BC0"/>
    <w:rsid w:val="00AA6CD7"/>
    <w:rsid w:val="00AA7440"/>
    <w:rsid w:val="00AA7ACB"/>
    <w:rsid w:val="00AA7EA3"/>
    <w:rsid w:val="00AB084F"/>
    <w:rsid w:val="00AB1550"/>
    <w:rsid w:val="00AB19C1"/>
    <w:rsid w:val="00AB1E03"/>
    <w:rsid w:val="00AB1E05"/>
    <w:rsid w:val="00AB2D60"/>
    <w:rsid w:val="00AB34B8"/>
    <w:rsid w:val="00AB3639"/>
    <w:rsid w:val="00AB3988"/>
    <w:rsid w:val="00AB3C21"/>
    <w:rsid w:val="00AB49CB"/>
    <w:rsid w:val="00AB5703"/>
    <w:rsid w:val="00AB57AC"/>
    <w:rsid w:val="00AB5813"/>
    <w:rsid w:val="00AB5AB5"/>
    <w:rsid w:val="00AB5B55"/>
    <w:rsid w:val="00AB5E1D"/>
    <w:rsid w:val="00AC0B60"/>
    <w:rsid w:val="00AC11E1"/>
    <w:rsid w:val="00AC1B2A"/>
    <w:rsid w:val="00AC1CA9"/>
    <w:rsid w:val="00AC2794"/>
    <w:rsid w:val="00AC2B1C"/>
    <w:rsid w:val="00AC3521"/>
    <w:rsid w:val="00AC39CD"/>
    <w:rsid w:val="00AC3AB3"/>
    <w:rsid w:val="00AC3BF8"/>
    <w:rsid w:val="00AC4993"/>
    <w:rsid w:val="00AC4CED"/>
    <w:rsid w:val="00AC5C45"/>
    <w:rsid w:val="00AC5EE8"/>
    <w:rsid w:val="00AC6062"/>
    <w:rsid w:val="00AC63AE"/>
    <w:rsid w:val="00AC693E"/>
    <w:rsid w:val="00AC6BF4"/>
    <w:rsid w:val="00AC6D4E"/>
    <w:rsid w:val="00AC6EF8"/>
    <w:rsid w:val="00AC78B6"/>
    <w:rsid w:val="00AC78D0"/>
    <w:rsid w:val="00AC7939"/>
    <w:rsid w:val="00AD0116"/>
    <w:rsid w:val="00AD0192"/>
    <w:rsid w:val="00AD07BD"/>
    <w:rsid w:val="00AD0A94"/>
    <w:rsid w:val="00AD1189"/>
    <w:rsid w:val="00AD18F3"/>
    <w:rsid w:val="00AD1D5F"/>
    <w:rsid w:val="00AD1E2B"/>
    <w:rsid w:val="00AD229D"/>
    <w:rsid w:val="00AD27F6"/>
    <w:rsid w:val="00AD29A3"/>
    <w:rsid w:val="00AD2AD3"/>
    <w:rsid w:val="00AD3B94"/>
    <w:rsid w:val="00AD41C1"/>
    <w:rsid w:val="00AD61CE"/>
    <w:rsid w:val="00AD627C"/>
    <w:rsid w:val="00AD6B91"/>
    <w:rsid w:val="00AD750C"/>
    <w:rsid w:val="00AD76A2"/>
    <w:rsid w:val="00AE04A9"/>
    <w:rsid w:val="00AE0661"/>
    <w:rsid w:val="00AE0729"/>
    <w:rsid w:val="00AE1683"/>
    <w:rsid w:val="00AE16A7"/>
    <w:rsid w:val="00AE192D"/>
    <w:rsid w:val="00AE270B"/>
    <w:rsid w:val="00AE33E5"/>
    <w:rsid w:val="00AE3D63"/>
    <w:rsid w:val="00AE3F0D"/>
    <w:rsid w:val="00AE46EF"/>
    <w:rsid w:val="00AE47C6"/>
    <w:rsid w:val="00AE58F8"/>
    <w:rsid w:val="00AE6754"/>
    <w:rsid w:val="00AE6FAB"/>
    <w:rsid w:val="00AE766F"/>
    <w:rsid w:val="00AF015C"/>
    <w:rsid w:val="00AF0800"/>
    <w:rsid w:val="00AF0C20"/>
    <w:rsid w:val="00AF1623"/>
    <w:rsid w:val="00AF24CB"/>
    <w:rsid w:val="00AF2FF9"/>
    <w:rsid w:val="00AF471C"/>
    <w:rsid w:val="00AF5D4C"/>
    <w:rsid w:val="00AF6019"/>
    <w:rsid w:val="00AF621D"/>
    <w:rsid w:val="00AF6616"/>
    <w:rsid w:val="00AF6914"/>
    <w:rsid w:val="00AF6D0B"/>
    <w:rsid w:val="00AF7166"/>
    <w:rsid w:val="00AF7A40"/>
    <w:rsid w:val="00AF7A50"/>
    <w:rsid w:val="00AF7CB6"/>
    <w:rsid w:val="00B000F3"/>
    <w:rsid w:val="00B00201"/>
    <w:rsid w:val="00B00242"/>
    <w:rsid w:val="00B00256"/>
    <w:rsid w:val="00B00294"/>
    <w:rsid w:val="00B00C4C"/>
    <w:rsid w:val="00B02163"/>
    <w:rsid w:val="00B033E2"/>
    <w:rsid w:val="00B04DD4"/>
    <w:rsid w:val="00B05B1D"/>
    <w:rsid w:val="00B0601C"/>
    <w:rsid w:val="00B07BE0"/>
    <w:rsid w:val="00B07C9D"/>
    <w:rsid w:val="00B07EAF"/>
    <w:rsid w:val="00B10EF8"/>
    <w:rsid w:val="00B11479"/>
    <w:rsid w:val="00B11851"/>
    <w:rsid w:val="00B12F32"/>
    <w:rsid w:val="00B13687"/>
    <w:rsid w:val="00B138CE"/>
    <w:rsid w:val="00B145FE"/>
    <w:rsid w:val="00B14AA8"/>
    <w:rsid w:val="00B14DC5"/>
    <w:rsid w:val="00B1523A"/>
    <w:rsid w:val="00B1566A"/>
    <w:rsid w:val="00B15C34"/>
    <w:rsid w:val="00B15F5A"/>
    <w:rsid w:val="00B16387"/>
    <w:rsid w:val="00B164A2"/>
    <w:rsid w:val="00B1690B"/>
    <w:rsid w:val="00B170AF"/>
    <w:rsid w:val="00B17B1F"/>
    <w:rsid w:val="00B202C3"/>
    <w:rsid w:val="00B207A2"/>
    <w:rsid w:val="00B211B4"/>
    <w:rsid w:val="00B21652"/>
    <w:rsid w:val="00B22112"/>
    <w:rsid w:val="00B2290C"/>
    <w:rsid w:val="00B22EFB"/>
    <w:rsid w:val="00B22FA0"/>
    <w:rsid w:val="00B231B0"/>
    <w:rsid w:val="00B23B66"/>
    <w:rsid w:val="00B2417E"/>
    <w:rsid w:val="00B24384"/>
    <w:rsid w:val="00B24FAD"/>
    <w:rsid w:val="00B2546F"/>
    <w:rsid w:val="00B25807"/>
    <w:rsid w:val="00B25D97"/>
    <w:rsid w:val="00B26051"/>
    <w:rsid w:val="00B263FD"/>
    <w:rsid w:val="00B3091C"/>
    <w:rsid w:val="00B324CA"/>
    <w:rsid w:val="00B32622"/>
    <w:rsid w:val="00B332C0"/>
    <w:rsid w:val="00B33907"/>
    <w:rsid w:val="00B34F9D"/>
    <w:rsid w:val="00B35A2A"/>
    <w:rsid w:val="00B36506"/>
    <w:rsid w:val="00B365AA"/>
    <w:rsid w:val="00B36C9B"/>
    <w:rsid w:val="00B37096"/>
    <w:rsid w:val="00B370D2"/>
    <w:rsid w:val="00B376A4"/>
    <w:rsid w:val="00B37825"/>
    <w:rsid w:val="00B41F76"/>
    <w:rsid w:val="00B43E7D"/>
    <w:rsid w:val="00B4445F"/>
    <w:rsid w:val="00B445A4"/>
    <w:rsid w:val="00B4498E"/>
    <w:rsid w:val="00B44EE9"/>
    <w:rsid w:val="00B45977"/>
    <w:rsid w:val="00B45E0B"/>
    <w:rsid w:val="00B46168"/>
    <w:rsid w:val="00B46338"/>
    <w:rsid w:val="00B469FE"/>
    <w:rsid w:val="00B47BE3"/>
    <w:rsid w:val="00B47F2F"/>
    <w:rsid w:val="00B5001E"/>
    <w:rsid w:val="00B50F1E"/>
    <w:rsid w:val="00B51135"/>
    <w:rsid w:val="00B51167"/>
    <w:rsid w:val="00B5139E"/>
    <w:rsid w:val="00B51700"/>
    <w:rsid w:val="00B51763"/>
    <w:rsid w:val="00B51D0B"/>
    <w:rsid w:val="00B51D8E"/>
    <w:rsid w:val="00B51E3C"/>
    <w:rsid w:val="00B5213F"/>
    <w:rsid w:val="00B524B7"/>
    <w:rsid w:val="00B528F7"/>
    <w:rsid w:val="00B5312C"/>
    <w:rsid w:val="00B531FC"/>
    <w:rsid w:val="00B537B8"/>
    <w:rsid w:val="00B556AE"/>
    <w:rsid w:val="00B55DA8"/>
    <w:rsid w:val="00B55FE3"/>
    <w:rsid w:val="00B56809"/>
    <w:rsid w:val="00B56AF1"/>
    <w:rsid w:val="00B5705B"/>
    <w:rsid w:val="00B57B64"/>
    <w:rsid w:val="00B57D59"/>
    <w:rsid w:val="00B60C6A"/>
    <w:rsid w:val="00B60E2D"/>
    <w:rsid w:val="00B612CF"/>
    <w:rsid w:val="00B62957"/>
    <w:rsid w:val="00B631DD"/>
    <w:rsid w:val="00B635D2"/>
    <w:rsid w:val="00B646E3"/>
    <w:rsid w:val="00B655DD"/>
    <w:rsid w:val="00B658A3"/>
    <w:rsid w:val="00B661F1"/>
    <w:rsid w:val="00B6666B"/>
    <w:rsid w:val="00B67758"/>
    <w:rsid w:val="00B67BFE"/>
    <w:rsid w:val="00B67C86"/>
    <w:rsid w:val="00B701EA"/>
    <w:rsid w:val="00B70704"/>
    <w:rsid w:val="00B70973"/>
    <w:rsid w:val="00B71BC9"/>
    <w:rsid w:val="00B71D6B"/>
    <w:rsid w:val="00B72C0C"/>
    <w:rsid w:val="00B732EB"/>
    <w:rsid w:val="00B7376E"/>
    <w:rsid w:val="00B73C14"/>
    <w:rsid w:val="00B73D96"/>
    <w:rsid w:val="00B73DC6"/>
    <w:rsid w:val="00B74197"/>
    <w:rsid w:val="00B74230"/>
    <w:rsid w:val="00B7476C"/>
    <w:rsid w:val="00B75431"/>
    <w:rsid w:val="00B75AF4"/>
    <w:rsid w:val="00B7767F"/>
    <w:rsid w:val="00B801A3"/>
    <w:rsid w:val="00B8023F"/>
    <w:rsid w:val="00B80E69"/>
    <w:rsid w:val="00B81479"/>
    <w:rsid w:val="00B820DD"/>
    <w:rsid w:val="00B822B3"/>
    <w:rsid w:val="00B824B2"/>
    <w:rsid w:val="00B825BC"/>
    <w:rsid w:val="00B82C2E"/>
    <w:rsid w:val="00B82F55"/>
    <w:rsid w:val="00B837A4"/>
    <w:rsid w:val="00B84989"/>
    <w:rsid w:val="00B8529E"/>
    <w:rsid w:val="00B863E2"/>
    <w:rsid w:val="00B868EF"/>
    <w:rsid w:val="00B86E15"/>
    <w:rsid w:val="00B86FF9"/>
    <w:rsid w:val="00B870E9"/>
    <w:rsid w:val="00B8717A"/>
    <w:rsid w:val="00B90EBE"/>
    <w:rsid w:val="00B91459"/>
    <w:rsid w:val="00B917D4"/>
    <w:rsid w:val="00B9271C"/>
    <w:rsid w:val="00B92A72"/>
    <w:rsid w:val="00B92B58"/>
    <w:rsid w:val="00B93913"/>
    <w:rsid w:val="00B942EC"/>
    <w:rsid w:val="00B94478"/>
    <w:rsid w:val="00B95978"/>
    <w:rsid w:val="00B960C1"/>
    <w:rsid w:val="00B96624"/>
    <w:rsid w:val="00B97516"/>
    <w:rsid w:val="00B97993"/>
    <w:rsid w:val="00BA08D8"/>
    <w:rsid w:val="00BA0FC3"/>
    <w:rsid w:val="00BA1884"/>
    <w:rsid w:val="00BA2DC8"/>
    <w:rsid w:val="00BA457D"/>
    <w:rsid w:val="00BA47CA"/>
    <w:rsid w:val="00BA499D"/>
    <w:rsid w:val="00BA4E1E"/>
    <w:rsid w:val="00BA51D6"/>
    <w:rsid w:val="00BA5356"/>
    <w:rsid w:val="00BA5BD2"/>
    <w:rsid w:val="00BA6900"/>
    <w:rsid w:val="00BA7301"/>
    <w:rsid w:val="00BA74D6"/>
    <w:rsid w:val="00BA7D11"/>
    <w:rsid w:val="00BB0C1D"/>
    <w:rsid w:val="00BB0DBE"/>
    <w:rsid w:val="00BB0E16"/>
    <w:rsid w:val="00BB15B5"/>
    <w:rsid w:val="00BB25CB"/>
    <w:rsid w:val="00BB27BE"/>
    <w:rsid w:val="00BB29CB"/>
    <w:rsid w:val="00BB369A"/>
    <w:rsid w:val="00BB388F"/>
    <w:rsid w:val="00BB38AF"/>
    <w:rsid w:val="00BB480A"/>
    <w:rsid w:val="00BB4919"/>
    <w:rsid w:val="00BB4D06"/>
    <w:rsid w:val="00BB4DD1"/>
    <w:rsid w:val="00BB6542"/>
    <w:rsid w:val="00BB6A71"/>
    <w:rsid w:val="00BB74B0"/>
    <w:rsid w:val="00BB7957"/>
    <w:rsid w:val="00BB7AE2"/>
    <w:rsid w:val="00BC0288"/>
    <w:rsid w:val="00BC0687"/>
    <w:rsid w:val="00BC17B7"/>
    <w:rsid w:val="00BC1D77"/>
    <w:rsid w:val="00BC2DF3"/>
    <w:rsid w:val="00BC32E7"/>
    <w:rsid w:val="00BC3DB4"/>
    <w:rsid w:val="00BC3E69"/>
    <w:rsid w:val="00BC4020"/>
    <w:rsid w:val="00BC48F3"/>
    <w:rsid w:val="00BC5592"/>
    <w:rsid w:val="00BC55F6"/>
    <w:rsid w:val="00BC5600"/>
    <w:rsid w:val="00BC5B4D"/>
    <w:rsid w:val="00BC60E3"/>
    <w:rsid w:val="00BC64B4"/>
    <w:rsid w:val="00BC65F7"/>
    <w:rsid w:val="00BC72F7"/>
    <w:rsid w:val="00BC7398"/>
    <w:rsid w:val="00BC74DD"/>
    <w:rsid w:val="00BD0179"/>
    <w:rsid w:val="00BD26CD"/>
    <w:rsid w:val="00BD2E79"/>
    <w:rsid w:val="00BD5858"/>
    <w:rsid w:val="00BD5F93"/>
    <w:rsid w:val="00BD6078"/>
    <w:rsid w:val="00BD6763"/>
    <w:rsid w:val="00BD7A99"/>
    <w:rsid w:val="00BD7FA2"/>
    <w:rsid w:val="00BE0170"/>
    <w:rsid w:val="00BE1197"/>
    <w:rsid w:val="00BE17ED"/>
    <w:rsid w:val="00BE1C1B"/>
    <w:rsid w:val="00BE20C1"/>
    <w:rsid w:val="00BE23A5"/>
    <w:rsid w:val="00BE3FB3"/>
    <w:rsid w:val="00BE45B8"/>
    <w:rsid w:val="00BE48BC"/>
    <w:rsid w:val="00BE4A81"/>
    <w:rsid w:val="00BE4EA2"/>
    <w:rsid w:val="00BE5699"/>
    <w:rsid w:val="00BE5A0C"/>
    <w:rsid w:val="00BE6634"/>
    <w:rsid w:val="00BE6F31"/>
    <w:rsid w:val="00BE6FB0"/>
    <w:rsid w:val="00BE73F0"/>
    <w:rsid w:val="00BE7893"/>
    <w:rsid w:val="00BE7922"/>
    <w:rsid w:val="00BF024D"/>
    <w:rsid w:val="00BF02DA"/>
    <w:rsid w:val="00BF0F73"/>
    <w:rsid w:val="00BF180E"/>
    <w:rsid w:val="00BF248D"/>
    <w:rsid w:val="00BF32D6"/>
    <w:rsid w:val="00BF3F1D"/>
    <w:rsid w:val="00BF5271"/>
    <w:rsid w:val="00BF56F2"/>
    <w:rsid w:val="00BF62C7"/>
    <w:rsid w:val="00BF689D"/>
    <w:rsid w:val="00BF6A57"/>
    <w:rsid w:val="00BF7065"/>
    <w:rsid w:val="00BF798C"/>
    <w:rsid w:val="00C004B1"/>
    <w:rsid w:val="00C00A35"/>
    <w:rsid w:val="00C01C52"/>
    <w:rsid w:val="00C02390"/>
    <w:rsid w:val="00C0261D"/>
    <w:rsid w:val="00C0273E"/>
    <w:rsid w:val="00C02811"/>
    <w:rsid w:val="00C031E6"/>
    <w:rsid w:val="00C0349E"/>
    <w:rsid w:val="00C041B6"/>
    <w:rsid w:val="00C04CA6"/>
    <w:rsid w:val="00C04D19"/>
    <w:rsid w:val="00C04DE1"/>
    <w:rsid w:val="00C063ED"/>
    <w:rsid w:val="00C07280"/>
    <w:rsid w:val="00C075B4"/>
    <w:rsid w:val="00C079F5"/>
    <w:rsid w:val="00C07F65"/>
    <w:rsid w:val="00C103E7"/>
    <w:rsid w:val="00C10979"/>
    <w:rsid w:val="00C114B8"/>
    <w:rsid w:val="00C11707"/>
    <w:rsid w:val="00C11747"/>
    <w:rsid w:val="00C11D2D"/>
    <w:rsid w:val="00C11DEB"/>
    <w:rsid w:val="00C11E77"/>
    <w:rsid w:val="00C12427"/>
    <w:rsid w:val="00C12B14"/>
    <w:rsid w:val="00C12C66"/>
    <w:rsid w:val="00C12FEB"/>
    <w:rsid w:val="00C133E5"/>
    <w:rsid w:val="00C13AFF"/>
    <w:rsid w:val="00C13CC1"/>
    <w:rsid w:val="00C145B4"/>
    <w:rsid w:val="00C151E3"/>
    <w:rsid w:val="00C156F6"/>
    <w:rsid w:val="00C2038D"/>
    <w:rsid w:val="00C2076C"/>
    <w:rsid w:val="00C20994"/>
    <w:rsid w:val="00C20EB7"/>
    <w:rsid w:val="00C22646"/>
    <w:rsid w:val="00C22D74"/>
    <w:rsid w:val="00C22ECC"/>
    <w:rsid w:val="00C23301"/>
    <w:rsid w:val="00C23D09"/>
    <w:rsid w:val="00C23D9C"/>
    <w:rsid w:val="00C23DB1"/>
    <w:rsid w:val="00C2427A"/>
    <w:rsid w:val="00C24A33"/>
    <w:rsid w:val="00C25E27"/>
    <w:rsid w:val="00C26032"/>
    <w:rsid w:val="00C26AC2"/>
    <w:rsid w:val="00C26B30"/>
    <w:rsid w:val="00C26F98"/>
    <w:rsid w:val="00C2705B"/>
    <w:rsid w:val="00C27685"/>
    <w:rsid w:val="00C27894"/>
    <w:rsid w:val="00C27B86"/>
    <w:rsid w:val="00C302EE"/>
    <w:rsid w:val="00C303D1"/>
    <w:rsid w:val="00C3050C"/>
    <w:rsid w:val="00C32944"/>
    <w:rsid w:val="00C32C1D"/>
    <w:rsid w:val="00C33D5B"/>
    <w:rsid w:val="00C340FB"/>
    <w:rsid w:val="00C3414B"/>
    <w:rsid w:val="00C3479F"/>
    <w:rsid w:val="00C35068"/>
    <w:rsid w:val="00C35975"/>
    <w:rsid w:val="00C362F2"/>
    <w:rsid w:val="00C36C4A"/>
    <w:rsid w:val="00C375FD"/>
    <w:rsid w:val="00C37B3C"/>
    <w:rsid w:val="00C37B59"/>
    <w:rsid w:val="00C400F0"/>
    <w:rsid w:val="00C409CE"/>
    <w:rsid w:val="00C409F9"/>
    <w:rsid w:val="00C4122C"/>
    <w:rsid w:val="00C4126C"/>
    <w:rsid w:val="00C41375"/>
    <w:rsid w:val="00C426E9"/>
    <w:rsid w:val="00C429EB"/>
    <w:rsid w:val="00C434C9"/>
    <w:rsid w:val="00C46E0A"/>
    <w:rsid w:val="00C470A3"/>
    <w:rsid w:val="00C47603"/>
    <w:rsid w:val="00C47906"/>
    <w:rsid w:val="00C505AD"/>
    <w:rsid w:val="00C50746"/>
    <w:rsid w:val="00C50795"/>
    <w:rsid w:val="00C5084D"/>
    <w:rsid w:val="00C50A0B"/>
    <w:rsid w:val="00C50FCB"/>
    <w:rsid w:val="00C51805"/>
    <w:rsid w:val="00C51B54"/>
    <w:rsid w:val="00C52428"/>
    <w:rsid w:val="00C527BA"/>
    <w:rsid w:val="00C52914"/>
    <w:rsid w:val="00C5553A"/>
    <w:rsid w:val="00C564CF"/>
    <w:rsid w:val="00C569AC"/>
    <w:rsid w:val="00C569E5"/>
    <w:rsid w:val="00C56A67"/>
    <w:rsid w:val="00C56E9D"/>
    <w:rsid w:val="00C57B53"/>
    <w:rsid w:val="00C57E28"/>
    <w:rsid w:val="00C60132"/>
    <w:rsid w:val="00C60C6C"/>
    <w:rsid w:val="00C61523"/>
    <w:rsid w:val="00C63081"/>
    <w:rsid w:val="00C6358A"/>
    <w:rsid w:val="00C641E9"/>
    <w:rsid w:val="00C65BBE"/>
    <w:rsid w:val="00C663AB"/>
    <w:rsid w:val="00C663C3"/>
    <w:rsid w:val="00C667C8"/>
    <w:rsid w:val="00C67B5D"/>
    <w:rsid w:val="00C67F3A"/>
    <w:rsid w:val="00C70798"/>
    <w:rsid w:val="00C71C72"/>
    <w:rsid w:val="00C7277C"/>
    <w:rsid w:val="00C72F93"/>
    <w:rsid w:val="00C73387"/>
    <w:rsid w:val="00C734EA"/>
    <w:rsid w:val="00C73AD8"/>
    <w:rsid w:val="00C73C3E"/>
    <w:rsid w:val="00C743BA"/>
    <w:rsid w:val="00C74A03"/>
    <w:rsid w:val="00C751E0"/>
    <w:rsid w:val="00C75417"/>
    <w:rsid w:val="00C768EB"/>
    <w:rsid w:val="00C801B7"/>
    <w:rsid w:val="00C80870"/>
    <w:rsid w:val="00C82C41"/>
    <w:rsid w:val="00C82E2C"/>
    <w:rsid w:val="00C831E9"/>
    <w:rsid w:val="00C83B56"/>
    <w:rsid w:val="00C83C5F"/>
    <w:rsid w:val="00C84707"/>
    <w:rsid w:val="00C850E0"/>
    <w:rsid w:val="00C85E4C"/>
    <w:rsid w:val="00C86320"/>
    <w:rsid w:val="00C870C0"/>
    <w:rsid w:val="00C8740F"/>
    <w:rsid w:val="00C876A2"/>
    <w:rsid w:val="00C900A2"/>
    <w:rsid w:val="00C901F0"/>
    <w:rsid w:val="00C91358"/>
    <w:rsid w:val="00C9138B"/>
    <w:rsid w:val="00C91555"/>
    <w:rsid w:val="00C9237C"/>
    <w:rsid w:val="00C92904"/>
    <w:rsid w:val="00C929DE"/>
    <w:rsid w:val="00C9313A"/>
    <w:rsid w:val="00C93405"/>
    <w:rsid w:val="00C93FB2"/>
    <w:rsid w:val="00C960DE"/>
    <w:rsid w:val="00C9641E"/>
    <w:rsid w:val="00C96765"/>
    <w:rsid w:val="00C96FD1"/>
    <w:rsid w:val="00C975C7"/>
    <w:rsid w:val="00C97666"/>
    <w:rsid w:val="00C9777B"/>
    <w:rsid w:val="00CA0D9D"/>
    <w:rsid w:val="00CA16B2"/>
    <w:rsid w:val="00CA1C71"/>
    <w:rsid w:val="00CA2395"/>
    <w:rsid w:val="00CA2E2D"/>
    <w:rsid w:val="00CA41E9"/>
    <w:rsid w:val="00CA42A1"/>
    <w:rsid w:val="00CA4D91"/>
    <w:rsid w:val="00CA4F20"/>
    <w:rsid w:val="00CA5F6C"/>
    <w:rsid w:val="00CA6420"/>
    <w:rsid w:val="00CA683F"/>
    <w:rsid w:val="00CA6E47"/>
    <w:rsid w:val="00CA76E0"/>
    <w:rsid w:val="00CA78D6"/>
    <w:rsid w:val="00CA7981"/>
    <w:rsid w:val="00CB145D"/>
    <w:rsid w:val="00CB178D"/>
    <w:rsid w:val="00CB2028"/>
    <w:rsid w:val="00CB4D44"/>
    <w:rsid w:val="00CB4DCB"/>
    <w:rsid w:val="00CB5329"/>
    <w:rsid w:val="00CB5947"/>
    <w:rsid w:val="00CB635A"/>
    <w:rsid w:val="00CB6E8D"/>
    <w:rsid w:val="00CB7970"/>
    <w:rsid w:val="00CB79E4"/>
    <w:rsid w:val="00CC17C6"/>
    <w:rsid w:val="00CC261A"/>
    <w:rsid w:val="00CC28FC"/>
    <w:rsid w:val="00CC3098"/>
    <w:rsid w:val="00CC3523"/>
    <w:rsid w:val="00CC363B"/>
    <w:rsid w:val="00CC3CAA"/>
    <w:rsid w:val="00CC4A5D"/>
    <w:rsid w:val="00CC6780"/>
    <w:rsid w:val="00CC67AB"/>
    <w:rsid w:val="00CC6BE8"/>
    <w:rsid w:val="00CC7BE2"/>
    <w:rsid w:val="00CD0E2F"/>
    <w:rsid w:val="00CD0EB9"/>
    <w:rsid w:val="00CD12BD"/>
    <w:rsid w:val="00CD15E7"/>
    <w:rsid w:val="00CD2303"/>
    <w:rsid w:val="00CD3A50"/>
    <w:rsid w:val="00CD3B6C"/>
    <w:rsid w:val="00CD3FD7"/>
    <w:rsid w:val="00CD5738"/>
    <w:rsid w:val="00CD5C6F"/>
    <w:rsid w:val="00CD5E53"/>
    <w:rsid w:val="00CD7682"/>
    <w:rsid w:val="00CE03DC"/>
    <w:rsid w:val="00CE084F"/>
    <w:rsid w:val="00CE17F9"/>
    <w:rsid w:val="00CE26F0"/>
    <w:rsid w:val="00CE2959"/>
    <w:rsid w:val="00CE2C34"/>
    <w:rsid w:val="00CE3358"/>
    <w:rsid w:val="00CE4313"/>
    <w:rsid w:val="00CE447E"/>
    <w:rsid w:val="00CE44B6"/>
    <w:rsid w:val="00CE5858"/>
    <w:rsid w:val="00CE64F8"/>
    <w:rsid w:val="00CE6832"/>
    <w:rsid w:val="00CE77BD"/>
    <w:rsid w:val="00CE7971"/>
    <w:rsid w:val="00CE7F66"/>
    <w:rsid w:val="00CF0022"/>
    <w:rsid w:val="00CF068B"/>
    <w:rsid w:val="00CF17F1"/>
    <w:rsid w:val="00CF1A5D"/>
    <w:rsid w:val="00CF1CA2"/>
    <w:rsid w:val="00CF1DD9"/>
    <w:rsid w:val="00CF2358"/>
    <w:rsid w:val="00CF2541"/>
    <w:rsid w:val="00CF308B"/>
    <w:rsid w:val="00CF3F2F"/>
    <w:rsid w:val="00CF45A7"/>
    <w:rsid w:val="00CF5623"/>
    <w:rsid w:val="00CF585F"/>
    <w:rsid w:val="00CF63E8"/>
    <w:rsid w:val="00CF67E1"/>
    <w:rsid w:val="00CF770D"/>
    <w:rsid w:val="00CF7D0F"/>
    <w:rsid w:val="00D00965"/>
    <w:rsid w:val="00D017AF"/>
    <w:rsid w:val="00D0228E"/>
    <w:rsid w:val="00D02439"/>
    <w:rsid w:val="00D0265F"/>
    <w:rsid w:val="00D02881"/>
    <w:rsid w:val="00D03060"/>
    <w:rsid w:val="00D032B2"/>
    <w:rsid w:val="00D039BD"/>
    <w:rsid w:val="00D03A38"/>
    <w:rsid w:val="00D04CCC"/>
    <w:rsid w:val="00D04F1B"/>
    <w:rsid w:val="00D053B7"/>
    <w:rsid w:val="00D05E7B"/>
    <w:rsid w:val="00D0617F"/>
    <w:rsid w:val="00D06231"/>
    <w:rsid w:val="00D0629F"/>
    <w:rsid w:val="00D071F6"/>
    <w:rsid w:val="00D074A1"/>
    <w:rsid w:val="00D07B06"/>
    <w:rsid w:val="00D10EE8"/>
    <w:rsid w:val="00D11C66"/>
    <w:rsid w:val="00D12002"/>
    <w:rsid w:val="00D12AAB"/>
    <w:rsid w:val="00D12BF7"/>
    <w:rsid w:val="00D12C87"/>
    <w:rsid w:val="00D13227"/>
    <w:rsid w:val="00D13792"/>
    <w:rsid w:val="00D1439C"/>
    <w:rsid w:val="00D15268"/>
    <w:rsid w:val="00D15315"/>
    <w:rsid w:val="00D159BA"/>
    <w:rsid w:val="00D16272"/>
    <w:rsid w:val="00D167CF"/>
    <w:rsid w:val="00D17186"/>
    <w:rsid w:val="00D205DE"/>
    <w:rsid w:val="00D2066E"/>
    <w:rsid w:val="00D20AA9"/>
    <w:rsid w:val="00D210EE"/>
    <w:rsid w:val="00D21815"/>
    <w:rsid w:val="00D21D21"/>
    <w:rsid w:val="00D22445"/>
    <w:rsid w:val="00D22E25"/>
    <w:rsid w:val="00D241B8"/>
    <w:rsid w:val="00D249A9"/>
    <w:rsid w:val="00D24D12"/>
    <w:rsid w:val="00D24E24"/>
    <w:rsid w:val="00D24E5A"/>
    <w:rsid w:val="00D2540E"/>
    <w:rsid w:val="00D25F41"/>
    <w:rsid w:val="00D25FD2"/>
    <w:rsid w:val="00D2636D"/>
    <w:rsid w:val="00D26619"/>
    <w:rsid w:val="00D2737A"/>
    <w:rsid w:val="00D27A9B"/>
    <w:rsid w:val="00D3147C"/>
    <w:rsid w:val="00D315EA"/>
    <w:rsid w:val="00D319E1"/>
    <w:rsid w:val="00D31A7D"/>
    <w:rsid w:val="00D31E95"/>
    <w:rsid w:val="00D33504"/>
    <w:rsid w:val="00D33554"/>
    <w:rsid w:val="00D34E7C"/>
    <w:rsid w:val="00D3538B"/>
    <w:rsid w:val="00D35F28"/>
    <w:rsid w:val="00D37F43"/>
    <w:rsid w:val="00D40284"/>
    <w:rsid w:val="00D405C1"/>
    <w:rsid w:val="00D407D4"/>
    <w:rsid w:val="00D40864"/>
    <w:rsid w:val="00D408FE"/>
    <w:rsid w:val="00D417DB"/>
    <w:rsid w:val="00D4215C"/>
    <w:rsid w:val="00D4236F"/>
    <w:rsid w:val="00D42D55"/>
    <w:rsid w:val="00D43115"/>
    <w:rsid w:val="00D43723"/>
    <w:rsid w:val="00D438CB"/>
    <w:rsid w:val="00D43941"/>
    <w:rsid w:val="00D447CF"/>
    <w:rsid w:val="00D44F80"/>
    <w:rsid w:val="00D4593C"/>
    <w:rsid w:val="00D459E1"/>
    <w:rsid w:val="00D46AC3"/>
    <w:rsid w:val="00D47630"/>
    <w:rsid w:val="00D506FE"/>
    <w:rsid w:val="00D50AE7"/>
    <w:rsid w:val="00D52374"/>
    <w:rsid w:val="00D52EFD"/>
    <w:rsid w:val="00D53260"/>
    <w:rsid w:val="00D532F2"/>
    <w:rsid w:val="00D534AF"/>
    <w:rsid w:val="00D539BA"/>
    <w:rsid w:val="00D53F28"/>
    <w:rsid w:val="00D55A94"/>
    <w:rsid w:val="00D55F24"/>
    <w:rsid w:val="00D56902"/>
    <w:rsid w:val="00D57336"/>
    <w:rsid w:val="00D60621"/>
    <w:rsid w:val="00D61933"/>
    <w:rsid w:val="00D61CF0"/>
    <w:rsid w:val="00D61D4C"/>
    <w:rsid w:val="00D62756"/>
    <w:rsid w:val="00D630CE"/>
    <w:rsid w:val="00D64073"/>
    <w:rsid w:val="00D643D2"/>
    <w:rsid w:val="00D6468B"/>
    <w:rsid w:val="00D66264"/>
    <w:rsid w:val="00D66C80"/>
    <w:rsid w:val="00D674A1"/>
    <w:rsid w:val="00D67B15"/>
    <w:rsid w:val="00D67F92"/>
    <w:rsid w:val="00D715C8"/>
    <w:rsid w:val="00D715D6"/>
    <w:rsid w:val="00D71968"/>
    <w:rsid w:val="00D7241F"/>
    <w:rsid w:val="00D727A2"/>
    <w:rsid w:val="00D7299F"/>
    <w:rsid w:val="00D72D2D"/>
    <w:rsid w:val="00D72D96"/>
    <w:rsid w:val="00D72F7F"/>
    <w:rsid w:val="00D7367A"/>
    <w:rsid w:val="00D73C44"/>
    <w:rsid w:val="00D7436F"/>
    <w:rsid w:val="00D74921"/>
    <w:rsid w:val="00D7533F"/>
    <w:rsid w:val="00D75455"/>
    <w:rsid w:val="00D75459"/>
    <w:rsid w:val="00D7634E"/>
    <w:rsid w:val="00D76542"/>
    <w:rsid w:val="00D76766"/>
    <w:rsid w:val="00D771B7"/>
    <w:rsid w:val="00D77368"/>
    <w:rsid w:val="00D800FD"/>
    <w:rsid w:val="00D8020C"/>
    <w:rsid w:val="00D80311"/>
    <w:rsid w:val="00D80DE7"/>
    <w:rsid w:val="00D8179B"/>
    <w:rsid w:val="00D81A86"/>
    <w:rsid w:val="00D823EA"/>
    <w:rsid w:val="00D83467"/>
    <w:rsid w:val="00D83D35"/>
    <w:rsid w:val="00D849EA"/>
    <w:rsid w:val="00D85261"/>
    <w:rsid w:val="00D86A9A"/>
    <w:rsid w:val="00D86BE0"/>
    <w:rsid w:val="00D86C41"/>
    <w:rsid w:val="00D871D2"/>
    <w:rsid w:val="00D87AE4"/>
    <w:rsid w:val="00D87D5F"/>
    <w:rsid w:val="00D90ADF"/>
    <w:rsid w:val="00D90AFD"/>
    <w:rsid w:val="00D913A8"/>
    <w:rsid w:val="00D915A5"/>
    <w:rsid w:val="00D916D5"/>
    <w:rsid w:val="00D91C02"/>
    <w:rsid w:val="00D921A7"/>
    <w:rsid w:val="00D925AB"/>
    <w:rsid w:val="00D927DC"/>
    <w:rsid w:val="00D92C77"/>
    <w:rsid w:val="00D92FA6"/>
    <w:rsid w:val="00D9340B"/>
    <w:rsid w:val="00D935C5"/>
    <w:rsid w:val="00D9381C"/>
    <w:rsid w:val="00D9393D"/>
    <w:rsid w:val="00D941A0"/>
    <w:rsid w:val="00D94E84"/>
    <w:rsid w:val="00D95ABC"/>
    <w:rsid w:val="00D95C67"/>
    <w:rsid w:val="00D96547"/>
    <w:rsid w:val="00D968D8"/>
    <w:rsid w:val="00D97344"/>
    <w:rsid w:val="00D97424"/>
    <w:rsid w:val="00D97A51"/>
    <w:rsid w:val="00D97BC2"/>
    <w:rsid w:val="00D97C20"/>
    <w:rsid w:val="00DA01A2"/>
    <w:rsid w:val="00DA05D5"/>
    <w:rsid w:val="00DA0BC4"/>
    <w:rsid w:val="00DA0E76"/>
    <w:rsid w:val="00DA1A27"/>
    <w:rsid w:val="00DA2738"/>
    <w:rsid w:val="00DA29DD"/>
    <w:rsid w:val="00DA2B84"/>
    <w:rsid w:val="00DA3BE8"/>
    <w:rsid w:val="00DA4B2F"/>
    <w:rsid w:val="00DA4F12"/>
    <w:rsid w:val="00DA5641"/>
    <w:rsid w:val="00DA575F"/>
    <w:rsid w:val="00DA5A79"/>
    <w:rsid w:val="00DA5ACC"/>
    <w:rsid w:val="00DA5AE7"/>
    <w:rsid w:val="00DA5CF5"/>
    <w:rsid w:val="00DA6A54"/>
    <w:rsid w:val="00DA72C1"/>
    <w:rsid w:val="00DB07A7"/>
    <w:rsid w:val="00DB08E9"/>
    <w:rsid w:val="00DB0BF0"/>
    <w:rsid w:val="00DB1744"/>
    <w:rsid w:val="00DB27D5"/>
    <w:rsid w:val="00DB28C0"/>
    <w:rsid w:val="00DB2D18"/>
    <w:rsid w:val="00DB2DCF"/>
    <w:rsid w:val="00DB2FE6"/>
    <w:rsid w:val="00DB3AAC"/>
    <w:rsid w:val="00DB4615"/>
    <w:rsid w:val="00DB4A77"/>
    <w:rsid w:val="00DB4CD3"/>
    <w:rsid w:val="00DB5B6B"/>
    <w:rsid w:val="00DB5E05"/>
    <w:rsid w:val="00DB5EC3"/>
    <w:rsid w:val="00DB607D"/>
    <w:rsid w:val="00DB6542"/>
    <w:rsid w:val="00DB67A0"/>
    <w:rsid w:val="00DB6B4D"/>
    <w:rsid w:val="00DB6F2C"/>
    <w:rsid w:val="00DB7022"/>
    <w:rsid w:val="00DB72D6"/>
    <w:rsid w:val="00DB7AFF"/>
    <w:rsid w:val="00DC01BC"/>
    <w:rsid w:val="00DC0857"/>
    <w:rsid w:val="00DC0E63"/>
    <w:rsid w:val="00DC111A"/>
    <w:rsid w:val="00DC1C97"/>
    <w:rsid w:val="00DC1DD6"/>
    <w:rsid w:val="00DC241A"/>
    <w:rsid w:val="00DC2B5B"/>
    <w:rsid w:val="00DC2BED"/>
    <w:rsid w:val="00DC33DB"/>
    <w:rsid w:val="00DC3943"/>
    <w:rsid w:val="00DC4DC6"/>
    <w:rsid w:val="00DC60A4"/>
    <w:rsid w:val="00DC7A53"/>
    <w:rsid w:val="00DC7B28"/>
    <w:rsid w:val="00DC7D35"/>
    <w:rsid w:val="00DD0F9E"/>
    <w:rsid w:val="00DD2367"/>
    <w:rsid w:val="00DD2A3F"/>
    <w:rsid w:val="00DD2D75"/>
    <w:rsid w:val="00DD3C94"/>
    <w:rsid w:val="00DD404C"/>
    <w:rsid w:val="00DD47CA"/>
    <w:rsid w:val="00DD49DF"/>
    <w:rsid w:val="00DD4EAA"/>
    <w:rsid w:val="00DD5414"/>
    <w:rsid w:val="00DD577D"/>
    <w:rsid w:val="00DD5A9A"/>
    <w:rsid w:val="00DD6DB7"/>
    <w:rsid w:val="00DD6E95"/>
    <w:rsid w:val="00DE0AE2"/>
    <w:rsid w:val="00DE16C3"/>
    <w:rsid w:val="00DE1DE3"/>
    <w:rsid w:val="00DE3428"/>
    <w:rsid w:val="00DE38DD"/>
    <w:rsid w:val="00DE419B"/>
    <w:rsid w:val="00DE4E2F"/>
    <w:rsid w:val="00DE5616"/>
    <w:rsid w:val="00DE5E83"/>
    <w:rsid w:val="00DE6240"/>
    <w:rsid w:val="00DE6893"/>
    <w:rsid w:val="00DE728A"/>
    <w:rsid w:val="00DE7305"/>
    <w:rsid w:val="00DE732C"/>
    <w:rsid w:val="00DE7EDB"/>
    <w:rsid w:val="00DF0B51"/>
    <w:rsid w:val="00DF0C3D"/>
    <w:rsid w:val="00DF1FBB"/>
    <w:rsid w:val="00DF233B"/>
    <w:rsid w:val="00DF39DA"/>
    <w:rsid w:val="00DF4998"/>
    <w:rsid w:val="00DF4CDE"/>
    <w:rsid w:val="00DF5943"/>
    <w:rsid w:val="00DF695C"/>
    <w:rsid w:val="00DF7411"/>
    <w:rsid w:val="00E0027A"/>
    <w:rsid w:val="00E00BA5"/>
    <w:rsid w:val="00E00F6E"/>
    <w:rsid w:val="00E01147"/>
    <w:rsid w:val="00E017B9"/>
    <w:rsid w:val="00E020C8"/>
    <w:rsid w:val="00E03098"/>
    <w:rsid w:val="00E03C26"/>
    <w:rsid w:val="00E03F6D"/>
    <w:rsid w:val="00E05AF0"/>
    <w:rsid w:val="00E06043"/>
    <w:rsid w:val="00E06A16"/>
    <w:rsid w:val="00E077B6"/>
    <w:rsid w:val="00E101E2"/>
    <w:rsid w:val="00E10AF3"/>
    <w:rsid w:val="00E10E63"/>
    <w:rsid w:val="00E1123D"/>
    <w:rsid w:val="00E112EF"/>
    <w:rsid w:val="00E11C1F"/>
    <w:rsid w:val="00E11CD9"/>
    <w:rsid w:val="00E126B7"/>
    <w:rsid w:val="00E12888"/>
    <w:rsid w:val="00E1299C"/>
    <w:rsid w:val="00E12B07"/>
    <w:rsid w:val="00E12C3F"/>
    <w:rsid w:val="00E12FCE"/>
    <w:rsid w:val="00E131F6"/>
    <w:rsid w:val="00E13CC6"/>
    <w:rsid w:val="00E13E33"/>
    <w:rsid w:val="00E143D3"/>
    <w:rsid w:val="00E14FA3"/>
    <w:rsid w:val="00E1505B"/>
    <w:rsid w:val="00E15A19"/>
    <w:rsid w:val="00E16176"/>
    <w:rsid w:val="00E16178"/>
    <w:rsid w:val="00E16F0C"/>
    <w:rsid w:val="00E17499"/>
    <w:rsid w:val="00E17AF2"/>
    <w:rsid w:val="00E20B3F"/>
    <w:rsid w:val="00E20C60"/>
    <w:rsid w:val="00E21370"/>
    <w:rsid w:val="00E220E0"/>
    <w:rsid w:val="00E22400"/>
    <w:rsid w:val="00E2242C"/>
    <w:rsid w:val="00E22963"/>
    <w:rsid w:val="00E22A7F"/>
    <w:rsid w:val="00E22B60"/>
    <w:rsid w:val="00E2329B"/>
    <w:rsid w:val="00E23408"/>
    <w:rsid w:val="00E235D4"/>
    <w:rsid w:val="00E23D00"/>
    <w:rsid w:val="00E25004"/>
    <w:rsid w:val="00E25B0F"/>
    <w:rsid w:val="00E27856"/>
    <w:rsid w:val="00E279BB"/>
    <w:rsid w:val="00E27C29"/>
    <w:rsid w:val="00E27F3A"/>
    <w:rsid w:val="00E3057D"/>
    <w:rsid w:val="00E31DDC"/>
    <w:rsid w:val="00E32190"/>
    <w:rsid w:val="00E3242A"/>
    <w:rsid w:val="00E32A7F"/>
    <w:rsid w:val="00E32C76"/>
    <w:rsid w:val="00E32C7B"/>
    <w:rsid w:val="00E33046"/>
    <w:rsid w:val="00E33221"/>
    <w:rsid w:val="00E33A8C"/>
    <w:rsid w:val="00E3447E"/>
    <w:rsid w:val="00E34C1A"/>
    <w:rsid w:val="00E35E14"/>
    <w:rsid w:val="00E363D6"/>
    <w:rsid w:val="00E36D0E"/>
    <w:rsid w:val="00E36E0B"/>
    <w:rsid w:val="00E37695"/>
    <w:rsid w:val="00E37ADF"/>
    <w:rsid w:val="00E37F0D"/>
    <w:rsid w:val="00E40761"/>
    <w:rsid w:val="00E41098"/>
    <w:rsid w:val="00E41204"/>
    <w:rsid w:val="00E41319"/>
    <w:rsid w:val="00E41546"/>
    <w:rsid w:val="00E41A00"/>
    <w:rsid w:val="00E41BF1"/>
    <w:rsid w:val="00E430CE"/>
    <w:rsid w:val="00E44B9B"/>
    <w:rsid w:val="00E459D5"/>
    <w:rsid w:val="00E4673A"/>
    <w:rsid w:val="00E46E5A"/>
    <w:rsid w:val="00E50443"/>
    <w:rsid w:val="00E50F99"/>
    <w:rsid w:val="00E51FFF"/>
    <w:rsid w:val="00E53758"/>
    <w:rsid w:val="00E53F07"/>
    <w:rsid w:val="00E54588"/>
    <w:rsid w:val="00E55228"/>
    <w:rsid w:val="00E55354"/>
    <w:rsid w:val="00E55458"/>
    <w:rsid w:val="00E5581F"/>
    <w:rsid w:val="00E55BFB"/>
    <w:rsid w:val="00E56A72"/>
    <w:rsid w:val="00E57AC2"/>
    <w:rsid w:val="00E57DF5"/>
    <w:rsid w:val="00E60972"/>
    <w:rsid w:val="00E60DB4"/>
    <w:rsid w:val="00E61ABE"/>
    <w:rsid w:val="00E61ED7"/>
    <w:rsid w:val="00E6268D"/>
    <w:rsid w:val="00E6297A"/>
    <w:rsid w:val="00E62A87"/>
    <w:rsid w:val="00E631AA"/>
    <w:rsid w:val="00E63E9D"/>
    <w:rsid w:val="00E6413F"/>
    <w:rsid w:val="00E6421C"/>
    <w:rsid w:val="00E648A2"/>
    <w:rsid w:val="00E65D23"/>
    <w:rsid w:val="00E663C7"/>
    <w:rsid w:val="00E67349"/>
    <w:rsid w:val="00E70C0B"/>
    <w:rsid w:val="00E70C54"/>
    <w:rsid w:val="00E714E5"/>
    <w:rsid w:val="00E71553"/>
    <w:rsid w:val="00E71A37"/>
    <w:rsid w:val="00E71B21"/>
    <w:rsid w:val="00E720DF"/>
    <w:rsid w:val="00E721D9"/>
    <w:rsid w:val="00E7256E"/>
    <w:rsid w:val="00E7264D"/>
    <w:rsid w:val="00E72F0A"/>
    <w:rsid w:val="00E730BD"/>
    <w:rsid w:val="00E73984"/>
    <w:rsid w:val="00E74281"/>
    <w:rsid w:val="00E7432A"/>
    <w:rsid w:val="00E7432D"/>
    <w:rsid w:val="00E74E07"/>
    <w:rsid w:val="00E75F4D"/>
    <w:rsid w:val="00E76F78"/>
    <w:rsid w:val="00E77961"/>
    <w:rsid w:val="00E77CA5"/>
    <w:rsid w:val="00E80123"/>
    <w:rsid w:val="00E802B2"/>
    <w:rsid w:val="00E804B0"/>
    <w:rsid w:val="00E804B5"/>
    <w:rsid w:val="00E804DE"/>
    <w:rsid w:val="00E80585"/>
    <w:rsid w:val="00E80778"/>
    <w:rsid w:val="00E80907"/>
    <w:rsid w:val="00E80A9D"/>
    <w:rsid w:val="00E812B6"/>
    <w:rsid w:val="00E81743"/>
    <w:rsid w:val="00E819C1"/>
    <w:rsid w:val="00E81E82"/>
    <w:rsid w:val="00E82269"/>
    <w:rsid w:val="00E82480"/>
    <w:rsid w:val="00E826CE"/>
    <w:rsid w:val="00E82A22"/>
    <w:rsid w:val="00E8345B"/>
    <w:rsid w:val="00E83EA1"/>
    <w:rsid w:val="00E84BA9"/>
    <w:rsid w:val="00E85806"/>
    <w:rsid w:val="00E87DE3"/>
    <w:rsid w:val="00E90C39"/>
    <w:rsid w:val="00E90EA4"/>
    <w:rsid w:val="00E931DA"/>
    <w:rsid w:val="00E936EE"/>
    <w:rsid w:val="00E93930"/>
    <w:rsid w:val="00E9455A"/>
    <w:rsid w:val="00E94DD6"/>
    <w:rsid w:val="00E94E06"/>
    <w:rsid w:val="00E9513C"/>
    <w:rsid w:val="00E957B9"/>
    <w:rsid w:val="00E96629"/>
    <w:rsid w:val="00E96A8C"/>
    <w:rsid w:val="00E972F2"/>
    <w:rsid w:val="00E97B58"/>
    <w:rsid w:val="00EA0BA8"/>
    <w:rsid w:val="00EA0EC5"/>
    <w:rsid w:val="00EA1BC2"/>
    <w:rsid w:val="00EA24FB"/>
    <w:rsid w:val="00EA25B1"/>
    <w:rsid w:val="00EA2746"/>
    <w:rsid w:val="00EA385D"/>
    <w:rsid w:val="00EA7091"/>
    <w:rsid w:val="00EA74FE"/>
    <w:rsid w:val="00EA7B4F"/>
    <w:rsid w:val="00EA7C40"/>
    <w:rsid w:val="00EB0077"/>
    <w:rsid w:val="00EB007F"/>
    <w:rsid w:val="00EB1D96"/>
    <w:rsid w:val="00EB1E64"/>
    <w:rsid w:val="00EB2046"/>
    <w:rsid w:val="00EB29D7"/>
    <w:rsid w:val="00EB2C98"/>
    <w:rsid w:val="00EB31AC"/>
    <w:rsid w:val="00EB34D2"/>
    <w:rsid w:val="00EB3F3D"/>
    <w:rsid w:val="00EB41E3"/>
    <w:rsid w:val="00EB4290"/>
    <w:rsid w:val="00EB440E"/>
    <w:rsid w:val="00EB49EB"/>
    <w:rsid w:val="00EB5B7C"/>
    <w:rsid w:val="00EB5C06"/>
    <w:rsid w:val="00EB5FDD"/>
    <w:rsid w:val="00EB676C"/>
    <w:rsid w:val="00EB79BD"/>
    <w:rsid w:val="00EB7DFC"/>
    <w:rsid w:val="00EC161E"/>
    <w:rsid w:val="00EC1907"/>
    <w:rsid w:val="00EC35D8"/>
    <w:rsid w:val="00EC38BB"/>
    <w:rsid w:val="00EC3B84"/>
    <w:rsid w:val="00EC44F9"/>
    <w:rsid w:val="00EC4B0E"/>
    <w:rsid w:val="00EC4C95"/>
    <w:rsid w:val="00EC4ED5"/>
    <w:rsid w:val="00EC5CFC"/>
    <w:rsid w:val="00EC6740"/>
    <w:rsid w:val="00EC6FD6"/>
    <w:rsid w:val="00EC7036"/>
    <w:rsid w:val="00EC7384"/>
    <w:rsid w:val="00EC7AED"/>
    <w:rsid w:val="00EC7F72"/>
    <w:rsid w:val="00EC7F78"/>
    <w:rsid w:val="00ED07B2"/>
    <w:rsid w:val="00ED08C3"/>
    <w:rsid w:val="00ED0A59"/>
    <w:rsid w:val="00ED0C38"/>
    <w:rsid w:val="00ED105D"/>
    <w:rsid w:val="00ED1C54"/>
    <w:rsid w:val="00ED1DBA"/>
    <w:rsid w:val="00ED2088"/>
    <w:rsid w:val="00ED2388"/>
    <w:rsid w:val="00ED25C7"/>
    <w:rsid w:val="00ED2FB5"/>
    <w:rsid w:val="00ED2FF2"/>
    <w:rsid w:val="00ED348B"/>
    <w:rsid w:val="00ED4147"/>
    <w:rsid w:val="00ED41F7"/>
    <w:rsid w:val="00ED5EA0"/>
    <w:rsid w:val="00ED5EC1"/>
    <w:rsid w:val="00ED68FB"/>
    <w:rsid w:val="00ED6CD4"/>
    <w:rsid w:val="00ED6DBC"/>
    <w:rsid w:val="00ED7723"/>
    <w:rsid w:val="00ED7C0B"/>
    <w:rsid w:val="00EE00B5"/>
    <w:rsid w:val="00EE08A4"/>
    <w:rsid w:val="00EE08AB"/>
    <w:rsid w:val="00EE275E"/>
    <w:rsid w:val="00EE33AC"/>
    <w:rsid w:val="00EE37C6"/>
    <w:rsid w:val="00EE3E7F"/>
    <w:rsid w:val="00EE5350"/>
    <w:rsid w:val="00EE62F5"/>
    <w:rsid w:val="00EE6764"/>
    <w:rsid w:val="00EE6B63"/>
    <w:rsid w:val="00EE6DED"/>
    <w:rsid w:val="00EE75B9"/>
    <w:rsid w:val="00EE7950"/>
    <w:rsid w:val="00EE7AF5"/>
    <w:rsid w:val="00EE7DAA"/>
    <w:rsid w:val="00EF07B8"/>
    <w:rsid w:val="00EF1141"/>
    <w:rsid w:val="00EF2336"/>
    <w:rsid w:val="00EF2384"/>
    <w:rsid w:val="00EF264F"/>
    <w:rsid w:val="00EF2AA2"/>
    <w:rsid w:val="00EF2AFC"/>
    <w:rsid w:val="00EF3C45"/>
    <w:rsid w:val="00EF4C88"/>
    <w:rsid w:val="00EF5452"/>
    <w:rsid w:val="00EF55E3"/>
    <w:rsid w:val="00EF57B6"/>
    <w:rsid w:val="00EF5C5A"/>
    <w:rsid w:val="00EF602C"/>
    <w:rsid w:val="00EF6F7C"/>
    <w:rsid w:val="00EF70BF"/>
    <w:rsid w:val="00EF7A01"/>
    <w:rsid w:val="00F00053"/>
    <w:rsid w:val="00F002D3"/>
    <w:rsid w:val="00F005DA"/>
    <w:rsid w:val="00F00AA0"/>
    <w:rsid w:val="00F02843"/>
    <w:rsid w:val="00F02D4D"/>
    <w:rsid w:val="00F02E77"/>
    <w:rsid w:val="00F02FA7"/>
    <w:rsid w:val="00F035DC"/>
    <w:rsid w:val="00F036A8"/>
    <w:rsid w:val="00F038EF"/>
    <w:rsid w:val="00F0448F"/>
    <w:rsid w:val="00F06247"/>
    <w:rsid w:val="00F07A3A"/>
    <w:rsid w:val="00F07DED"/>
    <w:rsid w:val="00F10587"/>
    <w:rsid w:val="00F10695"/>
    <w:rsid w:val="00F10CDE"/>
    <w:rsid w:val="00F1293D"/>
    <w:rsid w:val="00F13F3B"/>
    <w:rsid w:val="00F14674"/>
    <w:rsid w:val="00F153BF"/>
    <w:rsid w:val="00F158F0"/>
    <w:rsid w:val="00F15AA2"/>
    <w:rsid w:val="00F15C52"/>
    <w:rsid w:val="00F15CDC"/>
    <w:rsid w:val="00F15D7B"/>
    <w:rsid w:val="00F168A5"/>
    <w:rsid w:val="00F169AE"/>
    <w:rsid w:val="00F16F27"/>
    <w:rsid w:val="00F17255"/>
    <w:rsid w:val="00F179D6"/>
    <w:rsid w:val="00F17CED"/>
    <w:rsid w:val="00F20477"/>
    <w:rsid w:val="00F21627"/>
    <w:rsid w:val="00F21A4F"/>
    <w:rsid w:val="00F21BE6"/>
    <w:rsid w:val="00F21C5F"/>
    <w:rsid w:val="00F22958"/>
    <w:rsid w:val="00F22DC3"/>
    <w:rsid w:val="00F2382F"/>
    <w:rsid w:val="00F23AF4"/>
    <w:rsid w:val="00F23D3A"/>
    <w:rsid w:val="00F24D4D"/>
    <w:rsid w:val="00F24D93"/>
    <w:rsid w:val="00F254A5"/>
    <w:rsid w:val="00F255A3"/>
    <w:rsid w:val="00F259E7"/>
    <w:rsid w:val="00F26107"/>
    <w:rsid w:val="00F26784"/>
    <w:rsid w:val="00F26F4F"/>
    <w:rsid w:val="00F27386"/>
    <w:rsid w:val="00F3026E"/>
    <w:rsid w:val="00F30375"/>
    <w:rsid w:val="00F319F9"/>
    <w:rsid w:val="00F31A2D"/>
    <w:rsid w:val="00F31CE7"/>
    <w:rsid w:val="00F31F89"/>
    <w:rsid w:val="00F32062"/>
    <w:rsid w:val="00F32DA7"/>
    <w:rsid w:val="00F3409F"/>
    <w:rsid w:val="00F340A5"/>
    <w:rsid w:val="00F348B2"/>
    <w:rsid w:val="00F3547D"/>
    <w:rsid w:val="00F35C1B"/>
    <w:rsid w:val="00F36723"/>
    <w:rsid w:val="00F36CFC"/>
    <w:rsid w:val="00F37001"/>
    <w:rsid w:val="00F3738A"/>
    <w:rsid w:val="00F377B4"/>
    <w:rsid w:val="00F37A17"/>
    <w:rsid w:val="00F37C51"/>
    <w:rsid w:val="00F40601"/>
    <w:rsid w:val="00F40D47"/>
    <w:rsid w:val="00F41641"/>
    <w:rsid w:val="00F41C32"/>
    <w:rsid w:val="00F41DB9"/>
    <w:rsid w:val="00F42440"/>
    <w:rsid w:val="00F42643"/>
    <w:rsid w:val="00F42857"/>
    <w:rsid w:val="00F4337D"/>
    <w:rsid w:val="00F43566"/>
    <w:rsid w:val="00F43DFC"/>
    <w:rsid w:val="00F44B67"/>
    <w:rsid w:val="00F45F1A"/>
    <w:rsid w:val="00F46094"/>
    <w:rsid w:val="00F462EF"/>
    <w:rsid w:val="00F4640C"/>
    <w:rsid w:val="00F4682C"/>
    <w:rsid w:val="00F46834"/>
    <w:rsid w:val="00F46F85"/>
    <w:rsid w:val="00F47650"/>
    <w:rsid w:val="00F478D4"/>
    <w:rsid w:val="00F47B73"/>
    <w:rsid w:val="00F47CE8"/>
    <w:rsid w:val="00F50258"/>
    <w:rsid w:val="00F505D0"/>
    <w:rsid w:val="00F50AAC"/>
    <w:rsid w:val="00F51185"/>
    <w:rsid w:val="00F51A4B"/>
    <w:rsid w:val="00F52123"/>
    <w:rsid w:val="00F5287E"/>
    <w:rsid w:val="00F5371A"/>
    <w:rsid w:val="00F54D8B"/>
    <w:rsid w:val="00F56AA8"/>
    <w:rsid w:val="00F56EBF"/>
    <w:rsid w:val="00F57486"/>
    <w:rsid w:val="00F57C5C"/>
    <w:rsid w:val="00F57EE3"/>
    <w:rsid w:val="00F60572"/>
    <w:rsid w:val="00F607F4"/>
    <w:rsid w:val="00F60DDA"/>
    <w:rsid w:val="00F619B6"/>
    <w:rsid w:val="00F61C4D"/>
    <w:rsid w:val="00F626D6"/>
    <w:rsid w:val="00F62A21"/>
    <w:rsid w:val="00F6338E"/>
    <w:rsid w:val="00F634C9"/>
    <w:rsid w:val="00F63B16"/>
    <w:rsid w:val="00F63F35"/>
    <w:rsid w:val="00F64690"/>
    <w:rsid w:val="00F6481E"/>
    <w:rsid w:val="00F64AEA"/>
    <w:rsid w:val="00F6671B"/>
    <w:rsid w:val="00F7167F"/>
    <w:rsid w:val="00F718DB"/>
    <w:rsid w:val="00F7319E"/>
    <w:rsid w:val="00F733B6"/>
    <w:rsid w:val="00F735CE"/>
    <w:rsid w:val="00F73C35"/>
    <w:rsid w:val="00F73FB6"/>
    <w:rsid w:val="00F74EE0"/>
    <w:rsid w:val="00F7501A"/>
    <w:rsid w:val="00F7533B"/>
    <w:rsid w:val="00F75425"/>
    <w:rsid w:val="00F75770"/>
    <w:rsid w:val="00F757E2"/>
    <w:rsid w:val="00F75804"/>
    <w:rsid w:val="00F7616B"/>
    <w:rsid w:val="00F766C6"/>
    <w:rsid w:val="00F76AB1"/>
    <w:rsid w:val="00F76CCA"/>
    <w:rsid w:val="00F77702"/>
    <w:rsid w:val="00F779E5"/>
    <w:rsid w:val="00F77DA9"/>
    <w:rsid w:val="00F80A6D"/>
    <w:rsid w:val="00F8105A"/>
    <w:rsid w:val="00F815DB"/>
    <w:rsid w:val="00F81ACC"/>
    <w:rsid w:val="00F82021"/>
    <w:rsid w:val="00F83123"/>
    <w:rsid w:val="00F84166"/>
    <w:rsid w:val="00F842A4"/>
    <w:rsid w:val="00F855EC"/>
    <w:rsid w:val="00F85ACA"/>
    <w:rsid w:val="00F86030"/>
    <w:rsid w:val="00F86E10"/>
    <w:rsid w:val="00F8723F"/>
    <w:rsid w:val="00F90264"/>
    <w:rsid w:val="00F90578"/>
    <w:rsid w:val="00F90CA4"/>
    <w:rsid w:val="00F914DD"/>
    <w:rsid w:val="00F91EBE"/>
    <w:rsid w:val="00F921D4"/>
    <w:rsid w:val="00F93279"/>
    <w:rsid w:val="00F9328C"/>
    <w:rsid w:val="00F93F97"/>
    <w:rsid w:val="00F953AF"/>
    <w:rsid w:val="00F95832"/>
    <w:rsid w:val="00F95960"/>
    <w:rsid w:val="00F95D45"/>
    <w:rsid w:val="00F95E92"/>
    <w:rsid w:val="00F96291"/>
    <w:rsid w:val="00F97467"/>
    <w:rsid w:val="00FA0970"/>
    <w:rsid w:val="00FA146D"/>
    <w:rsid w:val="00FA1E3B"/>
    <w:rsid w:val="00FA1F4E"/>
    <w:rsid w:val="00FA28BC"/>
    <w:rsid w:val="00FA2A14"/>
    <w:rsid w:val="00FA36E8"/>
    <w:rsid w:val="00FA42D2"/>
    <w:rsid w:val="00FA465E"/>
    <w:rsid w:val="00FA522A"/>
    <w:rsid w:val="00FA60EC"/>
    <w:rsid w:val="00FA6913"/>
    <w:rsid w:val="00FA6D4E"/>
    <w:rsid w:val="00FB0B3D"/>
    <w:rsid w:val="00FB0C2A"/>
    <w:rsid w:val="00FB0C73"/>
    <w:rsid w:val="00FB0CFD"/>
    <w:rsid w:val="00FB1DF8"/>
    <w:rsid w:val="00FB1E4E"/>
    <w:rsid w:val="00FB251F"/>
    <w:rsid w:val="00FB2832"/>
    <w:rsid w:val="00FB3DB2"/>
    <w:rsid w:val="00FB431E"/>
    <w:rsid w:val="00FB44D7"/>
    <w:rsid w:val="00FB4975"/>
    <w:rsid w:val="00FB4B09"/>
    <w:rsid w:val="00FB4EEF"/>
    <w:rsid w:val="00FB5361"/>
    <w:rsid w:val="00FB680E"/>
    <w:rsid w:val="00FB6B39"/>
    <w:rsid w:val="00FB7585"/>
    <w:rsid w:val="00FB78AA"/>
    <w:rsid w:val="00FB7C42"/>
    <w:rsid w:val="00FB7D02"/>
    <w:rsid w:val="00FC02B1"/>
    <w:rsid w:val="00FC0D25"/>
    <w:rsid w:val="00FC0DE8"/>
    <w:rsid w:val="00FC10FD"/>
    <w:rsid w:val="00FC1CF1"/>
    <w:rsid w:val="00FC2074"/>
    <w:rsid w:val="00FC210C"/>
    <w:rsid w:val="00FC226E"/>
    <w:rsid w:val="00FC2379"/>
    <w:rsid w:val="00FC28B0"/>
    <w:rsid w:val="00FC32B1"/>
    <w:rsid w:val="00FC358A"/>
    <w:rsid w:val="00FC3967"/>
    <w:rsid w:val="00FC39C1"/>
    <w:rsid w:val="00FC3BB0"/>
    <w:rsid w:val="00FC473A"/>
    <w:rsid w:val="00FC5516"/>
    <w:rsid w:val="00FC573B"/>
    <w:rsid w:val="00FC5B00"/>
    <w:rsid w:val="00FC609F"/>
    <w:rsid w:val="00FC6D6B"/>
    <w:rsid w:val="00FC7151"/>
    <w:rsid w:val="00FC770E"/>
    <w:rsid w:val="00FC7A1F"/>
    <w:rsid w:val="00FD0CAE"/>
    <w:rsid w:val="00FD1913"/>
    <w:rsid w:val="00FD1A32"/>
    <w:rsid w:val="00FD388E"/>
    <w:rsid w:val="00FD411C"/>
    <w:rsid w:val="00FD41A9"/>
    <w:rsid w:val="00FD4F89"/>
    <w:rsid w:val="00FD5032"/>
    <w:rsid w:val="00FD6E57"/>
    <w:rsid w:val="00FD768B"/>
    <w:rsid w:val="00FD78FB"/>
    <w:rsid w:val="00FD7A2F"/>
    <w:rsid w:val="00FE0291"/>
    <w:rsid w:val="00FE0541"/>
    <w:rsid w:val="00FE07E9"/>
    <w:rsid w:val="00FE1247"/>
    <w:rsid w:val="00FE1316"/>
    <w:rsid w:val="00FE1EE1"/>
    <w:rsid w:val="00FE24B1"/>
    <w:rsid w:val="00FE27BF"/>
    <w:rsid w:val="00FE29FE"/>
    <w:rsid w:val="00FE3826"/>
    <w:rsid w:val="00FE39FB"/>
    <w:rsid w:val="00FE56DA"/>
    <w:rsid w:val="00FE58B5"/>
    <w:rsid w:val="00FE657C"/>
    <w:rsid w:val="00FE78E0"/>
    <w:rsid w:val="00FE7FDB"/>
    <w:rsid w:val="00FF0F2E"/>
    <w:rsid w:val="00FF12DA"/>
    <w:rsid w:val="00FF1703"/>
    <w:rsid w:val="00FF184A"/>
    <w:rsid w:val="00FF20F4"/>
    <w:rsid w:val="00FF23D8"/>
    <w:rsid w:val="00FF35B0"/>
    <w:rsid w:val="00FF504A"/>
    <w:rsid w:val="00FF5512"/>
    <w:rsid w:val="00FF5806"/>
    <w:rsid w:val="00FF5843"/>
    <w:rsid w:val="00FF6030"/>
    <w:rsid w:val="00FF6422"/>
    <w:rsid w:val="00FF7A0E"/>
    <w:rsid w:val="00FF7B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DE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DD"/>
    <w:rPr>
      <w:rFonts w:ascii="Verdana" w:eastAsia="Times New Roman" w:hAnsi="Verdana" w:cs="Times New Roman"/>
      <w:sz w:val="24"/>
      <w:szCs w:val="24"/>
      <w:lang w:eastAsia="es-CR"/>
    </w:rPr>
  </w:style>
  <w:style w:type="paragraph" w:styleId="Heading1">
    <w:name w:val="heading 1"/>
    <w:aliases w:val="Título Verdana"/>
    <w:basedOn w:val="Normal"/>
    <w:next w:val="Normal"/>
    <w:link w:val="Heading1Char"/>
    <w:uiPriority w:val="9"/>
    <w:qFormat/>
    <w:rsid w:val="00085BDD"/>
    <w:pPr>
      <w:keepNext/>
      <w:keepLines/>
      <w:tabs>
        <w:tab w:val="left" w:pos="720"/>
      </w:tabs>
      <w:jc w:val="center"/>
      <w:outlineLvl w:val="0"/>
    </w:pPr>
    <w:rPr>
      <w:rFonts w:eastAsia="MS ????"/>
      <w:b/>
      <w:bCs/>
      <w:caps/>
      <w:snapToGrid w:val="0"/>
      <w:spacing w:val="-2"/>
      <w:sz w:val="20"/>
      <w:szCs w:val="20"/>
      <w:lang w:val="x-none" w:eastAsia="es-ES"/>
    </w:rPr>
  </w:style>
  <w:style w:type="paragraph" w:styleId="Heading2">
    <w:name w:val="heading 2"/>
    <w:basedOn w:val="Normal"/>
    <w:next w:val="Normal"/>
    <w:link w:val="Heading2Char"/>
    <w:autoRedefine/>
    <w:unhideWhenUsed/>
    <w:qFormat/>
    <w:rsid w:val="002726E0"/>
    <w:pPr>
      <w:keepNext/>
      <w:keepLines/>
      <w:numPr>
        <w:numId w:val="7"/>
      </w:numPr>
      <w:outlineLvl w:val="1"/>
    </w:pPr>
    <w:rPr>
      <w:rFonts w:eastAsia="MS Mincho"/>
      <w:b/>
      <w:i/>
      <w:sz w:val="20"/>
      <w:szCs w:val="26"/>
    </w:rPr>
  </w:style>
  <w:style w:type="paragraph" w:styleId="Heading3">
    <w:name w:val="heading 3"/>
    <w:basedOn w:val="Normal"/>
    <w:next w:val="Normal"/>
    <w:link w:val="Heading3Char"/>
    <w:uiPriority w:val="9"/>
    <w:qFormat/>
    <w:rsid w:val="003700C4"/>
    <w:pPr>
      <w:tabs>
        <w:tab w:val="left" w:pos="567"/>
      </w:tabs>
      <w:autoSpaceDE w:val="0"/>
      <w:autoSpaceDN w:val="0"/>
      <w:ind w:left="1416"/>
      <w:contextualSpacing/>
      <w:outlineLvl w:val="2"/>
    </w:pPr>
    <w:rPr>
      <w:rFonts w:eastAsia="Calibri"/>
      <w:i/>
      <w:spacing w:val="-2"/>
      <w:sz w:val="20"/>
      <w:szCs w:val="20"/>
      <w:lang w:val="es-ES" w:eastAsia="x-none"/>
    </w:rPr>
  </w:style>
  <w:style w:type="paragraph" w:styleId="Heading4">
    <w:name w:val="heading 4"/>
    <w:basedOn w:val="Normal"/>
    <w:next w:val="Normal"/>
    <w:link w:val="Heading4Char"/>
    <w:uiPriority w:val="9"/>
    <w:unhideWhenUsed/>
    <w:qFormat/>
    <w:rsid w:val="00EB31AC"/>
    <w:pPr>
      <w:keepNext/>
      <w:keepLines/>
      <w:spacing w:before="200"/>
      <w:outlineLvl w:val="3"/>
    </w:pPr>
    <w:rPr>
      <w:bCs/>
      <w:i/>
      <w:iCs/>
      <w:sz w:val="20"/>
    </w:rPr>
  </w:style>
  <w:style w:type="paragraph" w:styleId="Heading5">
    <w:name w:val="heading 5"/>
    <w:basedOn w:val="Normal"/>
    <w:next w:val="Normal"/>
    <w:link w:val="Heading5Char"/>
    <w:uiPriority w:val="9"/>
    <w:unhideWhenUsed/>
    <w:qFormat/>
    <w:rsid w:val="00E344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E3447E"/>
    <w:pPr>
      <w:keepNext w:val="0"/>
      <w:keepLines w:val="0"/>
      <w:tabs>
        <w:tab w:val="num" w:pos="3600"/>
      </w:tabs>
      <w:spacing w:before="0"/>
      <w:ind w:left="3600" w:hanging="360"/>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085BDD"/>
    <w:rPr>
      <w:rFonts w:ascii="Verdana" w:eastAsia="MS ????" w:hAnsi="Verdana" w:cs="Times New Roman"/>
      <w:b/>
      <w:bCs/>
      <w:caps/>
      <w:snapToGrid w:val="0"/>
      <w:spacing w:val="-2"/>
      <w:sz w:val="20"/>
      <w:szCs w:val="20"/>
      <w:lang w:val="x-none" w:eastAsia="es-ES"/>
    </w:rPr>
  </w:style>
  <w:style w:type="character" w:customStyle="1" w:styleId="Heading3Char">
    <w:name w:val="Heading 3 Char"/>
    <w:basedOn w:val="DefaultParagraphFont"/>
    <w:link w:val="Heading3"/>
    <w:uiPriority w:val="9"/>
    <w:rsid w:val="003700C4"/>
    <w:rPr>
      <w:rFonts w:ascii="Verdana" w:eastAsia="Calibri" w:hAnsi="Verdana" w:cs="Times New Roman"/>
      <w:i/>
      <w:spacing w:val="-2"/>
      <w:sz w:val="20"/>
      <w:szCs w:val="20"/>
      <w:lang w:val="es-ES"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085BDD"/>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085BDD"/>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085BDD"/>
    <w:rPr>
      <w:rFonts w:ascii="Verdana" w:eastAsia="Times New Roman" w:hAnsi="Verdana" w:cs="Times New Roman"/>
      <w:sz w:val="20"/>
      <w:szCs w:val="20"/>
      <w:lang w:val="es-ES_tradnl" w:eastAsia="x-none"/>
    </w:rPr>
  </w:style>
  <w:style w:type="character" w:styleId="Strong">
    <w:name w:val="Strong"/>
    <w:uiPriority w:val="22"/>
    <w:qFormat/>
    <w:rsid w:val="00085BDD"/>
    <w:rPr>
      <w:b/>
      <w:bCs/>
    </w:rPr>
  </w:style>
  <w:style w:type="paragraph" w:styleId="ListParagraph">
    <w:name w:val="List Paragraph"/>
    <w:aliases w:val="List Paragraph2,Lista vistosa - Énfasis 11,Párrafo de lista1,Footnote,List Paragraph1"/>
    <w:basedOn w:val="Normal"/>
    <w:link w:val="ListParagraphChar1"/>
    <w:qFormat/>
    <w:rsid w:val="00085BDD"/>
    <w:pPr>
      <w:ind w:left="708"/>
    </w:p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Colorful List - Accent 1 Char"/>
    <w:link w:val="MediumGrid1-Accent2"/>
    <w:uiPriority w:val="34"/>
    <w:locked/>
    <w:rsid w:val="00475387"/>
    <w:rPr>
      <w:rFonts w:ascii="Verdana" w:eastAsia="Batang" w:hAnsi="Verdana" w:cs="Times"/>
      <w:noProof/>
      <w:sz w:val="20"/>
      <w:szCs w:val="24"/>
      <w:lang w:val="es-ES_tradnl"/>
    </w:rPr>
  </w:style>
  <w:style w:type="paragraph" w:customStyle="1" w:styleId="PrrafodeSentencia">
    <w:name w:val="*. Párrafo de Sentencia"/>
    <w:basedOn w:val="FootnoteText"/>
    <w:link w:val="PrrafodeSentenciaChar"/>
    <w:autoRedefine/>
    <w:qFormat/>
    <w:rsid w:val="00475387"/>
    <w:pPr>
      <w:numPr>
        <w:numId w:val="1"/>
      </w:numPr>
      <w:tabs>
        <w:tab w:val="left" w:pos="720"/>
      </w:tabs>
      <w:spacing w:before="120" w:after="120"/>
    </w:pPr>
    <w:rPr>
      <w:bCs/>
      <w:noProof/>
      <w:lang w:eastAsia="es-ES"/>
    </w:rPr>
  </w:style>
  <w:style w:type="table" w:styleId="MediumGrid1-Accent2">
    <w:name w:val="Medium Grid 1 Accent 2"/>
    <w:basedOn w:val="TableNormal"/>
    <w:link w:val="MediumGrid1-Accent2Char"/>
    <w:rsid w:val="00475387"/>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aliases w:val="Normal (Web) Char1,Normal (Web) Char Char,Normal (Web) Char1 Char,Normal (Web) Char Char Char"/>
    <w:basedOn w:val="Normal"/>
    <w:uiPriority w:val="99"/>
    <w:unhideWhenUsed/>
    <w:rsid w:val="006C37C9"/>
    <w:pPr>
      <w:spacing w:after="200" w:line="276" w:lineRule="auto"/>
      <w:jc w:val="left"/>
    </w:pPr>
    <w:rPr>
      <w:rFonts w:ascii="Times New Roman" w:eastAsiaTheme="minorHAnsi" w:hAnsi="Times New Roman"/>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rsid w:val="006C37C9"/>
    <w:rPr>
      <w:sz w:val="20"/>
      <w:szCs w:val="20"/>
      <w:lang w:val="en-US"/>
    </w:rPr>
  </w:style>
  <w:style w:type="paragraph" w:styleId="Header">
    <w:name w:val="header"/>
    <w:basedOn w:val="Normal"/>
    <w:link w:val="HeaderChar"/>
    <w:uiPriority w:val="99"/>
    <w:unhideWhenUsed/>
    <w:rsid w:val="006C37C9"/>
    <w:pPr>
      <w:tabs>
        <w:tab w:val="center" w:pos="4252"/>
        <w:tab w:val="right" w:pos="8504"/>
      </w:tabs>
      <w:jc w:val="left"/>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C37C9"/>
    <w:rPr>
      <w:lang w:val="en-US"/>
    </w:rPr>
  </w:style>
  <w:style w:type="paragraph" w:styleId="Footer">
    <w:name w:val="footer"/>
    <w:basedOn w:val="Normal"/>
    <w:link w:val="FooterChar"/>
    <w:uiPriority w:val="99"/>
    <w:unhideWhenUsed/>
    <w:rsid w:val="006C37C9"/>
    <w:pPr>
      <w:tabs>
        <w:tab w:val="center" w:pos="4252"/>
        <w:tab w:val="right" w:pos="8504"/>
      </w:tabs>
      <w:jc w:val="left"/>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C37C9"/>
    <w:rPr>
      <w:lang w:val="en-US"/>
    </w:rPr>
  </w:style>
  <w:style w:type="paragraph" w:styleId="EndnoteText">
    <w:name w:val="endnote text"/>
    <w:basedOn w:val="Normal"/>
    <w:link w:val="EndnoteTextChar"/>
    <w:unhideWhenUsed/>
    <w:rsid w:val="006C37C9"/>
    <w:pPr>
      <w:jc w:val="left"/>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rsid w:val="006C37C9"/>
    <w:rPr>
      <w:sz w:val="20"/>
      <w:szCs w:val="20"/>
      <w:lang w:val="en-US"/>
    </w:rPr>
  </w:style>
  <w:style w:type="character" w:styleId="Hyperlink">
    <w:name w:val="Hyperlink"/>
    <w:aliases w:val="Heading 3 caso"/>
    <w:basedOn w:val="DefaultParagraphFont"/>
    <w:uiPriority w:val="99"/>
    <w:unhideWhenUsed/>
    <w:rsid w:val="006C37C9"/>
    <w:rPr>
      <w:color w:val="0000FF" w:themeColor="hyperlink"/>
      <w:u w:val="single"/>
    </w:rPr>
  </w:style>
  <w:style w:type="character" w:styleId="FollowedHyperlink">
    <w:name w:val="FollowedHyperlink"/>
    <w:basedOn w:val="DefaultParagraphFont"/>
    <w:uiPriority w:val="99"/>
    <w:semiHidden/>
    <w:unhideWhenUsed/>
    <w:rsid w:val="006C37C9"/>
    <w:rPr>
      <w:color w:val="800080" w:themeColor="followedHyperlink"/>
      <w:u w:val="single"/>
    </w:rPr>
  </w:style>
  <w:style w:type="paragraph" w:styleId="BalloonText">
    <w:name w:val="Balloon Text"/>
    <w:basedOn w:val="Normal"/>
    <w:link w:val="BalloonTextChar"/>
    <w:uiPriority w:val="99"/>
    <w:semiHidden/>
    <w:unhideWhenUsed/>
    <w:rsid w:val="006C37C9"/>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C37C9"/>
    <w:rPr>
      <w:rFonts w:ascii="Tahoma" w:hAnsi="Tahoma" w:cs="Tahoma"/>
      <w:sz w:val="16"/>
      <w:szCs w:val="16"/>
    </w:rPr>
  </w:style>
  <w:style w:type="paragraph" w:styleId="TOCHeading">
    <w:name w:val="TOC Heading"/>
    <w:basedOn w:val="Heading1"/>
    <w:next w:val="Normal"/>
    <w:uiPriority w:val="39"/>
    <w:unhideWhenUsed/>
    <w:qFormat/>
    <w:rsid w:val="00E16176"/>
    <w:pPr>
      <w:tabs>
        <w:tab w:val="clear" w:pos="720"/>
      </w:tabs>
      <w:spacing w:before="480" w:line="276" w:lineRule="auto"/>
      <w:jc w:val="left"/>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paragraph" w:styleId="TOC1">
    <w:name w:val="toc 1"/>
    <w:basedOn w:val="Title"/>
    <w:next w:val="Normal"/>
    <w:autoRedefine/>
    <w:uiPriority w:val="39"/>
    <w:unhideWhenUsed/>
    <w:qFormat/>
    <w:rsid w:val="00C004B1"/>
    <w:pPr>
      <w:tabs>
        <w:tab w:val="right" w:leader="dot" w:pos="9736"/>
      </w:tabs>
      <w:spacing w:before="120" w:after="120"/>
      <w:ind w:left="0"/>
      <w:contextualSpacing w:val="0"/>
      <w:jc w:val="both"/>
    </w:pPr>
    <w:rPr>
      <w:rFonts w:asciiTheme="minorHAnsi" w:eastAsia="Times New Roman" w:hAnsiTheme="minorHAnsi" w:cs="Times New Roman"/>
      <w:bCs/>
      <w:caps/>
      <w:snapToGrid/>
      <w:spacing w:val="0"/>
      <w:kern w:val="0"/>
      <w:szCs w:val="20"/>
    </w:rPr>
  </w:style>
  <w:style w:type="paragraph" w:styleId="TOC2">
    <w:name w:val="toc 2"/>
    <w:basedOn w:val="Normal"/>
    <w:next w:val="Normal"/>
    <w:autoRedefine/>
    <w:uiPriority w:val="39"/>
    <w:unhideWhenUsed/>
    <w:qFormat/>
    <w:rsid w:val="008A6487"/>
    <w:pPr>
      <w:ind w:left="240"/>
      <w:jc w:val="left"/>
    </w:pPr>
    <w:rPr>
      <w:rFonts w:asciiTheme="minorHAnsi" w:hAnsiTheme="minorHAnsi"/>
      <w:smallCaps/>
      <w:sz w:val="20"/>
      <w:szCs w:val="20"/>
    </w:rPr>
  </w:style>
  <w:style w:type="paragraph" w:styleId="TOC3">
    <w:name w:val="toc 3"/>
    <w:basedOn w:val="Normal"/>
    <w:next w:val="Normal"/>
    <w:autoRedefine/>
    <w:uiPriority w:val="39"/>
    <w:unhideWhenUsed/>
    <w:qFormat/>
    <w:rsid w:val="00BE23A5"/>
    <w:pPr>
      <w:tabs>
        <w:tab w:val="left" w:pos="960"/>
        <w:tab w:val="right" w:leader="dot" w:pos="9736"/>
      </w:tabs>
      <w:ind w:left="480"/>
    </w:pPr>
    <w:rPr>
      <w:iCs/>
      <w:noProof/>
      <w:sz w:val="20"/>
      <w:szCs w:val="20"/>
    </w:rPr>
  </w:style>
  <w:style w:type="character" w:styleId="LineNumber">
    <w:name w:val="line number"/>
    <w:basedOn w:val="DefaultParagraphFont"/>
    <w:uiPriority w:val="99"/>
    <w:unhideWhenUsed/>
    <w:rsid w:val="00D407D4"/>
  </w:style>
  <w:style w:type="character" w:styleId="CommentReference">
    <w:name w:val="annotation reference"/>
    <w:basedOn w:val="DefaultParagraphFont"/>
    <w:uiPriority w:val="99"/>
    <w:unhideWhenUsed/>
    <w:rsid w:val="007A1A14"/>
    <w:rPr>
      <w:sz w:val="16"/>
      <w:szCs w:val="16"/>
    </w:rPr>
  </w:style>
  <w:style w:type="paragraph" w:styleId="CommentText">
    <w:name w:val="annotation text"/>
    <w:basedOn w:val="Normal"/>
    <w:link w:val="CommentTextChar"/>
    <w:uiPriority w:val="99"/>
    <w:unhideWhenUsed/>
    <w:rsid w:val="007A1A14"/>
    <w:pPr>
      <w:spacing w:after="200"/>
      <w:jc w:val="left"/>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A1A14"/>
    <w:rPr>
      <w:sz w:val="20"/>
      <w:szCs w:val="20"/>
      <w:lang w:val="en-US"/>
    </w:rPr>
  </w:style>
  <w:style w:type="paragraph" w:styleId="CommentSubject">
    <w:name w:val="annotation subject"/>
    <w:basedOn w:val="CommentText"/>
    <w:next w:val="CommentText"/>
    <w:link w:val="CommentSubjectChar"/>
    <w:uiPriority w:val="99"/>
    <w:semiHidden/>
    <w:unhideWhenUsed/>
    <w:rsid w:val="007A1A14"/>
    <w:rPr>
      <w:b/>
      <w:bCs/>
    </w:rPr>
  </w:style>
  <w:style w:type="character" w:customStyle="1" w:styleId="CommentSubjectChar">
    <w:name w:val="Comment Subject Char"/>
    <w:basedOn w:val="CommentTextChar"/>
    <w:link w:val="CommentSubject"/>
    <w:uiPriority w:val="99"/>
    <w:semiHidden/>
    <w:rsid w:val="007A1A14"/>
    <w:rPr>
      <w:b/>
      <w:bCs/>
      <w:sz w:val="20"/>
      <w:szCs w:val="20"/>
      <w:lang w:val="en-US"/>
    </w:rPr>
  </w:style>
  <w:style w:type="paragraph" w:customStyle="1" w:styleId="Heading21">
    <w:name w:val="Heading 21"/>
    <w:basedOn w:val="Normal"/>
    <w:next w:val="Normal"/>
    <w:uiPriority w:val="9"/>
    <w:semiHidden/>
    <w:unhideWhenUsed/>
    <w:qFormat/>
    <w:rsid w:val="008920BF"/>
    <w:pPr>
      <w:keepNext/>
      <w:keepLines/>
      <w:spacing w:before="200"/>
      <w:outlineLvl w:val="1"/>
    </w:pPr>
    <w:rPr>
      <w:rFonts w:ascii="Cambria" w:hAnsi="Cambria"/>
      <w:b/>
      <w:bCs/>
      <w:color w:val="4F81BD"/>
      <w:sz w:val="26"/>
      <w:szCs w:val="26"/>
    </w:rPr>
  </w:style>
  <w:style w:type="paragraph" w:customStyle="1" w:styleId="Heading41">
    <w:name w:val="Heading 41"/>
    <w:basedOn w:val="Normal"/>
    <w:next w:val="Normal"/>
    <w:uiPriority w:val="9"/>
    <w:semiHidden/>
    <w:unhideWhenUsed/>
    <w:qFormat/>
    <w:rsid w:val="008920BF"/>
    <w:pPr>
      <w:keepNext/>
      <w:keepLines/>
      <w:spacing w:before="200"/>
      <w:outlineLvl w:val="3"/>
    </w:pPr>
    <w:rPr>
      <w:rFonts w:ascii="Cambria" w:hAnsi="Cambria"/>
      <w:b/>
      <w:bCs/>
      <w:i/>
      <w:iCs/>
      <w:color w:val="4F81BD"/>
    </w:rPr>
  </w:style>
  <w:style w:type="numbering" w:customStyle="1" w:styleId="NoList1">
    <w:name w:val="No List1"/>
    <w:next w:val="NoList"/>
    <w:uiPriority w:val="99"/>
    <w:semiHidden/>
    <w:unhideWhenUsed/>
    <w:rsid w:val="008920BF"/>
  </w:style>
  <w:style w:type="character" w:customStyle="1" w:styleId="Heading2Char">
    <w:name w:val="Heading 2 Char"/>
    <w:basedOn w:val="DefaultParagraphFont"/>
    <w:link w:val="Heading2"/>
    <w:rsid w:val="002726E0"/>
    <w:rPr>
      <w:rFonts w:ascii="Verdana" w:eastAsia="MS Mincho" w:hAnsi="Verdana" w:cs="Times New Roman"/>
      <w:b/>
      <w:i/>
      <w:sz w:val="20"/>
      <w:szCs w:val="26"/>
      <w:lang w:eastAsia="es-CR"/>
    </w:rPr>
  </w:style>
  <w:style w:type="character" w:customStyle="1" w:styleId="Heading4Char">
    <w:name w:val="Heading 4 Char"/>
    <w:basedOn w:val="DefaultParagraphFont"/>
    <w:link w:val="Heading4"/>
    <w:uiPriority w:val="9"/>
    <w:rsid w:val="00EB31AC"/>
    <w:rPr>
      <w:rFonts w:ascii="Verdana" w:eastAsia="Times New Roman" w:hAnsi="Verdana" w:cs="Times New Roman"/>
      <w:bCs/>
      <w:i/>
      <w:iCs/>
      <w:sz w:val="20"/>
      <w:szCs w:val="24"/>
      <w:lang w:eastAsia="es-CR"/>
    </w:rPr>
  </w:style>
  <w:style w:type="paragraph" w:customStyle="1" w:styleId="Prrafodelista2">
    <w:name w:val="Párrafo de lista2"/>
    <w:basedOn w:val="Normal"/>
    <w:uiPriority w:val="99"/>
    <w:rsid w:val="008920BF"/>
    <w:pPr>
      <w:ind w:left="720"/>
      <w:jc w:val="left"/>
    </w:pPr>
    <w:rPr>
      <w:rFonts w:eastAsia="MS Mincho"/>
      <w:sz w:val="20"/>
      <w:szCs w:val="20"/>
      <w:lang w:val="es-ES_tradnl" w:eastAsia="en-US" w:bidi="en-US"/>
    </w:rPr>
  </w:style>
  <w:style w:type="character" w:customStyle="1" w:styleId="apple-style-span">
    <w:name w:val="apple-style-span"/>
    <w:rsid w:val="008920BF"/>
    <w:rPr>
      <w:rFonts w:cs="Times New Roman"/>
    </w:rPr>
  </w:style>
  <w:style w:type="character" w:customStyle="1" w:styleId="Listavistosa-nfasis1Car1">
    <w:name w:val="Lista vistosa - Énfasis 1 Car1"/>
    <w:link w:val="ColorfulList-Accent1"/>
    <w:uiPriority w:val="99"/>
    <w:locked/>
    <w:rsid w:val="008920BF"/>
    <w:rPr>
      <w:rFonts w:ascii="Verdana" w:eastAsia="Times New Roman" w:hAnsi="Verdana"/>
      <w:lang w:val="es-ES_tradnl" w:eastAsia="en-US"/>
    </w:rPr>
  </w:style>
  <w:style w:type="character" w:customStyle="1" w:styleId="column01">
    <w:name w:val="column01"/>
    <w:basedOn w:val="DefaultParagraphFont"/>
    <w:rsid w:val="008920BF"/>
  </w:style>
  <w:style w:type="table" w:customStyle="1" w:styleId="ColorfulList-Accent11">
    <w:name w:val="Colorful List - Accent 11"/>
    <w:basedOn w:val="TableNormal"/>
    <w:next w:val="ColorfulList-Accent1"/>
    <w:uiPriority w:val="99"/>
    <w:rsid w:val="008920BF"/>
    <w:rPr>
      <w:rFonts w:ascii="Verdana" w:eastAsia="Times New Roman" w:hAnsi="Verdana"/>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Indent">
    <w:name w:val="Body Text Indent"/>
    <w:basedOn w:val="Normal"/>
    <w:link w:val="BodyTextIndentChar"/>
    <w:uiPriority w:val="99"/>
    <w:rsid w:val="008920BF"/>
    <w:pPr>
      <w:spacing w:after="120"/>
      <w:ind w:left="360"/>
      <w:jc w:val="left"/>
    </w:pPr>
    <w:rPr>
      <w:rFonts w:ascii="Times New Roman" w:eastAsia="MS Mincho" w:hAnsi="Times New Roman"/>
      <w:lang w:val="es-AR" w:eastAsia="en-US"/>
    </w:rPr>
  </w:style>
  <w:style w:type="character" w:customStyle="1" w:styleId="BodyTextIndentChar">
    <w:name w:val="Body Text Indent Char"/>
    <w:basedOn w:val="DefaultParagraphFont"/>
    <w:link w:val="BodyTextIndent"/>
    <w:uiPriority w:val="99"/>
    <w:rsid w:val="008920BF"/>
    <w:rPr>
      <w:rFonts w:ascii="Times New Roman" w:eastAsia="MS Mincho" w:hAnsi="Times New Roman" w:cs="Times New Roman"/>
      <w:sz w:val="24"/>
      <w:szCs w:val="24"/>
      <w:lang w:val="es-AR"/>
    </w:rPr>
  </w:style>
  <w:style w:type="character" w:customStyle="1" w:styleId="apple-converted-space">
    <w:name w:val="apple-converted-space"/>
    <w:basedOn w:val="DefaultParagraphFont"/>
    <w:rsid w:val="008920BF"/>
  </w:style>
  <w:style w:type="paragraph" w:customStyle="1" w:styleId="CM4">
    <w:name w:val="CM4"/>
    <w:basedOn w:val="Normal"/>
    <w:next w:val="Normal"/>
    <w:uiPriority w:val="99"/>
    <w:rsid w:val="008920BF"/>
    <w:pPr>
      <w:autoSpaceDE w:val="0"/>
      <w:autoSpaceDN w:val="0"/>
      <w:jc w:val="left"/>
    </w:pPr>
    <w:rPr>
      <w:rFonts w:ascii="EUAlbertina" w:eastAsia="Calibri" w:hAnsi="EUAlbertina"/>
      <w:lang w:eastAsia="en-US"/>
    </w:rPr>
  </w:style>
  <w:style w:type="paragraph" w:customStyle="1" w:styleId="Default">
    <w:name w:val="Default"/>
    <w:rsid w:val="008920BF"/>
    <w:pPr>
      <w:autoSpaceDE w:val="0"/>
      <w:autoSpaceDN w:val="0"/>
      <w:adjustRightInd w:val="0"/>
    </w:pPr>
    <w:rPr>
      <w:rFonts w:ascii="Times New Roman" w:eastAsia="Times New Roman" w:hAnsi="Times New Roman" w:cs="Times New Roman"/>
      <w:color w:val="000000"/>
      <w:sz w:val="24"/>
      <w:szCs w:val="24"/>
      <w:lang w:eastAsia="es-CR"/>
    </w:rPr>
  </w:style>
  <w:style w:type="paragraph" w:styleId="HTMLPreformatted">
    <w:name w:val="HTML Preformatted"/>
    <w:basedOn w:val="Normal"/>
    <w:link w:val="HTMLPreformattedChar"/>
    <w:uiPriority w:val="99"/>
    <w:unhideWhenUsed/>
    <w:rsid w:val="0089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920BF"/>
    <w:rPr>
      <w:rFonts w:ascii="Courier New" w:eastAsia="Times New Roman" w:hAnsi="Courier New" w:cs="Courier New"/>
      <w:sz w:val="20"/>
      <w:szCs w:val="20"/>
      <w:lang w:val="en-US"/>
    </w:rPr>
  </w:style>
  <w:style w:type="character" w:customStyle="1" w:styleId="Heading2Char1">
    <w:name w:val="Heading 2 Char1"/>
    <w:basedOn w:val="DefaultParagraphFont"/>
    <w:uiPriority w:val="9"/>
    <w:semiHidden/>
    <w:rsid w:val="008920BF"/>
    <w:rPr>
      <w:rFonts w:asciiTheme="majorHAnsi" w:eastAsiaTheme="majorEastAsia" w:hAnsiTheme="majorHAnsi" w:cstheme="majorBidi"/>
      <w:b/>
      <w:bCs/>
      <w:color w:val="4F81BD" w:themeColor="accent1"/>
      <w:sz w:val="26"/>
      <w:szCs w:val="26"/>
      <w:lang w:eastAsia="es-CR"/>
    </w:rPr>
  </w:style>
  <w:style w:type="character" w:customStyle="1" w:styleId="Heading4Char1">
    <w:name w:val="Heading 4 Char1"/>
    <w:basedOn w:val="DefaultParagraphFont"/>
    <w:uiPriority w:val="9"/>
    <w:semiHidden/>
    <w:rsid w:val="008920BF"/>
    <w:rPr>
      <w:rFonts w:asciiTheme="majorHAnsi" w:eastAsiaTheme="majorEastAsia" w:hAnsiTheme="majorHAnsi" w:cstheme="majorBidi"/>
      <w:b/>
      <w:bCs/>
      <w:i/>
      <w:iCs/>
      <w:color w:val="4F81BD" w:themeColor="accent1"/>
      <w:sz w:val="24"/>
      <w:szCs w:val="24"/>
      <w:lang w:eastAsia="es-CR"/>
    </w:rPr>
  </w:style>
  <w:style w:type="table" w:styleId="ColorfulList-Accent1">
    <w:name w:val="Colorful List Accent 1"/>
    <w:basedOn w:val="TableNormal"/>
    <w:link w:val="Listavistosa-nfasis1Car1"/>
    <w:uiPriority w:val="99"/>
    <w:rsid w:val="008920BF"/>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b8d990e2">
    <w:name w:val="sb8d990e2"/>
    <w:basedOn w:val="DefaultParagraphFont"/>
    <w:uiPriority w:val="99"/>
    <w:rsid w:val="00502B43"/>
  </w:style>
  <w:style w:type="character" w:customStyle="1" w:styleId="s6b621b36">
    <w:name w:val="s6b621b36"/>
    <w:basedOn w:val="DefaultParagraphFont"/>
    <w:rsid w:val="00502B4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02B43"/>
    <w:rPr>
      <w:rFonts w:asciiTheme="minorHAnsi" w:eastAsiaTheme="minorHAnsi" w:hAnsiTheme="minorHAnsi" w:cstheme="minorBidi"/>
      <w:sz w:val="22"/>
      <w:szCs w:val="22"/>
      <w:vertAlign w:val="superscript"/>
      <w:lang w:eastAsia="en-US"/>
    </w:rPr>
  </w:style>
  <w:style w:type="paragraph" w:customStyle="1" w:styleId="s5891fd46">
    <w:name w:val="s5891fd46"/>
    <w:basedOn w:val="Normal"/>
    <w:rsid w:val="00502B43"/>
    <w:pPr>
      <w:spacing w:before="100" w:beforeAutospacing="1" w:after="100" w:afterAutospacing="1"/>
      <w:jc w:val="left"/>
    </w:pPr>
    <w:rPr>
      <w:rFonts w:ascii="Times New Roman" w:hAnsi="Times New Roman"/>
    </w:rPr>
  </w:style>
  <w:style w:type="character" w:styleId="Emphasis">
    <w:name w:val="Emphasis"/>
    <w:uiPriority w:val="20"/>
    <w:qFormat/>
    <w:rsid w:val="00502B43"/>
    <w:rPr>
      <w:b/>
      <w:bCs/>
      <w:i/>
      <w:iCs/>
      <w:spacing w:val="10"/>
      <w:bdr w:val="none" w:sz="0" w:space="0" w:color="auto"/>
      <w:shd w:val="clear" w:color="auto" w:fill="auto"/>
    </w:rPr>
  </w:style>
  <w:style w:type="paragraph" w:styleId="TOC4">
    <w:name w:val="toc 4"/>
    <w:basedOn w:val="Normal"/>
    <w:next w:val="Normal"/>
    <w:autoRedefine/>
    <w:uiPriority w:val="39"/>
    <w:unhideWhenUsed/>
    <w:rsid w:val="00E35E14"/>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E35E14"/>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E35E14"/>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E35E14"/>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E35E14"/>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E35E14"/>
    <w:pPr>
      <w:ind w:left="1920"/>
      <w:jc w:val="left"/>
    </w:pPr>
    <w:rPr>
      <w:rFonts w:asciiTheme="minorHAnsi" w:hAnsiTheme="minorHAnsi"/>
      <w:sz w:val="18"/>
      <w:szCs w:val="18"/>
    </w:rPr>
  </w:style>
  <w:style w:type="paragraph" w:customStyle="1" w:styleId="styletitle2">
    <w:name w:val="styletitle2"/>
    <w:basedOn w:val="Normal"/>
    <w:rsid w:val="00000131"/>
    <w:pPr>
      <w:spacing w:before="100" w:beforeAutospacing="1" w:after="100" w:afterAutospacing="1"/>
      <w:jc w:val="left"/>
    </w:pPr>
    <w:rPr>
      <w:rFonts w:ascii="Times New Roman" w:hAnsi="Times New Roman"/>
    </w:rPr>
  </w:style>
  <w:style w:type="character" w:customStyle="1" w:styleId="ListParagraphChar1">
    <w:name w:val="List Paragraph Char1"/>
    <w:aliases w:val="List Paragraph2 Char1,Lista vistosa - Énfasis 11 Char1,Párrafo de lista1 Char1,Footnote Char1,List Paragraph1 Char1,Colorful List - Accent 11 Char1"/>
    <w:basedOn w:val="DefaultParagraphFont"/>
    <w:link w:val="ListParagraph"/>
    <w:rsid w:val="005624D3"/>
    <w:rPr>
      <w:rFonts w:ascii="Verdana" w:eastAsia="Times New Roman" w:hAnsi="Verdana" w:cs="Times New Roman"/>
      <w:sz w:val="24"/>
      <w:szCs w:val="24"/>
      <w:lang w:eastAsia="es-CR"/>
    </w:rPr>
  </w:style>
  <w:style w:type="character" w:customStyle="1" w:styleId="Hipervnculo1">
    <w:name w:val="Hipervínculo1"/>
    <w:basedOn w:val="DefaultParagraphFont"/>
    <w:uiPriority w:val="99"/>
    <w:unhideWhenUsed/>
    <w:rsid w:val="00D534AF"/>
    <w:rPr>
      <w:color w:val="0000FF"/>
      <w:u w:val="single"/>
    </w:rPr>
  </w:style>
  <w:style w:type="character" w:customStyle="1" w:styleId="Heading6Char">
    <w:name w:val="Heading 6 Char"/>
    <w:basedOn w:val="DefaultParagraphFont"/>
    <w:link w:val="Heading6"/>
    <w:uiPriority w:val="9"/>
    <w:rsid w:val="00E3447E"/>
    <w:rPr>
      <w:rFonts w:ascii="Verdana" w:eastAsia="Times New Roman" w:hAnsi="Verdana" w:cs="Times New Roman"/>
      <w:spacing w:val="-2"/>
      <w:sz w:val="20"/>
      <w:szCs w:val="20"/>
      <w:lang w:val="es-ES_tradnl" w:eastAsia="es-CR"/>
    </w:rPr>
  </w:style>
  <w:style w:type="character" w:customStyle="1" w:styleId="Caracteresdenotafinal">
    <w:name w:val="Caracteres de nota final"/>
    <w:rsid w:val="00E3447E"/>
    <w:rPr>
      <w:vertAlign w:val="superscript"/>
    </w:rPr>
  </w:style>
  <w:style w:type="character" w:customStyle="1" w:styleId="Heading5Char">
    <w:name w:val="Heading 5 Char"/>
    <w:basedOn w:val="DefaultParagraphFont"/>
    <w:link w:val="Heading5"/>
    <w:uiPriority w:val="9"/>
    <w:rsid w:val="00E3447E"/>
    <w:rPr>
      <w:rFonts w:asciiTheme="majorHAnsi" w:eastAsiaTheme="majorEastAsia" w:hAnsiTheme="majorHAnsi" w:cstheme="majorBidi"/>
      <w:color w:val="243F60" w:themeColor="accent1" w:themeShade="7F"/>
      <w:sz w:val="24"/>
      <w:szCs w:val="24"/>
      <w:lang w:eastAsia="es-CR"/>
    </w:rPr>
  </w:style>
  <w:style w:type="character" w:styleId="PageNumber">
    <w:name w:val="page number"/>
    <w:basedOn w:val="DefaultParagraphFont"/>
    <w:uiPriority w:val="99"/>
    <w:semiHidden/>
    <w:unhideWhenUsed/>
    <w:rsid w:val="00011543"/>
  </w:style>
  <w:style w:type="paragraph" w:styleId="Title">
    <w:name w:val="Title"/>
    <w:basedOn w:val="Normal"/>
    <w:next w:val="Normal"/>
    <w:link w:val="TitleChar"/>
    <w:autoRedefine/>
    <w:uiPriority w:val="10"/>
    <w:qFormat/>
    <w:rsid w:val="006B2A4D"/>
    <w:pPr>
      <w:ind w:left="825"/>
      <w:contextualSpacing/>
      <w:jc w:val="center"/>
    </w:pPr>
    <w:rPr>
      <w:rFonts w:eastAsiaTheme="majorEastAsia" w:cstheme="majorBidi"/>
      <w:b/>
      <w:snapToGrid w:val="0"/>
      <w:spacing w:val="5"/>
      <w:kern w:val="28"/>
      <w:sz w:val="20"/>
      <w:szCs w:val="52"/>
    </w:rPr>
  </w:style>
  <w:style w:type="character" w:customStyle="1" w:styleId="TitleChar">
    <w:name w:val="Title Char"/>
    <w:basedOn w:val="DefaultParagraphFont"/>
    <w:link w:val="Title"/>
    <w:uiPriority w:val="10"/>
    <w:rsid w:val="006B2A4D"/>
    <w:rPr>
      <w:rFonts w:ascii="Verdana" w:eastAsiaTheme="majorEastAsia" w:hAnsi="Verdana" w:cstheme="majorBidi"/>
      <w:b/>
      <w:snapToGrid w:val="0"/>
      <w:spacing w:val="5"/>
      <w:kern w:val="28"/>
      <w:sz w:val="20"/>
      <w:szCs w:val="52"/>
      <w:lang w:eastAsia="es-CR"/>
    </w:rPr>
  </w:style>
  <w:style w:type="paragraph" w:customStyle="1" w:styleId="Estilo1">
    <w:name w:val="Estilo1"/>
    <w:basedOn w:val="Normal"/>
    <w:link w:val="Estilo1Car"/>
    <w:qFormat/>
    <w:rsid w:val="004D7E7A"/>
    <w:pPr>
      <w:spacing w:after="120"/>
      <w:ind w:left="2018" w:right="6" w:hanging="180"/>
    </w:pPr>
    <w:rPr>
      <w:rFonts w:eastAsia="Batang" w:cs="Times"/>
      <w:i/>
      <w:sz w:val="20"/>
      <w:lang w:val="es-ES" w:eastAsia="en-US"/>
    </w:rPr>
  </w:style>
  <w:style w:type="character" w:customStyle="1" w:styleId="Estilo1Car">
    <w:name w:val="Estilo1 Car"/>
    <w:basedOn w:val="DefaultParagraphFont"/>
    <w:link w:val="Estilo1"/>
    <w:rsid w:val="004D7E7A"/>
    <w:rPr>
      <w:rFonts w:ascii="Verdana" w:eastAsia="Batang" w:hAnsi="Verdana" w:cs="Times"/>
      <w:i/>
      <w:sz w:val="20"/>
      <w:szCs w:val="24"/>
      <w:lang w:val="es-ES"/>
    </w:rPr>
  </w:style>
  <w:style w:type="paragraph" w:styleId="NoSpacing">
    <w:name w:val="No Spacing"/>
    <w:link w:val="NoSpacingChar"/>
    <w:uiPriority w:val="1"/>
    <w:qFormat/>
    <w:rsid w:val="000214BA"/>
    <w:rPr>
      <w:rFonts w:eastAsiaTheme="minorEastAsia"/>
      <w:lang w:val="en-US" w:eastAsia="ja-JP"/>
    </w:rPr>
  </w:style>
  <w:style w:type="character" w:customStyle="1" w:styleId="NoSpacingChar">
    <w:name w:val="No Spacing Char"/>
    <w:basedOn w:val="DefaultParagraphFont"/>
    <w:link w:val="NoSpacing"/>
    <w:uiPriority w:val="1"/>
    <w:rsid w:val="000214BA"/>
    <w:rPr>
      <w:rFonts w:eastAsiaTheme="minorEastAsia"/>
      <w:lang w:val="en-US" w:eastAsia="ja-JP"/>
    </w:rPr>
  </w:style>
  <w:style w:type="paragraph" w:styleId="BodyText">
    <w:name w:val="Body Text"/>
    <w:basedOn w:val="Normal"/>
    <w:link w:val="BodyTextChar"/>
    <w:uiPriority w:val="99"/>
    <w:unhideWhenUsed/>
    <w:rsid w:val="000214BA"/>
    <w:pPr>
      <w:spacing w:after="120"/>
    </w:pPr>
  </w:style>
  <w:style w:type="character" w:customStyle="1" w:styleId="BodyTextChar">
    <w:name w:val="Body Text Char"/>
    <w:basedOn w:val="DefaultParagraphFont"/>
    <w:link w:val="BodyText"/>
    <w:uiPriority w:val="99"/>
    <w:rsid w:val="000214BA"/>
    <w:rPr>
      <w:rFonts w:ascii="Verdana" w:eastAsia="Times New Roman" w:hAnsi="Verdana" w:cs="Times New Roman"/>
      <w:sz w:val="24"/>
      <w:szCs w:val="24"/>
      <w:lang w:eastAsia="es-CR"/>
    </w:rPr>
  </w:style>
  <w:style w:type="character" w:customStyle="1" w:styleId="Smbolodenotaalpie">
    <w:name w:val="Símbolo de nota al pie"/>
    <w:rsid w:val="00E67349"/>
    <w:rPr>
      <w:rFonts w:ascii="Times New Roman" w:hAnsi="Times New Roman" w:cs="Times New Roman" w:hint="default"/>
      <w:szCs w:val="20"/>
      <w:vertAlign w:val="superscript"/>
    </w:rPr>
  </w:style>
  <w:style w:type="paragraph" w:customStyle="1" w:styleId="ju-005fpara">
    <w:name w:val="ju-005fpara"/>
    <w:basedOn w:val="Normal"/>
    <w:rsid w:val="00E67349"/>
    <w:pPr>
      <w:spacing w:before="100" w:beforeAutospacing="1" w:after="100" w:afterAutospacing="1"/>
      <w:jc w:val="left"/>
    </w:pPr>
    <w:rPr>
      <w:rFonts w:ascii="Times New Roman" w:hAnsi="Times New Roman"/>
      <w:lang w:val="es-ES" w:eastAsia="es-ES"/>
    </w:rPr>
  </w:style>
  <w:style w:type="character" w:customStyle="1" w:styleId="normal--char">
    <w:name w:val="normal--char"/>
    <w:basedOn w:val="DefaultParagraphFont"/>
    <w:uiPriority w:val="99"/>
    <w:rsid w:val="00E67349"/>
  </w:style>
  <w:style w:type="character" w:customStyle="1" w:styleId="ju-005fpara--char">
    <w:name w:val="ju-005fpara--char"/>
    <w:basedOn w:val="DefaultParagraphFont"/>
    <w:rsid w:val="00E67349"/>
  </w:style>
  <w:style w:type="numbering" w:customStyle="1" w:styleId="NoList2">
    <w:name w:val="No List2"/>
    <w:next w:val="NoList"/>
    <w:uiPriority w:val="99"/>
    <w:semiHidden/>
    <w:unhideWhenUsed/>
    <w:rsid w:val="006B2A4D"/>
  </w:style>
  <w:style w:type="paragraph" w:styleId="Revision">
    <w:name w:val="Revision"/>
    <w:hidden/>
    <w:uiPriority w:val="99"/>
    <w:semiHidden/>
    <w:rsid w:val="006B2A4D"/>
    <w:rPr>
      <w:rFonts w:ascii="Verdana" w:eastAsia="Times New Roman" w:hAnsi="Verdana" w:cs="Times New Roman"/>
      <w:sz w:val="20"/>
      <w:szCs w:val="20"/>
      <w:lang w:val="es-ES"/>
    </w:rPr>
  </w:style>
  <w:style w:type="numbering" w:customStyle="1" w:styleId="NoList3">
    <w:name w:val="No List3"/>
    <w:next w:val="NoList"/>
    <w:uiPriority w:val="99"/>
    <w:semiHidden/>
    <w:unhideWhenUsed/>
    <w:rsid w:val="002570D1"/>
  </w:style>
  <w:style w:type="character" w:customStyle="1" w:styleId="CommentTextChar1">
    <w:name w:val="Comment Text Char1"/>
    <w:basedOn w:val="DefaultParagraphFont"/>
    <w:uiPriority w:val="99"/>
    <w:semiHidden/>
    <w:rsid w:val="002570D1"/>
    <w:rPr>
      <w:rFonts w:ascii="Times New Roman" w:eastAsia="Calibri" w:hAnsi="Times New Roman" w:cs="Times New Roman"/>
      <w:sz w:val="20"/>
      <w:szCs w:val="20"/>
      <w:lang w:val="es-ES_tradnl"/>
    </w:rPr>
  </w:style>
  <w:style w:type="character" w:customStyle="1" w:styleId="BalloonTextChar1">
    <w:name w:val="Balloon Text Char1"/>
    <w:basedOn w:val="DefaultParagraphFont"/>
    <w:uiPriority w:val="99"/>
    <w:semiHidden/>
    <w:rsid w:val="002570D1"/>
    <w:rPr>
      <w:rFonts w:ascii="Tahoma" w:eastAsia="Calibri" w:hAnsi="Tahoma" w:cs="Tahoma"/>
      <w:sz w:val="16"/>
      <w:szCs w:val="16"/>
      <w:lang w:val="es-ES_tradnl"/>
    </w:rPr>
  </w:style>
  <w:style w:type="paragraph" w:customStyle="1" w:styleId="Footnotes">
    <w:name w:val="**. Footnotes"/>
    <w:basedOn w:val="FootnoteText"/>
    <w:link w:val="FootnotesChar"/>
    <w:autoRedefine/>
    <w:qFormat/>
    <w:rsid w:val="002570D1"/>
    <w:pPr>
      <w:widowControl w:val="0"/>
      <w:tabs>
        <w:tab w:val="left" w:pos="567"/>
      </w:tabs>
      <w:spacing w:before="120" w:after="40"/>
    </w:pPr>
    <w:rPr>
      <w:rFonts w:eastAsia="Batang" w:cs="Palatino-Italic"/>
      <w:iCs/>
      <w:sz w:val="16"/>
      <w:szCs w:val="16"/>
      <w:lang w:val="en-US" w:eastAsia="en-US"/>
    </w:rPr>
  </w:style>
  <w:style w:type="character" w:customStyle="1" w:styleId="FootnotesChar">
    <w:name w:val="**. Footnotes Char"/>
    <w:basedOn w:val="DefaultParagraphFont"/>
    <w:link w:val="Footnotes"/>
    <w:rsid w:val="002570D1"/>
    <w:rPr>
      <w:rFonts w:ascii="Verdana" w:eastAsia="Batang" w:hAnsi="Verdana" w:cs="Palatino-Italic"/>
      <w:iCs/>
      <w:sz w:val="16"/>
      <w:szCs w:val="16"/>
      <w:lang w:val="en-US"/>
    </w:rPr>
  </w:style>
  <w:style w:type="character" w:customStyle="1" w:styleId="Ttulo1">
    <w:name w:val="Título1"/>
    <w:basedOn w:val="DefaultParagraphFont"/>
    <w:rsid w:val="002570D1"/>
  </w:style>
  <w:style w:type="character" w:customStyle="1" w:styleId="PrrafodeSentenciaChar">
    <w:name w:val="*. Párrafo de Sentencia Char"/>
    <w:link w:val="PrrafodeSentencia"/>
    <w:rsid w:val="002570D1"/>
    <w:rPr>
      <w:rFonts w:ascii="Verdana" w:eastAsia="Times New Roman" w:hAnsi="Verdana" w:cs="Times New Roman"/>
      <w:bCs/>
      <w:noProof/>
      <w:sz w:val="20"/>
      <w:szCs w:val="20"/>
      <w:lang w:val="es-ES_tradnl" w:eastAsia="es-ES"/>
    </w:rPr>
  </w:style>
  <w:style w:type="character" w:customStyle="1" w:styleId="hps">
    <w:name w:val="hps"/>
    <w:basedOn w:val="DefaultParagraphFont"/>
    <w:rsid w:val="002570D1"/>
  </w:style>
  <w:style w:type="paragraph" w:customStyle="1" w:styleId="2Footnotes">
    <w:name w:val="2. Footnotes"/>
    <w:basedOn w:val="FootnoteText"/>
    <w:link w:val="2FootnotesChar"/>
    <w:autoRedefine/>
    <w:qFormat/>
    <w:rsid w:val="002570D1"/>
    <w:pPr>
      <w:widowControl w:val="0"/>
      <w:spacing w:before="120" w:after="40"/>
    </w:pPr>
    <w:rPr>
      <w:rFonts w:cs="Palatino-Italic"/>
      <w:iCs/>
      <w:noProof/>
      <w:sz w:val="16"/>
      <w:szCs w:val="18"/>
      <w:lang w:val="en-US" w:eastAsia="en-US"/>
    </w:rPr>
  </w:style>
  <w:style w:type="character" w:customStyle="1" w:styleId="2FootnotesChar">
    <w:name w:val="2. Footnotes Char"/>
    <w:link w:val="2Footnotes"/>
    <w:rsid w:val="002570D1"/>
    <w:rPr>
      <w:rFonts w:ascii="Verdana" w:eastAsia="Times New Roman" w:hAnsi="Verdana" w:cs="Palatino-Italic"/>
      <w:iCs/>
      <w:noProof/>
      <w:sz w:val="16"/>
      <w:szCs w:val="18"/>
      <w:lang w:val="en-US"/>
    </w:rPr>
  </w:style>
  <w:style w:type="paragraph" w:customStyle="1" w:styleId="xmsonormal">
    <w:name w:val="x_msonormal"/>
    <w:basedOn w:val="Normal"/>
    <w:rsid w:val="002570D1"/>
    <w:pPr>
      <w:spacing w:before="100" w:beforeAutospacing="1" w:after="100" w:afterAutospacing="1"/>
      <w:jc w:val="left"/>
    </w:pPr>
    <w:rPr>
      <w:rFonts w:ascii="Times New Roman" w:hAnsi="Times New Roman"/>
      <w:lang w:val="en-US" w:eastAsia="en-US"/>
    </w:rPr>
  </w:style>
  <w:style w:type="paragraph" w:customStyle="1" w:styleId="HChG">
    <w:name w:val="_ H _Ch_G"/>
    <w:basedOn w:val="Normal"/>
    <w:next w:val="Normal"/>
    <w:rsid w:val="002570D1"/>
    <w:pPr>
      <w:keepNext/>
      <w:keepLines/>
      <w:tabs>
        <w:tab w:val="right" w:pos="851"/>
      </w:tabs>
      <w:suppressAutoHyphens/>
      <w:spacing w:before="360" w:after="240" w:line="300" w:lineRule="exact"/>
      <w:ind w:left="1134" w:right="1134" w:hanging="1134"/>
      <w:jc w:val="left"/>
    </w:pPr>
    <w:rPr>
      <w:rFonts w:ascii="Times New Roman" w:hAnsi="Times New Roman"/>
      <w:b/>
      <w:sz w:val="28"/>
      <w:szCs w:val="20"/>
      <w:lang w:val="es-ES" w:eastAsia="es-ES"/>
    </w:rPr>
  </w:style>
  <w:style w:type="paragraph" w:customStyle="1" w:styleId="H1G">
    <w:name w:val="_ H_1_G"/>
    <w:basedOn w:val="Normal"/>
    <w:next w:val="Normal"/>
    <w:rsid w:val="002570D1"/>
    <w:pPr>
      <w:keepNext/>
      <w:keepLines/>
      <w:tabs>
        <w:tab w:val="right" w:pos="851"/>
      </w:tabs>
      <w:suppressAutoHyphens/>
      <w:spacing w:before="360" w:after="240" w:line="270" w:lineRule="exact"/>
      <w:ind w:left="1134" w:right="1134" w:hanging="1134"/>
      <w:jc w:val="left"/>
    </w:pPr>
    <w:rPr>
      <w:rFonts w:ascii="Times New Roman" w:hAnsi="Times New Roman"/>
      <w:b/>
      <w:szCs w:val="20"/>
      <w:lang w:val="es-ES"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DefaultParagraphFont"/>
    <w:uiPriority w:val="99"/>
    <w:qFormat/>
    <w:locked/>
    <w:rsid w:val="002570D1"/>
    <w:rPr>
      <w:rFonts w:ascii="Verdana" w:eastAsia="MS Mincho" w:hAnsi="Verdana" w:cs="Times"/>
      <w:sz w:val="16"/>
      <w:szCs w:val="24"/>
      <w:lang w:val="es-ES_tradnl"/>
    </w:rPr>
  </w:style>
  <w:style w:type="character" w:customStyle="1" w:styleId="BodyTextIndentChar1">
    <w:name w:val="Body Text Indent Char1"/>
    <w:basedOn w:val="DefaultParagraphFont"/>
    <w:uiPriority w:val="99"/>
    <w:semiHidden/>
    <w:rsid w:val="002570D1"/>
    <w:rPr>
      <w:rFonts w:ascii="Times New Roman" w:eastAsia="Calibri" w:hAnsi="Times New Roman" w:cs="Times New Roman"/>
      <w:sz w:val="24"/>
      <w:szCs w:val="24"/>
      <w:lang w:val="es-ES_tradnl"/>
    </w:rPr>
  </w:style>
  <w:style w:type="character" w:customStyle="1" w:styleId="Estilo1Char">
    <w:name w:val="Estilo1 Char"/>
    <w:rsid w:val="002570D1"/>
    <w:rPr>
      <w:rFonts w:ascii="Verdana" w:eastAsia="Calibri" w:hAnsi="Verdana" w:cs="Times New Roman"/>
      <w:sz w:val="20"/>
      <w:szCs w:val="20"/>
      <w:lang w:val="es-ES"/>
    </w:rPr>
  </w:style>
  <w:style w:type="paragraph" w:customStyle="1" w:styleId="Estilo2">
    <w:name w:val="Estilo2"/>
    <w:basedOn w:val="Normal"/>
    <w:qFormat/>
    <w:rsid w:val="002570D1"/>
    <w:pPr>
      <w:tabs>
        <w:tab w:val="left" w:pos="567"/>
        <w:tab w:val="left" w:pos="1134"/>
        <w:tab w:val="num" w:pos="4767"/>
      </w:tabs>
      <w:spacing w:after="120"/>
      <w:ind w:left="4767" w:hanging="360"/>
    </w:pPr>
    <w:rPr>
      <w:rFonts w:eastAsia="Calibri"/>
      <w:sz w:val="20"/>
      <w:szCs w:val="20"/>
      <w:lang w:val="es-ES" w:eastAsia="en-US"/>
    </w:rPr>
  </w:style>
  <w:style w:type="paragraph" w:styleId="BodyTextIndent3">
    <w:name w:val="Body Text Indent 3"/>
    <w:basedOn w:val="Normal"/>
    <w:link w:val="BodyTextIndent3Char"/>
    <w:rsid w:val="002570D1"/>
    <w:pPr>
      <w:ind w:left="720"/>
    </w:pPr>
    <w:rPr>
      <w:rFonts w:eastAsia="Times"/>
      <w:b/>
      <w:sz w:val="22"/>
      <w:szCs w:val="20"/>
      <w:lang w:val="es-ES_tradnl" w:eastAsia="es-ES"/>
    </w:rPr>
  </w:style>
  <w:style w:type="character" w:customStyle="1" w:styleId="BodyTextIndent3Char">
    <w:name w:val="Body Text Indent 3 Char"/>
    <w:basedOn w:val="DefaultParagraphFont"/>
    <w:link w:val="BodyTextIndent3"/>
    <w:rsid w:val="002570D1"/>
    <w:rPr>
      <w:rFonts w:ascii="Verdana" w:eastAsia="Times" w:hAnsi="Verdana" w:cs="Times New Roman"/>
      <w:b/>
      <w:szCs w:val="20"/>
      <w:lang w:val="es-ES_tradnl" w:eastAsia="es-ES"/>
    </w:rPr>
  </w:style>
  <w:style w:type="paragraph" w:customStyle="1" w:styleId="Estilo7">
    <w:name w:val="Estilo7"/>
    <w:basedOn w:val="Normal"/>
    <w:qFormat/>
    <w:rsid w:val="002570D1"/>
    <w:pPr>
      <w:tabs>
        <w:tab w:val="left" w:pos="567"/>
        <w:tab w:val="left" w:pos="851"/>
        <w:tab w:val="num" w:pos="2160"/>
      </w:tabs>
      <w:spacing w:before="120" w:after="120"/>
      <w:ind w:left="2160" w:hanging="180"/>
    </w:pPr>
    <w:rPr>
      <w:rFonts w:eastAsia="Batang"/>
      <w:b/>
      <w:i/>
      <w:sz w:val="20"/>
      <w:szCs w:val="20"/>
      <w:lang w:val="es-ES_tradnl" w:eastAsia="es-MX"/>
    </w:rPr>
  </w:style>
  <w:style w:type="paragraph" w:customStyle="1" w:styleId="Sangradetindependiente">
    <w:name w:val="Sangr’a de t. independiente"/>
    <w:basedOn w:val="Normal"/>
    <w:rsid w:val="002570D1"/>
    <w:pPr>
      <w:overflowPunct w:val="0"/>
      <w:autoSpaceDE w:val="0"/>
      <w:autoSpaceDN w:val="0"/>
      <w:adjustRightInd w:val="0"/>
      <w:textAlignment w:val="baseline"/>
    </w:pPr>
    <w:rPr>
      <w:rFonts w:ascii="Times New Roman" w:hAnsi="Times New Roman"/>
      <w:szCs w:val="20"/>
      <w:lang w:val="es-ES_tradnl" w:eastAsia="es-ES"/>
    </w:rPr>
  </w:style>
  <w:style w:type="character" w:customStyle="1" w:styleId="normalchar1">
    <w:name w:val="normal__char1"/>
    <w:basedOn w:val="DefaultParagraphFont"/>
    <w:rsid w:val="002570D1"/>
    <w:rPr>
      <w:rFonts w:ascii="Verdana" w:hAnsi="Verdana" w:hint="default"/>
      <w:sz w:val="20"/>
      <w:szCs w:val="20"/>
    </w:rPr>
  </w:style>
  <w:style w:type="character" w:customStyle="1" w:styleId="FootnoteTextCharCar">
    <w:name w:val="Footnote Text Char Car"/>
    <w:aliases w:val="FA Car,Note de bas de page Car Car Car"/>
    <w:basedOn w:val="DefaultParagraphFont"/>
    <w:uiPriority w:val="99"/>
    <w:locked/>
    <w:rsid w:val="002570D1"/>
  </w:style>
  <w:style w:type="character" w:customStyle="1" w:styleId="st1">
    <w:name w:val="st1"/>
    <w:basedOn w:val="DefaultParagraphFont"/>
    <w:rsid w:val="002570D1"/>
  </w:style>
  <w:style w:type="paragraph" w:customStyle="1" w:styleId="NormalNumbered">
    <w:name w:val="Normal Numbered"/>
    <w:basedOn w:val="Normal"/>
    <w:qFormat/>
    <w:rsid w:val="002570D1"/>
    <w:pPr>
      <w:numPr>
        <w:numId w:val="14"/>
      </w:numPr>
      <w:ind w:left="0" w:firstLine="0"/>
    </w:pPr>
    <w:rPr>
      <w:sz w:val="20"/>
      <w:szCs w:val="20"/>
      <w:lang w:val="x-none" w:eastAsia="x-none"/>
    </w:rPr>
  </w:style>
  <w:style w:type="numbering" w:customStyle="1" w:styleId="NoList11">
    <w:name w:val="No List11"/>
    <w:next w:val="NoList"/>
    <w:uiPriority w:val="99"/>
    <w:semiHidden/>
    <w:unhideWhenUsed/>
    <w:rsid w:val="002570D1"/>
  </w:style>
  <w:style w:type="paragraph" w:customStyle="1" w:styleId="ju-005fpara-002cleft-002cfirst-0020line-003a-0020-00200-0020cm">
    <w:name w:val="ju-005fpara-002cleft-002cfirst-0020line-003a-0020-00200-0020cm"/>
    <w:basedOn w:val="Normal"/>
    <w:rsid w:val="002570D1"/>
    <w:pPr>
      <w:spacing w:after="135"/>
      <w:jc w:val="left"/>
    </w:pPr>
    <w:rPr>
      <w:rFonts w:ascii="Times New Roman" w:hAnsi="Times New Roman"/>
      <w:lang w:val="es-MX" w:eastAsia="es-MX"/>
    </w:rPr>
  </w:style>
  <w:style w:type="character" w:customStyle="1" w:styleId="ju-005fpara-002cleft-002cfirst-0020line-003a-0020-00200-0020cm--char">
    <w:name w:val="ju-005fpara-002cleft-002cfirst-0020line-003a-0020-00200-0020cm--char"/>
    <w:rsid w:val="002570D1"/>
  </w:style>
  <w:style w:type="character" w:customStyle="1" w:styleId="PrrafodelistaCar1">
    <w:name w:val="Párrafo de lista Car1"/>
    <w:basedOn w:val="DefaultParagraphFont"/>
    <w:uiPriority w:val="99"/>
    <w:locked/>
    <w:rsid w:val="002570D1"/>
    <w:rPr>
      <w:rFonts w:ascii="Verdana" w:hAnsi="Verdana" w:cs="Verdana"/>
      <w:lang w:eastAsia="en-US"/>
    </w:rPr>
  </w:style>
  <w:style w:type="character" w:customStyle="1" w:styleId="TextocomentarioCar1">
    <w:name w:val="Texto comentario Car1"/>
    <w:basedOn w:val="DefaultParagraphFont"/>
    <w:uiPriority w:val="99"/>
    <w:semiHidden/>
    <w:rsid w:val="002570D1"/>
    <w:rPr>
      <w:sz w:val="20"/>
      <w:szCs w:val="20"/>
    </w:rPr>
  </w:style>
  <w:style w:type="paragraph" w:customStyle="1" w:styleId="Body1">
    <w:name w:val="Body 1"/>
    <w:link w:val="Body1Char"/>
    <w:rsid w:val="002570D1"/>
    <w:pPr>
      <w:spacing w:after="200" w:line="276" w:lineRule="auto"/>
      <w:jc w:val="left"/>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2570D1"/>
    <w:rPr>
      <w:rFonts w:ascii="Helvetica" w:eastAsia="ヒラギノ角ゴ Pro W3" w:hAnsi="Helvetica" w:cs="Times New Roman"/>
      <w:color w:val="000000"/>
      <w:szCs w:val="20"/>
      <w:lang w:val="en-US" w:eastAsia="es-CR"/>
    </w:rPr>
  </w:style>
  <w:style w:type="paragraph" w:customStyle="1" w:styleId="style11">
    <w:name w:val="style11"/>
    <w:basedOn w:val="Normal"/>
    <w:rsid w:val="002570D1"/>
    <w:pPr>
      <w:spacing w:before="192" w:after="192"/>
      <w:ind w:left="120" w:right="144"/>
    </w:pPr>
    <w:rPr>
      <w:rFonts w:ascii="Times New Roman" w:hAnsi="Times New Roman"/>
      <w:lang w:val="es-MX" w:eastAsia="es-MX"/>
    </w:rPr>
  </w:style>
  <w:style w:type="paragraph" w:styleId="Subtitle">
    <w:name w:val="Subtitle"/>
    <w:basedOn w:val="Normal"/>
    <w:next w:val="Normal"/>
    <w:link w:val="SubtitleChar"/>
    <w:uiPriority w:val="11"/>
    <w:qFormat/>
    <w:rsid w:val="002570D1"/>
    <w:pPr>
      <w:numPr>
        <w:ilvl w:val="1"/>
      </w:numPr>
      <w:spacing w:after="160"/>
      <w:jc w:val="left"/>
    </w:pPr>
    <w:rPr>
      <w:rFonts w:asciiTheme="minorHAnsi" w:eastAsiaTheme="minorEastAsia" w:hAnsiTheme="minorHAnsi" w:cstheme="minorBidi"/>
      <w:color w:val="5A5A5A" w:themeColor="text1" w:themeTint="A5"/>
      <w:spacing w:val="15"/>
      <w:sz w:val="22"/>
      <w:szCs w:val="22"/>
      <w:lang w:val="es-ES_tradnl" w:eastAsia="en-US"/>
    </w:rPr>
  </w:style>
  <w:style w:type="character" w:customStyle="1" w:styleId="SubtitleChar">
    <w:name w:val="Subtitle Char"/>
    <w:basedOn w:val="DefaultParagraphFont"/>
    <w:link w:val="Subtitle"/>
    <w:uiPriority w:val="11"/>
    <w:rsid w:val="002570D1"/>
    <w:rPr>
      <w:rFonts w:eastAsiaTheme="minorEastAsia"/>
      <w:color w:val="5A5A5A" w:themeColor="text1" w:themeTint="A5"/>
      <w:spacing w:val="15"/>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DD"/>
    <w:rPr>
      <w:rFonts w:ascii="Verdana" w:eastAsia="Times New Roman" w:hAnsi="Verdana" w:cs="Times New Roman"/>
      <w:sz w:val="24"/>
      <w:szCs w:val="24"/>
      <w:lang w:eastAsia="es-CR"/>
    </w:rPr>
  </w:style>
  <w:style w:type="paragraph" w:styleId="Heading1">
    <w:name w:val="heading 1"/>
    <w:aliases w:val="Título Verdana"/>
    <w:basedOn w:val="Normal"/>
    <w:next w:val="Normal"/>
    <w:link w:val="Heading1Char"/>
    <w:uiPriority w:val="9"/>
    <w:qFormat/>
    <w:rsid w:val="00085BDD"/>
    <w:pPr>
      <w:keepNext/>
      <w:keepLines/>
      <w:tabs>
        <w:tab w:val="left" w:pos="720"/>
      </w:tabs>
      <w:jc w:val="center"/>
      <w:outlineLvl w:val="0"/>
    </w:pPr>
    <w:rPr>
      <w:rFonts w:eastAsia="MS ????"/>
      <w:b/>
      <w:bCs/>
      <w:caps/>
      <w:snapToGrid w:val="0"/>
      <w:spacing w:val="-2"/>
      <w:sz w:val="20"/>
      <w:szCs w:val="20"/>
      <w:lang w:val="x-none" w:eastAsia="es-ES"/>
    </w:rPr>
  </w:style>
  <w:style w:type="paragraph" w:styleId="Heading2">
    <w:name w:val="heading 2"/>
    <w:basedOn w:val="Normal"/>
    <w:next w:val="Normal"/>
    <w:link w:val="Heading2Char"/>
    <w:autoRedefine/>
    <w:unhideWhenUsed/>
    <w:qFormat/>
    <w:rsid w:val="002726E0"/>
    <w:pPr>
      <w:keepNext/>
      <w:keepLines/>
      <w:numPr>
        <w:numId w:val="7"/>
      </w:numPr>
      <w:outlineLvl w:val="1"/>
    </w:pPr>
    <w:rPr>
      <w:rFonts w:eastAsia="MS Mincho"/>
      <w:b/>
      <w:i/>
      <w:sz w:val="20"/>
      <w:szCs w:val="26"/>
    </w:rPr>
  </w:style>
  <w:style w:type="paragraph" w:styleId="Heading3">
    <w:name w:val="heading 3"/>
    <w:basedOn w:val="Normal"/>
    <w:next w:val="Normal"/>
    <w:link w:val="Heading3Char"/>
    <w:uiPriority w:val="9"/>
    <w:qFormat/>
    <w:rsid w:val="003700C4"/>
    <w:pPr>
      <w:tabs>
        <w:tab w:val="left" w:pos="567"/>
      </w:tabs>
      <w:autoSpaceDE w:val="0"/>
      <w:autoSpaceDN w:val="0"/>
      <w:ind w:left="1416"/>
      <w:contextualSpacing/>
      <w:outlineLvl w:val="2"/>
    </w:pPr>
    <w:rPr>
      <w:rFonts w:eastAsia="Calibri"/>
      <w:i/>
      <w:spacing w:val="-2"/>
      <w:sz w:val="20"/>
      <w:szCs w:val="20"/>
      <w:lang w:val="es-ES" w:eastAsia="x-none"/>
    </w:rPr>
  </w:style>
  <w:style w:type="paragraph" w:styleId="Heading4">
    <w:name w:val="heading 4"/>
    <w:basedOn w:val="Normal"/>
    <w:next w:val="Normal"/>
    <w:link w:val="Heading4Char"/>
    <w:uiPriority w:val="9"/>
    <w:unhideWhenUsed/>
    <w:qFormat/>
    <w:rsid w:val="00EB31AC"/>
    <w:pPr>
      <w:keepNext/>
      <w:keepLines/>
      <w:spacing w:before="200"/>
      <w:outlineLvl w:val="3"/>
    </w:pPr>
    <w:rPr>
      <w:bCs/>
      <w:i/>
      <w:iCs/>
      <w:sz w:val="20"/>
    </w:rPr>
  </w:style>
  <w:style w:type="paragraph" w:styleId="Heading5">
    <w:name w:val="heading 5"/>
    <w:basedOn w:val="Normal"/>
    <w:next w:val="Normal"/>
    <w:link w:val="Heading5Char"/>
    <w:uiPriority w:val="9"/>
    <w:unhideWhenUsed/>
    <w:qFormat/>
    <w:rsid w:val="00E344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E3447E"/>
    <w:pPr>
      <w:keepNext w:val="0"/>
      <w:keepLines w:val="0"/>
      <w:tabs>
        <w:tab w:val="num" w:pos="3600"/>
      </w:tabs>
      <w:spacing w:before="0"/>
      <w:ind w:left="3600" w:hanging="360"/>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085BDD"/>
    <w:rPr>
      <w:rFonts w:ascii="Verdana" w:eastAsia="MS ????" w:hAnsi="Verdana" w:cs="Times New Roman"/>
      <w:b/>
      <w:bCs/>
      <w:caps/>
      <w:snapToGrid w:val="0"/>
      <w:spacing w:val="-2"/>
      <w:sz w:val="20"/>
      <w:szCs w:val="20"/>
      <w:lang w:val="x-none" w:eastAsia="es-ES"/>
    </w:rPr>
  </w:style>
  <w:style w:type="character" w:customStyle="1" w:styleId="Heading3Char">
    <w:name w:val="Heading 3 Char"/>
    <w:basedOn w:val="DefaultParagraphFont"/>
    <w:link w:val="Heading3"/>
    <w:uiPriority w:val="9"/>
    <w:rsid w:val="003700C4"/>
    <w:rPr>
      <w:rFonts w:ascii="Verdana" w:eastAsia="Calibri" w:hAnsi="Verdana" w:cs="Times New Roman"/>
      <w:i/>
      <w:spacing w:val="-2"/>
      <w:sz w:val="20"/>
      <w:szCs w:val="20"/>
      <w:lang w:val="es-ES"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085BDD"/>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085BDD"/>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085BDD"/>
    <w:rPr>
      <w:rFonts w:ascii="Verdana" w:eastAsia="Times New Roman" w:hAnsi="Verdana" w:cs="Times New Roman"/>
      <w:sz w:val="20"/>
      <w:szCs w:val="20"/>
      <w:lang w:val="es-ES_tradnl" w:eastAsia="x-none"/>
    </w:rPr>
  </w:style>
  <w:style w:type="character" w:styleId="Strong">
    <w:name w:val="Strong"/>
    <w:uiPriority w:val="22"/>
    <w:qFormat/>
    <w:rsid w:val="00085BDD"/>
    <w:rPr>
      <w:b/>
      <w:bCs/>
    </w:rPr>
  </w:style>
  <w:style w:type="paragraph" w:styleId="ListParagraph">
    <w:name w:val="List Paragraph"/>
    <w:aliases w:val="List Paragraph2,Lista vistosa - Énfasis 11,Párrafo de lista1,Footnote,List Paragraph1"/>
    <w:basedOn w:val="Normal"/>
    <w:link w:val="ListParagraphChar1"/>
    <w:qFormat/>
    <w:rsid w:val="00085BDD"/>
    <w:pPr>
      <w:ind w:left="708"/>
    </w:p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Colorful List - Accent 1 Char"/>
    <w:link w:val="MediumGrid1-Accent2"/>
    <w:uiPriority w:val="34"/>
    <w:locked/>
    <w:rsid w:val="00475387"/>
    <w:rPr>
      <w:rFonts w:ascii="Verdana" w:eastAsia="Batang" w:hAnsi="Verdana" w:cs="Times"/>
      <w:noProof/>
      <w:sz w:val="20"/>
      <w:szCs w:val="24"/>
      <w:lang w:val="es-ES_tradnl"/>
    </w:rPr>
  </w:style>
  <w:style w:type="paragraph" w:customStyle="1" w:styleId="PrrafodeSentencia">
    <w:name w:val="*. Párrafo de Sentencia"/>
    <w:basedOn w:val="FootnoteText"/>
    <w:link w:val="PrrafodeSentenciaChar"/>
    <w:autoRedefine/>
    <w:qFormat/>
    <w:rsid w:val="00475387"/>
    <w:pPr>
      <w:numPr>
        <w:numId w:val="1"/>
      </w:numPr>
      <w:tabs>
        <w:tab w:val="left" w:pos="720"/>
      </w:tabs>
      <w:spacing w:before="120" w:after="120"/>
    </w:pPr>
    <w:rPr>
      <w:bCs/>
      <w:noProof/>
      <w:lang w:eastAsia="es-ES"/>
    </w:rPr>
  </w:style>
  <w:style w:type="table" w:styleId="MediumGrid1-Accent2">
    <w:name w:val="Medium Grid 1 Accent 2"/>
    <w:basedOn w:val="TableNormal"/>
    <w:link w:val="MediumGrid1-Accent2Char"/>
    <w:rsid w:val="00475387"/>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aliases w:val="Normal (Web) Char1,Normal (Web) Char Char,Normal (Web) Char1 Char,Normal (Web) Char Char Char"/>
    <w:basedOn w:val="Normal"/>
    <w:uiPriority w:val="99"/>
    <w:unhideWhenUsed/>
    <w:rsid w:val="006C37C9"/>
    <w:pPr>
      <w:spacing w:after="200" w:line="276" w:lineRule="auto"/>
      <w:jc w:val="left"/>
    </w:pPr>
    <w:rPr>
      <w:rFonts w:ascii="Times New Roman" w:eastAsiaTheme="minorHAnsi" w:hAnsi="Times New Roman"/>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rsid w:val="006C37C9"/>
    <w:rPr>
      <w:sz w:val="20"/>
      <w:szCs w:val="20"/>
      <w:lang w:val="en-US"/>
    </w:rPr>
  </w:style>
  <w:style w:type="paragraph" w:styleId="Header">
    <w:name w:val="header"/>
    <w:basedOn w:val="Normal"/>
    <w:link w:val="HeaderChar"/>
    <w:uiPriority w:val="99"/>
    <w:unhideWhenUsed/>
    <w:rsid w:val="006C37C9"/>
    <w:pPr>
      <w:tabs>
        <w:tab w:val="center" w:pos="4252"/>
        <w:tab w:val="right" w:pos="8504"/>
      </w:tabs>
      <w:jc w:val="left"/>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C37C9"/>
    <w:rPr>
      <w:lang w:val="en-US"/>
    </w:rPr>
  </w:style>
  <w:style w:type="paragraph" w:styleId="Footer">
    <w:name w:val="footer"/>
    <w:basedOn w:val="Normal"/>
    <w:link w:val="FooterChar"/>
    <w:uiPriority w:val="99"/>
    <w:unhideWhenUsed/>
    <w:rsid w:val="006C37C9"/>
    <w:pPr>
      <w:tabs>
        <w:tab w:val="center" w:pos="4252"/>
        <w:tab w:val="right" w:pos="8504"/>
      </w:tabs>
      <w:jc w:val="left"/>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C37C9"/>
    <w:rPr>
      <w:lang w:val="en-US"/>
    </w:rPr>
  </w:style>
  <w:style w:type="paragraph" w:styleId="EndnoteText">
    <w:name w:val="endnote text"/>
    <w:basedOn w:val="Normal"/>
    <w:link w:val="EndnoteTextChar"/>
    <w:unhideWhenUsed/>
    <w:rsid w:val="006C37C9"/>
    <w:pPr>
      <w:jc w:val="left"/>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rsid w:val="006C37C9"/>
    <w:rPr>
      <w:sz w:val="20"/>
      <w:szCs w:val="20"/>
      <w:lang w:val="en-US"/>
    </w:rPr>
  </w:style>
  <w:style w:type="character" w:styleId="Hyperlink">
    <w:name w:val="Hyperlink"/>
    <w:aliases w:val="Heading 3 caso"/>
    <w:basedOn w:val="DefaultParagraphFont"/>
    <w:uiPriority w:val="99"/>
    <w:unhideWhenUsed/>
    <w:rsid w:val="006C37C9"/>
    <w:rPr>
      <w:color w:val="0000FF" w:themeColor="hyperlink"/>
      <w:u w:val="single"/>
    </w:rPr>
  </w:style>
  <w:style w:type="character" w:styleId="FollowedHyperlink">
    <w:name w:val="FollowedHyperlink"/>
    <w:basedOn w:val="DefaultParagraphFont"/>
    <w:uiPriority w:val="99"/>
    <w:semiHidden/>
    <w:unhideWhenUsed/>
    <w:rsid w:val="006C37C9"/>
    <w:rPr>
      <w:color w:val="800080" w:themeColor="followedHyperlink"/>
      <w:u w:val="single"/>
    </w:rPr>
  </w:style>
  <w:style w:type="paragraph" w:styleId="BalloonText">
    <w:name w:val="Balloon Text"/>
    <w:basedOn w:val="Normal"/>
    <w:link w:val="BalloonTextChar"/>
    <w:uiPriority w:val="99"/>
    <w:semiHidden/>
    <w:unhideWhenUsed/>
    <w:rsid w:val="006C37C9"/>
    <w:pPr>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C37C9"/>
    <w:rPr>
      <w:rFonts w:ascii="Tahoma" w:hAnsi="Tahoma" w:cs="Tahoma"/>
      <w:sz w:val="16"/>
      <w:szCs w:val="16"/>
    </w:rPr>
  </w:style>
  <w:style w:type="paragraph" w:styleId="TOCHeading">
    <w:name w:val="TOC Heading"/>
    <w:basedOn w:val="Heading1"/>
    <w:next w:val="Normal"/>
    <w:uiPriority w:val="39"/>
    <w:unhideWhenUsed/>
    <w:qFormat/>
    <w:rsid w:val="00E16176"/>
    <w:pPr>
      <w:tabs>
        <w:tab w:val="clear" w:pos="720"/>
      </w:tabs>
      <w:spacing w:before="480" w:line="276" w:lineRule="auto"/>
      <w:jc w:val="left"/>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paragraph" w:styleId="TOC1">
    <w:name w:val="toc 1"/>
    <w:basedOn w:val="Title"/>
    <w:next w:val="Normal"/>
    <w:autoRedefine/>
    <w:uiPriority w:val="39"/>
    <w:unhideWhenUsed/>
    <w:qFormat/>
    <w:rsid w:val="00C004B1"/>
    <w:pPr>
      <w:tabs>
        <w:tab w:val="right" w:leader="dot" w:pos="9736"/>
      </w:tabs>
      <w:spacing w:before="120" w:after="120"/>
      <w:ind w:left="0"/>
      <w:contextualSpacing w:val="0"/>
      <w:jc w:val="both"/>
    </w:pPr>
    <w:rPr>
      <w:rFonts w:asciiTheme="minorHAnsi" w:eastAsia="Times New Roman" w:hAnsiTheme="minorHAnsi" w:cs="Times New Roman"/>
      <w:bCs/>
      <w:caps/>
      <w:snapToGrid/>
      <w:spacing w:val="0"/>
      <w:kern w:val="0"/>
      <w:szCs w:val="20"/>
    </w:rPr>
  </w:style>
  <w:style w:type="paragraph" w:styleId="TOC2">
    <w:name w:val="toc 2"/>
    <w:basedOn w:val="Normal"/>
    <w:next w:val="Normal"/>
    <w:autoRedefine/>
    <w:uiPriority w:val="39"/>
    <w:unhideWhenUsed/>
    <w:qFormat/>
    <w:rsid w:val="008A6487"/>
    <w:pPr>
      <w:ind w:left="240"/>
      <w:jc w:val="left"/>
    </w:pPr>
    <w:rPr>
      <w:rFonts w:asciiTheme="minorHAnsi" w:hAnsiTheme="minorHAnsi"/>
      <w:smallCaps/>
      <w:sz w:val="20"/>
      <w:szCs w:val="20"/>
    </w:rPr>
  </w:style>
  <w:style w:type="paragraph" w:styleId="TOC3">
    <w:name w:val="toc 3"/>
    <w:basedOn w:val="Normal"/>
    <w:next w:val="Normal"/>
    <w:autoRedefine/>
    <w:uiPriority w:val="39"/>
    <w:unhideWhenUsed/>
    <w:qFormat/>
    <w:rsid w:val="00BE23A5"/>
    <w:pPr>
      <w:tabs>
        <w:tab w:val="left" w:pos="960"/>
        <w:tab w:val="right" w:leader="dot" w:pos="9736"/>
      </w:tabs>
      <w:ind w:left="480"/>
    </w:pPr>
    <w:rPr>
      <w:iCs/>
      <w:noProof/>
      <w:sz w:val="20"/>
      <w:szCs w:val="20"/>
    </w:rPr>
  </w:style>
  <w:style w:type="character" w:styleId="LineNumber">
    <w:name w:val="line number"/>
    <w:basedOn w:val="DefaultParagraphFont"/>
    <w:uiPriority w:val="99"/>
    <w:unhideWhenUsed/>
    <w:rsid w:val="00D407D4"/>
  </w:style>
  <w:style w:type="character" w:styleId="CommentReference">
    <w:name w:val="annotation reference"/>
    <w:basedOn w:val="DefaultParagraphFont"/>
    <w:uiPriority w:val="99"/>
    <w:unhideWhenUsed/>
    <w:rsid w:val="007A1A14"/>
    <w:rPr>
      <w:sz w:val="16"/>
      <w:szCs w:val="16"/>
    </w:rPr>
  </w:style>
  <w:style w:type="paragraph" w:styleId="CommentText">
    <w:name w:val="annotation text"/>
    <w:basedOn w:val="Normal"/>
    <w:link w:val="CommentTextChar"/>
    <w:uiPriority w:val="99"/>
    <w:unhideWhenUsed/>
    <w:rsid w:val="007A1A14"/>
    <w:pPr>
      <w:spacing w:after="200"/>
      <w:jc w:val="left"/>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A1A14"/>
    <w:rPr>
      <w:sz w:val="20"/>
      <w:szCs w:val="20"/>
      <w:lang w:val="en-US"/>
    </w:rPr>
  </w:style>
  <w:style w:type="paragraph" w:styleId="CommentSubject">
    <w:name w:val="annotation subject"/>
    <w:basedOn w:val="CommentText"/>
    <w:next w:val="CommentText"/>
    <w:link w:val="CommentSubjectChar"/>
    <w:uiPriority w:val="99"/>
    <w:semiHidden/>
    <w:unhideWhenUsed/>
    <w:rsid w:val="007A1A14"/>
    <w:rPr>
      <w:b/>
      <w:bCs/>
    </w:rPr>
  </w:style>
  <w:style w:type="character" w:customStyle="1" w:styleId="CommentSubjectChar">
    <w:name w:val="Comment Subject Char"/>
    <w:basedOn w:val="CommentTextChar"/>
    <w:link w:val="CommentSubject"/>
    <w:uiPriority w:val="99"/>
    <w:semiHidden/>
    <w:rsid w:val="007A1A14"/>
    <w:rPr>
      <w:b/>
      <w:bCs/>
      <w:sz w:val="20"/>
      <w:szCs w:val="20"/>
      <w:lang w:val="en-US"/>
    </w:rPr>
  </w:style>
  <w:style w:type="paragraph" w:customStyle="1" w:styleId="Heading21">
    <w:name w:val="Heading 21"/>
    <w:basedOn w:val="Normal"/>
    <w:next w:val="Normal"/>
    <w:uiPriority w:val="9"/>
    <w:semiHidden/>
    <w:unhideWhenUsed/>
    <w:qFormat/>
    <w:rsid w:val="008920BF"/>
    <w:pPr>
      <w:keepNext/>
      <w:keepLines/>
      <w:spacing w:before="200"/>
      <w:outlineLvl w:val="1"/>
    </w:pPr>
    <w:rPr>
      <w:rFonts w:ascii="Cambria" w:hAnsi="Cambria"/>
      <w:b/>
      <w:bCs/>
      <w:color w:val="4F81BD"/>
      <w:sz w:val="26"/>
      <w:szCs w:val="26"/>
    </w:rPr>
  </w:style>
  <w:style w:type="paragraph" w:customStyle="1" w:styleId="Heading41">
    <w:name w:val="Heading 41"/>
    <w:basedOn w:val="Normal"/>
    <w:next w:val="Normal"/>
    <w:uiPriority w:val="9"/>
    <w:semiHidden/>
    <w:unhideWhenUsed/>
    <w:qFormat/>
    <w:rsid w:val="008920BF"/>
    <w:pPr>
      <w:keepNext/>
      <w:keepLines/>
      <w:spacing w:before="200"/>
      <w:outlineLvl w:val="3"/>
    </w:pPr>
    <w:rPr>
      <w:rFonts w:ascii="Cambria" w:hAnsi="Cambria"/>
      <w:b/>
      <w:bCs/>
      <w:i/>
      <w:iCs/>
      <w:color w:val="4F81BD"/>
    </w:rPr>
  </w:style>
  <w:style w:type="numbering" w:customStyle="1" w:styleId="NoList1">
    <w:name w:val="No List1"/>
    <w:next w:val="NoList"/>
    <w:uiPriority w:val="99"/>
    <w:semiHidden/>
    <w:unhideWhenUsed/>
    <w:rsid w:val="008920BF"/>
  </w:style>
  <w:style w:type="character" w:customStyle="1" w:styleId="Heading2Char">
    <w:name w:val="Heading 2 Char"/>
    <w:basedOn w:val="DefaultParagraphFont"/>
    <w:link w:val="Heading2"/>
    <w:rsid w:val="002726E0"/>
    <w:rPr>
      <w:rFonts w:ascii="Verdana" w:eastAsia="MS Mincho" w:hAnsi="Verdana" w:cs="Times New Roman"/>
      <w:b/>
      <w:i/>
      <w:sz w:val="20"/>
      <w:szCs w:val="26"/>
      <w:lang w:eastAsia="es-CR"/>
    </w:rPr>
  </w:style>
  <w:style w:type="character" w:customStyle="1" w:styleId="Heading4Char">
    <w:name w:val="Heading 4 Char"/>
    <w:basedOn w:val="DefaultParagraphFont"/>
    <w:link w:val="Heading4"/>
    <w:uiPriority w:val="9"/>
    <w:rsid w:val="00EB31AC"/>
    <w:rPr>
      <w:rFonts w:ascii="Verdana" w:eastAsia="Times New Roman" w:hAnsi="Verdana" w:cs="Times New Roman"/>
      <w:bCs/>
      <w:i/>
      <w:iCs/>
      <w:sz w:val="20"/>
      <w:szCs w:val="24"/>
      <w:lang w:eastAsia="es-CR"/>
    </w:rPr>
  </w:style>
  <w:style w:type="paragraph" w:customStyle="1" w:styleId="Prrafodelista2">
    <w:name w:val="Párrafo de lista2"/>
    <w:basedOn w:val="Normal"/>
    <w:uiPriority w:val="99"/>
    <w:rsid w:val="008920BF"/>
    <w:pPr>
      <w:ind w:left="720"/>
      <w:jc w:val="left"/>
    </w:pPr>
    <w:rPr>
      <w:rFonts w:eastAsia="MS Mincho"/>
      <w:sz w:val="20"/>
      <w:szCs w:val="20"/>
      <w:lang w:val="es-ES_tradnl" w:eastAsia="en-US" w:bidi="en-US"/>
    </w:rPr>
  </w:style>
  <w:style w:type="character" w:customStyle="1" w:styleId="apple-style-span">
    <w:name w:val="apple-style-span"/>
    <w:rsid w:val="008920BF"/>
    <w:rPr>
      <w:rFonts w:cs="Times New Roman"/>
    </w:rPr>
  </w:style>
  <w:style w:type="character" w:customStyle="1" w:styleId="Listavistosa-nfasis1Car1">
    <w:name w:val="Lista vistosa - Énfasis 1 Car1"/>
    <w:link w:val="ColorfulList-Accent1"/>
    <w:uiPriority w:val="99"/>
    <w:locked/>
    <w:rsid w:val="008920BF"/>
    <w:rPr>
      <w:rFonts w:ascii="Verdana" w:eastAsia="Times New Roman" w:hAnsi="Verdana"/>
      <w:lang w:val="es-ES_tradnl" w:eastAsia="en-US"/>
    </w:rPr>
  </w:style>
  <w:style w:type="character" w:customStyle="1" w:styleId="column01">
    <w:name w:val="column01"/>
    <w:basedOn w:val="DefaultParagraphFont"/>
    <w:rsid w:val="008920BF"/>
  </w:style>
  <w:style w:type="table" w:customStyle="1" w:styleId="ColorfulList-Accent11">
    <w:name w:val="Colorful List - Accent 11"/>
    <w:basedOn w:val="TableNormal"/>
    <w:next w:val="ColorfulList-Accent1"/>
    <w:uiPriority w:val="99"/>
    <w:rsid w:val="008920BF"/>
    <w:rPr>
      <w:rFonts w:ascii="Verdana" w:eastAsia="Times New Roman" w:hAnsi="Verdana"/>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Indent">
    <w:name w:val="Body Text Indent"/>
    <w:basedOn w:val="Normal"/>
    <w:link w:val="BodyTextIndentChar"/>
    <w:uiPriority w:val="99"/>
    <w:rsid w:val="008920BF"/>
    <w:pPr>
      <w:spacing w:after="120"/>
      <w:ind w:left="360"/>
      <w:jc w:val="left"/>
    </w:pPr>
    <w:rPr>
      <w:rFonts w:ascii="Times New Roman" w:eastAsia="MS Mincho" w:hAnsi="Times New Roman"/>
      <w:lang w:val="es-AR" w:eastAsia="en-US"/>
    </w:rPr>
  </w:style>
  <w:style w:type="character" w:customStyle="1" w:styleId="BodyTextIndentChar">
    <w:name w:val="Body Text Indent Char"/>
    <w:basedOn w:val="DefaultParagraphFont"/>
    <w:link w:val="BodyTextIndent"/>
    <w:uiPriority w:val="99"/>
    <w:rsid w:val="008920BF"/>
    <w:rPr>
      <w:rFonts w:ascii="Times New Roman" w:eastAsia="MS Mincho" w:hAnsi="Times New Roman" w:cs="Times New Roman"/>
      <w:sz w:val="24"/>
      <w:szCs w:val="24"/>
      <w:lang w:val="es-AR"/>
    </w:rPr>
  </w:style>
  <w:style w:type="character" w:customStyle="1" w:styleId="apple-converted-space">
    <w:name w:val="apple-converted-space"/>
    <w:basedOn w:val="DefaultParagraphFont"/>
    <w:rsid w:val="008920BF"/>
  </w:style>
  <w:style w:type="paragraph" w:customStyle="1" w:styleId="CM4">
    <w:name w:val="CM4"/>
    <w:basedOn w:val="Normal"/>
    <w:next w:val="Normal"/>
    <w:uiPriority w:val="99"/>
    <w:rsid w:val="008920BF"/>
    <w:pPr>
      <w:autoSpaceDE w:val="0"/>
      <w:autoSpaceDN w:val="0"/>
      <w:jc w:val="left"/>
    </w:pPr>
    <w:rPr>
      <w:rFonts w:ascii="EUAlbertina" w:eastAsia="Calibri" w:hAnsi="EUAlbertina"/>
      <w:lang w:eastAsia="en-US"/>
    </w:rPr>
  </w:style>
  <w:style w:type="paragraph" w:customStyle="1" w:styleId="Default">
    <w:name w:val="Default"/>
    <w:rsid w:val="008920BF"/>
    <w:pPr>
      <w:autoSpaceDE w:val="0"/>
      <w:autoSpaceDN w:val="0"/>
      <w:adjustRightInd w:val="0"/>
    </w:pPr>
    <w:rPr>
      <w:rFonts w:ascii="Times New Roman" w:eastAsia="Times New Roman" w:hAnsi="Times New Roman" w:cs="Times New Roman"/>
      <w:color w:val="000000"/>
      <w:sz w:val="24"/>
      <w:szCs w:val="24"/>
      <w:lang w:eastAsia="es-CR"/>
    </w:rPr>
  </w:style>
  <w:style w:type="paragraph" w:styleId="HTMLPreformatted">
    <w:name w:val="HTML Preformatted"/>
    <w:basedOn w:val="Normal"/>
    <w:link w:val="HTMLPreformattedChar"/>
    <w:uiPriority w:val="99"/>
    <w:unhideWhenUsed/>
    <w:rsid w:val="0089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920BF"/>
    <w:rPr>
      <w:rFonts w:ascii="Courier New" w:eastAsia="Times New Roman" w:hAnsi="Courier New" w:cs="Courier New"/>
      <w:sz w:val="20"/>
      <w:szCs w:val="20"/>
      <w:lang w:val="en-US"/>
    </w:rPr>
  </w:style>
  <w:style w:type="character" w:customStyle="1" w:styleId="Heading2Char1">
    <w:name w:val="Heading 2 Char1"/>
    <w:basedOn w:val="DefaultParagraphFont"/>
    <w:uiPriority w:val="9"/>
    <w:semiHidden/>
    <w:rsid w:val="008920BF"/>
    <w:rPr>
      <w:rFonts w:asciiTheme="majorHAnsi" w:eastAsiaTheme="majorEastAsia" w:hAnsiTheme="majorHAnsi" w:cstheme="majorBidi"/>
      <w:b/>
      <w:bCs/>
      <w:color w:val="4F81BD" w:themeColor="accent1"/>
      <w:sz w:val="26"/>
      <w:szCs w:val="26"/>
      <w:lang w:eastAsia="es-CR"/>
    </w:rPr>
  </w:style>
  <w:style w:type="character" w:customStyle="1" w:styleId="Heading4Char1">
    <w:name w:val="Heading 4 Char1"/>
    <w:basedOn w:val="DefaultParagraphFont"/>
    <w:uiPriority w:val="9"/>
    <w:semiHidden/>
    <w:rsid w:val="008920BF"/>
    <w:rPr>
      <w:rFonts w:asciiTheme="majorHAnsi" w:eastAsiaTheme="majorEastAsia" w:hAnsiTheme="majorHAnsi" w:cstheme="majorBidi"/>
      <w:b/>
      <w:bCs/>
      <w:i/>
      <w:iCs/>
      <w:color w:val="4F81BD" w:themeColor="accent1"/>
      <w:sz w:val="24"/>
      <w:szCs w:val="24"/>
      <w:lang w:eastAsia="es-CR"/>
    </w:rPr>
  </w:style>
  <w:style w:type="table" w:styleId="ColorfulList-Accent1">
    <w:name w:val="Colorful List Accent 1"/>
    <w:basedOn w:val="TableNormal"/>
    <w:link w:val="Listavistosa-nfasis1Car1"/>
    <w:uiPriority w:val="99"/>
    <w:rsid w:val="008920BF"/>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b8d990e2">
    <w:name w:val="sb8d990e2"/>
    <w:basedOn w:val="DefaultParagraphFont"/>
    <w:uiPriority w:val="99"/>
    <w:rsid w:val="00502B43"/>
  </w:style>
  <w:style w:type="character" w:customStyle="1" w:styleId="s6b621b36">
    <w:name w:val="s6b621b36"/>
    <w:basedOn w:val="DefaultParagraphFont"/>
    <w:rsid w:val="00502B4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02B43"/>
    <w:rPr>
      <w:rFonts w:asciiTheme="minorHAnsi" w:eastAsiaTheme="minorHAnsi" w:hAnsiTheme="minorHAnsi" w:cstheme="minorBidi"/>
      <w:sz w:val="22"/>
      <w:szCs w:val="22"/>
      <w:vertAlign w:val="superscript"/>
      <w:lang w:eastAsia="en-US"/>
    </w:rPr>
  </w:style>
  <w:style w:type="paragraph" w:customStyle="1" w:styleId="s5891fd46">
    <w:name w:val="s5891fd46"/>
    <w:basedOn w:val="Normal"/>
    <w:rsid w:val="00502B43"/>
    <w:pPr>
      <w:spacing w:before="100" w:beforeAutospacing="1" w:after="100" w:afterAutospacing="1"/>
      <w:jc w:val="left"/>
    </w:pPr>
    <w:rPr>
      <w:rFonts w:ascii="Times New Roman" w:hAnsi="Times New Roman"/>
    </w:rPr>
  </w:style>
  <w:style w:type="character" w:styleId="Emphasis">
    <w:name w:val="Emphasis"/>
    <w:uiPriority w:val="20"/>
    <w:qFormat/>
    <w:rsid w:val="00502B43"/>
    <w:rPr>
      <w:b/>
      <w:bCs/>
      <w:i/>
      <w:iCs/>
      <w:spacing w:val="10"/>
      <w:bdr w:val="none" w:sz="0" w:space="0" w:color="auto"/>
      <w:shd w:val="clear" w:color="auto" w:fill="auto"/>
    </w:rPr>
  </w:style>
  <w:style w:type="paragraph" w:styleId="TOC4">
    <w:name w:val="toc 4"/>
    <w:basedOn w:val="Normal"/>
    <w:next w:val="Normal"/>
    <w:autoRedefine/>
    <w:uiPriority w:val="39"/>
    <w:unhideWhenUsed/>
    <w:rsid w:val="00E35E14"/>
    <w:pPr>
      <w:ind w:left="720"/>
      <w:jc w:val="left"/>
    </w:pPr>
    <w:rPr>
      <w:rFonts w:asciiTheme="minorHAnsi" w:hAnsiTheme="minorHAnsi"/>
      <w:sz w:val="18"/>
      <w:szCs w:val="18"/>
    </w:rPr>
  </w:style>
  <w:style w:type="paragraph" w:styleId="TOC5">
    <w:name w:val="toc 5"/>
    <w:basedOn w:val="Normal"/>
    <w:next w:val="Normal"/>
    <w:autoRedefine/>
    <w:uiPriority w:val="39"/>
    <w:unhideWhenUsed/>
    <w:rsid w:val="00E35E14"/>
    <w:pPr>
      <w:ind w:left="960"/>
      <w:jc w:val="left"/>
    </w:pPr>
    <w:rPr>
      <w:rFonts w:asciiTheme="minorHAnsi" w:hAnsiTheme="minorHAnsi"/>
      <w:sz w:val="18"/>
      <w:szCs w:val="18"/>
    </w:rPr>
  </w:style>
  <w:style w:type="paragraph" w:styleId="TOC6">
    <w:name w:val="toc 6"/>
    <w:basedOn w:val="Normal"/>
    <w:next w:val="Normal"/>
    <w:autoRedefine/>
    <w:uiPriority w:val="39"/>
    <w:unhideWhenUsed/>
    <w:rsid w:val="00E35E14"/>
    <w:pPr>
      <w:ind w:left="1200"/>
      <w:jc w:val="left"/>
    </w:pPr>
    <w:rPr>
      <w:rFonts w:asciiTheme="minorHAnsi" w:hAnsiTheme="minorHAnsi"/>
      <w:sz w:val="18"/>
      <w:szCs w:val="18"/>
    </w:rPr>
  </w:style>
  <w:style w:type="paragraph" w:styleId="TOC7">
    <w:name w:val="toc 7"/>
    <w:basedOn w:val="Normal"/>
    <w:next w:val="Normal"/>
    <w:autoRedefine/>
    <w:uiPriority w:val="39"/>
    <w:unhideWhenUsed/>
    <w:rsid w:val="00E35E14"/>
    <w:pPr>
      <w:ind w:left="1440"/>
      <w:jc w:val="left"/>
    </w:pPr>
    <w:rPr>
      <w:rFonts w:asciiTheme="minorHAnsi" w:hAnsiTheme="minorHAnsi"/>
      <w:sz w:val="18"/>
      <w:szCs w:val="18"/>
    </w:rPr>
  </w:style>
  <w:style w:type="paragraph" w:styleId="TOC8">
    <w:name w:val="toc 8"/>
    <w:basedOn w:val="Normal"/>
    <w:next w:val="Normal"/>
    <w:autoRedefine/>
    <w:uiPriority w:val="39"/>
    <w:unhideWhenUsed/>
    <w:rsid w:val="00E35E14"/>
    <w:pPr>
      <w:ind w:left="1680"/>
      <w:jc w:val="left"/>
    </w:pPr>
    <w:rPr>
      <w:rFonts w:asciiTheme="minorHAnsi" w:hAnsiTheme="minorHAnsi"/>
      <w:sz w:val="18"/>
      <w:szCs w:val="18"/>
    </w:rPr>
  </w:style>
  <w:style w:type="paragraph" w:styleId="TOC9">
    <w:name w:val="toc 9"/>
    <w:basedOn w:val="Normal"/>
    <w:next w:val="Normal"/>
    <w:autoRedefine/>
    <w:uiPriority w:val="39"/>
    <w:unhideWhenUsed/>
    <w:rsid w:val="00E35E14"/>
    <w:pPr>
      <w:ind w:left="1920"/>
      <w:jc w:val="left"/>
    </w:pPr>
    <w:rPr>
      <w:rFonts w:asciiTheme="minorHAnsi" w:hAnsiTheme="minorHAnsi"/>
      <w:sz w:val="18"/>
      <w:szCs w:val="18"/>
    </w:rPr>
  </w:style>
  <w:style w:type="paragraph" w:customStyle="1" w:styleId="styletitle2">
    <w:name w:val="styletitle2"/>
    <w:basedOn w:val="Normal"/>
    <w:rsid w:val="00000131"/>
    <w:pPr>
      <w:spacing w:before="100" w:beforeAutospacing="1" w:after="100" w:afterAutospacing="1"/>
      <w:jc w:val="left"/>
    </w:pPr>
    <w:rPr>
      <w:rFonts w:ascii="Times New Roman" w:hAnsi="Times New Roman"/>
    </w:rPr>
  </w:style>
  <w:style w:type="character" w:customStyle="1" w:styleId="ListParagraphChar1">
    <w:name w:val="List Paragraph Char1"/>
    <w:aliases w:val="List Paragraph2 Char1,Lista vistosa - Énfasis 11 Char1,Párrafo de lista1 Char1,Footnote Char1,List Paragraph1 Char1,Colorful List - Accent 11 Char1"/>
    <w:basedOn w:val="DefaultParagraphFont"/>
    <w:link w:val="ListParagraph"/>
    <w:rsid w:val="005624D3"/>
    <w:rPr>
      <w:rFonts w:ascii="Verdana" w:eastAsia="Times New Roman" w:hAnsi="Verdana" w:cs="Times New Roman"/>
      <w:sz w:val="24"/>
      <w:szCs w:val="24"/>
      <w:lang w:eastAsia="es-CR"/>
    </w:rPr>
  </w:style>
  <w:style w:type="character" w:customStyle="1" w:styleId="Hipervnculo1">
    <w:name w:val="Hipervínculo1"/>
    <w:basedOn w:val="DefaultParagraphFont"/>
    <w:uiPriority w:val="99"/>
    <w:unhideWhenUsed/>
    <w:rsid w:val="00D534AF"/>
    <w:rPr>
      <w:color w:val="0000FF"/>
      <w:u w:val="single"/>
    </w:rPr>
  </w:style>
  <w:style w:type="character" w:customStyle="1" w:styleId="Heading6Char">
    <w:name w:val="Heading 6 Char"/>
    <w:basedOn w:val="DefaultParagraphFont"/>
    <w:link w:val="Heading6"/>
    <w:uiPriority w:val="9"/>
    <w:rsid w:val="00E3447E"/>
    <w:rPr>
      <w:rFonts w:ascii="Verdana" w:eastAsia="Times New Roman" w:hAnsi="Verdana" w:cs="Times New Roman"/>
      <w:spacing w:val="-2"/>
      <w:sz w:val="20"/>
      <w:szCs w:val="20"/>
      <w:lang w:val="es-ES_tradnl" w:eastAsia="es-CR"/>
    </w:rPr>
  </w:style>
  <w:style w:type="character" w:customStyle="1" w:styleId="Caracteresdenotafinal">
    <w:name w:val="Caracteres de nota final"/>
    <w:rsid w:val="00E3447E"/>
    <w:rPr>
      <w:vertAlign w:val="superscript"/>
    </w:rPr>
  </w:style>
  <w:style w:type="character" w:customStyle="1" w:styleId="Heading5Char">
    <w:name w:val="Heading 5 Char"/>
    <w:basedOn w:val="DefaultParagraphFont"/>
    <w:link w:val="Heading5"/>
    <w:uiPriority w:val="9"/>
    <w:rsid w:val="00E3447E"/>
    <w:rPr>
      <w:rFonts w:asciiTheme="majorHAnsi" w:eastAsiaTheme="majorEastAsia" w:hAnsiTheme="majorHAnsi" w:cstheme="majorBidi"/>
      <w:color w:val="243F60" w:themeColor="accent1" w:themeShade="7F"/>
      <w:sz w:val="24"/>
      <w:szCs w:val="24"/>
      <w:lang w:eastAsia="es-CR"/>
    </w:rPr>
  </w:style>
  <w:style w:type="character" w:styleId="PageNumber">
    <w:name w:val="page number"/>
    <w:basedOn w:val="DefaultParagraphFont"/>
    <w:uiPriority w:val="99"/>
    <w:semiHidden/>
    <w:unhideWhenUsed/>
    <w:rsid w:val="00011543"/>
  </w:style>
  <w:style w:type="paragraph" w:styleId="Title">
    <w:name w:val="Title"/>
    <w:basedOn w:val="Normal"/>
    <w:next w:val="Normal"/>
    <w:link w:val="TitleChar"/>
    <w:autoRedefine/>
    <w:uiPriority w:val="10"/>
    <w:qFormat/>
    <w:rsid w:val="006B2A4D"/>
    <w:pPr>
      <w:ind w:left="825"/>
      <w:contextualSpacing/>
      <w:jc w:val="center"/>
    </w:pPr>
    <w:rPr>
      <w:rFonts w:eastAsiaTheme="majorEastAsia" w:cstheme="majorBidi"/>
      <w:b/>
      <w:snapToGrid w:val="0"/>
      <w:spacing w:val="5"/>
      <w:kern w:val="28"/>
      <w:sz w:val="20"/>
      <w:szCs w:val="52"/>
    </w:rPr>
  </w:style>
  <w:style w:type="character" w:customStyle="1" w:styleId="TitleChar">
    <w:name w:val="Title Char"/>
    <w:basedOn w:val="DefaultParagraphFont"/>
    <w:link w:val="Title"/>
    <w:uiPriority w:val="10"/>
    <w:rsid w:val="006B2A4D"/>
    <w:rPr>
      <w:rFonts w:ascii="Verdana" w:eastAsiaTheme="majorEastAsia" w:hAnsi="Verdana" w:cstheme="majorBidi"/>
      <w:b/>
      <w:snapToGrid w:val="0"/>
      <w:spacing w:val="5"/>
      <w:kern w:val="28"/>
      <w:sz w:val="20"/>
      <w:szCs w:val="52"/>
      <w:lang w:eastAsia="es-CR"/>
    </w:rPr>
  </w:style>
  <w:style w:type="paragraph" w:customStyle="1" w:styleId="Estilo1">
    <w:name w:val="Estilo1"/>
    <w:basedOn w:val="Normal"/>
    <w:link w:val="Estilo1Car"/>
    <w:qFormat/>
    <w:rsid w:val="004D7E7A"/>
    <w:pPr>
      <w:spacing w:after="120"/>
      <w:ind w:left="2018" w:right="6" w:hanging="180"/>
    </w:pPr>
    <w:rPr>
      <w:rFonts w:eastAsia="Batang" w:cs="Times"/>
      <w:i/>
      <w:sz w:val="20"/>
      <w:lang w:val="es-ES" w:eastAsia="en-US"/>
    </w:rPr>
  </w:style>
  <w:style w:type="character" w:customStyle="1" w:styleId="Estilo1Car">
    <w:name w:val="Estilo1 Car"/>
    <w:basedOn w:val="DefaultParagraphFont"/>
    <w:link w:val="Estilo1"/>
    <w:rsid w:val="004D7E7A"/>
    <w:rPr>
      <w:rFonts w:ascii="Verdana" w:eastAsia="Batang" w:hAnsi="Verdana" w:cs="Times"/>
      <w:i/>
      <w:sz w:val="20"/>
      <w:szCs w:val="24"/>
      <w:lang w:val="es-ES"/>
    </w:rPr>
  </w:style>
  <w:style w:type="paragraph" w:styleId="NoSpacing">
    <w:name w:val="No Spacing"/>
    <w:link w:val="NoSpacingChar"/>
    <w:uiPriority w:val="1"/>
    <w:qFormat/>
    <w:rsid w:val="000214BA"/>
    <w:rPr>
      <w:rFonts w:eastAsiaTheme="minorEastAsia"/>
      <w:lang w:val="en-US" w:eastAsia="ja-JP"/>
    </w:rPr>
  </w:style>
  <w:style w:type="character" w:customStyle="1" w:styleId="NoSpacingChar">
    <w:name w:val="No Spacing Char"/>
    <w:basedOn w:val="DefaultParagraphFont"/>
    <w:link w:val="NoSpacing"/>
    <w:uiPriority w:val="1"/>
    <w:rsid w:val="000214BA"/>
    <w:rPr>
      <w:rFonts w:eastAsiaTheme="minorEastAsia"/>
      <w:lang w:val="en-US" w:eastAsia="ja-JP"/>
    </w:rPr>
  </w:style>
  <w:style w:type="paragraph" w:styleId="BodyText">
    <w:name w:val="Body Text"/>
    <w:basedOn w:val="Normal"/>
    <w:link w:val="BodyTextChar"/>
    <w:uiPriority w:val="99"/>
    <w:unhideWhenUsed/>
    <w:rsid w:val="000214BA"/>
    <w:pPr>
      <w:spacing w:after="120"/>
    </w:pPr>
  </w:style>
  <w:style w:type="character" w:customStyle="1" w:styleId="BodyTextChar">
    <w:name w:val="Body Text Char"/>
    <w:basedOn w:val="DefaultParagraphFont"/>
    <w:link w:val="BodyText"/>
    <w:uiPriority w:val="99"/>
    <w:rsid w:val="000214BA"/>
    <w:rPr>
      <w:rFonts w:ascii="Verdana" w:eastAsia="Times New Roman" w:hAnsi="Verdana" w:cs="Times New Roman"/>
      <w:sz w:val="24"/>
      <w:szCs w:val="24"/>
      <w:lang w:eastAsia="es-CR"/>
    </w:rPr>
  </w:style>
  <w:style w:type="character" w:customStyle="1" w:styleId="Smbolodenotaalpie">
    <w:name w:val="Símbolo de nota al pie"/>
    <w:rsid w:val="00E67349"/>
    <w:rPr>
      <w:rFonts w:ascii="Times New Roman" w:hAnsi="Times New Roman" w:cs="Times New Roman" w:hint="default"/>
      <w:szCs w:val="20"/>
      <w:vertAlign w:val="superscript"/>
    </w:rPr>
  </w:style>
  <w:style w:type="paragraph" w:customStyle="1" w:styleId="ju-005fpara">
    <w:name w:val="ju-005fpara"/>
    <w:basedOn w:val="Normal"/>
    <w:rsid w:val="00E67349"/>
    <w:pPr>
      <w:spacing w:before="100" w:beforeAutospacing="1" w:after="100" w:afterAutospacing="1"/>
      <w:jc w:val="left"/>
    </w:pPr>
    <w:rPr>
      <w:rFonts w:ascii="Times New Roman" w:hAnsi="Times New Roman"/>
      <w:lang w:val="es-ES" w:eastAsia="es-ES"/>
    </w:rPr>
  </w:style>
  <w:style w:type="character" w:customStyle="1" w:styleId="normal--char">
    <w:name w:val="normal--char"/>
    <w:basedOn w:val="DefaultParagraphFont"/>
    <w:uiPriority w:val="99"/>
    <w:rsid w:val="00E67349"/>
  </w:style>
  <w:style w:type="character" w:customStyle="1" w:styleId="ju-005fpara--char">
    <w:name w:val="ju-005fpara--char"/>
    <w:basedOn w:val="DefaultParagraphFont"/>
    <w:rsid w:val="00E67349"/>
  </w:style>
  <w:style w:type="numbering" w:customStyle="1" w:styleId="NoList2">
    <w:name w:val="No List2"/>
    <w:next w:val="NoList"/>
    <w:uiPriority w:val="99"/>
    <w:semiHidden/>
    <w:unhideWhenUsed/>
    <w:rsid w:val="006B2A4D"/>
  </w:style>
  <w:style w:type="paragraph" w:styleId="Revision">
    <w:name w:val="Revision"/>
    <w:hidden/>
    <w:uiPriority w:val="99"/>
    <w:semiHidden/>
    <w:rsid w:val="006B2A4D"/>
    <w:rPr>
      <w:rFonts w:ascii="Verdana" w:eastAsia="Times New Roman" w:hAnsi="Verdana" w:cs="Times New Roman"/>
      <w:sz w:val="20"/>
      <w:szCs w:val="20"/>
      <w:lang w:val="es-ES"/>
    </w:rPr>
  </w:style>
  <w:style w:type="numbering" w:customStyle="1" w:styleId="NoList3">
    <w:name w:val="No List3"/>
    <w:next w:val="NoList"/>
    <w:uiPriority w:val="99"/>
    <w:semiHidden/>
    <w:unhideWhenUsed/>
    <w:rsid w:val="002570D1"/>
  </w:style>
  <w:style w:type="character" w:customStyle="1" w:styleId="CommentTextChar1">
    <w:name w:val="Comment Text Char1"/>
    <w:basedOn w:val="DefaultParagraphFont"/>
    <w:uiPriority w:val="99"/>
    <w:semiHidden/>
    <w:rsid w:val="002570D1"/>
    <w:rPr>
      <w:rFonts w:ascii="Times New Roman" w:eastAsia="Calibri" w:hAnsi="Times New Roman" w:cs="Times New Roman"/>
      <w:sz w:val="20"/>
      <w:szCs w:val="20"/>
      <w:lang w:val="es-ES_tradnl"/>
    </w:rPr>
  </w:style>
  <w:style w:type="character" w:customStyle="1" w:styleId="BalloonTextChar1">
    <w:name w:val="Balloon Text Char1"/>
    <w:basedOn w:val="DefaultParagraphFont"/>
    <w:uiPriority w:val="99"/>
    <w:semiHidden/>
    <w:rsid w:val="002570D1"/>
    <w:rPr>
      <w:rFonts w:ascii="Tahoma" w:eastAsia="Calibri" w:hAnsi="Tahoma" w:cs="Tahoma"/>
      <w:sz w:val="16"/>
      <w:szCs w:val="16"/>
      <w:lang w:val="es-ES_tradnl"/>
    </w:rPr>
  </w:style>
  <w:style w:type="paragraph" w:customStyle="1" w:styleId="Footnotes">
    <w:name w:val="**. Footnotes"/>
    <w:basedOn w:val="FootnoteText"/>
    <w:link w:val="FootnotesChar"/>
    <w:autoRedefine/>
    <w:qFormat/>
    <w:rsid w:val="002570D1"/>
    <w:pPr>
      <w:widowControl w:val="0"/>
      <w:tabs>
        <w:tab w:val="left" w:pos="567"/>
      </w:tabs>
      <w:spacing w:before="120" w:after="40"/>
    </w:pPr>
    <w:rPr>
      <w:rFonts w:eastAsia="Batang" w:cs="Palatino-Italic"/>
      <w:iCs/>
      <w:sz w:val="16"/>
      <w:szCs w:val="16"/>
      <w:lang w:val="en-US" w:eastAsia="en-US"/>
    </w:rPr>
  </w:style>
  <w:style w:type="character" w:customStyle="1" w:styleId="FootnotesChar">
    <w:name w:val="**. Footnotes Char"/>
    <w:basedOn w:val="DefaultParagraphFont"/>
    <w:link w:val="Footnotes"/>
    <w:rsid w:val="002570D1"/>
    <w:rPr>
      <w:rFonts w:ascii="Verdana" w:eastAsia="Batang" w:hAnsi="Verdana" w:cs="Palatino-Italic"/>
      <w:iCs/>
      <w:sz w:val="16"/>
      <w:szCs w:val="16"/>
      <w:lang w:val="en-US"/>
    </w:rPr>
  </w:style>
  <w:style w:type="character" w:customStyle="1" w:styleId="Ttulo1">
    <w:name w:val="Título1"/>
    <w:basedOn w:val="DefaultParagraphFont"/>
    <w:rsid w:val="002570D1"/>
  </w:style>
  <w:style w:type="character" w:customStyle="1" w:styleId="PrrafodeSentenciaChar">
    <w:name w:val="*. Párrafo de Sentencia Char"/>
    <w:link w:val="PrrafodeSentencia"/>
    <w:rsid w:val="002570D1"/>
    <w:rPr>
      <w:rFonts w:ascii="Verdana" w:eastAsia="Times New Roman" w:hAnsi="Verdana" w:cs="Times New Roman"/>
      <w:bCs/>
      <w:noProof/>
      <w:sz w:val="20"/>
      <w:szCs w:val="20"/>
      <w:lang w:val="es-ES_tradnl" w:eastAsia="es-ES"/>
    </w:rPr>
  </w:style>
  <w:style w:type="character" w:customStyle="1" w:styleId="hps">
    <w:name w:val="hps"/>
    <w:basedOn w:val="DefaultParagraphFont"/>
    <w:rsid w:val="002570D1"/>
  </w:style>
  <w:style w:type="paragraph" w:customStyle="1" w:styleId="2Footnotes">
    <w:name w:val="2. Footnotes"/>
    <w:basedOn w:val="FootnoteText"/>
    <w:link w:val="2FootnotesChar"/>
    <w:autoRedefine/>
    <w:qFormat/>
    <w:rsid w:val="002570D1"/>
    <w:pPr>
      <w:widowControl w:val="0"/>
      <w:spacing w:before="120" w:after="40"/>
    </w:pPr>
    <w:rPr>
      <w:rFonts w:cs="Palatino-Italic"/>
      <w:iCs/>
      <w:noProof/>
      <w:sz w:val="16"/>
      <w:szCs w:val="18"/>
      <w:lang w:val="en-US" w:eastAsia="en-US"/>
    </w:rPr>
  </w:style>
  <w:style w:type="character" w:customStyle="1" w:styleId="2FootnotesChar">
    <w:name w:val="2. Footnotes Char"/>
    <w:link w:val="2Footnotes"/>
    <w:rsid w:val="002570D1"/>
    <w:rPr>
      <w:rFonts w:ascii="Verdana" w:eastAsia="Times New Roman" w:hAnsi="Verdana" w:cs="Palatino-Italic"/>
      <w:iCs/>
      <w:noProof/>
      <w:sz w:val="16"/>
      <w:szCs w:val="18"/>
      <w:lang w:val="en-US"/>
    </w:rPr>
  </w:style>
  <w:style w:type="paragraph" w:customStyle="1" w:styleId="xmsonormal">
    <w:name w:val="x_msonormal"/>
    <w:basedOn w:val="Normal"/>
    <w:rsid w:val="002570D1"/>
    <w:pPr>
      <w:spacing w:before="100" w:beforeAutospacing="1" w:after="100" w:afterAutospacing="1"/>
      <w:jc w:val="left"/>
    </w:pPr>
    <w:rPr>
      <w:rFonts w:ascii="Times New Roman" w:hAnsi="Times New Roman"/>
      <w:lang w:val="en-US" w:eastAsia="en-US"/>
    </w:rPr>
  </w:style>
  <w:style w:type="paragraph" w:customStyle="1" w:styleId="HChG">
    <w:name w:val="_ H _Ch_G"/>
    <w:basedOn w:val="Normal"/>
    <w:next w:val="Normal"/>
    <w:rsid w:val="002570D1"/>
    <w:pPr>
      <w:keepNext/>
      <w:keepLines/>
      <w:tabs>
        <w:tab w:val="right" w:pos="851"/>
      </w:tabs>
      <w:suppressAutoHyphens/>
      <w:spacing w:before="360" w:after="240" w:line="300" w:lineRule="exact"/>
      <w:ind w:left="1134" w:right="1134" w:hanging="1134"/>
      <w:jc w:val="left"/>
    </w:pPr>
    <w:rPr>
      <w:rFonts w:ascii="Times New Roman" w:hAnsi="Times New Roman"/>
      <w:b/>
      <w:sz w:val="28"/>
      <w:szCs w:val="20"/>
      <w:lang w:val="es-ES" w:eastAsia="es-ES"/>
    </w:rPr>
  </w:style>
  <w:style w:type="paragraph" w:customStyle="1" w:styleId="H1G">
    <w:name w:val="_ H_1_G"/>
    <w:basedOn w:val="Normal"/>
    <w:next w:val="Normal"/>
    <w:rsid w:val="002570D1"/>
    <w:pPr>
      <w:keepNext/>
      <w:keepLines/>
      <w:tabs>
        <w:tab w:val="right" w:pos="851"/>
      </w:tabs>
      <w:suppressAutoHyphens/>
      <w:spacing w:before="360" w:after="240" w:line="270" w:lineRule="exact"/>
      <w:ind w:left="1134" w:right="1134" w:hanging="1134"/>
      <w:jc w:val="left"/>
    </w:pPr>
    <w:rPr>
      <w:rFonts w:ascii="Times New Roman" w:hAnsi="Times New Roman"/>
      <w:b/>
      <w:szCs w:val="20"/>
      <w:lang w:val="es-ES"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DefaultParagraphFont"/>
    <w:uiPriority w:val="99"/>
    <w:qFormat/>
    <w:locked/>
    <w:rsid w:val="002570D1"/>
    <w:rPr>
      <w:rFonts w:ascii="Verdana" w:eastAsia="MS Mincho" w:hAnsi="Verdana" w:cs="Times"/>
      <w:sz w:val="16"/>
      <w:szCs w:val="24"/>
      <w:lang w:val="es-ES_tradnl"/>
    </w:rPr>
  </w:style>
  <w:style w:type="character" w:customStyle="1" w:styleId="BodyTextIndentChar1">
    <w:name w:val="Body Text Indent Char1"/>
    <w:basedOn w:val="DefaultParagraphFont"/>
    <w:uiPriority w:val="99"/>
    <w:semiHidden/>
    <w:rsid w:val="002570D1"/>
    <w:rPr>
      <w:rFonts w:ascii="Times New Roman" w:eastAsia="Calibri" w:hAnsi="Times New Roman" w:cs="Times New Roman"/>
      <w:sz w:val="24"/>
      <w:szCs w:val="24"/>
      <w:lang w:val="es-ES_tradnl"/>
    </w:rPr>
  </w:style>
  <w:style w:type="character" w:customStyle="1" w:styleId="Estilo1Char">
    <w:name w:val="Estilo1 Char"/>
    <w:rsid w:val="002570D1"/>
    <w:rPr>
      <w:rFonts w:ascii="Verdana" w:eastAsia="Calibri" w:hAnsi="Verdana" w:cs="Times New Roman"/>
      <w:sz w:val="20"/>
      <w:szCs w:val="20"/>
      <w:lang w:val="es-ES"/>
    </w:rPr>
  </w:style>
  <w:style w:type="paragraph" w:customStyle="1" w:styleId="Estilo2">
    <w:name w:val="Estilo2"/>
    <w:basedOn w:val="Normal"/>
    <w:qFormat/>
    <w:rsid w:val="002570D1"/>
    <w:pPr>
      <w:tabs>
        <w:tab w:val="left" w:pos="567"/>
        <w:tab w:val="left" w:pos="1134"/>
        <w:tab w:val="num" w:pos="4767"/>
      </w:tabs>
      <w:spacing w:after="120"/>
      <w:ind w:left="4767" w:hanging="360"/>
    </w:pPr>
    <w:rPr>
      <w:rFonts w:eastAsia="Calibri"/>
      <w:sz w:val="20"/>
      <w:szCs w:val="20"/>
      <w:lang w:val="es-ES" w:eastAsia="en-US"/>
    </w:rPr>
  </w:style>
  <w:style w:type="paragraph" w:styleId="BodyTextIndent3">
    <w:name w:val="Body Text Indent 3"/>
    <w:basedOn w:val="Normal"/>
    <w:link w:val="BodyTextIndent3Char"/>
    <w:rsid w:val="002570D1"/>
    <w:pPr>
      <w:ind w:left="720"/>
    </w:pPr>
    <w:rPr>
      <w:rFonts w:eastAsia="Times"/>
      <w:b/>
      <w:sz w:val="22"/>
      <w:szCs w:val="20"/>
      <w:lang w:val="es-ES_tradnl" w:eastAsia="es-ES"/>
    </w:rPr>
  </w:style>
  <w:style w:type="character" w:customStyle="1" w:styleId="BodyTextIndent3Char">
    <w:name w:val="Body Text Indent 3 Char"/>
    <w:basedOn w:val="DefaultParagraphFont"/>
    <w:link w:val="BodyTextIndent3"/>
    <w:rsid w:val="002570D1"/>
    <w:rPr>
      <w:rFonts w:ascii="Verdana" w:eastAsia="Times" w:hAnsi="Verdana" w:cs="Times New Roman"/>
      <w:b/>
      <w:szCs w:val="20"/>
      <w:lang w:val="es-ES_tradnl" w:eastAsia="es-ES"/>
    </w:rPr>
  </w:style>
  <w:style w:type="paragraph" w:customStyle="1" w:styleId="Estilo7">
    <w:name w:val="Estilo7"/>
    <w:basedOn w:val="Normal"/>
    <w:qFormat/>
    <w:rsid w:val="002570D1"/>
    <w:pPr>
      <w:tabs>
        <w:tab w:val="left" w:pos="567"/>
        <w:tab w:val="left" w:pos="851"/>
        <w:tab w:val="num" w:pos="2160"/>
      </w:tabs>
      <w:spacing w:before="120" w:after="120"/>
      <w:ind w:left="2160" w:hanging="180"/>
    </w:pPr>
    <w:rPr>
      <w:rFonts w:eastAsia="Batang"/>
      <w:b/>
      <w:i/>
      <w:sz w:val="20"/>
      <w:szCs w:val="20"/>
      <w:lang w:val="es-ES_tradnl" w:eastAsia="es-MX"/>
    </w:rPr>
  </w:style>
  <w:style w:type="paragraph" w:customStyle="1" w:styleId="Sangradetindependiente">
    <w:name w:val="Sangr’a de t. independiente"/>
    <w:basedOn w:val="Normal"/>
    <w:rsid w:val="002570D1"/>
    <w:pPr>
      <w:overflowPunct w:val="0"/>
      <w:autoSpaceDE w:val="0"/>
      <w:autoSpaceDN w:val="0"/>
      <w:adjustRightInd w:val="0"/>
      <w:textAlignment w:val="baseline"/>
    </w:pPr>
    <w:rPr>
      <w:rFonts w:ascii="Times New Roman" w:hAnsi="Times New Roman"/>
      <w:szCs w:val="20"/>
      <w:lang w:val="es-ES_tradnl" w:eastAsia="es-ES"/>
    </w:rPr>
  </w:style>
  <w:style w:type="character" w:customStyle="1" w:styleId="normalchar1">
    <w:name w:val="normal__char1"/>
    <w:basedOn w:val="DefaultParagraphFont"/>
    <w:rsid w:val="002570D1"/>
    <w:rPr>
      <w:rFonts w:ascii="Verdana" w:hAnsi="Verdana" w:hint="default"/>
      <w:sz w:val="20"/>
      <w:szCs w:val="20"/>
    </w:rPr>
  </w:style>
  <w:style w:type="character" w:customStyle="1" w:styleId="FootnoteTextCharCar">
    <w:name w:val="Footnote Text Char Car"/>
    <w:aliases w:val="FA Car,Note de bas de page Car Car Car"/>
    <w:basedOn w:val="DefaultParagraphFont"/>
    <w:uiPriority w:val="99"/>
    <w:locked/>
    <w:rsid w:val="002570D1"/>
  </w:style>
  <w:style w:type="character" w:customStyle="1" w:styleId="st1">
    <w:name w:val="st1"/>
    <w:basedOn w:val="DefaultParagraphFont"/>
    <w:rsid w:val="002570D1"/>
  </w:style>
  <w:style w:type="paragraph" w:customStyle="1" w:styleId="NormalNumbered">
    <w:name w:val="Normal Numbered"/>
    <w:basedOn w:val="Normal"/>
    <w:qFormat/>
    <w:rsid w:val="002570D1"/>
    <w:pPr>
      <w:numPr>
        <w:numId w:val="14"/>
      </w:numPr>
      <w:ind w:left="0" w:firstLine="0"/>
    </w:pPr>
    <w:rPr>
      <w:sz w:val="20"/>
      <w:szCs w:val="20"/>
      <w:lang w:val="x-none" w:eastAsia="x-none"/>
    </w:rPr>
  </w:style>
  <w:style w:type="numbering" w:customStyle="1" w:styleId="NoList11">
    <w:name w:val="No List11"/>
    <w:next w:val="NoList"/>
    <w:uiPriority w:val="99"/>
    <w:semiHidden/>
    <w:unhideWhenUsed/>
    <w:rsid w:val="002570D1"/>
  </w:style>
  <w:style w:type="paragraph" w:customStyle="1" w:styleId="ju-005fpara-002cleft-002cfirst-0020line-003a-0020-00200-0020cm">
    <w:name w:val="ju-005fpara-002cleft-002cfirst-0020line-003a-0020-00200-0020cm"/>
    <w:basedOn w:val="Normal"/>
    <w:rsid w:val="002570D1"/>
    <w:pPr>
      <w:spacing w:after="135"/>
      <w:jc w:val="left"/>
    </w:pPr>
    <w:rPr>
      <w:rFonts w:ascii="Times New Roman" w:hAnsi="Times New Roman"/>
      <w:lang w:val="es-MX" w:eastAsia="es-MX"/>
    </w:rPr>
  </w:style>
  <w:style w:type="character" w:customStyle="1" w:styleId="ju-005fpara-002cleft-002cfirst-0020line-003a-0020-00200-0020cm--char">
    <w:name w:val="ju-005fpara-002cleft-002cfirst-0020line-003a-0020-00200-0020cm--char"/>
    <w:rsid w:val="002570D1"/>
  </w:style>
  <w:style w:type="character" w:customStyle="1" w:styleId="PrrafodelistaCar1">
    <w:name w:val="Párrafo de lista Car1"/>
    <w:basedOn w:val="DefaultParagraphFont"/>
    <w:uiPriority w:val="99"/>
    <w:locked/>
    <w:rsid w:val="002570D1"/>
    <w:rPr>
      <w:rFonts w:ascii="Verdana" w:hAnsi="Verdana" w:cs="Verdana"/>
      <w:lang w:eastAsia="en-US"/>
    </w:rPr>
  </w:style>
  <w:style w:type="character" w:customStyle="1" w:styleId="TextocomentarioCar1">
    <w:name w:val="Texto comentario Car1"/>
    <w:basedOn w:val="DefaultParagraphFont"/>
    <w:uiPriority w:val="99"/>
    <w:semiHidden/>
    <w:rsid w:val="002570D1"/>
    <w:rPr>
      <w:sz w:val="20"/>
      <w:szCs w:val="20"/>
    </w:rPr>
  </w:style>
  <w:style w:type="paragraph" w:customStyle="1" w:styleId="Body1">
    <w:name w:val="Body 1"/>
    <w:link w:val="Body1Char"/>
    <w:rsid w:val="002570D1"/>
    <w:pPr>
      <w:spacing w:after="200" w:line="276" w:lineRule="auto"/>
      <w:jc w:val="left"/>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2570D1"/>
    <w:rPr>
      <w:rFonts w:ascii="Helvetica" w:eastAsia="ヒラギノ角ゴ Pro W3" w:hAnsi="Helvetica" w:cs="Times New Roman"/>
      <w:color w:val="000000"/>
      <w:szCs w:val="20"/>
      <w:lang w:val="en-US" w:eastAsia="es-CR"/>
    </w:rPr>
  </w:style>
  <w:style w:type="paragraph" w:customStyle="1" w:styleId="style11">
    <w:name w:val="style11"/>
    <w:basedOn w:val="Normal"/>
    <w:rsid w:val="002570D1"/>
    <w:pPr>
      <w:spacing w:before="192" w:after="192"/>
      <w:ind w:left="120" w:right="144"/>
    </w:pPr>
    <w:rPr>
      <w:rFonts w:ascii="Times New Roman" w:hAnsi="Times New Roman"/>
      <w:lang w:val="es-MX" w:eastAsia="es-MX"/>
    </w:rPr>
  </w:style>
  <w:style w:type="paragraph" w:styleId="Subtitle">
    <w:name w:val="Subtitle"/>
    <w:basedOn w:val="Normal"/>
    <w:next w:val="Normal"/>
    <w:link w:val="SubtitleChar"/>
    <w:uiPriority w:val="11"/>
    <w:qFormat/>
    <w:rsid w:val="002570D1"/>
    <w:pPr>
      <w:numPr>
        <w:ilvl w:val="1"/>
      </w:numPr>
      <w:spacing w:after="160"/>
      <w:jc w:val="left"/>
    </w:pPr>
    <w:rPr>
      <w:rFonts w:asciiTheme="minorHAnsi" w:eastAsiaTheme="minorEastAsia" w:hAnsiTheme="minorHAnsi" w:cstheme="minorBidi"/>
      <w:color w:val="5A5A5A" w:themeColor="text1" w:themeTint="A5"/>
      <w:spacing w:val="15"/>
      <w:sz w:val="22"/>
      <w:szCs w:val="22"/>
      <w:lang w:val="es-ES_tradnl" w:eastAsia="en-US"/>
    </w:rPr>
  </w:style>
  <w:style w:type="character" w:customStyle="1" w:styleId="SubtitleChar">
    <w:name w:val="Subtitle Char"/>
    <w:basedOn w:val="DefaultParagraphFont"/>
    <w:link w:val="Subtitle"/>
    <w:uiPriority w:val="11"/>
    <w:rsid w:val="002570D1"/>
    <w:rPr>
      <w:rFonts w:eastAsiaTheme="minorEastAsia"/>
      <w:color w:val="5A5A5A" w:themeColor="text1" w:themeTint="A5"/>
      <w:spacing w:val="15"/>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350">
      <w:bodyDiv w:val="1"/>
      <w:marLeft w:val="0"/>
      <w:marRight w:val="0"/>
      <w:marTop w:val="0"/>
      <w:marBottom w:val="0"/>
      <w:divBdr>
        <w:top w:val="none" w:sz="0" w:space="0" w:color="auto"/>
        <w:left w:val="none" w:sz="0" w:space="0" w:color="auto"/>
        <w:bottom w:val="none" w:sz="0" w:space="0" w:color="auto"/>
        <w:right w:val="none" w:sz="0" w:space="0" w:color="auto"/>
      </w:divBdr>
    </w:div>
    <w:div w:id="70860996">
      <w:bodyDiv w:val="1"/>
      <w:marLeft w:val="0"/>
      <w:marRight w:val="0"/>
      <w:marTop w:val="0"/>
      <w:marBottom w:val="0"/>
      <w:divBdr>
        <w:top w:val="none" w:sz="0" w:space="0" w:color="auto"/>
        <w:left w:val="none" w:sz="0" w:space="0" w:color="auto"/>
        <w:bottom w:val="none" w:sz="0" w:space="0" w:color="auto"/>
        <w:right w:val="none" w:sz="0" w:space="0" w:color="auto"/>
      </w:divBdr>
    </w:div>
    <w:div w:id="123475629">
      <w:bodyDiv w:val="1"/>
      <w:marLeft w:val="0"/>
      <w:marRight w:val="0"/>
      <w:marTop w:val="0"/>
      <w:marBottom w:val="0"/>
      <w:divBdr>
        <w:top w:val="none" w:sz="0" w:space="0" w:color="auto"/>
        <w:left w:val="none" w:sz="0" w:space="0" w:color="auto"/>
        <w:bottom w:val="none" w:sz="0" w:space="0" w:color="auto"/>
        <w:right w:val="none" w:sz="0" w:space="0" w:color="auto"/>
      </w:divBdr>
    </w:div>
    <w:div w:id="183641365">
      <w:bodyDiv w:val="1"/>
      <w:marLeft w:val="0"/>
      <w:marRight w:val="0"/>
      <w:marTop w:val="0"/>
      <w:marBottom w:val="0"/>
      <w:divBdr>
        <w:top w:val="none" w:sz="0" w:space="0" w:color="auto"/>
        <w:left w:val="none" w:sz="0" w:space="0" w:color="auto"/>
        <w:bottom w:val="none" w:sz="0" w:space="0" w:color="auto"/>
        <w:right w:val="none" w:sz="0" w:space="0" w:color="auto"/>
      </w:divBdr>
    </w:div>
    <w:div w:id="210265953">
      <w:bodyDiv w:val="1"/>
      <w:marLeft w:val="0"/>
      <w:marRight w:val="0"/>
      <w:marTop w:val="0"/>
      <w:marBottom w:val="0"/>
      <w:divBdr>
        <w:top w:val="none" w:sz="0" w:space="0" w:color="auto"/>
        <w:left w:val="none" w:sz="0" w:space="0" w:color="auto"/>
        <w:bottom w:val="none" w:sz="0" w:space="0" w:color="auto"/>
        <w:right w:val="none" w:sz="0" w:space="0" w:color="auto"/>
      </w:divBdr>
    </w:div>
    <w:div w:id="228080537">
      <w:bodyDiv w:val="1"/>
      <w:marLeft w:val="0"/>
      <w:marRight w:val="0"/>
      <w:marTop w:val="0"/>
      <w:marBottom w:val="0"/>
      <w:divBdr>
        <w:top w:val="none" w:sz="0" w:space="0" w:color="auto"/>
        <w:left w:val="none" w:sz="0" w:space="0" w:color="auto"/>
        <w:bottom w:val="none" w:sz="0" w:space="0" w:color="auto"/>
        <w:right w:val="none" w:sz="0" w:space="0" w:color="auto"/>
      </w:divBdr>
    </w:div>
    <w:div w:id="265693091">
      <w:bodyDiv w:val="1"/>
      <w:marLeft w:val="0"/>
      <w:marRight w:val="0"/>
      <w:marTop w:val="0"/>
      <w:marBottom w:val="0"/>
      <w:divBdr>
        <w:top w:val="none" w:sz="0" w:space="0" w:color="auto"/>
        <w:left w:val="none" w:sz="0" w:space="0" w:color="auto"/>
        <w:bottom w:val="none" w:sz="0" w:space="0" w:color="auto"/>
        <w:right w:val="none" w:sz="0" w:space="0" w:color="auto"/>
      </w:divBdr>
    </w:div>
    <w:div w:id="346055597">
      <w:bodyDiv w:val="1"/>
      <w:marLeft w:val="0"/>
      <w:marRight w:val="0"/>
      <w:marTop w:val="0"/>
      <w:marBottom w:val="0"/>
      <w:divBdr>
        <w:top w:val="none" w:sz="0" w:space="0" w:color="auto"/>
        <w:left w:val="none" w:sz="0" w:space="0" w:color="auto"/>
        <w:bottom w:val="none" w:sz="0" w:space="0" w:color="auto"/>
        <w:right w:val="none" w:sz="0" w:space="0" w:color="auto"/>
      </w:divBdr>
      <w:divsChild>
        <w:div w:id="1780489099">
          <w:marLeft w:val="547"/>
          <w:marRight w:val="0"/>
          <w:marTop w:val="125"/>
          <w:marBottom w:val="0"/>
          <w:divBdr>
            <w:top w:val="none" w:sz="0" w:space="0" w:color="auto"/>
            <w:left w:val="none" w:sz="0" w:space="0" w:color="auto"/>
            <w:bottom w:val="none" w:sz="0" w:space="0" w:color="auto"/>
            <w:right w:val="none" w:sz="0" w:space="0" w:color="auto"/>
          </w:divBdr>
        </w:div>
        <w:div w:id="232393733">
          <w:marLeft w:val="547"/>
          <w:marRight w:val="0"/>
          <w:marTop w:val="125"/>
          <w:marBottom w:val="0"/>
          <w:divBdr>
            <w:top w:val="none" w:sz="0" w:space="0" w:color="auto"/>
            <w:left w:val="none" w:sz="0" w:space="0" w:color="auto"/>
            <w:bottom w:val="none" w:sz="0" w:space="0" w:color="auto"/>
            <w:right w:val="none" w:sz="0" w:space="0" w:color="auto"/>
          </w:divBdr>
        </w:div>
      </w:divsChild>
    </w:div>
    <w:div w:id="349140117">
      <w:bodyDiv w:val="1"/>
      <w:marLeft w:val="0"/>
      <w:marRight w:val="0"/>
      <w:marTop w:val="0"/>
      <w:marBottom w:val="0"/>
      <w:divBdr>
        <w:top w:val="none" w:sz="0" w:space="0" w:color="auto"/>
        <w:left w:val="none" w:sz="0" w:space="0" w:color="auto"/>
        <w:bottom w:val="none" w:sz="0" w:space="0" w:color="auto"/>
        <w:right w:val="none" w:sz="0" w:space="0" w:color="auto"/>
      </w:divBdr>
      <w:divsChild>
        <w:div w:id="1429081194">
          <w:marLeft w:val="0"/>
          <w:marRight w:val="0"/>
          <w:marTop w:val="0"/>
          <w:marBottom w:val="0"/>
          <w:divBdr>
            <w:top w:val="none" w:sz="0" w:space="0" w:color="auto"/>
            <w:left w:val="none" w:sz="0" w:space="0" w:color="auto"/>
            <w:bottom w:val="none" w:sz="0" w:space="0" w:color="auto"/>
            <w:right w:val="none" w:sz="0" w:space="0" w:color="auto"/>
          </w:divBdr>
          <w:divsChild>
            <w:div w:id="2021077975">
              <w:marLeft w:val="0"/>
              <w:marRight w:val="60"/>
              <w:marTop w:val="0"/>
              <w:marBottom w:val="0"/>
              <w:divBdr>
                <w:top w:val="none" w:sz="0" w:space="0" w:color="auto"/>
                <w:left w:val="none" w:sz="0" w:space="0" w:color="auto"/>
                <w:bottom w:val="none" w:sz="0" w:space="0" w:color="auto"/>
                <w:right w:val="none" w:sz="0" w:space="0" w:color="auto"/>
              </w:divBdr>
              <w:divsChild>
                <w:div w:id="1169172349">
                  <w:marLeft w:val="0"/>
                  <w:marRight w:val="0"/>
                  <w:marTop w:val="0"/>
                  <w:marBottom w:val="120"/>
                  <w:divBdr>
                    <w:top w:val="single" w:sz="6" w:space="0" w:color="C0C0C0"/>
                    <w:left w:val="single" w:sz="6" w:space="0" w:color="D9D9D9"/>
                    <w:bottom w:val="single" w:sz="6" w:space="0" w:color="D9D9D9"/>
                    <w:right w:val="single" w:sz="6" w:space="0" w:color="D9D9D9"/>
                  </w:divBdr>
                  <w:divsChild>
                    <w:div w:id="108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240">
          <w:marLeft w:val="0"/>
          <w:marRight w:val="0"/>
          <w:marTop w:val="0"/>
          <w:marBottom w:val="0"/>
          <w:divBdr>
            <w:top w:val="none" w:sz="0" w:space="0" w:color="auto"/>
            <w:left w:val="none" w:sz="0" w:space="0" w:color="auto"/>
            <w:bottom w:val="none" w:sz="0" w:space="0" w:color="auto"/>
            <w:right w:val="none" w:sz="0" w:space="0" w:color="auto"/>
          </w:divBdr>
          <w:divsChild>
            <w:div w:id="9337766">
              <w:marLeft w:val="60"/>
              <w:marRight w:val="0"/>
              <w:marTop w:val="0"/>
              <w:marBottom w:val="0"/>
              <w:divBdr>
                <w:top w:val="none" w:sz="0" w:space="0" w:color="auto"/>
                <w:left w:val="none" w:sz="0" w:space="0" w:color="auto"/>
                <w:bottom w:val="none" w:sz="0" w:space="0" w:color="auto"/>
                <w:right w:val="none" w:sz="0" w:space="0" w:color="auto"/>
              </w:divBdr>
              <w:divsChild>
                <w:div w:id="896430872">
                  <w:marLeft w:val="0"/>
                  <w:marRight w:val="0"/>
                  <w:marTop w:val="0"/>
                  <w:marBottom w:val="0"/>
                  <w:divBdr>
                    <w:top w:val="none" w:sz="0" w:space="0" w:color="auto"/>
                    <w:left w:val="none" w:sz="0" w:space="0" w:color="auto"/>
                    <w:bottom w:val="none" w:sz="0" w:space="0" w:color="auto"/>
                    <w:right w:val="none" w:sz="0" w:space="0" w:color="auto"/>
                  </w:divBdr>
                  <w:divsChild>
                    <w:div w:id="1255674402">
                      <w:marLeft w:val="0"/>
                      <w:marRight w:val="0"/>
                      <w:marTop w:val="0"/>
                      <w:marBottom w:val="120"/>
                      <w:divBdr>
                        <w:top w:val="single" w:sz="6" w:space="0" w:color="F5F5F5"/>
                        <w:left w:val="single" w:sz="6" w:space="0" w:color="F5F5F5"/>
                        <w:bottom w:val="single" w:sz="6" w:space="0" w:color="F5F5F5"/>
                        <w:right w:val="single" w:sz="6" w:space="0" w:color="F5F5F5"/>
                      </w:divBdr>
                      <w:divsChild>
                        <w:div w:id="671491477">
                          <w:marLeft w:val="0"/>
                          <w:marRight w:val="0"/>
                          <w:marTop w:val="0"/>
                          <w:marBottom w:val="0"/>
                          <w:divBdr>
                            <w:top w:val="none" w:sz="0" w:space="0" w:color="auto"/>
                            <w:left w:val="none" w:sz="0" w:space="0" w:color="auto"/>
                            <w:bottom w:val="none" w:sz="0" w:space="0" w:color="auto"/>
                            <w:right w:val="none" w:sz="0" w:space="0" w:color="auto"/>
                          </w:divBdr>
                          <w:divsChild>
                            <w:div w:id="1223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69525">
      <w:bodyDiv w:val="1"/>
      <w:marLeft w:val="0"/>
      <w:marRight w:val="0"/>
      <w:marTop w:val="0"/>
      <w:marBottom w:val="0"/>
      <w:divBdr>
        <w:top w:val="none" w:sz="0" w:space="0" w:color="auto"/>
        <w:left w:val="none" w:sz="0" w:space="0" w:color="auto"/>
        <w:bottom w:val="none" w:sz="0" w:space="0" w:color="auto"/>
        <w:right w:val="none" w:sz="0" w:space="0" w:color="auto"/>
      </w:divBdr>
    </w:div>
    <w:div w:id="651444427">
      <w:bodyDiv w:val="1"/>
      <w:marLeft w:val="0"/>
      <w:marRight w:val="0"/>
      <w:marTop w:val="0"/>
      <w:marBottom w:val="0"/>
      <w:divBdr>
        <w:top w:val="none" w:sz="0" w:space="0" w:color="auto"/>
        <w:left w:val="none" w:sz="0" w:space="0" w:color="auto"/>
        <w:bottom w:val="none" w:sz="0" w:space="0" w:color="auto"/>
        <w:right w:val="none" w:sz="0" w:space="0" w:color="auto"/>
      </w:divBdr>
    </w:div>
    <w:div w:id="664433772">
      <w:bodyDiv w:val="1"/>
      <w:marLeft w:val="0"/>
      <w:marRight w:val="0"/>
      <w:marTop w:val="0"/>
      <w:marBottom w:val="0"/>
      <w:divBdr>
        <w:top w:val="none" w:sz="0" w:space="0" w:color="auto"/>
        <w:left w:val="none" w:sz="0" w:space="0" w:color="auto"/>
        <w:bottom w:val="none" w:sz="0" w:space="0" w:color="auto"/>
        <w:right w:val="none" w:sz="0" w:space="0" w:color="auto"/>
      </w:divBdr>
    </w:div>
    <w:div w:id="670913164">
      <w:bodyDiv w:val="1"/>
      <w:marLeft w:val="0"/>
      <w:marRight w:val="0"/>
      <w:marTop w:val="0"/>
      <w:marBottom w:val="0"/>
      <w:divBdr>
        <w:top w:val="none" w:sz="0" w:space="0" w:color="auto"/>
        <w:left w:val="none" w:sz="0" w:space="0" w:color="auto"/>
        <w:bottom w:val="none" w:sz="0" w:space="0" w:color="auto"/>
        <w:right w:val="none" w:sz="0" w:space="0" w:color="auto"/>
      </w:divBdr>
    </w:div>
    <w:div w:id="692223344">
      <w:bodyDiv w:val="1"/>
      <w:marLeft w:val="0"/>
      <w:marRight w:val="0"/>
      <w:marTop w:val="0"/>
      <w:marBottom w:val="0"/>
      <w:divBdr>
        <w:top w:val="none" w:sz="0" w:space="0" w:color="auto"/>
        <w:left w:val="none" w:sz="0" w:space="0" w:color="auto"/>
        <w:bottom w:val="none" w:sz="0" w:space="0" w:color="auto"/>
        <w:right w:val="none" w:sz="0" w:space="0" w:color="auto"/>
      </w:divBdr>
    </w:div>
    <w:div w:id="747845350">
      <w:bodyDiv w:val="1"/>
      <w:marLeft w:val="0"/>
      <w:marRight w:val="0"/>
      <w:marTop w:val="0"/>
      <w:marBottom w:val="0"/>
      <w:divBdr>
        <w:top w:val="none" w:sz="0" w:space="0" w:color="auto"/>
        <w:left w:val="none" w:sz="0" w:space="0" w:color="auto"/>
        <w:bottom w:val="none" w:sz="0" w:space="0" w:color="auto"/>
        <w:right w:val="none" w:sz="0" w:space="0" w:color="auto"/>
      </w:divBdr>
    </w:div>
    <w:div w:id="755058272">
      <w:bodyDiv w:val="1"/>
      <w:marLeft w:val="0"/>
      <w:marRight w:val="0"/>
      <w:marTop w:val="0"/>
      <w:marBottom w:val="0"/>
      <w:divBdr>
        <w:top w:val="none" w:sz="0" w:space="0" w:color="auto"/>
        <w:left w:val="none" w:sz="0" w:space="0" w:color="auto"/>
        <w:bottom w:val="none" w:sz="0" w:space="0" w:color="auto"/>
        <w:right w:val="none" w:sz="0" w:space="0" w:color="auto"/>
      </w:divBdr>
    </w:div>
    <w:div w:id="781265155">
      <w:bodyDiv w:val="1"/>
      <w:marLeft w:val="0"/>
      <w:marRight w:val="0"/>
      <w:marTop w:val="0"/>
      <w:marBottom w:val="0"/>
      <w:divBdr>
        <w:top w:val="none" w:sz="0" w:space="0" w:color="auto"/>
        <w:left w:val="none" w:sz="0" w:space="0" w:color="auto"/>
        <w:bottom w:val="none" w:sz="0" w:space="0" w:color="auto"/>
        <w:right w:val="none" w:sz="0" w:space="0" w:color="auto"/>
      </w:divBdr>
    </w:div>
    <w:div w:id="871185451">
      <w:bodyDiv w:val="1"/>
      <w:marLeft w:val="0"/>
      <w:marRight w:val="0"/>
      <w:marTop w:val="0"/>
      <w:marBottom w:val="0"/>
      <w:divBdr>
        <w:top w:val="none" w:sz="0" w:space="0" w:color="auto"/>
        <w:left w:val="none" w:sz="0" w:space="0" w:color="auto"/>
        <w:bottom w:val="none" w:sz="0" w:space="0" w:color="auto"/>
        <w:right w:val="none" w:sz="0" w:space="0" w:color="auto"/>
      </w:divBdr>
    </w:div>
    <w:div w:id="874392621">
      <w:bodyDiv w:val="1"/>
      <w:marLeft w:val="0"/>
      <w:marRight w:val="0"/>
      <w:marTop w:val="0"/>
      <w:marBottom w:val="0"/>
      <w:divBdr>
        <w:top w:val="none" w:sz="0" w:space="0" w:color="auto"/>
        <w:left w:val="none" w:sz="0" w:space="0" w:color="auto"/>
        <w:bottom w:val="none" w:sz="0" w:space="0" w:color="auto"/>
        <w:right w:val="none" w:sz="0" w:space="0" w:color="auto"/>
      </w:divBdr>
    </w:div>
    <w:div w:id="906917223">
      <w:bodyDiv w:val="1"/>
      <w:marLeft w:val="0"/>
      <w:marRight w:val="0"/>
      <w:marTop w:val="0"/>
      <w:marBottom w:val="0"/>
      <w:divBdr>
        <w:top w:val="none" w:sz="0" w:space="0" w:color="auto"/>
        <w:left w:val="none" w:sz="0" w:space="0" w:color="auto"/>
        <w:bottom w:val="none" w:sz="0" w:space="0" w:color="auto"/>
        <w:right w:val="none" w:sz="0" w:space="0" w:color="auto"/>
      </w:divBdr>
    </w:div>
    <w:div w:id="972826696">
      <w:bodyDiv w:val="1"/>
      <w:marLeft w:val="0"/>
      <w:marRight w:val="0"/>
      <w:marTop w:val="0"/>
      <w:marBottom w:val="0"/>
      <w:divBdr>
        <w:top w:val="none" w:sz="0" w:space="0" w:color="auto"/>
        <w:left w:val="none" w:sz="0" w:space="0" w:color="auto"/>
        <w:bottom w:val="none" w:sz="0" w:space="0" w:color="auto"/>
        <w:right w:val="none" w:sz="0" w:space="0" w:color="auto"/>
      </w:divBdr>
    </w:div>
    <w:div w:id="980227223">
      <w:bodyDiv w:val="1"/>
      <w:marLeft w:val="0"/>
      <w:marRight w:val="0"/>
      <w:marTop w:val="0"/>
      <w:marBottom w:val="0"/>
      <w:divBdr>
        <w:top w:val="none" w:sz="0" w:space="0" w:color="auto"/>
        <w:left w:val="none" w:sz="0" w:space="0" w:color="auto"/>
        <w:bottom w:val="none" w:sz="0" w:space="0" w:color="auto"/>
        <w:right w:val="none" w:sz="0" w:space="0" w:color="auto"/>
      </w:divBdr>
    </w:div>
    <w:div w:id="980354312">
      <w:bodyDiv w:val="1"/>
      <w:marLeft w:val="0"/>
      <w:marRight w:val="0"/>
      <w:marTop w:val="0"/>
      <w:marBottom w:val="0"/>
      <w:divBdr>
        <w:top w:val="none" w:sz="0" w:space="0" w:color="auto"/>
        <w:left w:val="none" w:sz="0" w:space="0" w:color="auto"/>
        <w:bottom w:val="none" w:sz="0" w:space="0" w:color="auto"/>
        <w:right w:val="none" w:sz="0" w:space="0" w:color="auto"/>
      </w:divBdr>
    </w:div>
    <w:div w:id="1075664695">
      <w:bodyDiv w:val="1"/>
      <w:marLeft w:val="0"/>
      <w:marRight w:val="0"/>
      <w:marTop w:val="0"/>
      <w:marBottom w:val="0"/>
      <w:divBdr>
        <w:top w:val="none" w:sz="0" w:space="0" w:color="auto"/>
        <w:left w:val="none" w:sz="0" w:space="0" w:color="auto"/>
        <w:bottom w:val="none" w:sz="0" w:space="0" w:color="auto"/>
        <w:right w:val="none" w:sz="0" w:space="0" w:color="auto"/>
      </w:divBdr>
    </w:div>
    <w:div w:id="1170753839">
      <w:bodyDiv w:val="1"/>
      <w:marLeft w:val="0"/>
      <w:marRight w:val="0"/>
      <w:marTop w:val="0"/>
      <w:marBottom w:val="0"/>
      <w:divBdr>
        <w:top w:val="none" w:sz="0" w:space="0" w:color="auto"/>
        <w:left w:val="none" w:sz="0" w:space="0" w:color="auto"/>
        <w:bottom w:val="none" w:sz="0" w:space="0" w:color="auto"/>
        <w:right w:val="none" w:sz="0" w:space="0" w:color="auto"/>
      </w:divBdr>
    </w:div>
    <w:div w:id="1187326676">
      <w:bodyDiv w:val="1"/>
      <w:marLeft w:val="0"/>
      <w:marRight w:val="0"/>
      <w:marTop w:val="0"/>
      <w:marBottom w:val="0"/>
      <w:divBdr>
        <w:top w:val="none" w:sz="0" w:space="0" w:color="auto"/>
        <w:left w:val="none" w:sz="0" w:space="0" w:color="auto"/>
        <w:bottom w:val="none" w:sz="0" w:space="0" w:color="auto"/>
        <w:right w:val="none" w:sz="0" w:space="0" w:color="auto"/>
      </w:divBdr>
    </w:div>
    <w:div w:id="1381856901">
      <w:bodyDiv w:val="1"/>
      <w:marLeft w:val="0"/>
      <w:marRight w:val="0"/>
      <w:marTop w:val="0"/>
      <w:marBottom w:val="0"/>
      <w:divBdr>
        <w:top w:val="none" w:sz="0" w:space="0" w:color="auto"/>
        <w:left w:val="none" w:sz="0" w:space="0" w:color="auto"/>
        <w:bottom w:val="none" w:sz="0" w:space="0" w:color="auto"/>
        <w:right w:val="none" w:sz="0" w:space="0" w:color="auto"/>
      </w:divBdr>
    </w:div>
    <w:div w:id="1410224755">
      <w:bodyDiv w:val="1"/>
      <w:marLeft w:val="0"/>
      <w:marRight w:val="0"/>
      <w:marTop w:val="0"/>
      <w:marBottom w:val="0"/>
      <w:divBdr>
        <w:top w:val="none" w:sz="0" w:space="0" w:color="auto"/>
        <w:left w:val="none" w:sz="0" w:space="0" w:color="auto"/>
        <w:bottom w:val="none" w:sz="0" w:space="0" w:color="auto"/>
        <w:right w:val="none" w:sz="0" w:space="0" w:color="auto"/>
      </w:divBdr>
    </w:div>
    <w:div w:id="1430202653">
      <w:bodyDiv w:val="1"/>
      <w:marLeft w:val="0"/>
      <w:marRight w:val="0"/>
      <w:marTop w:val="0"/>
      <w:marBottom w:val="0"/>
      <w:divBdr>
        <w:top w:val="none" w:sz="0" w:space="0" w:color="auto"/>
        <w:left w:val="none" w:sz="0" w:space="0" w:color="auto"/>
        <w:bottom w:val="none" w:sz="0" w:space="0" w:color="auto"/>
        <w:right w:val="none" w:sz="0" w:space="0" w:color="auto"/>
      </w:divBdr>
    </w:div>
    <w:div w:id="1495991012">
      <w:bodyDiv w:val="1"/>
      <w:marLeft w:val="0"/>
      <w:marRight w:val="0"/>
      <w:marTop w:val="0"/>
      <w:marBottom w:val="0"/>
      <w:divBdr>
        <w:top w:val="none" w:sz="0" w:space="0" w:color="auto"/>
        <w:left w:val="none" w:sz="0" w:space="0" w:color="auto"/>
        <w:bottom w:val="none" w:sz="0" w:space="0" w:color="auto"/>
        <w:right w:val="none" w:sz="0" w:space="0" w:color="auto"/>
      </w:divBdr>
    </w:div>
    <w:div w:id="1710035295">
      <w:bodyDiv w:val="1"/>
      <w:marLeft w:val="0"/>
      <w:marRight w:val="0"/>
      <w:marTop w:val="0"/>
      <w:marBottom w:val="0"/>
      <w:divBdr>
        <w:top w:val="none" w:sz="0" w:space="0" w:color="auto"/>
        <w:left w:val="none" w:sz="0" w:space="0" w:color="auto"/>
        <w:bottom w:val="none" w:sz="0" w:space="0" w:color="auto"/>
        <w:right w:val="none" w:sz="0" w:space="0" w:color="auto"/>
      </w:divBdr>
    </w:div>
    <w:div w:id="1719278655">
      <w:bodyDiv w:val="1"/>
      <w:marLeft w:val="0"/>
      <w:marRight w:val="0"/>
      <w:marTop w:val="0"/>
      <w:marBottom w:val="0"/>
      <w:divBdr>
        <w:top w:val="none" w:sz="0" w:space="0" w:color="auto"/>
        <w:left w:val="none" w:sz="0" w:space="0" w:color="auto"/>
        <w:bottom w:val="none" w:sz="0" w:space="0" w:color="auto"/>
        <w:right w:val="none" w:sz="0" w:space="0" w:color="auto"/>
      </w:divBdr>
    </w:div>
    <w:div w:id="1775586840">
      <w:bodyDiv w:val="1"/>
      <w:marLeft w:val="0"/>
      <w:marRight w:val="0"/>
      <w:marTop w:val="0"/>
      <w:marBottom w:val="0"/>
      <w:divBdr>
        <w:top w:val="none" w:sz="0" w:space="0" w:color="auto"/>
        <w:left w:val="none" w:sz="0" w:space="0" w:color="auto"/>
        <w:bottom w:val="none" w:sz="0" w:space="0" w:color="auto"/>
        <w:right w:val="none" w:sz="0" w:space="0" w:color="auto"/>
      </w:divBdr>
    </w:div>
    <w:div w:id="1830098175">
      <w:bodyDiv w:val="1"/>
      <w:marLeft w:val="0"/>
      <w:marRight w:val="0"/>
      <w:marTop w:val="0"/>
      <w:marBottom w:val="0"/>
      <w:divBdr>
        <w:top w:val="none" w:sz="0" w:space="0" w:color="auto"/>
        <w:left w:val="none" w:sz="0" w:space="0" w:color="auto"/>
        <w:bottom w:val="none" w:sz="0" w:space="0" w:color="auto"/>
        <w:right w:val="none" w:sz="0" w:space="0" w:color="auto"/>
      </w:divBdr>
    </w:div>
    <w:div w:id="1864827254">
      <w:bodyDiv w:val="1"/>
      <w:marLeft w:val="0"/>
      <w:marRight w:val="0"/>
      <w:marTop w:val="0"/>
      <w:marBottom w:val="0"/>
      <w:divBdr>
        <w:top w:val="none" w:sz="0" w:space="0" w:color="auto"/>
        <w:left w:val="none" w:sz="0" w:space="0" w:color="auto"/>
        <w:bottom w:val="none" w:sz="0" w:space="0" w:color="auto"/>
        <w:right w:val="none" w:sz="0" w:space="0" w:color="auto"/>
      </w:divBdr>
    </w:div>
    <w:div w:id="1875384218">
      <w:bodyDiv w:val="1"/>
      <w:marLeft w:val="0"/>
      <w:marRight w:val="0"/>
      <w:marTop w:val="0"/>
      <w:marBottom w:val="0"/>
      <w:divBdr>
        <w:top w:val="none" w:sz="0" w:space="0" w:color="auto"/>
        <w:left w:val="none" w:sz="0" w:space="0" w:color="auto"/>
        <w:bottom w:val="none" w:sz="0" w:space="0" w:color="auto"/>
        <w:right w:val="none" w:sz="0" w:space="0" w:color="auto"/>
      </w:divBdr>
    </w:div>
    <w:div w:id="1879774946">
      <w:bodyDiv w:val="1"/>
      <w:marLeft w:val="0"/>
      <w:marRight w:val="0"/>
      <w:marTop w:val="0"/>
      <w:marBottom w:val="0"/>
      <w:divBdr>
        <w:top w:val="none" w:sz="0" w:space="0" w:color="auto"/>
        <w:left w:val="none" w:sz="0" w:space="0" w:color="auto"/>
        <w:bottom w:val="none" w:sz="0" w:space="0" w:color="auto"/>
        <w:right w:val="none" w:sz="0" w:space="0" w:color="auto"/>
      </w:divBdr>
    </w:div>
    <w:div w:id="1971666257">
      <w:bodyDiv w:val="1"/>
      <w:marLeft w:val="0"/>
      <w:marRight w:val="0"/>
      <w:marTop w:val="0"/>
      <w:marBottom w:val="0"/>
      <w:divBdr>
        <w:top w:val="none" w:sz="0" w:space="0" w:color="auto"/>
        <w:left w:val="none" w:sz="0" w:space="0" w:color="auto"/>
        <w:bottom w:val="none" w:sz="0" w:space="0" w:color="auto"/>
        <w:right w:val="none" w:sz="0" w:space="0" w:color="auto"/>
      </w:divBdr>
    </w:div>
    <w:div w:id="2035957804">
      <w:bodyDiv w:val="1"/>
      <w:marLeft w:val="0"/>
      <w:marRight w:val="0"/>
      <w:marTop w:val="0"/>
      <w:marBottom w:val="0"/>
      <w:divBdr>
        <w:top w:val="none" w:sz="0" w:space="0" w:color="auto"/>
        <w:left w:val="none" w:sz="0" w:space="0" w:color="auto"/>
        <w:bottom w:val="none" w:sz="0" w:space="0" w:color="auto"/>
        <w:right w:val="none" w:sz="0" w:space="0" w:color="auto"/>
      </w:divBdr>
    </w:div>
    <w:div w:id="21249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09/450/90/PDF/N0945090.pdf?OpenElement" TargetMode="External"/><Relationship Id="rId3" Type="http://schemas.openxmlformats.org/officeDocument/2006/relationships/hyperlink" Target="http://www.corteidh.or.cr/docs/asuntos/poblete_21_09_17.pdf" TargetMode="External"/><Relationship Id="rId7" Type="http://schemas.openxmlformats.org/officeDocument/2006/relationships/hyperlink" Target="https://www.coe.int/en/web/conventions/full-list/-/conventions/treaty/164" TargetMode="External"/><Relationship Id="rId2" Type="http://schemas.openxmlformats.org/officeDocument/2006/relationships/hyperlink" Target="http://www.corteidh.or.cr/docs/asuntos/poblete_21_09_17.pdf" TargetMode="External"/><Relationship Id="rId1" Type="http://schemas.openxmlformats.org/officeDocument/2006/relationships/hyperlink" Target="http://www.corteidh.or.cr/docs/asuntos/poblete_25_11_16.pdf" TargetMode="External"/><Relationship Id="rId6" Type="http://schemas.openxmlformats.org/officeDocument/2006/relationships/hyperlink" Target="http://esa.un.org/unpd/wpp/" TargetMode="External"/><Relationship Id="rId5" Type="http://schemas.openxmlformats.org/officeDocument/2006/relationships/hyperlink" Target="http://www.oas.org/es/sla/ddi/tratados_multilaterales_interamericanos_A-41_carta_OEA.asp" TargetMode="External"/><Relationship Id="rId4" Type="http://schemas.openxmlformats.org/officeDocument/2006/relationships/hyperlink" Target="https://www.reclamos.cl/empresa/hospital_s_tero_del_r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2E36-E7C0-4B8D-8B38-606914D2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4BC590-28B5-4743-B898-205C07CDC597}">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5683C95-A841-4BE2-ADBA-55816544F322}">
  <ds:schemaRefs>
    <ds:schemaRef ds:uri="http://schemas.microsoft.com/sharepoint/v3/contenttype/forms"/>
  </ds:schemaRefs>
</ds:datastoreItem>
</file>

<file path=customXml/itemProps4.xml><?xml version="1.0" encoding="utf-8"?>
<ds:datastoreItem xmlns:ds="http://schemas.openxmlformats.org/officeDocument/2006/customXml" ds:itemID="{3336DF6D-2BAF-48AE-B23F-EF2A2E8A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90</Pages>
  <Words>36805</Words>
  <Characters>209790</Characters>
  <Application>Microsoft Office Word</Application>
  <DocSecurity>0</DocSecurity>
  <Lines>1748</Lines>
  <Paragraphs>492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246103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3</cp:revision>
  <cp:lastPrinted>2018-06-21T19:28:00Z</cp:lastPrinted>
  <dcterms:created xsi:type="dcterms:W3CDTF">2018-06-21T22:46:00Z</dcterms:created>
  <dcterms:modified xsi:type="dcterms:W3CDTF">2018-06-21T23:11:00Z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y fmtid="{D5CDD505-2E9C-101B-9397-08002B2CF9AE}" pid="3" name="_DocHome">
    <vt:i4>683061634</vt:i4>
  </property>
</Properties>
</file>