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459F6" w14:textId="0FD20EDA" w:rsidR="00AF7CB6" w:rsidRPr="00975C02" w:rsidRDefault="00AF7CB6" w:rsidP="00030E2E">
      <w:pPr>
        <w:spacing w:line="240" w:lineRule="auto"/>
        <w:ind w:left="1416" w:hanging="1416"/>
        <w:rPr>
          <w:rFonts w:eastAsia="Calibri" w:cs="Calibri"/>
          <w:b/>
          <w:sz w:val="20"/>
          <w:szCs w:val="20"/>
          <w:lang w:val="es-ES"/>
        </w:rPr>
      </w:pPr>
    </w:p>
    <w:p w14:paraId="334BE612" w14:textId="77777777" w:rsidR="006C37C9" w:rsidRPr="00975C02" w:rsidRDefault="006C37C9" w:rsidP="006C37C9">
      <w:pPr>
        <w:spacing w:line="240" w:lineRule="auto"/>
        <w:rPr>
          <w:rFonts w:eastAsia="Calibri" w:cs="Calibri"/>
          <w:b/>
          <w:sz w:val="20"/>
          <w:szCs w:val="20"/>
          <w:lang w:val="es-ES"/>
        </w:rPr>
      </w:pPr>
    </w:p>
    <w:p w14:paraId="01C600C2" w14:textId="77777777" w:rsidR="006C37C9" w:rsidRPr="00975C02" w:rsidRDefault="006C37C9" w:rsidP="006C37C9">
      <w:pPr>
        <w:spacing w:line="240" w:lineRule="auto"/>
        <w:rPr>
          <w:rFonts w:eastAsia="Calibri" w:cs="Calibri"/>
          <w:b/>
          <w:sz w:val="20"/>
          <w:szCs w:val="20"/>
          <w:lang w:val="es-ES"/>
        </w:rPr>
      </w:pPr>
    </w:p>
    <w:p w14:paraId="2417C4A5" w14:textId="77777777" w:rsidR="006C37C9" w:rsidRPr="00975C02" w:rsidRDefault="006C37C9" w:rsidP="006C37C9">
      <w:pPr>
        <w:spacing w:line="240" w:lineRule="auto"/>
        <w:jc w:val="center"/>
        <w:rPr>
          <w:rFonts w:eastAsia="Calibri" w:cs="Calibri"/>
          <w:b/>
          <w:sz w:val="20"/>
          <w:szCs w:val="20"/>
          <w:lang w:val="es-ES"/>
        </w:rPr>
      </w:pPr>
    </w:p>
    <w:p w14:paraId="3EDFA594" w14:textId="77777777" w:rsidR="006C37C9" w:rsidRPr="00975C02" w:rsidRDefault="006C37C9" w:rsidP="006C37C9">
      <w:pPr>
        <w:spacing w:line="240" w:lineRule="auto"/>
        <w:jc w:val="center"/>
        <w:rPr>
          <w:rFonts w:eastAsia="Calibri" w:cs="Calibri"/>
          <w:b/>
          <w:sz w:val="20"/>
          <w:szCs w:val="20"/>
          <w:lang w:val="es-ES"/>
        </w:rPr>
      </w:pPr>
    </w:p>
    <w:p w14:paraId="24DFF75F" w14:textId="77777777" w:rsidR="006C37C9" w:rsidRPr="00975C02" w:rsidRDefault="006C37C9" w:rsidP="006C37C9">
      <w:pPr>
        <w:spacing w:line="240" w:lineRule="auto"/>
        <w:jc w:val="center"/>
        <w:rPr>
          <w:rFonts w:eastAsia="Calibri" w:cs="Calibri"/>
          <w:b/>
          <w:sz w:val="20"/>
          <w:szCs w:val="20"/>
          <w:lang w:val="es-ES"/>
        </w:rPr>
      </w:pPr>
      <w:r w:rsidRPr="00975C02">
        <w:rPr>
          <w:rFonts w:eastAsia="Calibri" w:cs="Calibri"/>
          <w:b/>
          <w:sz w:val="20"/>
          <w:szCs w:val="20"/>
          <w:lang w:val="es-ES"/>
        </w:rPr>
        <w:t>CORTE INTERAMERICANA DE DERECHOS HUMANOS</w:t>
      </w:r>
    </w:p>
    <w:p w14:paraId="3F21B627" w14:textId="77777777" w:rsidR="006C37C9" w:rsidRPr="00975C02" w:rsidRDefault="006C37C9" w:rsidP="006C37C9">
      <w:pPr>
        <w:tabs>
          <w:tab w:val="left" w:pos="720"/>
        </w:tabs>
        <w:spacing w:line="240" w:lineRule="auto"/>
        <w:jc w:val="center"/>
        <w:rPr>
          <w:rFonts w:eastAsia="Calibri" w:cs="Verdana"/>
          <w:b/>
          <w:bCs/>
          <w:caps/>
          <w:snapToGrid w:val="0"/>
          <w:sz w:val="20"/>
          <w:szCs w:val="20"/>
          <w:lang w:val="es-ES" w:eastAsia="es-ES"/>
        </w:rPr>
      </w:pPr>
    </w:p>
    <w:p w14:paraId="0B55CA51" w14:textId="023DE652" w:rsidR="006C37C9" w:rsidRPr="00975C02" w:rsidRDefault="006C37C9" w:rsidP="006C37C9">
      <w:pPr>
        <w:spacing w:line="240" w:lineRule="auto"/>
        <w:jc w:val="center"/>
        <w:rPr>
          <w:rFonts w:eastAsia="Calibri" w:cs="Calibri"/>
          <w:b/>
          <w:sz w:val="20"/>
          <w:szCs w:val="20"/>
          <w:lang w:val="es-ES"/>
        </w:rPr>
      </w:pPr>
      <w:r w:rsidRPr="00975C02">
        <w:rPr>
          <w:rFonts w:eastAsia="Calibri" w:cs="Calibri"/>
          <w:b/>
          <w:sz w:val="20"/>
          <w:szCs w:val="20"/>
          <w:lang w:val="es-ES"/>
        </w:rPr>
        <w:t xml:space="preserve">CASO </w:t>
      </w:r>
      <w:r w:rsidR="00B824B2" w:rsidRPr="00975C02">
        <w:rPr>
          <w:rFonts w:eastAsia="Calibri" w:cs="Calibri"/>
          <w:b/>
          <w:sz w:val="20"/>
          <w:szCs w:val="20"/>
          <w:lang w:val="es-ES"/>
        </w:rPr>
        <w:t>V.R.P</w:t>
      </w:r>
      <w:r w:rsidRPr="00975C02">
        <w:rPr>
          <w:rFonts w:eastAsia="Calibri" w:cs="Calibri"/>
          <w:b/>
          <w:sz w:val="20"/>
          <w:szCs w:val="20"/>
          <w:lang w:val="es-ES"/>
        </w:rPr>
        <w:t>.</w:t>
      </w:r>
      <w:r w:rsidR="005F1C88" w:rsidRPr="00975C02">
        <w:rPr>
          <w:rFonts w:eastAsia="Calibri" w:cs="Calibri"/>
          <w:b/>
          <w:sz w:val="20"/>
          <w:szCs w:val="20"/>
          <w:lang w:val="es-ES"/>
        </w:rPr>
        <w:t>,</w:t>
      </w:r>
      <w:r w:rsidR="00B824B2" w:rsidRPr="00975C02">
        <w:rPr>
          <w:rFonts w:eastAsia="Calibri" w:cs="Calibri"/>
          <w:b/>
          <w:sz w:val="20"/>
          <w:szCs w:val="20"/>
          <w:lang w:val="es-ES"/>
        </w:rPr>
        <w:t xml:space="preserve"> V.P.C.</w:t>
      </w:r>
      <w:r w:rsidRPr="00975C02">
        <w:rPr>
          <w:rStyle w:val="FootnoteReference"/>
          <w:rFonts w:eastAsia="Calibri" w:cs="Calibri"/>
          <w:b/>
          <w:sz w:val="20"/>
          <w:szCs w:val="20"/>
          <w:lang w:val="es-ES"/>
        </w:rPr>
        <w:footnoteReference w:customMarkFollows="1" w:id="1"/>
        <w:t>*</w:t>
      </w:r>
      <w:r w:rsidRPr="00975C02">
        <w:rPr>
          <w:rFonts w:eastAsia="Calibri" w:cs="Calibri"/>
          <w:b/>
          <w:sz w:val="20"/>
          <w:szCs w:val="20"/>
          <w:lang w:val="es-ES"/>
        </w:rPr>
        <w:t xml:space="preserve"> </w:t>
      </w:r>
      <w:r w:rsidR="001A6085" w:rsidRPr="00975C02">
        <w:rPr>
          <w:rFonts w:eastAsia="Calibri" w:cs="Calibri"/>
          <w:b/>
          <w:sz w:val="20"/>
          <w:szCs w:val="20"/>
          <w:lang w:val="es-ES"/>
        </w:rPr>
        <w:t xml:space="preserve">Y </w:t>
      </w:r>
      <w:r w:rsidR="00F42900" w:rsidRPr="00975C02">
        <w:rPr>
          <w:rFonts w:eastAsia="Calibri" w:cs="Calibri"/>
          <w:b/>
          <w:sz w:val="20"/>
          <w:szCs w:val="20"/>
          <w:lang w:val="es-ES"/>
        </w:rPr>
        <w:t>OTROS</w:t>
      </w:r>
      <w:r w:rsidR="001A6085" w:rsidRPr="00975C02">
        <w:rPr>
          <w:rFonts w:eastAsia="Calibri" w:cs="Calibri"/>
          <w:b/>
          <w:sz w:val="20"/>
          <w:szCs w:val="20"/>
          <w:lang w:val="es-ES"/>
        </w:rPr>
        <w:t xml:space="preserve"> </w:t>
      </w:r>
      <w:r w:rsidRPr="00975C02">
        <w:rPr>
          <w:rFonts w:eastAsia="Calibri" w:cs="Calibri"/>
          <w:b/>
          <w:i/>
          <w:sz w:val="20"/>
          <w:szCs w:val="20"/>
          <w:lang w:val="es-ES"/>
        </w:rPr>
        <w:t>VS</w:t>
      </w:r>
      <w:r w:rsidRPr="00975C02">
        <w:rPr>
          <w:rFonts w:eastAsia="Calibri" w:cs="Calibri"/>
          <w:b/>
          <w:sz w:val="20"/>
          <w:szCs w:val="20"/>
          <w:lang w:val="es-ES"/>
        </w:rPr>
        <w:t xml:space="preserve">. </w:t>
      </w:r>
      <w:r w:rsidR="00B824B2" w:rsidRPr="00975C02">
        <w:rPr>
          <w:rFonts w:eastAsia="Calibri" w:cs="Calibri"/>
          <w:b/>
          <w:sz w:val="20"/>
          <w:szCs w:val="20"/>
          <w:lang w:val="es-ES"/>
        </w:rPr>
        <w:t>NICARAGUA</w:t>
      </w:r>
    </w:p>
    <w:p w14:paraId="753F3839" w14:textId="77777777" w:rsidR="006C37C9" w:rsidRPr="00975C02" w:rsidRDefault="006C37C9" w:rsidP="006C37C9">
      <w:pPr>
        <w:tabs>
          <w:tab w:val="left" w:pos="720"/>
        </w:tabs>
        <w:spacing w:line="240" w:lineRule="auto"/>
        <w:jc w:val="center"/>
        <w:rPr>
          <w:rFonts w:eastAsia="Calibri" w:cs="Verdana"/>
          <w:b/>
          <w:bCs/>
          <w:caps/>
          <w:snapToGrid w:val="0"/>
          <w:sz w:val="20"/>
          <w:szCs w:val="20"/>
          <w:lang w:val="es-ES" w:eastAsia="es-ES"/>
        </w:rPr>
      </w:pPr>
    </w:p>
    <w:p w14:paraId="155CE8C2" w14:textId="73BD50CC" w:rsidR="006C37C9" w:rsidRPr="00975C02" w:rsidRDefault="006C37C9" w:rsidP="006C37C9">
      <w:pPr>
        <w:tabs>
          <w:tab w:val="left" w:pos="720"/>
        </w:tabs>
        <w:spacing w:line="240" w:lineRule="auto"/>
        <w:jc w:val="center"/>
        <w:rPr>
          <w:rFonts w:eastAsia="Calibri" w:cs="Verdana"/>
          <w:b/>
          <w:bCs/>
          <w:snapToGrid w:val="0"/>
          <w:sz w:val="20"/>
          <w:szCs w:val="20"/>
          <w:lang w:val="es-ES" w:eastAsia="es-ES"/>
        </w:rPr>
      </w:pPr>
      <w:r w:rsidRPr="00975C02">
        <w:rPr>
          <w:rFonts w:eastAsia="Calibri" w:cs="Verdana"/>
          <w:b/>
          <w:bCs/>
          <w:snapToGrid w:val="0"/>
          <w:sz w:val="20"/>
          <w:szCs w:val="20"/>
          <w:lang w:val="es-ES" w:eastAsia="es-ES"/>
        </w:rPr>
        <w:t xml:space="preserve">SENTENCIA DE </w:t>
      </w:r>
      <w:r w:rsidR="001A29DE" w:rsidRPr="00975C02">
        <w:rPr>
          <w:rFonts w:eastAsia="Calibri" w:cs="Verdana"/>
          <w:b/>
          <w:bCs/>
          <w:snapToGrid w:val="0"/>
          <w:sz w:val="20"/>
          <w:szCs w:val="20"/>
          <w:lang w:val="es-ES" w:eastAsia="es-ES"/>
        </w:rPr>
        <w:t xml:space="preserve">8 </w:t>
      </w:r>
      <w:r w:rsidR="00FB359E" w:rsidRPr="00975C02">
        <w:rPr>
          <w:rFonts w:eastAsia="Calibri" w:cs="Verdana"/>
          <w:b/>
          <w:bCs/>
          <w:snapToGrid w:val="0"/>
          <w:sz w:val="20"/>
          <w:szCs w:val="20"/>
          <w:lang w:val="es-ES" w:eastAsia="es-ES"/>
        </w:rPr>
        <w:t xml:space="preserve">DE </w:t>
      </w:r>
      <w:r w:rsidR="00CD3A46" w:rsidRPr="00975C02">
        <w:rPr>
          <w:rFonts w:eastAsia="Calibri" w:cs="Verdana"/>
          <w:b/>
          <w:bCs/>
          <w:snapToGrid w:val="0"/>
          <w:sz w:val="20"/>
          <w:szCs w:val="20"/>
          <w:lang w:val="es-ES" w:eastAsia="es-ES"/>
        </w:rPr>
        <w:t>MARZO</w:t>
      </w:r>
      <w:r w:rsidR="00FB359E" w:rsidRPr="00975C02">
        <w:rPr>
          <w:rFonts w:eastAsia="Calibri" w:cs="Verdana"/>
          <w:b/>
          <w:bCs/>
          <w:snapToGrid w:val="0"/>
          <w:sz w:val="20"/>
          <w:szCs w:val="20"/>
          <w:lang w:val="es-ES" w:eastAsia="es-ES"/>
        </w:rPr>
        <w:t xml:space="preserve"> DE 2018</w:t>
      </w:r>
    </w:p>
    <w:p w14:paraId="285A0C4E" w14:textId="77777777" w:rsidR="006C37C9" w:rsidRPr="00975C02" w:rsidRDefault="006C37C9" w:rsidP="006C37C9">
      <w:pPr>
        <w:tabs>
          <w:tab w:val="left" w:pos="720"/>
        </w:tabs>
        <w:spacing w:line="240" w:lineRule="auto"/>
        <w:jc w:val="center"/>
        <w:rPr>
          <w:rFonts w:eastAsia="Calibri" w:cs="Verdana"/>
          <w:b/>
          <w:bCs/>
          <w:caps/>
          <w:snapToGrid w:val="0"/>
          <w:sz w:val="20"/>
          <w:szCs w:val="20"/>
          <w:lang w:val="es-ES" w:eastAsia="es-ES"/>
        </w:rPr>
      </w:pPr>
    </w:p>
    <w:p w14:paraId="2196DE29" w14:textId="77777777" w:rsidR="006C37C9" w:rsidRPr="00975C02" w:rsidRDefault="006C37C9" w:rsidP="006C37C9">
      <w:pPr>
        <w:tabs>
          <w:tab w:val="left" w:pos="720"/>
        </w:tabs>
        <w:spacing w:line="240" w:lineRule="auto"/>
        <w:jc w:val="center"/>
        <w:rPr>
          <w:rFonts w:eastAsia="Calibri" w:cs="Verdana"/>
          <w:b/>
          <w:bCs/>
          <w:caps/>
          <w:snapToGrid w:val="0"/>
          <w:sz w:val="20"/>
          <w:szCs w:val="20"/>
          <w:lang w:val="es-ES" w:eastAsia="es-ES"/>
        </w:rPr>
      </w:pPr>
      <w:r w:rsidRPr="00975C02">
        <w:rPr>
          <w:rFonts w:eastAsia="Calibri" w:cs="Verdana"/>
          <w:b/>
          <w:bCs/>
          <w:i/>
          <w:iCs/>
          <w:snapToGrid w:val="0"/>
          <w:sz w:val="20"/>
          <w:szCs w:val="20"/>
          <w:lang w:val="es-ES" w:eastAsia="es-ES"/>
        </w:rPr>
        <w:t>(Exce</w:t>
      </w:r>
      <w:bookmarkStart w:id="0" w:name="_GoBack"/>
      <w:bookmarkEnd w:id="0"/>
      <w:r w:rsidRPr="00975C02">
        <w:rPr>
          <w:rFonts w:eastAsia="Calibri" w:cs="Verdana"/>
          <w:b/>
          <w:bCs/>
          <w:i/>
          <w:iCs/>
          <w:snapToGrid w:val="0"/>
          <w:sz w:val="20"/>
          <w:szCs w:val="20"/>
          <w:lang w:val="es-ES" w:eastAsia="es-ES"/>
        </w:rPr>
        <w:t>pciones Preliminares, Fondo, Reparaciones y Costas)</w:t>
      </w:r>
    </w:p>
    <w:p w14:paraId="33D58BDC" w14:textId="77777777" w:rsidR="006C37C9" w:rsidRPr="00975C02" w:rsidRDefault="006C37C9" w:rsidP="006C37C9">
      <w:pPr>
        <w:spacing w:before="4" w:line="280" w:lineRule="exact"/>
        <w:rPr>
          <w:rFonts w:ascii="Calibri" w:eastAsia="Calibri" w:hAnsi="Calibri"/>
          <w:sz w:val="28"/>
          <w:szCs w:val="28"/>
          <w:lang w:val="es-ES"/>
        </w:rPr>
      </w:pPr>
    </w:p>
    <w:p w14:paraId="22633CE8" w14:textId="77777777" w:rsidR="006C37C9" w:rsidRPr="00975C02" w:rsidRDefault="006C37C9" w:rsidP="006C37C9">
      <w:pPr>
        <w:spacing w:before="4" w:line="280" w:lineRule="exact"/>
        <w:rPr>
          <w:rFonts w:ascii="Calibri" w:eastAsia="Calibri" w:hAnsi="Calibri"/>
          <w:sz w:val="28"/>
          <w:szCs w:val="28"/>
          <w:lang w:val="es-ES"/>
        </w:rPr>
      </w:pPr>
    </w:p>
    <w:p w14:paraId="54245CC8" w14:textId="77777777" w:rsidR="006C37C9" w:rsidRPr="00975C02" w:rsidRDefault="006C37C9" w:rsidP="006C37C9">
      <w:pPr>
        <w:spacing w:before="4" w:line="280" w:lineRule="exact"/>
        <w:rPr>
          <w:rFonts w:ascii="Calibri" w:eastAsia="Calibri" w:hAnsi="Calibri"/>
          <w:sz w:val="28"/>
          <w:szCs w:val="28"/>
          <w:lang w:val="es-ES"/>
        </w:rPr>
      </w:pPr>
    </w:p>
    <w:p w14:paraId="12084FF5" w14:textId="77777777" w:rsidR="006C37C9" w:rsidRPr="00975C02" w:rsidRDefault="006C37C9" w:rsidP="006C37C9">
      <w:pPr>
        <w:spacing w:before="4" w:line="280" w:lineRule="exact"/>
        <w:rPr>
          <w:rFonts w:ascii="Calibri" w:eastAsia="Calibri" w:hAnsi="Calibri"/>
          <w:sz w:val="28"/>
          <w:szCs w:val="28"/>
          <w:lang w:val="es-ES"/>
        </w:rPr>
      </w:pPr>
    </w:p>
    <w:p w14:paraId="63F021AC" w14:textId="1BB98439" w:rsidR="006C37C9" w:rsidRPr="00975C02" w:rsidRDefault="006C37C9" w:rsidP="006C37C9">
      <w:pPr>
        <w:tabs>
          <w:tab w:val="left" w:pos="720"/>
        </w:tabs>
        <w:spacing w:line="240" w:lineRule="auto"/>
        <w:rPr>
          <w:rFonts w:eastAsia="Verdana" w:cs="Verdana"/>
          <w:sz w:val="20"/>
          <w:szCs w:val="20"/>
          <w:lang w:val="es-ES"/>
        </w:rPr>
      </w:pPr>
      <w:r w:rsidRPr="00975C02">
        <w:rPr>
          <w:rFonts w:eastAsia="Verdana" w:cs="Verdana"/>
          <w:sz w:val="20"/>
          <w:szCs w:val="20"/>
          <w:lang w:val="es-ES"/>
        </w:rPr>
        <w:t xml:space="preserve">En el caso </w:t>
      </w:r>
      <w:r w:rsidRPr="00975C02">
        <w:rPr>
          <w:rFonts w:eastAsia="Verdana" w:cs="Verdana"/>
          <w:i/>
          <w:sz w:val="20"/>
          <w:szCs w:val="20"/>
          <w:lang w:val="es-ES"/>
        </w:rPr>
        <w:t>V.</w:t>
      </w:r>
      <w:r w:rsidR="00B824B2" w:rsidRPr="00975C02">
        <w:rPr>
          <w:rFonts w:eastAsia="Verdana" w:cs="Verdana"/>
          <w:i/>
          <w:sz w:val="20"/>
          <w:szCs w:val="20"/>
          <w:lang w:val="es-ES"/>
        </w:rPr>
        <w:t>R.P.</w:t>
      </w:r>
      <w:r w:rsidR="005F1C88" w:rsidRPr="00975C02">
        <w:rPr>
          <w:rFonts w:eastAsia="Verdana" w:cs="Verdana"/>
          <w:i/>
          <w:sz w:val="20"/>
          <w:szCs w:val="20"/>
          <w:lang w:val="es-ES"/>
        </w:rPr>
        <w:t>,</w:t>
      </w:r>
      <w:r w:rsidR="00B824B2" w:rsidRPr="00975C02">
        <w:rPr>
          <w:rFonts w:eastAsia="Verdana" w:cs="Verdana"/>
          <w:i/>
          <w:sz w:val="20"/>
          <w:szCs w:val="20"/>
          <w:lang w:val="es-ES"/>
        </w:rPr>
        <w:t xml:space="preserve"> V.P.C</w:t>
      </w:r>
      <w:r w:rsidR="00D411B7" w:rsidRPr="00975C02">
        <w:rPr>
          <w:rFonts w:eastAsia="Verdana" w:cs="Verdana"/>
          <w:i/>
          <w:sz w:val="20"/>
          <w:szCs w:val="20"/>
          <w:lang w:val="es-ES"/>
        </w:rPr>
        <w:t>.</w:t>
      </w:r>
      <w:r w:rsidR="005F1C88" w:rsidRPr="00975C02">
        <w:rPr>
          <w:rFonts w:eastAsia="Verdana" w:cs="Verdana"/>
          <w:i/>
          <w:sz w:val="20"/>
          <w:szCs w:val="20"/>
          <w:lang w:val="es-ES"/>
        </w:rPr>
        <w:t xml:space="preserve"> y otros</w:t>
      </w:r>
      <w:r w:rsidRPr="00975C02">
        <w:rPr>
          <w:rFonts w:eastAsia="Verdana" w:cs="Verdana"/>
          <w:sz w:val="20"/>
          <w:szCs w:val="20"/>
          <w:lang w:val="es-ES"/>
        </w:rPr>
        <w:t>,</w:t>
      </w:r>
    </w:p>
    <w:p w14:paraId="0E48C21E" w14:textId="77777777" w:rsidR="006C37C9" w:rsidRPr="00975C02" w:rsidRDefault="006C37C9" w:rsidP="006C37C9">
      <w:pPr>
        <w:spacing w:before="4" w:line="240" w:lineRule="exact"/>
        <w:rPr>
          <w:rFonts w:ascii="Calibri" w:eastAsia="Calibri" w:hAnsi="Calibri"/>
          <w:lang w:val="es-ES"/>
        </w:rPr>
      </w:pPr>
    </w:p>
    <w:p w14:paraId="184BAB54" w14:textId="0F502870" w:rsidR="006C37C9" w:rsidRPr="00975C02" w:rsidRDefault="006C37C9" w:rsidP="006C37C9">
      <w:pPr>
        <w:tabs>
          <w:tab w:val="left" w:pos="720"/>
        </w:tabs>
        <w:spacing w:line="240" w:lineRule="auto"/>
        <w:rPr>
          <w:rFonts w:eastAsia="Calibri" w:cs="Verdana"/>
          <w:sz w:val="20"/>
          <w:szCs w:val="20"/>
          <w:lang w:val="es-ES"/>
        </w:rPr>
      </w:pPr>
      <w:r w:rsidRPr="00975C02">
        <w:rPr>
          <w:rFonts w:eastAsia="Calibri" w:cs="Verdana"/>
          <w:sz w:val="20"/>
          <w:szCs w:val="20"/>
          <w:lang w:val="es-ES"/>
        </w:rPr>
        <w:t>la Corte Interamericana de Derechos Humanos (en adelante “la Corte Interamericana”, “la Corte” o “este Tribunal”), integrada por los siguientes jueces</w:t>
      </w:r>
      <w:r w:rsidR="00F72A3A" w:rsidRPr="00975C02">
        <w:rPr>
          <w:rStyle w:val="FootnoteReference"/>
          <w:rFonts w:eastAsia="Calibri" w:cs="Verdana"/>
          <w:sz w:val="20"/>
          <w:szCs w:val="20"/>
          <w:lang w:val="es-ES"/>
        </w:rPr>
        <w:footnoteReference w:customMarkFollows="1" w:id="2"/>
        <w:t>**</w:t>
      </w:r>
      <w:r w:rsidRPr="00975C02">
        <w:rPr>
          <w:rFonts w:eastAsia="Calibri" w:cs="Verdana"/>
          <w:sz w:val="20"/>
          <w:szCs w:val="20"/>
          <w:lang w:val="es-ES"/>
        </w:rPr>
        <w:t>:</w:t>
      </w:r>
    </w:p>
    <w:p w14:paraId="29F8725C" w14:textId="77777777" w:rsidR="006C37C9" w:rsidRPr="00975C02" w:rsidRDefault="006C37C9" w:rsidP="006C37C9">
      <w:pPr>
        <w:tabs>
          <w:tab w:val="left" w:pos="720"/>
        </w:tabs>
        <w:spacing w:line="240" w:lineRule="auto"/>
        <w:rPr>
          <w:rFonts w:eastAsia="Calibri" w:cs="Verdana"/>
          <w:sz w:val="20"/>
          <w:szCs w:val="20"/>
          <w:lang w:val="es-ES"/>
        </w:rPr>
      </w:pPr>
    </w:p>
    <w:p w14:paraId="3B47F9C8" w14:textId="77777777" w:rsidR="006C37C9" w:rsidRPr="00C40724" w:rsidRDefault="006C37C9" w:rsidP="006C37C9">
      <w:pPr>
        <w:tabs>
          <w:tab w:val="left" w:pos="720"/>
        </w:tabs>
        <w:spacing w:line="240" w:lineRule="auto"/>
        <w:rPr>
          <w:rFonts w:eastAsia="Calibri" w:cs="Verdana"/>
          <w:sz w:val="20"/>
          <w:szCs w:val="20"/>
          <w:lang w:val="pt-BR"/>
        </w:rPr>
      </w:pPr>
      <w:r w:rsidRPr="00C40724">
        <w:rPr>
          <w:rFonts w:eastAsia="Calibri" w:cs="Verdana"/>
          <w:sz w:val="20"/>
          <w:szCs w:val="20"/>
          <w:lang w:val="pt-BR"/>
        </w:rPr>
        <w:t xml:space="preserve">Eduardo Ferrer Mac-Gregor Poisot, </w:t>
      </w:r>
      <w:r w:rsidR="00465DA8" w:rsidRPr="00C40724">
        <w:rPr>
          <w:rFonts w:eastAsia="Calibri" w:cs="Verdana"/>
          <w:sz w:val="20"/>
          <w:szCs w:val="20"/>
          <w:lang w:val="pt-BR"/>
        </w:rPr>
        <w:t>Presidente</w:t>
      </w:r>
      <w:r w:rsidRPr="00C40724">
        <w:rPr>
          <w:rFonts w:eastAsia="Calibri" w:cs="Verdana"/>
          <w:sz w:val="20"/>
          <w:szCs w:val="20"/>
          <w:lang w:val="pt-BR"/>
        </w:rPr>
        <w:t>;</w:t>
      </w:r>
    </w:p>
    <w:p w14:paraId="01A96132" w14:textId="77777777" w:rsidR="006C37C9" w:rsidRPr="00975C02" w:rsidRDefault="006C37C9" w:rsidP="006C37C9">
      <w:pPr>
        <w:tabs>
          <w:tab w:val="left" w:pos="720"/>
        </w:tabs>
        <w:spacing w:line="240" w:lineRule="auto"/>
        <w:rPr>
          <w:rFonts w:eastAsia="Calibri" w:cs="Verdana"/>
          <w:sz w:val="20"/>
          <w:szCs w:val="20"/>
          <w:lang w:val="es-ES"/>
        </w:rPr>
      </w:pPr>
      <w:r w:rsidRPr="00975C02">
        <w:rPr>
          <w:rFonts w:eastAsia="Calibri" w:cs="Verdana"/>
          <w:sz w:val="20"/>
          <w:szCs w:val="20"/>
          <w:lang w:val="es-ES"/>
        </w:rPr>
        <w:t>Humberto Antonio Sierra Porto, Juez;</w:t>
      </w:r>
    </w:p>
    <w:p w14:paraId="5A025B75" w14:textId="77777777" w:rsidR="006C37C9" w:rsidRPr="00975C02" w:rsidRDefault="006C37C9" w:rsidP="006C37C9">
      <w:pPr>
        <w:tabs>
          <w:tab w:val="left" w:pos="720"/>
        </w:tabs>
        <w:spacing w:line="240" w:lineRule="auto"/>
        <w:rPr>
          <w:rFonts w:eastAsia="Calibri" w:cs="Verdana"/>
          <w:sz w:val="20"/>
          <w:szCs w:val="20"/>
          <w:lang w:val="es-ES"/>
        </w:rPr>
      </w:pPr>
      <w:r w:rsidRPr="00975C02">
        <w:rPr>
          <w:rFonts w:eastAsia="Calibri" w:cs="Verdana"/>
          <w:sz w:val="20"/>
          <w:szCs w:val="20"/>
          <w:lang w:val="es-ES"/>
        </w:rPr>
        <w:t>Elizabeth Odio Benito, Jueza;</w:t>
      </w:r>
    </w:p>
    <w:p w14:paraId="277B7C5C" w14:textId="77777777" w:rsidR="006C37C9" w:rsidRPr="00975C02" w:rsidRDefault="006C37C9" w:rsidP="006C37C9">
      <w:pPr>
        <w:tabs>
          <w:tab w:val="left" w:pos="720"/>
        </w:tabs>
        <w:spacing w:line="240" w:lineRule="auto"/>
        <w:rPr>
          <w:rFonts w:eastAsia="Calibri" w:cs="Verdana"/>
          <w:sz w:val="20"/>
          <w:szCs w:val="20"/>
          <w:lang w:val="es-ES"/>
        </w:rPr>
      </w:pPr>
      <w:r w:rsidRPr="00975C02">
        <w:rPr>
          <w:rFonts w:eastAsia="Calibri" w:cs="Verdana"/>
          <w:sz w:val="20"/>
          <w:szCs w:val="20"/>
          <w:lang w:val="es-ES"/>
        </w:rPr>
        <w:t>Eugenio Raúl Zaffaroni, Juez, y</w:t>
      </w:r>
    </w:p>
    <w:p w14:paraId="475EA718" w14:textId="77777777" w:rsidR="006C37C9" w:rsidRPr="00975C02" w:rsidRDefault="006C37C9" w:rsidP="006C37C9">
      <w:pPr>
        <w:tabs>
          <w:tab w:val="left" w:pos="720"/>
        </w:tabs>
        <w:spacing w:line="240" w:lineRule="auto"/>
        <w:rPr>
          <w:rFonts w:eastAsia="Calibri" w:cs="Verdana"/>
          <w:sz w:val="20"/>
          <w:szCs w:val="20"/>
          <w:lang w:val="es-ES"/>
        </w:rPr>
      </w:pPr>
      <w:r w:rsidRPr="00975C02">
        <w:rPr>
          <w:rFonts w:eastAsia="Calibri" w:cs="Verdana"/>
          <w:sz w:val="20"/>
          <w:szCs w:val="20"/>
          <w:lang w:val="es-ES"/>
        </w:rPr>
        <w:t>L. Patricio Pazmiño Freire, Juez;</w:t>
      </w:r>
    </w:p>
    <w:p w14:paraId="153D1D1C" w14:textId="77777777" w:rsidR="006C37C9" w:rsidRPr="00975C02" w:rsidRDefault="006C37C9" w:rsidP="006C37C9">
      <w:pPr>
        <w:tabs>
          <w:tab w:val="left" w:pos="720"/>
        </w:tabs>
        <w:spacing w:line="240" w:lineRule="auto"/>
        <w:rPr>
          <w:rFonts w:eastAsia="Calibri" w:cs="Verdana"/>
          <w:sz w:val="20"/>
          <w:szCs w:val="20"/>
          <w:lang w:val="es-ES"/>
        </w:rPr>
      </w:pPr>
    </w:p>
    <w:p w14:paraId="64928965" w14:textId="77777777" w:rsidR="006C37C9" w:rsidRPr="00975C02" w:rsidRDefault="006C37C9" w:rsidP="006C37C9">
      <w:pPr>
        <w:tabs>
          <w:tab w:val="left" w:pos="720"/>
        </w:tabs>
        <w:spacing w:line="240" w:lineRule="auto"/>
        <w:rPr>
          <w:rFonts w:eastAsia="Calibri" w:cs="Verdana"/>
          <w:sz w:val="20"/>
          <w:szCs w:val="20"/>
          <w:lang w:val="es-ES"/>
        </w:rPr>
      </w:pPr>
      <w:r w:rsidRPr="00975C02">
        <w:rPr>
          <w:rFonts w:eastAsia="Calibri" w:cs="Verdana"/>
          <w:sz w:val="20"/>
          <w:szCs w:val="20"/>
          <w:lang w:val="es-ES"/>
        </w:rPr>
        <w:t>presentes además,</w:t>
      </w:r>
    </w:p>
    <w:p w14:paraId="64ADD9CE" w14:textId="77777777" w:rsidR="006C37C9" w:rsidRPr="00975C02" w:rsidRDefault="006C37C9" w:rsidP="006C37C9">
      <w:pPr>
        <w:tabs>
          <w:tab w:val="left" w:pos="720"/>
        </w:tabs>
        <w:spacing w:line="240" w:lineRule="auto"/>
        <w:rPr>
          <w:rFonts w:eastAsia="Calibri" w:cs="Verdana"/>
          <w:sz w:val="20"/>
          <w:szCs w:val="20"/>
          <w:lang w:val="es-ES"/>
        </w:rPr>
      </w:pPr>
    </w:p>
    <w:p w14:paraId="7C89A62C" w14:textId="77777777" w:rsidR="006C37C9" w:rsidRPr="00975C02" w:rsidRDefault="006C37C9" w:rsidP="006C37C9">
      <w:pPr>
        <w:tabs>
          <w:tab w:val="left" w:pos="720"/>
        </w:tabs>
        <w:spacing w:line="240" w:lineRule="auto"/>
        <w:rPr>
          <w:rFonts w:eastAsia="Calibri" w:cs="Verdana"/>
          <w:sz w:val="20"/>
          <w:szCs w:val="20"/>
          <w:lang w:val="es-ES"/>
        </w:rPr>
      </w:pPr>
      <w:r w:rsidRPr="00975C02">
        <w:rPr>
          <w:rFonts w:eastAsia="Calibri" w:cs="Verdana"/>
          <w:sz w:val="20"/>
          <w:szCs w:val="20"/>
          <w:lang w:val="es-ES"/>
        </w:rPr>
        <w:t xml:space="preserve">Pablo Saavedra Alessandri, Secretario, y </w:t>
      </w:r>
    </w:p>
    <w:p w14:paraId="47B8ED3B" w14:textId="77777777" w:rsidR="006C37C9" w:rsidRPr="00975C02" w:rsidRDefault="006C37C9" w:rsidP="006C37C9">
      <w:pPr>
        <w:tabs>
          <w:tab w:val="left" w:pos="720"/>
        </w:tabs>
        <w:spacing w:line="240" w:lineRule="auto"/>
        <w:rPr>
          <w:rFonts w:eastAsia="Calibri" w:cs="Verdana"/>
          <w:sz w:val="20"/>
          <w:szCs w:val="20"/>
          <w:lang w:val="es-ES"/>
        </w:rPr>
      </w:pPr>
      <w:r w:rsidRPr="00975C02">
        <w:rPr>
          <w:rFonts w:eastAsia="Calibri" w:cs="Verdana"/>
          <w:sz w:val="20"/>
          <w:szCs w:val="20"/>
          <w:lang w:val="es-ES" w:eastAsia="es-MX"/>
        </w:rPr>
        <w:t>Emilia Segares Rodríguez, Secretaria Adjunta,</w:t>
      </w:r>
    </w:p>
    <w:p w14:paraId="1C71C508" w14:textId="77777777" w:rsidR="006C37C9" w:rsidRPr="00975C02" w:rsidRDefault="006C37C9" w:rsidP="006C37C9">
      <w:pPr>
        <w:tabs>
          <w:tab w:val="left" w:pos="720"/>
        </w:tabs>
        <w:spacing w:line="240" w:lineRule="auto"/>
        <w:rPr>
          <w:rFonts w:eastAsia="Calibri" w:cs="Verdana"/>
          <w:sz w:val="20"/>
          <w:szCs w:val="20"/>
          <w:lang w:val="es-ES"/>
        </w:rPr>
      </w:pPr>
    </w:p>
    <w:p w14:paraId="53A07A27" w14:textId="77777777" w:rsidR="006C37C9" w:rsidRPr="00975C02" w:rsidRDefault="006C37C9" w:rsidP="006C37C9">
      <w:pPr>
        <w:tabs>
          <w:tab w:val="left" w:pos="720"/>
        </w:tabs>
        <w:spacing w:line="240" w:lineRule="auto"/>
        <w:rPr>
          <w:rFonts w:eastAsia="Calibri" w:cs="Verdana"/>
          <w:sz w:val="20"/>
          <w:szCs w:val="20"/>
          <w:lang w:val="es-ES"/>
        </w:rPr>
      </w:pPr>
      <w:r w:rsidRPr="00975C02">
        <w:rPr>
          <w:rFonts w:eastAsia="Calibri" w:cs="Verdana"/>
          <w:sz w:val="20"/>
          <w:szCs w:val="20"/>
          <w:lang w:val="es-ES"/>
        </w:rPr>
        <w:t>de conformidad con los artículos 62.3 y 63.1 de la Convención Americana sobre Derechos Humanos (en adelante “la Convención Americana” o “la Convención”) y con los artículos 31, 32, 42, 65 y 67 del Reglamento de la Corte (en adelante “el Reglamento” o “Reglamento de la Corte”), dicta la presente Sentencia, que se estructura en el siguiente orden:</w:t>
      </w:r>
    </w:p>
    <w:p w14:paraId="4E7B177D" w14:textId="77777777" w:rsidR="006C37C9" w:rsidRPr="00975C02" w:rsidRDefault="006C37C9" w:rsidP="006C37C9">
      <w:pPr>
        <w:spacing w:before="1" w:line="235" w:lineRule="exact"/>
        <w:ind w:left="100" w:right="-1085"/>
        <w:rPr>
          <w:rFonts w:eastAsia="Verdana" w:cs="Verdana"/>
          <w:position w:val="-1"/>
          <w:sz w:val="20"/>
          <w:szCs w:val="20"/>
          <w:lang w:val="es-ES"/>
        </w:rPr>
      </w:pPr>
    </w:p>
    <w:p w14:paraId="6340F0C6" w14:textId="77777777" w:rsidR="006C37C9" w:rsidRPr="00975C02" w:rsidRDefault="006C37C9" w:rsidP="006C37C9">
      <w:pPr>
        <w:spacing w:before="1" w:line="235" w:lineRule="exact"/>
        <w:ind w:left="100" w:right="-20"/>
        <w:rPr>
          <w:rFonts w:eastAsia="Verdana" w:cs="Verdana"/>
          <w:position w:val="-1"/>
          <w:sz w:val="20"/>
          <w:szCs w:val="20"/>
          <w:lang w:val="es-ES"/>
        </w:rPr>
      </w:pPr>
    </w:p>
    <w:p w14:paraId="4D61B804" w14:textId="77777777" w:rsidR="00E16176" w:rsidRPr="00975C02" w:rsidRDefault="006C37C9" w:rsidP="00B824B2">
      <w:pPr>
        <w:rPr>
          <w:rFonts w:eastAsia="Verdana" w:cs="Verdana"/>
          <w:position w:val="-1"/>
          <w:sz w:val="20"/>
          <w:szCs w:val="20"/>
          <w:lang w:val="es-ES"/>
        </w:rPr>
      </w:pPr>
      <w:r w:rsidRPr="00975C02">
        <w:rPr>
          <w:rFonts w:eastAsia="Verdana" w:cs="Verdana"/>
          <w:position w:val="-1"/>
          <w:sz w:val="20"/>
          <w:szCs w:val="20"/>
          <w:lang w:val="es-ES"/>
        </w:rPr>
        <w:br w:type="page"/>
      </w:r>
    </w:p>
    <w:sdt>
      <w:sdtPr>
        <w:rPr>
          <w:rFonts w:ascii="Verdana" w:eastAsia="Times New Roman" w:hAnsi="Verdana" w:cs="Times New Roman"/>
          <w:b w:val="0"/>
          <w:bCs w:val="0"/>
          <w:color w:val="auto"/>
          <w:sz w:val="18"/>
          <w:szCs w:val="18"/>
          <w:lang w:val="es-ES" w:eastAsia="es-CR"/>
        </w:rPr>
        <w:id w:val="-402446192"/>
        <w:docPartObj>
          <w:docPartGallery w:val="Table of Contents"/>
          <w:docPartUnique/>
        </w:docPartObj>
      </w:sdtPr>
      <w:sdtEndPr/>
      <w:sdtContent>
        <w:p w14:paraId="38DD545C" w14:textId="77777777" w:rsidR="00F414CE" w:rsidRPr="00975C02" w:rsidRDefault="002E0E96" w:rsidP="00E95A72">
          <w:pPr>
            <w:pStyle w:val="TOCHeading"/>
            <w:spacing w:before="0" w:line="240" w:lineRule="auto"/>
            <w:rPr>
              <w:rFonts w:ascii="Verdana" w:hAnsi="Verdana"/>
              <w:color w:val="auto"/>
              <w:sz w:val="18"/>
              <w:szCs w:val="18"/>
              <w:lang w:val="es-ES"/>
            </w:rPr>
          </w:pPr>
          <w:r w:rsidRPr="00975C02">
            <w:rPr>
              <w:rFonts w:ascii="Verdana" w:hAnsi="Verdana"/>
              <w:color w:val="auto"/>
              <w:sz w:val="18"/>
              <w:szCs w:val="18"/>
              <w:lang w:val="es-ES"/>
            </w:rPr>
            <w:t>CONTENIDO</w:t>
          </w:r>
        </w:p>
        <w:p w14:paraId="266B0E18" w14:textId="77777777" w:rsidR="001D3CA2" w:rsidRPr="001D3CA2" w:rsidRDefault="00920B09" w:rsidP="001D3CA2">
          <w:pPr>
            <w:pStyle w:val="TOC1"/>
            <w:tabs>
              <w:tab w:val="right" w:leader="dot" w:pos="10070"/>
            </w:tabs>
            <w:spacing w:after="0" w:line="240" w:lineRule="auto"/>
            <w:rPr>
              <w:rFonts w:eastAsiaTheme="minorEastAsia" w:cstheme="minorBidi"/>
              <w:noProof/>
              <w:sz w:val="18"/>
              <w:szCs w:val="18"/>
            </w:rPr>
          </w:pPr>
          <w:r w:rsidRPr="001D3CA2">
            <w:rPr>
              <w:sz w:val="18"/>
              <w:szCs w:val="18"/>
              <w:lang w:val="es-ES"/>
            </w:rPr>
            <w:fldChar w:fldCharType="begin"/>
          </w:r>
          <w:r w:rsidR="00F414CE" w:rsidRPr="001D3CA2">
            <w:rPr>
              <w:sz w:val="18"/>
              <w:szCs w:val="18"/>
              <w:lang w:val="es-ES"/>
            </w:rPr>
            <w:instrText xml:space="preserve"> TOC \o "1-3" \h \z \u </w:instrText>
          </w:r>
          <w:r w:rsidRPr="001D3CA2">
            <w:rPr>
              <w:sz w:val="18"/>
              <w:szCs w:val="18"/>
              <w:lang w:val="es-ES"/>
            </w:rPr>
            <w:fldChar w:fldCharType="separate"/>
          </w:r>
          <w:hyperlink w:anchor="_Toc514172589" w:history="1">
            <w:r w:rsidR="001D3CA2" w:rsidRPr="001D3CA2">
              <w:rPr>
                <w:rStyle w:val="Hyperlink"/>
                <w:rFonts w:cs="Verdana"/>
                <w:b/>
                <w:bCs/>
                <w:caps/>
                <w:noProof/>
                <w:snapToGrid w:val="0"/>
                <w:sz w:val="18"/>
                <w:szCs w:val="18"/>
                <w:lang w:val="es-ES"/>
              </w:rPr>
              <w:t>I INTRODUCCIÓN DE LA CAUSA y OBJETO DE LA CONTROVERSIA</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_Toc514172589 \h </w:instrText>
            </w:r>
            <w:r w:rsidR="001D3CA2" w:rsidRPr="001D3CA2">
              <w:rPr>
                <w:noProof/>
                <w:webHidden/>
                <w:sz w:val="18"/>
                <w:szCs w:val="18"/>
              </w:rPr>
            </w:r>
            <w:r w:rsidR="001D3CA2" w:rsidRPr="001D3CA2">
              <w:rPr>
                <w:noProof/>
                <w:webHidden/>
                <w:sz w:val="18"/>
                <w:szCs w:val="18"/>
              </w:rPr>
              <w:fldChar w:fldCharType="separate"/>
            </w:r>
            <w:r w:rsidR="00EF48C1">
              <w:rPr>
                <w:noProof/>
                <w:webHidden/>
                <w:sz w:val="18"/>
                <w:szCs w:val="18"/>
              </w:rPr>
              <w:t>4</w:t>
            </w:r>
            <w:r w:rsidR="001D3CA2" w:rsidRPr="001D3CA2">
              <w:rPr>
                <w:noProof/>
                <w:webHidden/>
                <w:sz w:val="18"/>
                <w:szCs w:val="18"/>
              </w:rPr>
              <w:fldChar w:fldCharType="end"/>
            </w:r>
          </w:hyperlink>
        </w:p>
        <w:p w14:paraId="740880FD" w14:textId="77777777" w:rsidR="001D3CA2" w:rsidRPr="001D3CA2" w:rsidRDefault="00EF48C1" w:rsidP="001D3CA2">
          <w:pPr>
            <w:pStyle w:val="TOC1"/>
            <w:tabs>
              <w:tab w:val="right" w:leader="dot" w:pos="10070"/>
            </w:tabs>
            <w:spacing w:after="0" w:line="240" w:lineRule="auto"/>
            <w:rPr>
              <w:rFonts w:eastAsiaTheme="minorEastAsia" w:cstheme="minorBidi"/>
              <w:noProof/>
              <w:sz w:val="18"/>
              <w:szCs w:val="18"/>
            </w:rPr>
          </w:pPr>
          <w:hyperlink w:anchor="_Toc514172590" w:history="1">
            <w:r w:rsidR="001D3CA2" w:rsidRPr="001D3CA2">
              <w:rPr>
                <w:rStyle w:val="Hyperlink"/>
                <w:rFonts w:cs="Verdana"/>
                <w:b/>
                <w:bCs/>
                <w:caps/>
                <w:noProof/>
                <w:snapToGrid w:val="0"/>
                <w:sz w:val="18"/>
                <w:szCs w:val="18"/>
                <w:lang w:val="es-ES"/>
              </w:rPr>
              <w:t>II PROCEDIMIENTO ANTE LA CORTE</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_Toc514172590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6</w:t>
            </w:r>
            <w:r w:rsidR="001D3CA2" w:rsidRPr="001D3CA2">
              <w:rPr>
                <w:noProof/>
                <w:webHidden/>
                <w:sz w:val="18"/>
                <w:szCs w:val="18"/>
              </w:rPr>
              <w:fldChar w:fldCharType="end"/>
            </w:r>
          </w:hyperlink>
        </w:p>
        <w:p w14:paraId="054954B0" w14:textId="77777777" w:rsidR="001D3CA2" w:rsidRPr="001D3CA2" w:rsidRDefault="00EF48C1" w:rsidP="001D3CA2">
          <w:pPr>
            <w:pStyle w:val="TOC1"/>
            <w:tabs>
              <w:tab w:val="right" w:leader="dot" w:pos="10070"/>
            </w:tabs>
            <w:spacing w:after="0" w:line="240" w:lineRule="auto"/>
            <w:rPr>
              <w:rFonts w:eastAsiaTheme="minorEastAsia" w:cstheme="minorBidi"/>
              <w:noProof/>
              <w:sz w:val="18"/>
              <w:szCs w:val="18"/>
            </w:rPr>
          </w:pPr>
          <w:hyperlink w:anchor="_Toc514172591" w:history="1">
            <w:r w:rsidR="001D3CA2" w:rsidRPr="001D3CA2">
              <w:rPr>
                <w:rStyle w:val="Hyperlink"/>
                <w:rFonts w:cs="Verdana"/>
                <w:b/>
                <w:bCs/>
                <w:caps/>
                <w:noProof/>
                <w:snapToGrid w:val="0"/>
                <w:sz w:val="18"/>
                <w:szCs w:val="18"/>
                <w:lang w:val="es-ES"/>
              </w:rPr>
              <w:t>III COMPETENCIA</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_Toc514172591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8</w:t>
            </w:r>
            <w:r w:rsidR="001D3CA2" w:rsidRPr="001D3CA2">
              <w:rPr>
                <w:noProof/>
                <w:webHidden/>
                <w:sz w:val="18"/>
                <w:szCs w:val="18"/>
              </w:rPr>
              <w:fldChar w:fldCharType="end"/>
            </w:r>
          </w:hyperlink>
        </w:p>
        <w:p w14:paraId="69429144" w14:textId="77777777" w:rsidR="001D3CA2" w:rsidRPr="001D3CA2" w:rsidRDefault="00EF48C1" w:rsidP="001D3CA2">
          <w:pPr>
            <w:pStyle w:val="TOC1"/>
            <w:tabs>
              <w:tab w:val="right" w:leader="dot" w:pos="10070"/>
            </w:tabs>
            <w:spacing w:after="0" w:line="240" w:lineRule="auto"/>
            <w:rPr>
              <w:rFonts w:eastAsiaTheme="minorEastAsia" w:cstheme="minorBidi"/>
              <w:noProof/>
              <w:sz w:val="18"/>
              <w:szCs w:val="18"/>
            </w:rPr>
          </w:pPr>
          <w:hyperlink w:anchor="_Toc514172592" w:history="1">
            <w:r w:rsidR="001D3CA2" w:rsidRPr="001D3CA2">
              <w:rPr>
                <w:rStyle w:val="Hyperlink"/>
                <w:rFonts w:cs="Verdana"/>
                <w:b/>
                <w:bCs/>
                <w:caps/>
                <w:noProof/>
                <w:snapToGrid w:val="0"/>
                <w:sz w:val="18"/>
                <w:szCs w:val="18"/>
                <w:lang w:val="es-ES"/>
              </w:rPr>
              <w:t>IV EXCEPCIONES PRELIMINARES</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_Toc514172592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9</w:t>
            </w:r>
            <w:r w:rsidR="001D3CA2" w:rsidRPr="001D3CA2">
              <w:rPr>
                <w:noProof/>
                <w:webHidden/>
                <w:sz w:val="18"/>
                <w:szCs w:val="18"/>
              </w:rPr>
              <w:fldChar w:fldCharType="end"/>
            </w:r>
          </w:hyperlink>
        </w:p>
        <w:p w14:paraId="39CBD9C9" w14:textId="77777777" w:rsidR="001D3CA2" w:rsidRPr="001D3CA2" w:rsidRDefault="00EF48C1" w:rsidP="001D3CA2">
          <w:pPr>
            <w:pStyle w:val="TOC2"/>
            <w:jc w:val="both"/>
            <w:rPr>
              <w:rFonts w:eastAsiaTheme="minorEastAsia" w:cstheme="minorBidi"/>
              <w:noProof/>
              <w:sz w:val="18"/>
              <w:szCs w:val="18"/>
            </w:rPr>
          </w:pPr>
          <w:hyperlink w:anchor="_Toc514172593" w:history="1">
            <w:r w:rsidR="001D3CA2" w:rsidRPr="001D3CA2">
              <w:rPr>
                <w:rStyle w:val="Hyperlink"/>
                <w:rFonts w:eastAsia="MS Mincho"/>
                <w:b/>
                <w:bCs/>
                <w:i/>
                <w:noProof/>
                <w:sz w:val="18"/>
                <w:szCs w:val="18"/>
                <w:lang w:val="es-ES"/>
              </w:rPr>
              <w:t>A.</w:t>
            </w:r>
            <w:r w:rsidR="001D3CA2" w:rsidRPr="001D3CA2">
              <w:rPr>
                <w:rFonts w:eastAsiaTheme="minorEastAsia" w:cstheme="minorBidi"/>
                <w:noProof/>
                <w:sz w:val="18"/>
                <w:szCs w:val="18"/>
              </w:rPr>
              <w:tab/>
            </w:r>
            <w:r w:rsidR="001D3CA2" w:rsidRPr="001D3CA2">
              <w:rPr>
                <w:rStyle w:val="Hyperlink"/>
                <w:rFonts w:eastAsia="MS Mincho"/>
                <w:b/>
                <w:bCs/>
                <w:i/>
                <w:noProof/>
                <w:sz w:val="18"/>
                <w:szCs w:val="18"/>
                <w:lang w:val="es-ES"/>
              </w:rPr>
              <w:t>Excepción sobre la alegada falta de agotamiento de los recursos internos</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_Toc514172593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9</w:t>
            </w:r>
            <w:r w:rsidR="001D3CA2" w:rsidRPr="001D3CA2">
              <w:rPr>
                <w:noProof/>
                <w:webHidden/>
                <w:sz w:val="18"/>
                <w:szCs w:val="18"/>
              </w:rPr>
              <w:fldChar w:fldCharType="end"/>
            </w:r>
          </w:hyperlink>
        </w:p>
        <w:p w14:paraId="5C6EC611" w14:textId="77777777" w:rsidR="001D3CA2" w:rsidRPr="001D3CA2" w:rsidRDefault="00EF48C1" w:rsidP="001D3CA2">
          <w:pPr>
            <w:pStyle w:val="TOC2"/>
            <w:jc w:val="both"/>
            <w:rPr>
              <w:rFonts w:eastAsiaTheme="minorEastAsia" w:cstheme="minorBidi"/>
              <w:noProof/>
              <w:sz w:val="18"/>
              <w:szCs w:val="18"/>
            </w:rPr>
          </w:pPr>
          <w:hyperlink w:anchor="_Toc514172594" w:history="1">
            <w:r w:rsidR="001D3CA2" w:rsidRPr="001D3CA2">
              <w:rPr>
                <w:rStyle w:val="Hyperlink"/>
                <w:i/>
                <w:noProof/>
                <w:sz w:val="18"/>
                <w:szCs w:val="18"/>
                <w:lang w:val="es-ES"/>
              </w:rPr>
              <w:t xml:space="preserve">A.1 </w:t>
            </w:r>
            <w:r w:rsidR="001D3CA2" w:rsidRPr="001D3CA2">
              <w:rPr>
                <w:rFonts w:eastAsiaTheme="minorEastAsia" w:cstheme="minorBidi"/>
                <w:noProof/>
                <w:sz w:val="18"/>
                <w:szCs w:val="18"/>
              </w:rPr>
              <w:tab/>
            </w:r>
            <w:r w:rsidR="001D3CA2" w:rsidRPr="001D3CA2">
              <w:rPr>
                <w:rStyle w:val="Hyperlink"/>
                <w:i/>
                <w:noProof/>
                <w:sz w:val="18"/>
                <w:szCs w:val="18"/>
                <w:lang w:val="es-ES"/>
              </w:rPr>
              <w:t>Alegatos del Estado y observaciones de la Comisión y las representantes</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_Toc514172594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9</w:t>
            </w:r>
            <w:r w:rsidR="001D3CA2" w:rsidRPr="001D3CA2">
              <w:rPr>
                <w:noProof/>
                <w:webHidden/>
                <w:sz w:val="18"/>
                <w:szCs w:val="18"/>
              </w:rPr>
              <w:fldChar w:fldCharType="end"/>
            </w:r>
          </w:hyperlink>
        </w:p>
        <w:p w14:paraId="20B1500C" w14:textId="77777777" w:rsidR="001D3CA2" w:rsidRPr="001D3CA2" w:rsidRDefault="00EF48C1" w:rsidP="001D3CA2">
          <w:pPr>
            <w:pStyle w:val="TOC2"/>
            <w:jc w:val="both"/>
            <w:rPr>
              <w:rFonts w:eastAsiaTheme="minorEastAsia" w:cstheme="minorBidi"/>
              <w:noProof/>
              <w:sz w:val="18"/>
              <w:szCs w:val="18"/>
            </w:rPr>
          </w:pPr>
          <w:hyperlink w:anchor="_Toc514172595" w:history="1">
            <w:r w:rsidR="001D3CA2" w:rsidRPr="001D3CA2">
              <w:rPr>
                <w:rStyle w:val="Hyperlink"/>
                <w:i/>
                <w:noProof/>
                <w:sz w:val="18"/>
                <w:szCs w:val="18"/>
                <w:lang w:val="es-ES"/>
              </w:rPr>
              <w:t>A.2</w:t>
            </w:r>
            <w:r w:rsidR="001D3CA2" w:rsidRPr="001D3CA2">
              <w:rPr>
                <w:rFonts w:eastAsiaTheme="minorEastAsia" w:cstheme="minorBidi"/>
                <w:noProof/>
                <w:sz w:val="18"/>
                <w:szCs w:val="18"/>
              </w:rPr>
              <w:tab/>
            </w:r>
            <w:r w:rsidR="001D3CA2" w:rsidRPr="001D3CA2">
              <w:rPr>
                <w:rStyle w:val="Hyperlink"/>
                <w:i/>
                <w:noProof/>
                <w:sz w:val="18"/>
                <w:szCs w:val="18"/>
                <w:lang w:val="es-ES"/>
              </w:rPr>
              <w:t>Consideraciones de la Corte</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_Toc514172595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10</w:t>
            </w:r>
            <w:r w:rsidR="001D3CA2" w:rsidRPr="001D3CA2">
              <w:rPr>
                <w:noProof/>
                <w:webHidden/>
                <w:sz w:val="18"/>
                <w:szCs w:val="18"/>
              </w:rPr>
              <w:fldChar w:fldCharType="end"/>
            </w:r>
          </w:hyperlink>
        </w:p>
        <w:p w14:paraId="4D5895FB" w14:textId="77777777" w:rsidR="001D3CA2" w:rsidRPr="001D3CA2" w:rsidRDefault="00EF48C1" w:rsidP="001D3CA2">
          <w:pPr>
            <w:pStyle w:val="TOC2"/>
            <w:jc w:val="both"/>
            <w:rPr>
              <w:rFonts w:eastAsiaTheme="minorEastAsia" w:cstheme="minorBidi"/>
              <w:noProof/>
              <w:sz w:val="18"/>
              <w:szCs w:val="18"/>
            </w:rPr>
          </w:pPr>
          <w:hyperlink w:anchor="_Toc514172596" w:history="1">
            <w:r w:rsidR="001D3CA2" w:rsidRPr="001D3CA2">
              <w:rPr>
                <w:rStyle w:val="Hyperlink"/>
                <w:rFonts w:eastAsia="MS Mincho"/>
                <w:b/>
                <w:bCs/>
                <w:i/>
                <w:noProof/>
                <w:sz w:val="18"/>
                <w:szCs w:val="18"/>
                <w:lang w:val="es-ES"/>
              </w:rPr>
              <w:t>B.</w:t>
            </w:r>
            <w:r w:rsidR="001D3CA2" w:rsidRPr="001D3CA2">
              <w:rPr>
                <w:rFonts w:eastAsiaTheme="minorEastAsia" w:cstheme="minorBidi"/>
                <w:noProof/>
                <w:sz w:val="18"/>
                <w:szCs w:val="18"/>
              </w:rPr>
              <w:tab/>
            </w:r>
            <w:r w:rsidR="001D3CA2" w:rsidRPr="001D3CA2">
              <w:rPr>
                <w:rStyle w:val="Hyperlink"/>
                <w:rFonts w:eastAsia="MS Mincho"/>
                <w:b/>
                <w:bCs/>
                <w:i/>
                <w:noProof/>
                <w:sz w:val="18"/>
                <w:szCs w:val="18"/>
                <w:lang w:val="es-ES"/>
              </w:rPr>
              <w:t>Excepción sobre la alegada falta de competencia ratione temporis de la Comisión y de la Corte Interamericana</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_Toc514172596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12</w:t>
            </w:r>
            <w:r w:rsidR="001D3CA2" w:rsidRPr="001D3CA2">
              <w:rPr>
                <w:noProof/>
                <w:webHidden/>
                <w:sz w:val="18"/>
                <w:szCs w:val="18"/>
              </w:rPr>
              <w:fldChar w:fldCharType="end"/>
            </w:r>
          </w:hyperlink>
        </w:p>
        <w:p w14:paraId="5A7E8BCF" w14:textId="77777777" w:rsidR="001D3CA2" w:rsidRPr="001D3CA2" w:rsidRDefault="00EF48C1" w:rsidP="001D3CA2">
          <w:pPr>
            <w:pStyle w:val="TOC2"/>
            <w:jc w:val="both"/>
            <w:rPr>
              <w:rFonts w:eastAsiaTheme="minorEastAsia" w:cstheme="minorBidi"/>
              <w:noProof/>
              <w:sz w:val="18"/>
              <w:szCs w:val="18"/>
            </w:rPr>
          </w:pPr>
          <w:hyperlink w:anchor="_Toc514172597" w:history="1">
            <w:r w:rsidR="001D3CA2" w:rsidRPr="001D3CA2">
              <w:rPr>
                <w:rStyle w:val="Hyperlink"/>
                <w:i/>
                <w:noProof/>
                <w:sz w:val="18"/>
                <w:szCs w:val="18"/>
                <w:lang w:val="es-ES"/>
              </w:rPr>
              <w:t xml:space="preserve">B.1 </w:t>
            </w:r>
            <w:r w:rsidR="001D3CA2" w:rsidRPr="001D3CA2">
              <w:rPr>
                <w:rFonts w:eastAsiaTheme="minorEastAsia" w:cstheme="minorBidi"/>
                <w:noProof/>
                <w:sz w:val="18"/>
                <w:szCs w:val="18"/>
              </w:rPr>
              <w:tab/>
            </w:r>
            <w:r w:rsidR="001D3CA2" w:rsidRPr="001D3CA2">
              <w:rPr>
                <w:rStyle w:val="Hyperlink"/>
                <w:i/>
                <w:noProof/>
                <w:sz w:val="18"/>
                <w:szCs w:val="18"/>
                <w:lang w:val="es-ES"/>
              </w:rPr>
              <w:t>Alegatos del Estado y observaciones de la Comisión y las representantes</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_Toc514172597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12</w:t>
            </w:r>
            <w:r w:rsidR="001D3CA2" w:rsidRPr="001D3CA2">
              <w:rPr>
                <w:noProof/>
                <w:webHidden/>
                <w:sz w:val="18"/>
                <w:szCs w:val="18"/>
              </w:rPr>
              <w:fldChar w:fldCharType="end"/>
            </w:r>
          </w:hyperlink>
        </w:p>
        <w:p w14:paraId="43C664EF" w14:textId="77777777" w:rsidR="001D3CA2" w:rsidRPr="001D3CA2" w:rsidRDefault="00EF48C1" w:rsidP="001D3CA2">
          <w:pPr>
            <w:pStyle w:val="TOC2"/>
            <w:jc w:val="both"/>
            <w:rPr>
              <w:rFonts w:eastAsiaTheme="minorEastAsia" w:cstheme="minorBidi"/>
              <w:noProof/>
              <w:sz w:val="18"/>
              <w:szCs w:val="18"/>
            </w:rPr>
          </w:pPr>
          <w:hyperlink w:anchor="_Toc514172598" w:history="1">
            <w:r w:rsidR="001D3CA2" w:rsidRPr="001D3CA2">
              <w:rPr>
                <w:rStyle w:val="Hyperlink"/>
                <w:i/>
                <w:noProof/>
                <w:sz w:val="18"/>
                <w:szCs w:val="18"/>
                <w:lang w:val="es-ES"/>
              </w:rPr>
              <w:t xml:space="preserve">B.2 </w:t>
            </w:r>
            <w:r w:rsidR="001D3CA2" w:rsidRPr="001D3CA2">
              <w:rPr>
                <w:rFonts w:eastAsiaTheme="minorEastAsia" w:cstheme="minorBidi"/>
                <w:noProof/>
                <w:sz w:val="18"/>
                <w:szCs w:val="18"/>
              </w:rPr>
              <w:tab/>
            </w:r>
            <w:r w:rsidR="001D3CA2" w:rsidRPr="001D3CA2">
              <w:rPr>
                <w:rStyle w:val="Hyperlink"/>
                <w:i/>
                <w:noProof/>
                <w:sz w:val="18"/>
                <w:szCs w:val="18"/>
                <w:lang w:val="es-ES"/>
              </w:rPr>
              <w:t>Consideraciones de la Corte</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_Toc514172598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12</w:t>
            </w:r>
            <w:r w:rsidR="001D3CA2" w:rsidRPr="001D3CA2">
              <w:rPr>
                <w:noProof/>
                <w:webHidden/>
                <w:sz w:val="18"/>
                <w:szCs w:val="18"/>
              </w:rPr>
              <w:fldChar w:fldCharType="end"/>
            </w:r>
          </w:hyperlink>
        </w:p>
        <w:p w14:paraId="2D1AEB68" w14:textId="77777777" w:rsidR="001D3CA2" w:rsidRPr="001D3CA2" w:rsidRDefault="00EF48C1" w:rsidP="001D3CA2">
          <w:pPr>
            <w:pStyle w:val="TOC2"/>
            <w:jc w:val="both"/>
            <w:rPr>
              <w:rFonts w:eastAsiaTheme="minorEastAsia" w:cstheme="minorBidi"/>
              <w:noProof/>
              <w:sz w:val="18"/>
              <w:szCs w:val="18"/>
            </w:rPr>
          </w:pPr>
          <w:hyperlink w:anchor="_Toc514172599" w:history="1">
            <w:r w:rsidR="001D3CA2" w:rsidRPr="001D3CA2">
              <w:rPr>
                <w:rStyle w:val="Hyperlink"/>
                <w:rFonts w:eastAsia="MS Mincho"/>
                <w:b/>
                <w:bCs/>
                <w:i/>
                <w:noProof/>
                <w:sz w:val="18"/>
                <w:szCs w:val="18"/>
                <w:lang w:val="es-ES"/>
              </w:rPr>
              <w:t>C.</w:t>
            </w:r>
            <w:r w:rsidR="001D3CA2" w:rsidRPr="001D3CA2">
              <w:rPr>
                <w:rFonts w:eastAsiaTheme="minorEastAsia" w:cstheme="minorBidi"/>
                <w:noProof/>
                <w:sz w:val="18"/>
                <w:szCs w:val="18"/>
              </w:rPr>
              <w:tab/>
            </w:r>
            <w:r w:rsidR="001D3CA2" w:rsidRPr="001D3CA2">
              <w:rPr>
                <w:rStyle w:val="Hyperlink"/>
                <w:rFonts w:eastAsia="MS Mincho"/>
                <w:b/>
                <w:bCs/>
                <w:i/>
                <w:noProof/>
                <w:sz w:val="18"/>
                <w:szCs w:val="18"/>
                <w:lang w:val="es-ES"/>
              </w:rPr>
              <w:t>Excepción sobre la alegada falta de competencia ratione materiae de la Corte en relación con la presunta violación de artículos de la Convención sobre los Derechos del Niño</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_Toc514172599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13</w:t>
            </w:r>
            <w:r w:rsidR="001D3CA2" w:rsidRPr="001D3CA2">
              <w:rPr>
                <w:noProof/>
                <w:webHidden/>
                <w:sz w:val="18"/>
                <w:szCs w:val="18"/>
              </w:rPr>
              <w:fldChar w:fldCharType="end"/>
            </w:r>
          </w:hyperlink>
        </w:p>
        <w:p w14:paraId="7CC5D2AA" w14:textId="77777777" w:rsidR="001D3CA2" w:rsidRPr="001D3CA2" w:rsidRDefault="00EF48C1" w:rsidP="001D3CA2">
          <w:pPr>
            <w:pStyle w:val="TOC2"/>
            <w:jc w:val="both"/>
            <w:rPr>
              <w:rFonts w:eastAsiaTheme="minorEastAsia" w:cstheme="minorBidi"/>
              <w:noProof/>
              <w:sz w:val="18"/>
              <w:szCs w:val="18"/>
            </w:rPr>
          </w:pPr>
          <w:hyperlink w:anchor="_Toc514172600" w:history="1">
            <w:r w:rsidR="001D3CA2" w:rsidRPr="001D3CA2">
              <w:rPr>
                <w:rStyle w:val="Hyperlink"/>
                <w:i/>
                <w:noProof/>
                <w:sz w:val="18"/>
                <w:szCs w:val="18"/>
                <w:lang w:val="es-ES"/>
              </w:rPr>
              <w:t xml:space="preserve">C.1 </w:t>
            </w:r>
            <w:r w:rsidR="001D3CA2" w:rsidRPr="001D3CA2">
              <w:rPr>
                <w:rFonts w:eastAsiaTheme="minorEastAsia" w:cstheme="minorBidi"/>
                <w:noProof/>
                <w:sz w:val="18"/>
                <w:szCs w:val="18"/>
              </w:rPr>
              <w:tab/>
            </w:r>
            <w:r w:rsidR="001D3CA2" w:rsidRPr="001D3CA2">
              <w:rPr>
                <w:rStyle w:val="Hyperlink"/>
                <w:i/>
                <w:noProof/>
                <w:sz w:val="18"/>
                <w:szCs w:val="18"/>
                <w:lang w:val="es-ES"/>
              </w:rPr>
              <w:t>Alegatos del Estado y observaciones de la Comisión y las representantes</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_Toc514172600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13</w:t>
            </w:r>
            <w:r w:rsidR="001D3CA2" w:rsidRPr="001D3CA2">
              <w:rPr>
                <w:noProof/>
                <w:webHidden/>
                <w:sz w:val="18"/>
                <w:szCs w:val="18"/>
              </w:rPr>
              <w:fldChar w:fldCharType="end"/>
            </w:r>
          </w:hyperlink>
        </w:p>
        <w:p w14:paraId="4C2FB473" w14:textId="77777777" w:rsidR="001D3CA2" w:rsidRPr="001D3CA2" w:rsidRDefault="00EF48C1" w:rsidP="001D3CA2">
          <w:pPr>
            <w:pStyle w:val="TOC2"/>
            <w:jc w:val="both"/>
            <w:rPr>
              <w:rFonts w:eastAsiaTheme="minorEastAsia" w:cstheme="minorBidi"/>
              <w:noProof/>
              <w:sz w:val="18"/>
              <w:szCs w:val="18"/>
            </w:rPr>
          </w:pPr>
          <w:hyperlink w:anchor="_Toc514172601" w:history="1">
            <w:r w:rsidR="001D3CA2" w:rsidRPr="001D3CA2">
              <w:rPr>
                <w:rStyle w:val="Hyperlink"/>
                <w:i/>
                <w:noProof/>
                <w:sz w:val="18"/>
                <w:szCs w:val="18"/>
                <w:lang w:val="es-ES"/>
              </w:rPr>
              <w:t xml:space="preserve">C.2 </w:t>
            </w:r>
            <w:r w:rsidR="001D3CA2" w:rsidRPr="001D3CA2">
              <w:rPr>
                <w:rFonts w:eastAsiaTheme="minorEastAsia" w:cstheme="minorBidi"/>
                <w:noProof/>
                <w:sz w:val="18"/>
                <w:szCs w:val="18"/>
              </w:rPr>
              <w:tab/>
            </w:r>
            <w:r w:rsidR="001D3CA2" w:rsidRPr="001D3CA2">
              <w:rPr>
                <w:rStyle w:val="Hyperlink"/>
                <w:i/>
                <w:noProof/>
                <w:sz w:val="18"/>
                <w:szCs w:val="18"/>
                <w:lang w:val="es-ES"/>
              </w:rPr>
              <w:t>Consideraciones de la Corte</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_Toc514172601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14</w:t>
            </w:r>
            <w:r w:rsidR="001D3CA2" w:rsidRPr="001D3CA2">
              <w:rPr>
                <w:noProof/>
                <w:webHidden/>
                <w:sz w:val="18"/>
                <w:szCs w:val="18"/>
              </w:rPr>
              <w:fldChar w:fldCharType="end"/>
            </w:r>
          </w:hyperlink>
        </w:p>
        <w:p w14:paraId="5D2A80CF" w14:textId="77777777" w:rsidR="001D3CA2" w:rsidRPr="001D3CA2" w:rsidRDefault="00EF48C1" w:rsidP="001D3CA2">
          <w:pPr>
            <w:pStyle w:val="TOC1"/>
            <w:tabs>
              <w:tab w:val="right" w:leader="dot" w:pos="10070"/>
            </w:tabs>
            <w:spacing w:after="0" w:line="240" w:lineRule="auto"/>
            <w:rPr>
              <w:rFonts w:eastAsiaTheme="minorEastAsia" w:cstheme="minorBidi"/>
              <w:noProof/>
              <w:sz w:val="18"/>
              <w:szCs w:val="18"/>
            </w:rPr>
          </w:pPr>
          <w:hyperlink w:anchor="_Toc514172602" w:history="1">
            <w:r w:rsidR="001D3CA2" w:rsidRPr="001D3CA2">
              <w:rPr>
                <w:rStyle w:val="Hyperlink"/>
                <w:rFonts w:cs="Verdana"/>
                <w:b/>
                <w:bCs/>
                <w:caps/>
                <w:noProof/>
                <w:snapToGrid w:val="0"/>
                <w:sz w:val="18"/>
                <w:szCs w:val="18"/>
                <w:lang w:val="es-ES"/>
              </w:rPr>
              <w:t>V CONSIDERACIONES PREVIAS</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_Toc514172602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15</w:t>
            </w:r>
            <w:r w:rsidR="001D3CA2" w:rsidRPr="001D3CA2">
              <w:rPr>
                <w:noProof/>
                <w:webHidden/>
                <w:sz w:val="18"/>
                <w:szCs w:val="18"/>
              </w:rPr>
              <w:fldChar w:fldCharType="end"/>
            </w:r>
          </w:hyperlink>
        </w:p>
        <w:p w14:paraId="429C67A8" w14:textId="77777777" w:rsidR="001D3CA2" w:rsidRPr="001D3CA2" w:rsidRDefault="00EF48C1" w:rsidP="001D3CA2">
          <w:pPr>
            <w:pStyle w:val="TOC2"/>
            <w:jc w:val="both"/>
            <w:rPr>
              <w:rFonts w:eastAsiaTheme="minorEastAsia" w:cstheme="minorBidi"/>
              <w:noProof/>
              <w:sz w:val="18"/>
              <w:szCs w:val="18"/>
            </w:rPr>
          </w:pPr>
          <w:hyperlink w:anchor="_Toc514172603" w:history="1">
            <w:r w:rsidR="001D3CA2" w:rsidRPr="001D3CA2">
              <w:rPr>
                <w:rStyle w:val="Hyperlink"/>
                <w:rFonts w:eastAsia="MS Mincho"/>
                <w:b/>
                <w:bCs/>
                <w:i/>
                <w:noProof/>
                <w:sz w:val="18"/>
                <w:szCs w:val="18"/>
                <w:lang w:val="es-ES"/>
              </w:rPr>
              <w:t>A.</w:t>
            </w:r>
            <w:r w:rsidR="001D3CA2" w:rsidRPr="001D3CA2">
              <w:rPr>
                <w:rFonts w:eastAsiaTheme="minorEastAsia" w:cstheme="minorBidi"/>
                <w:noProof/>
                <w:sz w:val="18"/>
                <w:szCs w:val="18"/>
              </w:rPr>
              <w:tab/>
            </w:r>
            <w:r w:rsidR="001D3CA2" w:rsidRPr="001D3CA2">
              <w:rPr>
                <w:rStyle w:val="Hyperlink"/>
                <w:rFonts w:eastAsia="MS Mincho"/>
                <w:b/>
                <w:bCs/>
                <w:i/>
                <w:noProof/>
                <w:sz w:val="18"/>
                <w:szCs w:val="18"/>
                <w:lang w:val="es-ES"/>
              </w:rPr>
              <w:t>Determinación de las presuntas víctimas</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_Toc514172603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15</w:t>
            </w:r>
            <w:r w:rsidR="001D3CA2" w:rsidRPr="001D3CA2">
              <w:rPr>
                <w:noProof/>
                <w:webHidden/>
                <w:sz w:val="18"/>
                <w:szCs w:val="18"/>
              </w:rPr>
              <w:fldChar w:fldCharType="end"/>
            </w:r>
          </w:hyperlink>
        </w:p>
        <w:p w14:paraId="05416570" w14:textId="77777777" w:rsidR="001D3CA2" w:rsidRPr="001D3CA2" w:rsidRDefault="00EF48C1" w:rsidP="001D3CA2">
          <w:pPr>
            <w:pStyle w:val="TOC2"/>
            <w:jc w:val="both"/>
            <w:rPr>
              <w:rFonts w:eastAsiaTheme="minorEastAsia" w:cstheme="minorBidi"/>
              <w:noProof/>
              <w:sz w:val="18"/>
              <w:szCs w:val="18"/>
            </w:rPr>
          </w:pPr>
          <w:hyperlink w:anchor="_Toc514172604" w:history="1">
            <w:r w:rsidR="001D3CA2" w:rsidRPr="001D3CA2">
              <w:rPr>
                <w:rStyle w:val="Hyperlink"/>
                <w:i/>
                <w:noProof/>
                <w:sz w:val="18"/>
                <w:szCs w:val="18"/>
                <w:lang w:val="es-ES"/>
              </w:rPr>
              <w:t xml:space="preserve">A.1 </w:t>
            </w:r>
            <w:r w:rsidR="001D3CA2" w:rsidRPr="001D3CA2">
              <w:rPr>
                <w:rFonts w:eastAsiaTheme="minorEastAsia" w:cstheme="minorBidi"/>
                <w:noProof/>
                <w:sz w:val="18"/>
                <w:szCs w:val="18"/>
              </w:rPr>
              <w:tab/>
            </w:r>
            <w:r w:rsidR="001D3CA2" w:rsidRPr="001D3CA2">
              <w:rPr>
                <w:rStyle w:val="Hyperlink"/>
                <w:i/>
                <w:noProof/>
                <w:sz w:val="18"/>
                <w:szCs w:val="18"/>
                <w:lang w:val="es-ES"/>
              </w:rPr>
              <w:t>Alegatos del Estado y observaciones de la Comisión y las representantes</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_Toc514172604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15</w:t>
            </w:r>
            <w:r w:rsidR="001D3CA2" w:rsidRPr="001D3CA2">
              <w:rPr>
                <w:noProof/>
                <w:webHidden/>
                <w:sz w:val="18"/>
                <w:szCs w:val="18"/>
              </w:rPr>
              <w:fldChar w:fldCharType="end"/>
            </w:r>
          </w:hyperlink>
        </w:p>
        <w:p w14:paraId="38DD1F27" w14:textId="77777777" w:rsidR="001D3CA2" w:rsidRPr="001D3CA2" w:rsidRDefault="00EF48C1" w:rsidP="001D3CA2">
          <w:pPr>
            <w:pStyle w:val="TOC2"/>
            <w:jc w:val="both"/>
            <w:rPr>
              <w:rFonts w:eastAsiaTheme="minorEastAsia" w:cstheme="minorBidi"/>
              <w:noProof/>
              <w:sz w:val="18"/>
              <w:szCs w:val="18"/>
            </w:rPr>
          </w:pPr>
          <w:hyperlink w:anchor="_Toc514172605" w:history="1">
            <w:r w:rsidR="001D3CA2" w:rsidRPr="001D3CA2">
              <w:rPr>
                <w:rStyle w:val="Hyperlink"/>
                <w:i/>
                <w:noProof/>
                <w:sz w:val="18"/>
                <w:szCs w:val="18"/>
                <w:lang w:val="es-ES"/>
              </w:rPr>
              <w:t xml:space="preserve">A.2 </w:t>
            </w:r>
            <w:r w:rsidR="001D3CA2" w:rsidRPr="001D3CA2">
              <w:rPr>
                <w:rFonts w:eastAsiaTheme="minorEastAsia" w:cstheme="minorBidi"/>
                <w:noProof/>
                <w:sz w:val="18"/>
                <w:szCs w:val="18"/>
              </w:rPr>
              <w:tab/>
            </w:r>
            <w:r w:rsidR="001D3CA2" w:rsidRPr="001D3CA2">
              <w:rPr>
                <w:rStyle w:val="Hyperlink"/>
                <w:i/>
                <w:noProof/>
                <w:sz w:val="18"/>
                <w:szCs w:val="18"/>
                <w:lang w:val="es-ES"/>
              </w:rPr>
              <w:t>Consideraciones de la Corte</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_Toc514172605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16</w:t>
            </w:r>
            <w:r w:rsidR="001D3CA2" w:rsidRPr="001D3CA2">
              <w:rPr>
                <w:noProof/>
                <w:webHidden/>
                <w:sz w:val="18"/>
                <w:szCs w:val="18"/>
              </w:rPr>
              <w:fldChar w:fldCharType="end"/>
            </w:r>
          </w:hyperlink>
        </w:p>
        <w:p w14:paraId="1600EE1E" w14:textId="77777777" w:rsidR="001D3CA2" w:rsidRPr="001D3CA2" w:rsidRDefault="00EF48C1" w:rsidP="001D3CA2">
          <w:pPr>
            <w:pStyle w:val="TOC2"/>
            <w:jc w:val="both"/>
            <w:rPr>
              <w:rFonts w:eastAsiaTheme="minorEastAsia" w:cstheme="minorBidi"/>
              <w:noProof/>
              <w:sz w:val="18"/>
              <w:szCs w:val="18"/>
            </w:rPr>
          </w:pPr>
          <w:hyperlink w:anchor="_Toc514172606" w:history="1">
            <w:r w:rsidR="001D3CA2" w:rsidRPr="001D3CA2">
              <w:rPr>
                <w:rStyle w:val="Hyperlink"/>
                <w:rFonts w:eastAsia="MS Mincho"/>
                <w:b/>
                <w:bCs/>
                <w:i/>
                <w:noProof/>
                <w:sz w:val="18"/>
                <w:szCs w:val="18"/>
                <w:lang w:val="es-ES"/>
              </w:rPr>
              <w:t>B.</w:t>
            </w:r>
            <w:r w:rsidR="001D3CA2" w:rsidRPr="001D3CA2">
              <w:rPr>
                <w:rFonts w:eastAsiaTheme="minorEastAsia" w:cstheme="minorBidi"/>
                <w:noProof/>
                <w:sz w:val="18"/>
                <w:szCs w:val="18"/>
              </w:rPr>
              <w:tab/>
            </w:r>
            <w:r w:rsidR="001D3CA2" w:rsidRPr="001D3CA2">
              <w:rPr>
                <w:rStyle w:val="Hyperlink"/>
                <w:rFonts w:eastAsia="MS Mincho"/>
                <w:b/>
                <w:bCs/>
                <w:i/>
                <w:noProof/>
                <w:sz w:val="18"/>
                <w:szCs w:val="18"/>
                <w:lang w:val="es-ES"/>
              </w:rPr>
              <w:t>Otras violaciones de derechos humanos alegadas por las representantes</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_Toc514172606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16</w:t>
            </w:r>
            <w:r w:rsidR="001D3CA2" w:rsidRPr="001D3CA2">
              <w:rPr>
                <w:noProof/>
                <w:webHidden/>
                <w:sz w:val="18"/>
                <w:szCs w:val="18"/>
              </w:rPr>
              <w:fldChar w:fldCharType="end"/>
            </w:r>
          </w:hyperlink>
        </w:p>
        <w:p w14:paraId="3CBBAB4C" w14:textId="77777777" w:rsidR="001D3CA2" w:rsidRPr="001D3CA2" w:rsidRDefault="00EF48C1" w:rsidP="001D3CA2">
          <w:pPr>
            <w:pStyle w:val="TOC2"/>
            <w:jc w:val="both"/>
            <w:rPr>
              <w:rFonts w:eastAsiaTheme="minorEastAsia" w:cstheme="minorBidi"/>
              <w:noProof/>
              <w:sz w:val="18"/>
              <w:szCs w:val="18"/>
            </w:rPr>
          </w:pPr>
          <w:hyperlink w:anchor="_Toc514172607" w:history="1">
            <w:r w:rsidR="001D3CA2" w:rsidRPr="001D3CA2">
              <w:rPr>
                <w:rStyle w:val="Hyperlink"/>
                <w:i/>
                <w:noProof/>
                <w:sz w:val="18"/>
                <w:szCs w:val="18"/>
                <w:lang w:val="es-ES"/>
              </w:rPr>
              <w:t xml:space="preserve">B.1 </w:t>
            </w:r>
            <w:r w:rsidR="001D3CA2" w:rsidRPr="001D3CA2">
              <w:rPr>
                <w:rFonts w:eastAsiaTheme="minorEastAsia" w:cstheme="minorBidi"/>
                <w:noProof/>
                <w:sz w:val="18"/>
                <w:szCs w:val="18"/>
              </w:rPr>
              <w:tab/>
            </w:r>
            <w:r w:rsidR="001D3CA2" w:rsidRPr="001D3CA2">
              <w:rPr>
                <w:rStyle w:val="Hyperlink"/>
                <w:i/>
                <w:noProof/>
                <w:sz w:val="18"/>
                <w:szCs w:val="18"/>
                <w:lang w:val="es-ES"/>
              </w:rPr>
              <w:t>Alegatos del Estado y observaciones de la Comisión y las representantes</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_Toc514172607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16</w:t>
            </w:r>
            <w:r w:rsidR="001D3CA2" w:rsidRPr="001D3CA2">
              <w:rPr>
                <w:noProof/>
                <w:webHidden/>
                <w:sz w:val="18"/>
                <w:szCs w:val="18"/>
              </w:rPr>
              <w:fldChar w:fldCharType="end"/>
            </w:r>
          </w:hyperlink>
        </w:p>
        <w:p w14:paraId="06A75782" w14:textId="77777777" w:rsidR="001D3CA2" w:rsidRPr="001D3CA2" w:rsidRDefault="00EF48C1" w:rsidP="001D3CA2">
          <w:pPr>
            <w:pStyle w:val="TOC2"/>
            <w:jc w:val="both"/>
            <w:rPr>
              <w:rFonts w:eastAsiaTheme="minorEastAsia" w:cstheme="minorBidi"/>
              <w:noProof/>
              <w:sz w:val="18"/>
              <w:szCs w:val="18"/>
            </w:rPr>
          </w:pPr>
          <w:hyperlink w:anchor="_Toc514172608" w:history="1">
            <w:r w:rsidR="001D3CA2" w:rsidRPr="001D3CA2">
              <w:rPr>
                <w:rStyle w:val="Hyperlink"/>
                <w:i/>
                <w:noProof/>
                <w:sz w:val="18"/>
                <w:szCs w:val="18"/>
                <w:lang w:val="es-ES"/>
              </w:rPr>
              <w:t xml:space="preserve">B.2 </w:t>
            </w:r>
            <w:r w:rsidR="001D3CA2" w:rsidRPr="001D3CA2">
              <w:rPr>
                <w:rFonts w:eastAsiaTheme="minorEastAsia" w:cstheme="minorBidi"/>
                <w:noProof/>
                <w:sz w:val="18"/>
                <w:szCs w:val="18"/>
              </w:rPr>
              <w:tab/>
            </w:r>
            <w:r w:rsidR="001D3CA2" w:rsidRPr="001D3CA2">
              <w:rPr>
                <w:rStyle w:val="Hyperlink"/>
                <w:i/>
                <w:noProof/>
                <w:sz w:val="18"/>
                <w:szCs w:val="18"/>
                <w:lang w:val="es-ES"/>
              </w:rPr>
              <w:t>Consideraciones de la Corte</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_Toc514172608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17</w:t>
            </w:r>
            <w:r w:rsidR="001D3CA2" w:rsidRPr="001D3CA2">
              <w:rPr>
                <w:noProof/>
                <w:webHidden/>
                <w:sz w:val="18"/>
                <w:szCs w:val="18"/>
              </w:rPr>
              <w:fldChar w:fldCharType="end"/>
            </w:r>
          </w:hyperlink>
        </w:p>
        <w:p w14:paraId="5CD4C1FC" w14:textId="77777777" w:rsidR="001D3CA2" w:rsidRPr="001D3CA2" w:rsidRDefault="00EF48C1" w:rsidP="001D3CA2">
          <w:pPr>
            <w:pStyle w:val="TOC1"/>
            <w:tabs>
              <w:tab w:val="right" w:leader="dot" w:pos="10070"/>
            </w:tabs>
            <w:spacing w:after="0" w:line="240" w:lineRule="auto"/>
            <w:rPr>
              <w:rFonts w:eastAsiaTheme="minorEastAsia" w:cstheme="minorBidi"/>
              <w:noProof/>
              <w:sz w:val="18"/>
              <w:szCs w:val="18"/>
            </w:rPr>
          </w:pPr>
          <w:hyperlink w:anchor="_Toc514172609" w:history="1">
            <w:r w:rsidR="001D3CA2" w:rsidRPr="001D3CA2">
              <w:rPr>
                <w:rStyle w:val="Hyperlink"/>
                <w:rFonts w:cs="Verdana"/>
                <w:b/>
                <w:bCs/>
                <w:caps/>
                <w:noProof/>
                <w:snapToGrid w:val="0"/>
                <w:sz w:val="18"/>
                <w:szCs w:val="18"/>
                <w:lang w:val="es-ES"/>
              </w:rPr>
              <w:t>VI PRUEBA</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_Toc514172609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18</w:t>
            </w:r>
            <w:r w:rsidR="001D3CA2" w:rsidRPr="001D3CA2">
              <w:rPr>
                <w:noProof/>
                <w:webHidden/>
                <w:sz w:val="18"/>
                <w:szCs w:val="18"/>
              </w:rPr>
              <w:fldChar w:fldCharType="end"/>
            </w:r>
          </w:hyperlink>
        </w:p>
        <w:p w14:paraId="6922BD61" w14:textId="77777777" w:rsidR="001D3CA2" w:rsidRPr="001D3CA2" w:rsidRDefault="00EF48C1" w:rsidP="001D3CA2">
          <w:pPr>
            <w:pStyle w:val="TOC2"/>
            <w:jc w:val="both"/>
            <w:rPr>
              <w:rFonts w:eastAsiaTheme="minorEastAsia" w:cstheme="minorBidi"/>
              <w:noProof/>
              <w:sz w:val="18"/>
              <w:szCs w:val="18"/>
            </w:rPr>
          </w:pPr>
          <w:hyperlink w:anchor="_Toc514172610" w:history="1">
            <w:r w:rsidR="001D3CA2" w:rsidRPr="001D3CA2">
              <w:rPr>
                <w:rStyle w:val="Hyperlink"/>
                <w:rFonts w:eastAsia="MS Mincho"/>
                <w:b/>
                <w:bCs/>
                <w:i/>
                <w:noProof/>
                <w:sz w:val="18"/>
                <w:szCs w:val="18"/>
                <w:lang w:val="es-ES"/>
              </w:rPr>
              <w:t>A.</w:t>
            </w:r>
            <w:r w:rsidR="001D3CA2" w:rsidRPr="001D3CA2">
              <w:rPr>
                <w:rFonts w:eastAsiaTheme="minorEastAsia" w:cstheme="minorBidi"/>
                <w:noProof/>
                <w:sz w:val="18"/>
                <w:szCs w:val="18"/>
              </w:rPr>
              <w:tab/>
            </w:r>
            <w:r w:rsidR="001D3CA2" w:rsidRPr="001D3CA2">
              <w:rPr>
                <w:rStyle w:val="Hyperlink"/>
                <w:rFonts w:eastAsia="MS Mincho"/>
                <w:b/>
                <w:bCs/>
                <w:i/>
                <w:noProof/>
                <w:sz w:val="18"/>
                <w:szCs w:val="18"/>
                <w:lang w:val="es-ES"/>
              </w:rPr>
              <w:t>Prueba documental, testimonial y pericial</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_Toc514172610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18</w:t>
            </w:r>
            <w:r w:rsidR="001D3CA2" w:rsidRPr="001D3CA2">
              <w:rPr>
                <w:noProof/>
                <w:webHidden/>
                <w:sz w:val="18"/>
                <w:szCs w:val="18"/>
              </w:rPr>
              <w:fldChar w:fldCharType="end"/>
            </w:r>
          </w:hyperlink>
        </w:p>
        <w:p w14:paraId="74C83476" w14:textId="77777777" w:rsidR="001D3CA2" w:rsidRPr="001D3CA2" w:rsidRDefault="00EF48C1" w:rsidP="001D3CA2">
          <w:pPr>
            <w:pStyle w:val="TOC2"/>
            <w:jc w:val="both"/>
            <w:rPr>
              <w:rFonts w:eastAsiaTheme="minorEastAsia" w:cstheme="minorBidi"/>
              <w:noProof/>
              <w:sz w:val="18"/>
              <w:szCs w:val="18"/>
            </w:rPr>
          </w:pPr>
          <w:hyperlink w:anchor="_Toc514172611" w:history="1">
            <w:r w:rsidR="001D3CA2" w:rsidRPr="001D3CA2">
              <w:rPr>
                <w:rStyle w:val="Hyperlink"/>
                <w:rFonts w:eastAsia="MS Mincho"/>
                <w:b/>
                <w:bCs/>
                <w:i/>
                <w:noProof/>
                <w:sz w:val="18"/>
                <w:szCs w:val="18"/>
                <w:lang w:val="es-ES"/>
              </w:rPr>
              <w:t xml:space="preserve">B. </w:t>
            </w:r>
            <w:r w:rsidR="001D3CA2" w:rsidRPr="001D3CA2">
              <w:rPr>
                <w:rFonts w:eastAsiaTheme="minorEastAsia" w:cstheme="minorBidi"/>
                <w:noProof/>
                <w:sz w:val="18"/>
                <w:szCs w:val="18"/>
              </w:rPr>
              <w:tab/>
            </w:r>
            <w:r w:rsidR="001D3CA2" w:rsidRPr="001D3CA2">
              <w:rPr>
                <w:rStyle w:val="Hyperlink"/>
                <w:rFonts w:eastAsia="MS Mincho"/>
                <w:b/>
                <w:bCs/>
                <w:i/>
                <w:noProof/>
                <w:sz w:val="18"/>
                <w:szCs w:val="18"/>
                <w:lang w:val="es-ES"/>
              </w:rPr>
              <w:t>Admisión de la prueba</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_Toc514172611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18</w:t>
            </w:r>
            <w:r w:rsidR="001D3CA2" w:rsidRPr="001D3CA2">
              <w:rPr>
                <w:noProof/>
                <w:webHidden/>
                <w:sz w:val="18"/>
                <w:szCs w:val="18"/>
              </w:rPr>
              <w:fldChar w:fldCharType="end"/>
            </w:r>
          </w:hyperlink>
        </w:p>
        <w:p w14:paraId="3F91873B" w14:textId="77777777" w:rsidR="001D3CA2" w:rsidRPr="001D3CA2" w:rsidRDefault="00EF48C1" w:rsidP="001D3CA2">
          <w:pPr>
            <w:pStyle w:val="TOC2"/>
            <w:jc w:val="both"/>
            <w:rPr>
              <w:rFonts w:eastAsiaTheme="minorEastAsia" w:cstheme="minorBidi"/>
              <w:noProof/>
              <w:sz w:val="18"/>
              <w:szCs w:val="18"/>
            </w:rPr>
          </w:pPr>
          <w:hyperlink w:anchor="_Toc514172612" w:history="1">
            <w:r w:rsidR="001D3CA2" w:rsidRPr="001D3CA2">
              <w:rPr>
                <w:rStyle w:val="Hyperlink"/>
                <w:i/>
                <w:noProof/>
                <w:sz w:val="18"/>
                <w:szCs w:val="18"/>
                <w:lang w:val="es-ES"/>
              </w:rPr>
              <w:t xml:space="preserve">B.1 </w:t>
            </w:r>
            <w:r w:rsidR="001D3CA2" w:rsidRPr="001D3CA2">
              <w:rPr>
                <w:rFonts w:eastAsiaTheme="minorEastAsia" w:cstheme="minorBidi"/>
                <w:noProof/>
                <w:sz w:val="18"/>
                <w:szCs w:val="18"/>
              </w:rPr>
              <w:tab/>
            </w:r>
            <w:r w:rsidR="001D3CA2" w:rsidRPr="001D3CA2">
              <w:rPr>
                <w:rStyle w:val="Hyperlink"/>
                <w:i/>
                <w:noProof/>
                <w:sz w:val="18"/>
                <w:szCs w:val="18"/>
                <w:lang w:val="es-ES"/>
              </w:rPr>
              <w:t>Admisión de la prueba documental</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_Toc514172612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18</w:t>
            </w:r>
            <w:r w:rsidR="001D3CA2" w:rsidRPr="001D3CA2">
              <w:rPr>
                <w:noProof/>
                <w:webHidden/>
                <w:sz w:val="18"/>
                <w:szCs w:val="18"/>
              </w:rPr>
              <w:fldChar w:fldCharType="end"/>
            </w:r>
          </w:hyperlink>
        </w:p>
        <w:p w14:paraId="4CFDBFB8" w14:textId="77777777" w:rsidR="001D3CA2" w:rsidRPr="001D3CA2" w:rsidRDefault="00EF48C1" w:rsidP="001D3CA2">
          <w:pPr>
            <w:pStyle w:val="TOC2"/>
            <w:jc w:val="both"/>
            <w:rPr>
              <w:rFonts w:eastAsiaTheme="minorEastAsia" w:cstheme="minorBidi"/>
              <w:noProof/>
              <w:sz w:val="18"/>
              <w:szCs w:val="18"/>
            </w:rPr>
          </w:pPr>
          <w:hyperlink w:anchor="_Toc514172613" w:history="1">
            <w:r w:rsidR="001D3CA2" w:rsidRPr="001D3CA2">
              <w:rPr>
                <w:rStyle w:val="Hyperlink"/>
                <w:i/>
                <w:noProof/>
                <w:sz w:val="18"/>
                <w:szCs w:val="18"/>
                <w:lang w:val="es-ES"/>
              </w:rPr>
              <w:t xml:space="preserve">B.2 </w:t>
            </w:r>
            <w:r w:rsidR="001D3CA2" w:rsidRPr="001D3CA2">
              <w:rPr>
                <w:rFonts w:eastAsiaTheme="minorEastAsia" w:cstheme="minorBidi"/>
                <w:noProof/>
                <w:sz w:val="18"/>
                <w:szCs w:val="18"/>
              </w:rPr>
              <w:tab/>
            </w:r>
            <w:r w:rsidR="001D3CA2" w:rsidRPr="001D3CA2">
              <w:rPr>
                <w:rStyle w:val="Hyperlink"/>
                <w:i/>
                <w:noProof/>
                <w:sz w:val="18"/>
                <w:szCs w:val="18"/>
                <w:lang w:val="es-ES"/>
              </w:rPr>
              <w:t>Admisión de las declaraciones y de los dictámenes periciales</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_Toc514172613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19</w:t>
            </w:r>
            <w:r w:rsidR="001D3CA2" w:rsidRPr="001D3CA2">
              <w:rPr>
                <w:noProof/>
                <w:webHidden/>
                <w:sz w:val="18"/>
                <w:szCs w:val="18"/>
              </w:rPr>
              <w:fldChar w:fldCharType="end"/>
            </w:r>
          </w:hyperlink>
        </w:p>
        <w:p w14:paraId="3DB0D527" w14:textId="77777777" w:rsidR="001D3CA2" w:rsidRPr="001D3CA2" w:rsidRDefault="00EF48C1" w:rsidP="001D3CA2">
          <w:pPr>
            <w:pStyle w:val="TOC2"/>
            <w:jc w:val="both"/>
            <w:rPr>
              <w:rFonts w:eastAsiaTheme="minorEastAsia" w:cstheme="minorBidi"/>
              <w:noProof/>
              <w:sz w:val="18"/>
              <w:szCs w:val="18"/>
            </w:rPr>
          </w:pPr>
          <w:hyperlink w:anchor="_Toc514172614" w:history="1">
            <w:r w:rsidR="001D3CA2" w:rsidRPr="001D3CA2">
              <w:rPr>
                <w:rStyle w:val="Hyperlink"/>
                <w:rFonts w:eastAsia="MS Mincho"/>
                <w:b/>
                <w:bCs/>
                <w:i/>
                <w:noProof/>
                <w:sz w:val="18"/>
                <w:szCs w:val="18"/>
                <w:lang w:val="es-ES"/>
              </w:rPr>
              <w:t xml:space="preserve">C. </w:t>
            </w:r>
            <w:r w:rsidR="001D3CA2" w:rsidRPr="001D3CA2">
              <w:rPr>
                <w:rFonts w:eastAsiaTheme="minorEastAsia" w:cstheme="minorBidi"/>
                <w:noProof/>
                <w:sz w:val="18"/>
                <w:szCs w:val="18"/>
              </w:rPr>
              <w:tab/>
            </w:r>
            <w:r w:rsidR="001D3CA2" w:rsidRPr="001D3CA2">
              <w:rPr>
                <w:rStyle w:val="Hyperlink"/>
                <w:rFonts w:eastAsia="MS Mincho"/>
                <w:b/>
                <w:bCs/>
                <w:i/>
                <w:noProof/>
                <w:sz w:val="18"/>
                <w:szCs w:val="18"/>
                <w:lang w:val="es-ES"/>
              </w:rPr>
              <w:t>Valoración de la prueba</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_Toc514172614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19</w:t>
            </w:r>
            <w:r w:rsidR="001D3CA2" w:rsidRPr="001D3CA2">
              <w:rPr>
                <w:noProof/>
                <w:webHidden/>
                <w:sz w:val="18"/>
                <w:szCs w:val="18"/>
              </w:rPr>
              <w:fldChar w:fldCharType="end"/>
            </w:r>
          </w:hyperlink>
        </w:p>
        <w:p w14:paraId="43EE14CE" w14:textId="77777777" w:rsidR="001D3CA2" w:rsidRPr="001D3CA2" w:rsidRDefault="00EF48C1" w:rsidP="001D3CA2">
          <w:pPr>
            <w:pStyle w:val="TOC1"/>
            <w:tabs>
              <w:tab w:val="right" w:leader="dot" w:pos="10070"/>
            </w:tabs>
            <w:spacing w:after="0" w:line="240" w:lineRule="auto"/>
            <w:rPr>
              <w:rFonts w:eastAsiaTheme="minorEastAsia" w:cstheme="minorBidi"/>
              <w:noProof/>
              <w:sz w:val="18"/>
              <w:szCs w:val="18"/>
            </w:rPr>
          </w:pPr>
          <w:hyperlink w:anchor="_Toc514172615" w:history="1">
            <w:r w:rsidR="001D3CA2" w:rsidRPr="001D3CA2">
              <w:rPr>
                <w:rStyle w:val="Hyperlink"/>
                <w:rFonts w:cs="Verdana"/>
                <w:b/>
                <w:bCs/>
                <w:caps/>
                <w:noProof/>
                <w:snapToGrid w:val="0"/>
                <w:sz w:val="18"/>
                <w:szCs w:val="18"/>
                <w:lang w:val="es-ES"/>
              </w:rPr>
              <w:t>ViI HECHOS</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_Toc514172615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19</w:t>
            </w:r>
            <w:r w:rsidR="001D3CA2" w:rsidRPr="001D3CA2">
              <w:rPr>
                <w:noProof/>
                <w:webHidden/>
                <w:sz w:val="18"/>
                <w:szCs w:val="18"/>
              </w:rPr>
              <w:fldChar w:fldCharType="end"/>
            </w:r>
          </w:hyperlink>
        </w:p>
        <w:p w14:paraId="1FA1024C" w14:textId="77777777" w:rsidR="001D3CA2" w:rsidRPr="001D3CA2" w:rsidRDefault="00EF48C1" w:rsidP="001D3CA2">
          <w:pPr>
            <w:pStyle w:val="TOC2"/>
            <w:jc w:val="both"/>
            <w:rPr>
              <w:rFonts w:eastAsiaTheme="minorEastAsia" w:cstheme="minorBidi"/>
              <w:noProof/>
              <w:sz w:val="18"/>
              <w:szCs w:val="18"/>
            </w:rPr>
          </w:pPr>
          <w:hyperlink w:anchor="_Toc514172616" w:history="1">
            <w:r w:rsidR="001D3CA2" w:rsidRPr="001D3CA2">
              <w:rPr>
                <w:rStyle w:val="Hyperlink"/>
                <w:rFonts w:eastAsia="MS Mincho"/>
                <w:b/>
                <w:bCs/>
                <w:i/>
                <w:noProof/>
                <w:sz w:val="18"/>
                <w:szCs w:val="18"/>
                <w:lang w:val="es-ES"/>
              </w:rPr>
              <w:t>A.</w:t>
            </w:r>
            <w:r w:rsidR="001D3CA2" w:rsidRPr="001D3CA2">
              <w:rPr>
                <w:rFonts w:eastAsiaTheme="minorEastAsia" w:cstheme="minorBidi"/>
                <w:noProof/>
                <w:sz w:val="18"/>
                <w:szCs w:val="18"/>
              </w:rPr>
              <w:tab/>
            </w:r>
            <w:r w:rsidR="001D3CA2" w:rsidRPr="001D3CA2">
              <w:rPr>
                <w:rStyle w:val="Hyperlink"/>
                <w:rFonts w:eastAsia="MS Mincho"/>
                <w:b/>
                <w:bCs/>
                <w:i/>
                <w:noProof/>
                <w:sz w:val="18"/>
                <w:szCs w:val="18"/>
                <w:lang w:val="es-ES"/>
              </w:rPr>
              <w:t>Antecedentes</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_Toc514172616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19</w:t>
            </w:r>
            <w:r w:rsidR="001D3CA2" w:rsidRPr="001D3CA2">
              <w:rPr>
                <w:noProof/>
                <w:webHidden/>
                <w:sz w:val="18"/>
                <w:szCs w:val="18"/>
              </w:rPr>
              <w:fldChar w:fldCharType="end"/>
            </w:r>
          </w:hyperlink>
        </w:p>
        <w:p w14:paraId="7EE1E0D1" w14:textId="77777777" w:rsidR="001D3CA2" w:rsidRPr="001D3CA2" w:rsidRDefault="00EF48C1" w:rsidP="001D3CA2">
          <w:pPr>
            <w:pStyle w:val="TOC2"/>
            <w:jc w:val="both"/>
            <w:rPr>
              <w:rFonts w:eastAsiaTheme="minorEastAsia" w:cstheme="minorBidi"/>
              <w:noProof/>
              <w:sz w:val="18"/>
              <w:szCs w:val="18"/>
            </w:rPr>
          </w:pPr>
          <w:hyperlink w:anchor="_Toc514172617" w:history="1">
            <w:r w:rsidR="001D3CA2" w:rsidRPr="001D3CA2">
              <w:rPr>
                <w:rStyle w:val="Hyperlink"/>
                <w:rFonts w:eastAsia="MS Mincho"/>
                <w:b/>
                <w:bCs/>
                <w:i/>
                <w:noProof/>
                <w:sz w:val="18"/>
                <w:szCs w:val="18"/>
                <w:lang w:val="es-ES"/>
              </w:rPr>
              <w:t>B.</w:t>
            </w:r>
            <w:r w:rsidR="001D3CA2" w:rsidRPr="001D3CA2">
              <w:rPr>
                <w:rFonts w:eastAsiaTheme="minorEastAsia" w:cstheme="minorBidi"/>
                <w:noProof/>
                <w:sz w:val="18"/>
                <w:szCs w:val="18"/>
              </w:rPr>
              <w:tab/>
            </w:r>
            <w:r w:rsidR="001D3CA2" w:rsidRPr="001D3CA2">
              <w:rPr>
                <w:rStyle w:val="Hyperlink"/>
                <w:rFonts w:eastAsia="MS Mincho"/>
                <w:b/>
                <w:bCs/>
                <w:i/>
                <w:noProof/>
                <w:sz w:val="18"/>
                <w:szCs w:val="18"/>
                <w:lang w:val="es-ES"/>
              </w:rPr>
              <w:t>Los hechos ocurridos en el año 2000</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_Toc514172617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20</w:t>
            </w:r>
            <w:r w:rsidR="001D3CA2" w:rsidRPr="001D3CA2">
              <w:rPr>
                <w:noProof/>
                <w:webHidden/>
                <w:sz w:val="18"/>
                <w:szCs w:val="18"/>
              </w:rPr>
              <w:fldChar w:fldCharType="end"/>
            </w:r>
          </w:hyperlink>
        </w:p>
        <w:p w14:paraId="3A7AAF82" w14:textId="77777777" w:rsidR="001D3CA2" w:rsidRPr="001D3CA2" w:rsidRDefault="00EF48C1" w:rsidP="001D3CA2">
          <w:pPr>
            <w:pStyle w:val="TOC2"/>
            <w:jc w:val="both"/>
            <w:rPr>
              <w:rFonts w:eastAsiaTheme="minorEastAsia" w:cstheme="minorBidi"/>
              <w:noProof/>
              <w:sz w:val="18"/>
              <w:szCs w:val="18"/>
            </w:rPr>
          </w:pPr>
          <w:hyperlink w:anchor="_Toc514172618" w:history="1">
            <w:r w:rsidR="001D3CA2" w:rsidRPr="001D3CA2">
              <w:rPr>
                <w:rStyle w:val="Hyperlink"/>
                <w:rFonts w:eastAsia="MS Mincho"/>
                <w:b/>
                <w:bCs/>
                <w:i/>
                <w:noProof/>
                <w:sz w:val="18"/>
                <w:szCs w:val="18"/>
                <w:lang w:val="es-ES"/>
              </w:rPr>
              <w:t>C.</w:t>
            </w:r>
            <w:r w:rsidR="001D3CA2" w:rsidRPr="001D3CA2">
              <w:rPr>
                <w:rFonts w:eastAsiaTheme="minorEastAsia" w:cstheme="minorBidi"/>
                <w:noProof/>
                <w:sz w:val="18"/>
                <w:szCs w:val="18"/>
              </w:rPr>
              <w:tab/>
            </w:r>
            <w:r w:rsidR="001D3CA2" w:rsidRPr="001D3CA2">
              <w:rPr>
                <w:rStyle w:val="Hyperlink"/>
                <w:rFonts w:eastAsia="MS Mincho"/>
                <w:b/>
                <w:bCs/>
                <w:i/>
                <w:noProof/>
                <w:sz w:val="18"/>
                <w:szCs w:val="18"/>
                <w:lang w:val="es-ES"/>
              </w:rPr>
              <w:t>La denuncia penal y el inicio de la investigación</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_Toc514172618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20</w:t>
            </w:r>
            <w:r w:rsidR="001D3CA2" w:rsidRPr="001D3CA2">
              <w:rPr>
                <w:noProof/>
                <w:webHidden/>
                <w:sz w:val="18"/>
                <w:szCs w:val="18"/>
              </w:rPr>
              <w:fldChar w:fldCharType="end"/>
            </w:r>
          </w:hyperlink>
        </w:p>
        <w:p w14:paraId="0FABD231" w14:textId="77777777" w:rsidR="001D3CA2" w:rsidRPr="001D3CA2" w:rsidRDefault="00EF48C1" w:rsidP="001D3CA2">
          <w:pPr>
            <w:pStyle w:val="TOC2"/>
            <w:jc w:val="both"/>
            <w:rPr>
              <w:rFonts w:eastAsiaTheme="minorEastAsia" w:cstheme="minorBidi"/>
              <w:noProof/>
              <w:sz w:val="18"/>
              <w:szCs w:val="18"/>
            </w:rPr>
          </w:pPr>
          <w:hyperlink w:anchor="_Toc514172619" w:history="1">
            <w:r w:rsidR="001D3CA2" w:rsidRPr="001D3CA2">
              <w:rPr>
                <w:rStyle w:val="Hyperlink"/>
                <w:rFonts w:eastAsia="MS Mincho"/>
                <w:b/>
                <w:bCs/>
                <w:i/>
                <w:noProof/>
                <w:sz w:val="18"/>
                <w:szCs w:val="18"/>
                <w:lang w:val="es-ES"/>
              </w:rPr>
              <w:t>D.</w:t>
            </w:r>
            <w:r w:rsidR="001D3CA2" w:rsidRPr="001D3CA2">
              <w:rPr>
                <w:rFonts w:eastAsiaTheme="minorEastAsia" w:cstheme="minorBidi"/>
                <w:noProof/>
                <w:sz w:val="18"/>
                <w:szCs w:val="18"/>
              </w:rPr>
              <w:tab/>
            </w:r>
            <w:r w:rsidR="001D3CA2" w:rsidRPr="001D3CA2">
              <w:rPr>
                <w:rStyle w:val="Hyperlink"/>
                <w:rFonts w:eastAsia="MS Mincho"/>
                <w:b/>
                <w:bCs/>
                <w:i/>
                <w:noProof/>
                <w:sz w:val="18"/>
                <w:szCs w:val="18"/>
                <w:lang w:val="es-ES"/>
              </w:rPr>
              <w:t>Las medidas de prueba ordenadas</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_Toc514172619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22</w:t>
            </w:r>
            <w:r w:rsidR="001D3CA2" w:rsidRPr="001D3CA2">
              <w:rPr>
                <w:noProof/>
                <w:webHidden/>
                <w:sz w:val="18"/>
                <w:szCs w:val="18"/>
              </w:rPr>
              <w:fldChar w:fldCharType="end"/>
            </w:r>
          </w:hyperlink>
        </w:p>
        <w:p w14:paraId="4DAB4B9C" w14:textId="77777777" w:rsidR="001D3CA2" w:rsidRPr="001D3CA2" w:rsidRDefault="00EF48C1" w:rsidP="001D3CA2">
          <w:pPr>
            <w:pStyle w:val="TOC2"/>
            <w:jc w:val="both"/>
            <w:rPr>
              <w:rFonts w:eastAsiaTheme="minorEastAsia" w:cstheme="minorBidi"/>
              <w:noProof/>
              <w:sz w:val="18"/>
              <w:szCs w:val="18"/>
            </w:rPr>
          </w:pPr>
          <w:hyperlink w:anchor="_Toc514172620" w:history="1">
            <w:r w:rsidR="001D3CA2" w:rsidRPr="001D3CA2">
              <w:rPr>
                <w:rStyle w:val="Hyperlink"/>
                <w:rFonts w:eastAsia="MS Mincho"/>
                <w:b/>
                <w:bCs/>
                <w:i/>
                <w:noProof/>
                <w:sz w:val="18"/>
                <w:szCs w:val="18"/>
                <w:lang w:val="es-ES"/>
              </w:rPr>
              <w:t>E.</w:t>
            </w:r>
            <w:r w:rsidR="001D3CA2" w:rsidRPr="001D3CA2">
              <w:rPr>
                <w:rFonts w:eastAsiaTheme="minorEastAsia" w:cstheme="minorBidi"/>
                <w:noProof/>
                <w:sz w:val="18"/>
                <w:szCs w:val="18"/>
              </w:rPr>
              <w:tab/>
            </w:r>
            <w:r w:rsidR="001D3CA2" w:rsidRPr="001D3CA2">
              <w:rPr>
                <w:rStyle w:val="Hyperlink"/>
                <w:rFonts w:eastAsia="MS Mincho"/>
                <w:b/>
                <w:bCs/>
                <w:i/>
                <w:noProof/>
                <w:sz w:val="18"/>
                <w:szCs w:val="18"/>
                <w:lang w:val="es-ES"/>
              </w:rPr>
              <w:t>La detención preventiva del acusado</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_Toc514172620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26</w:t>
            </w:r>
            <w:r w:rsidR="001D3CA2" w:rsidRPr="001D3CA2">
              <w:rPr>
                <w:noProof/>
                <w:webHidden/>
                <w:sz w:val="18"/>
                <w:szCs w:val="18"/>
              </w:rPr>
              <w:fldChar w:fldCharType="end"/>
            </w:r>
          </w:hyperlink>
        </w:p>
        <w:p w14:paraId="3F808726" w14:textId="77777777" w:rsidR="001D3CA2" w:rsidRPr="001D3CA2" w:rsidRDefault="00EF48C1" w:rsidP="001D3CA2">
          <w:pPr>
            <w:pStyle w:val="TOC2"/>
            <w:jc w:val="both"/>
            <w:rPr>
              <w:rFonts w:eastAsiaTheme="minorEastAsia" w:cstheme="minorBidi"/>
              <w:noProof/>
              <w:sz w:val="18"/>
              <w:szCs w:val="18"/>
            </w:rPr>
          </w:pPr>
          <w:hyperlink w:anchor="_Toc514172621" w:history="1">
            <w:r w:rsidR="001D3CA2" w:rsidRPr="001D3CA2">
              <w:rPr>
                <w:rStyle w:val="Hyperlink"/>
                <w:rFonts w:eastAsia="MS Mincho"/>
                <w:b/>
                <w:bCs/>
                <w:i/>
                <w:noProof/>
                <w:sz w:val="18"/>
                <w:szCs w:val="18"/>
                <w:lang w:val="es-ES"/>
              </w:rPr>
              <w:t>F.</w:t>
            </w:r>
            <w:r w:rsidR="001D3CA2" w:rsidRPr="001D3CA2">
              <w:rPr>
                <w:rFonts w:eastAsiaTheme="minorEastAsia" w:cstheme="minorBidi"/>
                <w:noProof/>
                <w:sz w:val="18"/>
                <w:szCs w:val="18"/>
              </w:rPr>
              <w:tab/>
            </w:r>
            <w:r w:rsidR="001D3CA2" w:rsidRPr="001D3CA2">
              <w:rPr>
                <w:rStyle w:val="Hyperlink"/>
                <w:rFonts w:eastAsia="MS Mincho"/>
                <w:b/>
                <w:bCs/>
                <w:i/>
                <w:noProof/>
                <w:sz w:val="18"/>
                <w:szCs w:val="18"/>
                <w:lang w:val="es-ES"/>
              </w:rPr>
              <w:t>El juicio por un Tribunal de Jurados y la absolución del acusado</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_Toc514172621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26</w:t>
            </w:r>
            <w:r w:rsidR="001D3CA2" w:rsidRPr="001D3CA2">
              <w:rPr>
                <w:noProof/>
                <w:webHidden/>
                <w:sz w:val="18"/>
                <w:szCs w:val="18"/>
              </w:rPr>
              <w:fldChar w:fldCharType="end"/>
            </w:r>
          </w:hyperlink>
        </w:p>
        <w:p w14:paraId="40CD90BA" w14:textId="77777777" w:rsidR="001D3CA2" w:rsidRPr="001D3CA2" w:rsidRDefault="00EF48C1" w:rsidP="001D3CA2">
          <w:pPr>
            <w:pStyle w:val="TOC2"/>
            <w:jc w:val="both"/>
            <w:rPr>
              <w:rFonts w:eastAsiaTheme="minorEastAsia" w:cstheme="minorBidi"/>
              <w:noProof/>
              <w:sz w:val="18"/>
              <w:szCs w:val="18"/>
            </w:rPr>
          </w:pPr>
          <w:hyperlink w:anchor="_Toc514172622" w:history="1">
            <w:r w:rsidR="001D3CA2" w:rsidRPr="001D3CA2">
              <w:rPr>
                <w:rStyle w:val="Hyperlink"/>
                <w:rFonts w:eastAsia="MS Mincho"/>
                <w:b/>
                <w:bCs/>
                <w:i/>
                <w:noProof/>
                <w:sz w:val="18"/>
                <w:szCs w:val="18"/>
                <w:lang w:val="es-ES"/>
              </w:rPr>
              <w:t>G.</w:t>
            </w:r>
            <w:r w:rsidR="001D3CA2" w:rsidRPr="001D3CA2">
              <w:rPr>
                <w:rFonts w:eastAsiaTheme="minorEastAsia" w:cstheme="minorBidi"/>
                <w:noProof/>
                <w:sz w:val="18"/>
                <w:szCs w:val="18"/>
              </w:rPr>
              <w:tab/>
            </w:r>
            <w:r w:rsidR="001D3CA2" w:rsidRPr="001D3CA2">
              <w:rPr>
                <w:rStyle w:val="Hyperlink"/>
                <w:rFonts w:eastAsia="MS Mincho"/>
                <w:b/>
                <w:bCs/>
                <w:i/>
                <w:noProof/>
                <w:sz w:val="18"/>
                <w:szCs w:val="18"/>
                <w:lang w:val="es-ES"/>
              </w:rPr>
              <w:t>La continuación del proceso y la confirmación de la sentencia absolutoria</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_Toc514172622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28</w:t>
            </w:r>
            <w:r w:rsidR="001D3CA2" w:rsidRPr="001D3CA2">
              <w:rPr>
                <w:noProof/>
                <w:webHidden/>
                <w:sz w:val="18"/>
                <w:szCs w:val="18"/>
              </w:rPr>
              <w:fldChar w:fldCharType="end"/>
            </w:r>
          </w:hyperlink>
        </w:p>
        <w:p w14:paraId="2935F3D5" w14:textId="77777777" w:rsidR="001D3CA2" w:rsidRPr="001D3CA2" w:rsidRDefault="00EF48C1" w:rsidP="001D3CA2">
          <w:pPr>
            <w:pStyle w:val="TOC2"/>
            <w:jc w:val="both"/>
            <w:rPr>
              <w:rFonts w:eastAsiaTheme="minorEastAsia" w:cstheme="minorBidi"/>
              <w:noProof/>
              <w:sz w:val="18"/>
              <w:szCs w:val="18"/>
            </w:rPr>
          </w:pPr>
          <w:hyperlink w:anchor="_Toc514172623" w:history="1">
            <w:r w:rsidR="001D3CA2" w:rsidRPr="001D3CA2">
              <w:rPr>
                <w:rStyle w:val="Hyperlink"/>
                <w:rFonts w:eastAsia="MS Mincho"/>
                <w:b/>
                <w:bCs/>
                <w:i/>
                <w:noProof/>
                <w:sz w:val="18"/>
                <w:szCs w:val="18"/>
                <w:lang w:val="es-ES"/>
              </w:rPr>
              <w:t>H.</w:t>
            </w:r>
            <w:r w:rsidR="001D3CA2" w:rsidRPr="001D3CA2">
              <w:rPr>
                <w:rFonts w:eastAsiaTheme="minorEastAsia" w:cstheme="minorBidi"/>
                <w:noProof/>
                <w:sz w:val="18"/>
                <w:szCs w:val="18"/>
              </w:rPr>
              <w:tab/>
            </w:r>
            <w:r w:rsidR="001D3CA2" w:rsidRPr="001D3CA2">
              <w:rPr>
                <w:rStyle w:val="Hyperlink"/>
                <w:rFonts w:eastAsia="MS Mincho"/>
                <w:b/>
                <w:bCs/>
                <w:i/>
                <w:noProof/>
                <w:sz w:val="18"/>
                <w:szCs w:val="18"/>
                <w:lang w:val="es-ES"/>
              </w:rPr>
              <w:t>Las quejas presentadas por la señora V.P.C. por irregularidades en el transcurso de la investigación y del proceso</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_Toc514172623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33</w:t>
            </w:r>
            <w:r w:rsidR="001D3CA2" w:rsidRPr="001D3CA2">
              <w:rPr>
                <w:noProof/>
                <w:webHidden/>
                <w:sz w:val="18"/>
                <w:szCs w:val="18"/>
              </w:rPr>
              <w:fldChar w:fldCharType="end"/>
            </w:r>
          </w:hyperlink>
        </w:p>
        <w:p w14:paraId="15D7F811" w14:textId="77777777" w:rsidR="001D3CA2" w:rsidRPr="001D3CA2" w:rsidRDefault="00EF48C1" w:rsidP="001D3CA2">
          <w:pPr>
            <w:pStyle w:val="TOC2"/>
            <w:jc w:val="both"/>
            <w:rPr>
              <w:rFonts w:eastAsiaTheme="minorEastAsia" w:cstheme="minorBidi"/>
              <w:noProof/>
              <w:sz w:val="18"/>
              <w:szCs w:val="18"/>
            </w:rPr>
          </w:pPr>
          <w:hyperlink w:anchor="_Toc514172624" w:history="1">
            <w:r w:rsidR="001D3CA2" w:rsidRPr="001D3CA2">
              <w:rPr>
                <w:rStyle w:val="Hyperlink"/>
                <w:rFonts w:eastAsia="MS Mincho"/>
                <w:b/>
                <w:bCs/>
                <w:i/>
                <w:noProof/>
                <w:sz w:val="18"/>
                <w:szCs w:val="18"/>
                <w:lang w:val="es-ES"/>
              </w:rPr>
              <w:t>I.</w:t>
            </w:r>
            <w:r w:rsidR="001D3CA2" w:rsidRPr="001D3CA2">
              <w:rPr>
                <w:rFonts w:eastAsiaTheme="minorEastAsia" w:cstheme="minorBidi"/>
                <w:noProof/>
                <w:sz w:val="18"/>
                <w:szCs w:val="18"/>
              </w:rPr>
              <w:tab/>
            </w:r>
            <w:r w:rsidR="001D3CA2" w:rsidRPr="001D3CA2">
              <w:rPr>
                <w:rStyle w:val="Hyperlink"/>
                <w:rFonts w:eastAsia="MS Mincho"/>
                <w:b/>
                <w:bCs/>
                <w:i/>
                <w:noProof/>
                <w:sz w:val="18"/>
                <w:szCs w:val="18"/>
                <w:lang w:val="es-ES"/>
              </w:rPr>
              <w:t>Las acciones intentadas contra la señora V.P.C. y sus familiares</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_Toc514172624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35</w:t>
            </w:r>
            <w:r w:rsidR="001D3CA2" w:rsidRPr="001D3CA2">
              <w:rPr>
                <w:noProof/>
                <w:webHidden/>
                <w:sz w:val="18"/>
                <w:szCs w:val="18"/>
              </w:rPr>
              <w:fldChar w:fldCharType="end"/>
            </w:r>
          </w:hyperlink>
        </w:p>
        <w:p w14:paraId="195454CF" w14:textId="77777777" w:rsidR="001D3CA2" w:rsidRPr="001D3CA2" w:rsidRDefault="00EF48C1" w:rsidP="001D3CA2">
          <w:pPr>
            <w:pStyle w:val="TOC2"/>
            <w:jc w:val="both"/>
            <w:rPr>
              <w:rFonts w:eastAsiaTheme="minorEastAsia" w:cstheme="minorBidi"/>
              <w:noProof/>
              <w:sz w:val="18"/>
              <w:szCs w:val="18"/>
            </w:rPr>
          </w:pPr>
          <w:hyperlink w:anchor="_Toc514172625" w:history="1">
            <w:r w:rsidR="001D3CA2" w:rsidRPr="001D3CA2">
              <w:rPr>
                <w:rStyle w:val="Hyperlink"/>
                <w:rFonts w:eastAsia="MS Mincho"/>
                <w:b/>
                <w:bCs/>
                <w:i/>
                <w:noProof/>
                <w:sz w:val="18"/>
                <w:szCs w:val="18"/>
                <w:lang w:val="es-ES"/>
              </w:rPr>
              <w:t>J.</w:t>
            </w:r>
            <w:r w:rsidR="001D3CA2" w:rsidRPr="001D3CA2">
              <w:rPr>
                <w:rFonts w:eastAsiaTheme="minorEastAsia" w:cstheme="minorBidi"/>
                <w:noProof/>
                <w:sz w:val="18"/>
                <w:szCs w:val="18"/>
              </w:rPr>
              <w:tab/>
            </w:r>
            <w:r w:rsidR="001D3CA2" w:rsidRPr="001D3CA2">
              <w:rPr>
                <w:rStyle w:val="Hyperlink"/>
                <w:rFonts w:eastAsia="MS Mincho"/>
                <w:b/>
                <w:bCs/>
                <w:i/>
                <w:noProof/>
                <w:sz w:val="18"/>
                <w:szCs w:val="18"/>
                <w:lang w:val="es-ES"/>
              </w:rPr>
              <w:t>La salida de la señora V.P.C. junto a sus hijas a los Estados Unidos de América</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_Toc514172625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36</w:t>
            </w:r>
            <w:r w:rsidR="001D3CA2" w:rsidRPr="001D3CA2">
              <w:rPr>
                <w:noProof/>
                <w:webHidden/>
                <w:sz w:val="18"/>
                <w:szCs w:val="18"/>
              </w:rPr>
              <w:fldChar w:fldCharType="end"/>
            </w:r>
          </w:hyperlink>
        </w:p>
        <w:p w14:paraId="53463841" w14:textId="77777777" w:rsidR="001D3CA2" w:rsidRPr="001D3CA2" w:rsidRDefault="00EF48C1" w:rsidP="001D3CA2">
          <w:pPr>
            <w:pStyle w:val="TOC1"/>
            <w:tabs>
              <w:tab w:val="right" w:leader="dot" w:pos="10070"/>
            </w:tabs>
            <w:spacing w:after="0" w:line="240" w:lineRule="auto"/>
            <w:rPr>
              <w:rFonts w:eastAsiaTheme="minorEastAsia" w:cstheme="minorBidi"/>
              <w:noProof/>
              <w:sz w:val="18"/>
              <w:szCs w:val="18"/>
            </w:rPr>
          </w:pPr>
          <w:hyperlink w:anchor="_Toc514172626" w:history="1">
            <w:r w:rsidR="001D3CA2" w:rsidRPr="001D3CA2">
              <w:rPr>
                <w:rStyle w:val="Hyperlink"/>
                <w:rFonts w:cs="Verdana"/>
                <w:b/>
                <w:bCs/>
                <w:caps/>
                <w:noProof/>
                <w:snapToGrid w:val="0"/>
                <w:sz w:val="18"/>
                <w:szCs w:val="18"/>
                <w:lang w:val="es-ES"/>
              </w:rPr>
              <w:t>vIii FONDO</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_Toc514172626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37</w:t>
            </w:r>
            <w:r w:rsidR="001D3CA2" w:rsidRPr="001D3CA2">
              <w:rPr>
                <w:noProof/>
                <w:webHidden/>
                <w:sz w:val="18"/>
                <w:szCs w:val="18"/>
              </w:rPr>
              <w:fldChar w:fldCharType="end"/>
            </w:r>
          </w:hyperlink>
        </w:p>
        <w:p w14:paraId="47E8F226" w14:textId="77777777" w:rsidR="001D3CA2" w:rsidRPr="001D3CA2" w:rsidRDefault="00EF48C1" w:rsidP="001D3CA2">
          <w:pPr>
            <w:pStyle w:val="TOC1"/>
            <w:tabs>
              <w:tab w:val="right" w:leader="dot" w:pos="10070"/>
            </w:tabs>
            <w:spacing w:after="0" w:line="240" w:lineRule="auto"/>
            <w:rPr>
              <w:rFonts w:eastAsiaTheme="minorEastAsia" w:cstheme="minorBidi"/>
              <w:noProof/>
              <w:sz w:val="18"/>
              <w:szCs w:val="18"/>
            </w:rPr>
          </w:pPr>
          <w:hyperlink w:anchor="_Toc514172627" w:history="1">
            <w:r w:rsidR="001D3CA2" w:rsidRPr="001D3CA2">
              <w:rPr>
                <w:rStyle w:val="Hyperlink"/>
                <w:rFonts w:cs="Arial"/>
                <w:b/>
                <w:bCs/>
                <w:caps/>
                <w:noProof/>
                <w:kern w:val="2"/>
                <w:sz w:val="18"/>
                <w:szCs w:val="18"/>
                <w:lang w:val="es-ES" w:eastAsia="en-US"/>
              </w:rPr>
              <w:t xml:space="preserve">VIII-1 derechoS A LA INTEGRIDAD personal, a la vida privada y familiar, a los derechos de lA niñA, A LA IGUALDAD ante LA LEY, </w:t>
            </w:r>
            <w:r w:rsidR="001D3CA2" w:rsidRPr="001D3CA2">
              <w:rPr>
                <w:rStyle w:val="Hyperlink"/>
                <w:rFonts w:cs="Verdana"/>
                <w:b/>
                <w:bCs/>
                <w:caps/>
                <w:noProof/>
                <w:snapToGrid w:val="0"/>
                <w:sz w:val="18"/>
                <w:szCs w:val="18"/>
                <w:lang w:val="es-ES"/>
              </w:rPr>
              <w:t>A LAS GARANTÍAS JUDICIALES Y A LA PROTECCIÓN JUDICIAL, EN RELACIÓN CON LAS OBLIGACIONES DE RESPETAR Y GARANTIZAR LOS DERECHOS y de no discriminar</w:t>
            </w:r>
            <w:r w:rsidR="001D3CA2" w:rsidRPr="001D3CA2">
              <w:rPr>
                <w:rStyle w:val="Hyperlink"/>
                <w:rFonts w:cs="Arial"/>
                <w:b/>
                <w:bCs/>
                <w:caps/>
                <w:noProof/>
                <w:kern w:val="2"/>
                <w:sz w:val="18"/>
                <w:szCs w:val="18"/>
                <w:lang w:val="es-ES" w:eastAsia="en-US"/>
              </w:rPr>
              <w:t>, así como con el artículo 7.B) de la convención de belém do pará</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_Toc514172627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38</w:t>
            </w:r>
            <w:r w:rsidR="001D3CA2" w:rsidRPr="001D3CA2">
              <w:rPr>
                <w:noProof/>
                <w:webHidden/>
                <w:sz w:val="18"/>
                <w:szCs w:val="18"/>
              </w:rPr>
              <w:fldChar w:fldCharType="end"/>
            </w:r>
          </w:hyperlink>
        </w:p>
        <w:p w14:paraId="4E9E8228" w14:textId="77777777" w:rsidR="001D3CA2" w:rsidRPr="001D3CA2" w:rsidRDefault="00EF48C1" w:rsidP="001D3CA2">
          <w:pPr>
            <w:pStyle w:val="TOC2"/>
            <w:jc w:val="both"/>
            <w:rPr>
              <w:rFonts w:eastAsiaTheme="minorEastAsia" w:cstheme="minorBidi"/>
              <w:noProof/>
              <w:sz w:val="18"/>
              <w:szCs w:val="18"/>
            </w:rPr>
          </w:pPr>
          <w:hyperlink w:anchor="_Toc514172628" w:history="1">
            <w:r w:rsidR="001D3CA2" w:rsidRPr="001D3CA2">
              <w:rPr>
                <w:rStyle w:val="Hyperlink"/>
                <w:rFonts w:eastAsia="MS Mincho" w:cs="Arial"/>
                <w:b/>
                <w:bCs/>
                <w:i/>
                <w:noProof/>
                <w:kern w:val="2"/>
                <w:sz w:val="18"/>
                <w:szCs w:val="18"/>
                <w:lang w:val="es-ES" w:eastAsia="en-US"/>
              </w:rPr>
              <w:t>A.</w:t>
            </w:r>
            <w:r w:rsidR="001D3CA2" w:rsidRPr="001D3CA2">
              <w:rPr>
                <w:rFonts w:eastAsiaTheme="minorEastAsia" w:cstheme="minorBidi"/>
                <w:noProof/>
                <w:sz w:val="18"/>
                <w:szCs w:val="18"/>
              </w:rPr>
              <w:tab/>
            </w:r>
            <w:r w:rsidR="001D3CA2" w:rsidRPr="001D3CA2">
              <w:rPr>
                <w:rStyle w:val="Hyperlink"/>
                <w:rFonts w:eastAsia="MS Mincho" w:cs="Arial"/>
                <w:b/>
                <w:bCs/>
                <w:i/>
                <w:noProof/>
                <w:kern w:val="2"/>
                <w:sz w:val="18"/>
                <w:szCs w:val="18"/>
                <w:lang w:val="es-ES" w:eastAsia="en-US"/>
              </w:rPr>
              <w:t>Debida diligencia reforzada y protección especial en investigaciones y procesos penales por violencia sexual en perjuicio de niñas, niños o adolescentes y deber de no revictimización</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_Toc514172628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38</w:t>
            </w:r>
            <w:r w:rsidR="001D3CA2" w:rsidRPr="001D3CA2">
              <w:rPr>
                <w:noProof/>
                <w:webHidden/>
                <w:sz w:val="18"/>
                <w:szCs w:val="18"/>
              </w:rPr>
              <w:fldChar w:fldCharType="end"/>
            </w:r>
          </w:hyperlink>
        </w:p>
        <w:p w14:paraId="31F41704" w14:textId="77777777" w:rsidR="001D3CA2" w:rsidRPr="001D3CA2" w:rsidRDefault="00EF48C1" w:rsidP="001D3CA2">
          <w:pPr>
            <w:pStyle w:val="TOC2"/>
            <w:jc w:val="both"/>
            <w:rPr>
              <w:rFonts w:eastAsiaTheme="minorEastAsia" w:cstheme="minorBidi"/>
              <w:noProof/>
              <w:sz w:val="18"/>
              <w:szCs w:val="18"/>
            </w:rPr>
          </w:pPr>
          <w:hyperlink w:anchor="_Toc514172629" w:history="1">
            <w:r w:rsidR="001D3CA2" w:rsidRPr="001D3CA2">
              <w:rPr>
                <w:rStyle w:val="Hyperlink"/>
                <w:i/>
                <w:noProof/>
                <w:sz w:val="18"/>
                <w:szCs w:val="18"/>
                <w:lang w:val="es-ES"/>
              </w:rPr>
              <w:t>A.1</w:t>
            </w:r>
            <w:r w:rsidR="001D3CA2" w:rsidRPr="001D3CA2">
              <w:rPr>
                <w:rFonts w:eastAsiaTheme="minorEastAsia" w:cstheme="minorBidi"/>
                <w:noProof/>
                <w:sz w:val="18"/>
                <w:szCs w:val="18"/>
              </w:rPr>
              <w:tab/>
            </w:r>
            <w:r w:rsidR="001D3CA2" w:rsidRPr="001D3CA2">
              <w:rPr>
                <w:rStyle w:val="Hyperlink"/>
                <w:i/>
                <w:noProof/>
                <w:sz w:val="18"/>
                <w:szCs w:val="18"/>
                <w:lang w:val="es-ES"/>
              </w:rPr>
              <w:t>Argumentos de las partes y de la Comisión</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_Toc514172629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39</w:t>
            </w:r>
            <w:r w:rsidR="001D3CA2" w:rsidRPr="001D3CA2">
              <w:rPr>
                <w:noProof/>
                <w:webHidden/>
                <w:sz w:val="18"/>
                <w:szCs w:val="18"/>
              </w:rPr>
              <w:fldChar w:fldCharType="end"/>
            </w:r>
          </w:hyperlink>
        </w:p>
        <w:p w14:paraId="7C23D029" w14:textId="77777777" w:rsidR="001D3CA2" w:rsidRPr="001D3CA2" w:rsidRDefault="00EF48C1" w:rsidP="001D3CA2">
          <w:pPr>
            <w:pStyle w:val="TOC2"/>
            <w:jc w:val="both"/>
            <w:rPr>
              <w:rFonts w:eastAsiaTheme="minorEastAsia" w:cstheme="minorBidi"/>
              <w:noProof/>
              <w:sz w:val="18"/>
              <w:szCs w:val="18"/>
            </w:rPr>
          </w:pPr>
          <w:hyperlink w:anchor="_Toc514172630" w:history="1">
            <w:r w:rsidR="001D3CA2" w:rsidRPr="001D3CA2">
              <w:rPr>
                <w:rStyle w:val="Hyperlink"/>
                <w:i/>
                <w:noProof/>
                <w:sz w:val="18"/>
                <w:szCs w:val="18"/>
                <w:lang w:val="es-ES"/>
              </w:rPr>
              <w:t>A.2</w:t>
            </w:r>
            <w:r w:rsidR="001D3CA2" w:rsidRPr="001D3CA2">
              <w:rPr>
                <w:rFonts w:eastAsiaTheme="minorEastAsia" w:cstheme="minorBidi"/>
                <w:noProof/>
                <w:sz w:val="18"/>
                <w:szCs w:val="18"/>
              </w:rPr>
              <w:tab/>
            </w:r>
            <w:r w:rsidR="001D3CA2" w:rsidRPr="001D3CA2">
              <w:rPr>
                <w:rStyle w:val="Hyperlink"/>
                <w:i/>
                <w:noProof/>
                <w:sz w:val="18"/>
                <w:szCs w:val="18"/>
                <w:lang w:val="es-ES"/>
              </w:rPr>
              <w:t>Consideraciones de la Corte</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_Toc514172630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41</w:t>
            </w:r>
            <w:r w:rsidR="001D3CA2" w:rsidRPr="001D3CA2">
              <w:rPr>
                <w:noProof/>
                <w:webHidden/>
                <w:sz w:val="18"/>
                <w:szCs w:val="18"/>
              </w:rPr>
              <w:fldChar w:fldCharType="end"/>
            </w:r>
          </w:hyperlink>
        </w:p>
        <w:p w14:paraId="04F5C1B0" w14:textId="77777777" w:rsidR="001D3CA2" w:rsidRPr="001D3CA2" w:rsidRDefault="00EF48C1" w:rsidP="001D3CA2">
          <w:pPr>
            <w:pStyle w:val="TOC3"/>
            <w:rPr>
              <w:rFonts w:eastAsiaTheme="minorEastAsia" w:cstheme="minorBidi"/>
              <w:noProof/>
              <w:sz w:val="18"/>
              <w:szCs w:val="18"/>
            </w:rPr>
          </w:pPr>
          <w:hyperlink w:anchor="_Toc514172631" w:history="1">
            <w:r w:rsidR="001D3CA2" w:rsidRPr="001D3CA2">
              <w:rPr>
                <w:rStyle w:val="Hyperlink"/>
                <w:i/>
                <w:noProof/>
                <w:sz w:val="18"/>
                <w:szCs w:val="18"/>
              </w:rPr>
              <w:t xml:space="preserve">A.2.a </w:t>
            </w:r>
            <w:r w:rsidR="001D3CA2" w:rsidRPr="001D3CA2">
              <w:rPr>
                <w:rFonts w:eastAsiaTheme="minorEastAsia" w:cstheme="minorBidi"/>
                <w:noProof/>
                <w:sz w:val="18"/>
                <w:szCs w:val="18"/>
              </w:rPr>
              <w:tab/>
            </w:r>
            <w:r w:rsidR="001D3CA2" w:rsidRPr="001D3CA2">
              <w:rPr>
                <w:rStyle w:val="Hyperlink"/>
                <w:i/>
                <w:noProof/>
                <w:sz w:val="18"/>
                <w:szCs w:val="18"/>
              </w:rPr>
              <w:t>Los componentes esenciales del deber de debida diligencia reforzada y protección especial</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_Toc514172631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45</w:t>
            </w:r>
            <w:r w:rsidR="001D3CA2" w:rsidRPr="001D3CA2">
              <w:rPr>
                <w:noProof/>
                <w:webHidden/>
                <w:sz w:val="18"/>
                <w:szCs w:val="18"/>
              </w:rPr>
              <w:fldChar w:fldCharType="end"/>
            </w:r>
          </w:hyperlink>
        </w:p>
        <w:p w14:paraId="63143C1A" w14:textId="77777777" w:rsidR="001D3CA2" w:rsidRPr="001D3CA2" w:rsidRDefault="00EF48C1" w:rsidP="001D3CA2">
          <w:pPr>
            <w:pStyle w:val="TOC3"/>
            <w:rPr>
              <w:rFonts w:eastAsiaTheme="minorEastAsia" w:cstheme="minorBidi"/>
              <w:noProof/>
              <w:sz w:val="18"/>
              <w:szCs w:val="18"/>
            </w:rPr>
          </w:pPr>
          <w:hyperlink w:anchor="_Toc514172632" w:history="1">
            <w:r w:rsidR="001D3CA2" w:rsidRPr="001D3CA2">
              <w:rPr>
                <w:rStyle w:val="Hyperlink"/>
                <w:i/>
                <w:noProof/>
                <w:sz w:val="18"/>
                <w:szCs w:val="18"/>
              </w:rPr>
              <w:t xml:space="preserve">A.2.b </w:t>
            </w:r>
            <w:r w:rsidR="001D3CA2" w:rsidRPr="001D3CA2">
              <w:rPr>
                <w:rFonts w:eastAsiaTheme="minorEastAsia" w:cstheme="minorBidi"/>
                <w:noProof/>
                <w:sz w:val="18"/>
                <w:szCs w:val="18"/>
              </w:rPr>
              <w:tab/>
            </w:r>
            <w:r w:rsidR="001D3CA2" w:rsidRPr="001D3CA2">
              <w:rPr>
                <w:rStyle w:val="Hyperlink"/>
                <w:i/>
                <w:noProof/>
                <w:sz w:val="18"/>
                <w:szCs w:val="18"/>
              </w:rPr>
              <w:t>El examen médico forense al que fue sometida la niña V.R.P.</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_Toc514172632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53</w:t>
            </w:r>
            <w:r w:rsidR="001D3CA2" w:rsidRPr="001D3CA2">
              <w:rPr>
                <w:noProof/>
                <w:webHidden/>
                <w:sz w:val="18"/>
                <w:szCs w:val="18"/>
              </w:rPr>
              <w:fldChar w:fldCharType="end"/>
            </w:r>
          </w:hyperlink>
        </w:p>
        <w:p w14:paraId="1A529002" w14:textId="77777777" w:rsidR="001D3CA2" w:rsidRPr="001D3CA2" w:rsidRDefault="00EF48C1" w:rsidP="001D3CA2">
          <w:pPr>
            <w:pStyle w:val="TOC3"/>
            <w:rPr>
              <w:rFonts w:eastAsiaTheme="minorEastAsia" w:cstheme="minorBidi"/>
              <w:noProof/>
              <w:sz w:val="18"/>
              <w:szCs w:val="18"/>
            </w:rPr>
          </w:pPr>
          <w:hyperlink w:anchor="_Toc514172633" w:history="1">
            <w:r w:rsidR="001D3CA2" w:rsidRPr="001D3CA2">
              <w:rPr>
                <w:rStyle w:val="Hyperlink"/>
                <w:i/>
                <w:noProof/>
                <w:sz w:val="18"/>
                <w:szCs w:val="18"/>
              </w:rPr>
              <w:t xml:space="preserve">A.2.c </w:t>
            </w:r>
            <w:r w:rsidR="001D3CA2" w:rsidRPr="001D3CA2">
              <w:rPr>
                <w:rFonts w:eastAsiaTheme="minorEastAsia" w:cstheme="minorBidi"/>
                <w:noProof/>
                <w:sz w:val="18"/>
                <w:szCs w:val="18"/>
              </w:rPr>
              <w:tab/>
            </w:r>
            <w:r w:rsidR="001D3CA2" w:rsidRPr="001D3CA2">
              <w:rPr>
                <w:rStyle w:val="Hyperlink"/>
                <w:i/>
                <w:noProof/>
                <w:sz w:val="18"/>
                <w:szCs w:val="18"/>
              </w:rPr>
              <w:t>La declaración testimonial de V.R.P.</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_Toc514172633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57</w:t>
            </w:r>
            <w:r w:rsidR="001D3CA2" w:rsidRPr="001D3CA2">
              <w:rPr>
                <w:noProof/>
                <w:webHidden/>
                <w:sz w:val="18"/>
                <w:szCs w:val="18"/>
              </w:rPr>
              <w:fldChar w:fldCharType="end"/>
            </w:r>
          </w:hyperlink>
        </w:p>
        <w:p w14:paraId="6C6B590B" w14:textId="77777777" w:rsidR="001D3CA2" w:rsidRPr="001D3CA2" w:rsidRDefault="00EF48C1" w:rsidP="001D3CA2">
          <w:pPr>
            <w:pStyle w:val="TOC3"/>
            <w:rPr>
              <w:rFonts w:eastAsiaTheme="minorEastAsia" w:cstheme="minorBidi"/>
              <w:noProof/>
              <w:sz w:val="18"/>
              <w:szCs w:val="18"/>
            </w:rPr>
          </w:pPr>
          <w:hyperlink w:anchor="_Toc514172634" w:history="1">
            <w:r w:rsidR="001D3CA2" w:rsidRPr="001D3CA2">
              <w:rPr>
                <w:rStyle w:val="Hyperlink"/>
                <w:i/>
                <w:noProof/>
                <w:sz w:val="18"/>
                <w:szCs w:val="18"/>
              </w:rPr>
              <w:t>A.2.d</w:t>
            </w:r>
            <w:r w:rsidR="001D3CA2" w:rsidRPr="001D3CA2">
              <w:rPr>
                <w:rFonts w:eastAsiaTheme="minorEastAsia" w:cstheme="minorBidi"/>
                <w:noProof/>
                <w:sz w:val="18"/>
                <w:szCs w:val="18"/>
              </w:rPr>
              <w:tab/>
            </w:r>
            <w:r w:rsidR="001D3CA2" w:rsidRPr="001D3CA2">
              <w:rPr>
                <w:rStyle w:val="Hyperlink"/>
                <w:i/>
                <w:noProof/>
                <w:sz w:val="18"/>
                <w:szCs w:val="18"/>
              </w:rPr>
              <w:t>La participación de la niña V.R.P. en la inspección ocular y la reconstrucción de los hechos</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_Toc514172634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57</w:t>
            </w:r>
            <w:r w:rsidR="001D3CA2" w:rsidRPr="001D3CA2">
              <w:rPr>
                <w:noProof/>
                <w:webHidden/>
                <w:sz w:val="18"/>
                <w:szCs w:val="18"/>
              </w:rPr>
              <w:fldChar w:fldCharType="end"/>
            </w:r>
          </w:hyperlink>
        </w:p>
        <w:p w14:paraId="6D43DD4D" w14:textId="77777777" w:rsidR="001D3CA2" w:rsidRPr="001D3CA2" w:rsidRDefault="00EF48C1" w:rsidP="001D3CA2">
          <w:pPr>
            <w:pStyle w:val="TOC3"/>
            <w:rPr>
              <w:rFonts w:eastAsiaTheme="minorEastAsia" w:cstheme="minorBidi"/>
              <w:noProof/>
              <w:sz w:val="18"/>
              <w:szCs w:val="18"/>
            </w:rPr>
          </w:pPr>
          <w:hyperlink w:anchor="_Toc514172635" w:history="1">
            <w:r w:rsidR="001D3CA2" w:rsidRPr="001D3CA2">
              <w:rPr>
                <w:rStyle w:val="Hyperlink"/>
                <w:i/>
                <w:noProof/>
                <w:sz w:val="18"/>
                <w:szCs w:val="18"/>
              </w:rPr>
              <w:t xml:space="preserve">A.2.e </w:t>
            </w:r>
            <w:r w:rsidR="001D3CA2" w:rsidRPr="001D3CA2">
              <w:rPr>
                <w:rFonts w:eastAsiaTheme="minorEastAsia" w:cstheme="minorBidi"/>
                <w:noProof/>
                <w:sz w:val="18"/>
                <w:szCs w:val="18"/>
              </w:rPr>
              <w:tab/>
            </w:r>
            <w:r w:rsidR="001D3CA2" w:rsidRPr="001D3CA2">
              <w:rPr>
                <w:rStyle w:val="Hyperlink"/>
                <w:i/>
                <w:noProof/>
                <w:sz w:val="18"/>
                <w:szCs w:val="18"/>
              </w:rPr>
              <w:t>La falta de acompañamiento y atención integral a la niña V.R.P.</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_Toc514172635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59</w:t>
            </w:r>
            <w:r w:rsidR="001D3CA2" w:rsidRPr="001D3CA2">
              <w:rPr>
                <w:noProof/>
                <w:webHidden/>
                <w:sz w:val="18"/>
                <w:szCs w:val="18"/>
              </w:rPr>
              <w:fldChar w:fldCharType="end"/>
            </w:r>
          </w:hyperlink>
        </w:p>
        <w:p w14:paraId="5F8DB8CC" w14:textId="77777777" w:rsidR="001D3CA2" w:rsidRPr="001D3CA2" w:rsidRDefault="00EF48C1" w:rsidP="001D3CA2">
          <w:pPr>
            <w:pStyle w:val="TOC3"/>
            <w:rPr>
              <w:rFonts w:eastAsiaTheme="minorEastAsia" w:cstheme="minorBidi"/>
              <w:noProof/>
              <w:sz w:val="18"/>
              <w:szCs w:val="18"/>
            </w:rPr>
          </w:pPr>
          <w:hyperlink w:anchor="_Toc514172636" w:history="1">
            <w:r w:rsidR="001D3CA2" w:rsidRPr="001D3CA2">
              <w:rPr>
                <w:rStyle w:val="Hyperlink"/>
                <w:i/>
                <w:noProof/>
                <w:sz w:val="18"/>
                <w:szCs w:val="18"/>
              </w:rPr>
              <w:t xml:space="preserve">A.2.f </w:t>
            </w:r>
            <w:r w:rsidR="001D3CA2" w:rsidRPr="001D3CA2">
              <w:rPr>
                <w:rFonts w:eastAsiaTheme="minorEastAsia" w:cstheme="minorBidi"/>
                <w:noProof/>
                <w:sz w:val="18"/>
                <w:szCs w:val="18"/>
              </w:rPr>
              <w:tab/>
            </w:r>
            <w:r w:rsidR="001D3CA2" w:rsidRPr="001D3CA2">
              <w:rPr>
                <w:rStyle w:val="Hyperlink"/>
                <w:i/>
                <w:noProof/>
                <w:sz w:val="18"/>
                <w:szCs w:val="18"/>
              </w:rPr>
              <w:t>Conclusión</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_Toc514172636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61</w:t>
            </w:r>
            <w:r w:rsidR="001D3CA2" w:rsidRPr="001D3CA2">
              <w:rPr>
                <w:noProof/>
                <w:webHidden/>
                <w:sz w:val="18"/>
                <w:szCs w:val="18"/>
              </w:rPr>
              <w:fldChar w:fldCharType="end"/>
            </w:r>
          </w:hyperlink>
        </w:p>
        <w:p w14:paraId="5AF7649E" w14:textId="77777777" w:rsidR="001D3CA2" w:rsidRPr="001D3CA2" w:rsidRDefault="00EF48C1" w:rsidP="001D3CA2">
          <w:pPr>
            <w:pStyle w:val="TOC2"/>
            <w:jc w:val="both"/>
            <w:rPr>
              <w:rFonts w:eastAsiaTheme="minorEastAsia" w:cstheme="minorBidi"/>
              <w:noProof/>
              <w:sz w:val="18"/>
              <w:szCs w:val="18"/>
            </w:rPr>
          </w:pPr>
          <w:hyperlink w:anchor="_Toc514172637" w:history="1">
            <w:r w:rsidR="001D3CA2" w:rsidRPr="001D3CA2">
              <w:rPr>
                <w:rStyle w:val="Hyperlink"/>
                <w:rFonts w:eastAsia="MS Mincho" w:cs="Arial"/>
                <w:b/>
                <w:bCs/>
                <w:i/>
                <w:noProof/>
                <w:kern w:val="2"/>
                <w:sz w:val="18"/>
                <w:szCs w:val="18"/>
                <w:lang w:val="es-ES" w:eastAsia="en-US"/>
              </w:rPr>
              <w:t>B.</w:t>
            </w:r>
            <w:r w:rsidR="001D3CA2" w:rsidRPr="001D3CA2">
              <w:rPr>
                <w:rFonts w:eastAsiaTheme="minorEastAsia" w:cstheme="minorBidi"/>
                <w:noProof/>
                <w:sz w:val="18"/>
                <w:szCs w:val="18"/>
              </w:rPr>
              <w:tab/>
            </w:r>
            <w:r w:rsidR="001D3CA2" w:rsidRPr="001D3CA2">
              <w:rPr>
                <w:rStyle w:val="Hyperlink"/>
                <w:rFonts w:eastAsia="MS Mincho" w:cs="Arial"/>
                <w:b/>
                <w:bCs/>
                <w:i/>
                <w:noProof/>
                <w:kern w:val="2"/>
                <w:sz w:val="18"/>
                <w:szCs w:val="18"/>
                <w:lang w:val="es-ES" w:eastAsia="en-US"/>
              </w:rPr>
              <w:t>La aplicación de las exigencias del debido proceso al juicio por jurados</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_Toc514172637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61</w:t>
            </w:r>
            <w:r w:rsidR="001D3CA2" w:rsidRPr="001D3CA2">
              <w:rPr>
                <w:noProof/>
                <w:webHidden/>
                <w:sz w:val="18"/>
                <w:szCs w:val="18"/>
              </w:rPr>
              <w:fldChar w:fldCharType="end"/>
            </w:r>
          </w:hyperlink>
        </w:p>
        <w:p w14:paraId="5FDBDA90" w14:textId="77777777" w:rsidR="001D3CA2" w:rsidRPr="001D3CA2" w:rsidRDefault="00EF48C1" w:rsidP="001D3CA2">
          <w:pPr>
            <w:pStyle w:val="TOC2"/>
            <w:jc w:val="both"/>
            <w:rPr>
              <w:rFonts w:eastAsiaTheme="minorEastAsia" w:cstheme="minorBidi"/>
              <w:noProof/>
              <w:sz w:val="18"/>
              <w:szCs w:val="18"/>
            </w:rPr>
          </w:pPr>
          <w:hyperlink w:anchor="_Toc514172638" w:history="1">
            <w:r w:rsidR="001D3CA2" w:rsidRPr="001D3CA2">
              <w:rPr>
                <w:rStyle w:val="Hyperlink"/>
                <w:bCs/>
                <w:i/>
                <w:noProof/>
                <w:sz w:val="18"/>
                <w:szCs w:val="18"/>
                <w:lang w:val="es-ES"/>
              </w:rPr>
              <w:t xml:space="preserve">B.1 </w:t>
            </w:r>
            <w:r w:rsidR="001D3CA2" w:rsidRPr="001D3CA2">
              <w:rPr>
                <w:rFonts w:eastAsiaTheme="minorEastAsia" w:cstheme="minorBidi"/>
                <w:noProof/>
                <w:sz w:val="18"/>
                <w:szCs w:val="18"/>
              </w:rPr>
              <w:tab/>
            </w:r>
            <w:r w:rsidR="001D3CA2" w:rsidRPr="001D3CA2">
              <w:rPr>
                <w:rStyle w:val="Hyperlink"/>
                <w:bCs/>
                <w:i/>
                <w:noProof/>
                <w:sz w:val="18"/>
                <w:szCs w:val="18"/>
                <w:lang w:val="es-ES"/>
              </w:rPr>
              <w:t>Alegatos</w:t>
            </w:r>
            <w:r w:rsidR="001D3CA2" w:rsidRPr="001D3CA2">
              <w:rPr>
                <w:rStyle w:val="Hyperlink"/>
                <w:noProof/>
                <w:sz w:val="18"/>
                <w:szCs w:val="18"/>
                <w:lang w:val="es-ES"/>
              </w:rPr>
              <w:t xml:space="preserve"> </w:t>
            </w:r>
            <w:r w:rsidR="001D3CA2" w:rsidRPr="001D3CA2">
              <w:rPr>
                <w:rStyle w:val="Hyperlink"/>
                <w:bCs/>
                <w:i/>
                <w:noProof/>
                <w:sz w:val="18"/>
                <w:szCs w:val="18"/>
                <w:lang w:val="es-ES"/>
              </w:rPr>
              <w:t>de las partes y de la Comisión en torno a la imparcialidad</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_Toc514172638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61</w:t>
            </w:r>
            <w:r w:rsidR="001D3CA2" w:rsidRPr="001D3CA2">
              <w:rPr>
                <w:noProof/>
                <w:webHidden/>
                <w:sz w:val="18"/>
                <w:szCs w:val="18"/>
              </w:rPr>
              <w:fldChar w:fldCharType="end"/>
            </w:r>
          </w:hyperlink>
        </w:p>
        <w:p w14:paraId="105CA600" w14:textId="77777777" w:rsidR="001D3CA2" w:rsidRPr="001D3CA2" w:rsidRDefault="00EF48C1" w:rsidP="001D3CA2">
          <w:pPr>
            <w:pStyle w:val="TOC2"/>
            <w:jc w:val="both"/>
            <w:rPr>
              <w:rFonts w:eastAsiaTheme="minorEastAsia" w:cstheme="minorBidi"/>
              <w:noProof/>
              <w:sz w:val="18"/>
              <w:szCs w:val="18"/>
            </w:rPr>
          </w:pPr>
          <w:hyperlink w:anchor="_Toc514172639" w:history="1">
            <w:r w:rsidR="001D3CA2" w:rsidRPr="001D3CA2">
              <w:rPr>
                <w:rStyle w:val="Hyperlink"/>
                <w:bCs/>
                <w:i/>
                <w:noProof/>
                <w:sz w:val="18"/>
                <w:szCs w:val="18"/>
                <w:lang w:val="es-ES"/>
              </w:rPr>
              <w:t xml:space="preserve">B.2 </w:t>
            </w:r>
            <w:r w:rsidR="001D3CA2" w:rsidRPr="001D3CA2">
              <w:rPr>
                <w:rFonts w:eastAsiaTheme="minorEastAsia" w:cstheme="minorBidi"/>
                <w:noProof/>
                <w:sz w:val="18"/>
                <w:szCs w:val="18"/>
              </w:rPr>
              <w:tab/>
            </w:r>
            <w:r w:rsidR="001D3CA2" w:rsidRPr="001D3CA2">
              <w:rPr>
                <w:rStyle w:val="Hyperlink"/>
                <w:bCs/>
                <w:i/>
                <w:noProof/>
                <w:sz w:val="18"/>
                <w:szCs w:val="18"/>
                <w:lang w:val="es-ES"/>
              </w:rPr>
              <w:t>Alegatos de las partes y de la Comisión en relación con el deber de motivar</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_Toc514172639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62</w:t>
            </w:r>
            <w:r w:rsidR="001D3CA2" w:rsidRPr="001D3CA2">
              <w:rPr>
                <w:noProof/>
                <w:webHidden/>
                <w:sz w:val="18"/>
                <w:szCs w:val="18"/>
              </w:rPr>
              <w:fldChar w:fldCharType="end"/>
            </w:r>
          </w:hyperlink>
        </w:p>
        <w:p w14:paraId="4D58FFC0" w14:textId="77777777" w:rsidR="001D3CA2" w:rsidRPr="001D3CA2" w:rsidRDefault="00EF48C1" w:rsidP="001D3CA2">
          <w:pPr>
            <w:pStyle w:val="TOC2"/>
            <w:jc w:val="both"/>
            <w:rPr>
              <w:rFonts w:eastAsiaTheme="minorEastAsia" w:cstheme="minorBidi"/>
              <w:noProof/>
              <w:sz w:val="18"/>
              <w:szCs w:val="18"/>
            </w:rPr>
          </w:pPr>
          <w:hyperlink w:anchor="_Toc514172640" w:history="1">
            <w:r w:rsidR="001D3CA2" w:rsidRPr="001D3CA2">
              <w:rPr>
                <w:rStyle w:val="Hyperlink"/>
                <w:bCs/>
                <w:i/>
                <w:noProof/>
                <w:sz w:val="18"/>
                <w:szCs w:val="18"/>
                <w:lang w:val="es-ES"/>
              </w:rPr>
              <w:t>B.3</w:t>
            </w:r>
            <w:r w:rsidR="001D3CA2" w:rsidRPr="001D3CA2">
              <w:rPr>
                <w:rFonts w:eastAsiaTheme="minorEastAsia" w:cstheme="minorBidi"/>
                <w:noProof/>
                <w:sz w:val="18"/>
                <w:szCs w:val="18"/>
              </w:rPr>
              <w:tab/>
            </w:r>
            <w:r w:rsidR="001D3CA2" w:rsidRPr="001D3CA2">
              <w:rPr>
                <w:rStyle w:val="Hyperlink"/>
                <w:bCs/>
                <w:i/>
                <w:noProof/>
                <w:sz w:val="18"/>
                <w:szCs w:val="18"/>
                <w:lang w:val="es-ES"/>
              </w:rPr>
              <w:t>Consideraciones de la Corte</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_Toc514172640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64</w:t>
            </w:r>
            <w:r w:rsidR="001D3CA2" w:rsidRPr="001D3CA2">
              <w:rPr>
                <w:noProof/>
                <w:webHidden/>
                <w:sz w:val="18"/>
                <w:szCs w:val="18"/>
              </w:rPr>
              <w:fldChar w:fldCharType="end"/>
            </w:r>
          </w:hyperlink>
        </w:p>
        <w:p w14:paraId="6A5859F7" w14:textId="77777777" w:rsidR="001D3CA2" w:rsidRPr="001D3CA2" w:rsidRDefault="00EF48C1" w:rsidP="001D3CA2">
          <w:pPr>
            <w:pStyle w:val="TOC3"/>
            <w:rPr>
              <w:rFonts w:eastAsiaTheme="minorEastAsia" w:cstheme="minorBidi"/>
              <w:noProof/>
              <w:sz w:val="18"/>
              <w:szCs w:val="18"/>
            </w:rPr>
          </w:pPr>
          <w:hyperlink w:anchor="_Toc514172641" w:history="1">
            <w:r w:rsidR="001D3CA2" w:rsidRPr="001D3CA2">
              <w:rPr>
                <w:rStyle w:val="Hyperlink"/>
                <w:i/>
                <w:noProof/>
                <w:sz w:val="18"/>
                <w:szCs w:val="18"/>
              </w:rPr>
              <w:t>B.3.a</w:t>
            </w:r>
            <w:r w:rsidR="001D3CA2" w:rsidRPr="001D3CA2">
              <w:rPr>
                <w:rFonts w:eastAsiaTheme="minorEastAsia" w:cstheme="minorBidi"/>
                <w:noProof/>
                <w:sz w:val="18"/>
                <w:szCs w:val="18"/>
              </w:rPr>
              <w:tab/>
            </w:r>
            <w:r w:rsidR="001D3CA2" w:rsidRPr="001D3CA2">
              <w:rPr>
                <w:rStyle w:val="Hyperlink"/>
                <w:i/>
                <w:noProof/>
                <w:sz w:val="18"/>
                <w:szCs w:val="18"/>
              </w:rPr>
              <w:t>La legislación procesal penal relativa a los jurados en Nicaragua en la época de los hechos</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_Toc514172641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66</w:t>
            </w:r>
            <w:r w:rsidR="001D3CA2" w:rsidRPr="001D3CA2">
              <w:rPr>
                <w:noProof/>
                <w:webHidden/>
                <w:sz w:val="18"/>
                <w:szCs w:val="18"/>
              </w:rPr>
              <w:fldChar w:fldCharType="end"/>
            </w:r>
          </w:hyperlink>
        </w:p>
        <w:p w14:paraId="5A80442D" w14:textId="77777777" w:rsidR="001D3CA2" w:rsidRPr="001D3CA2" w:rsidRDefault="00EF48C1" w:rsidP="001D3CA2">
          <w:pPr>
            <w:pStyle w:val="TOC3"/>
            <w:rPr>
              <w:rFonts w:eastAsiaTheme="minorEastAsia" w:cstheme="minorBidi"/>
              <w:noProof/>
              <w:sz w:val="18"/>
              <w:szCs w:val="18"/>
            </w:rPr>
          </w:pPr>
          <w:hyperlink w:anchor="_Toc514172642" w:history="1">
            <w:r w:rsidR="001D3CA2" w:rsidRPr="001D3CA2">
              <w:rPr>
                <w:rStyle w:val="Hyperlink"/>
                <w:i/>
                <w:noProof/>
                <w:sz w:val="18"/>
                <w:szCs w:val="18"/>
              </w:rPr>
              <w:t>B.3.b</w:t>
            </w:r>
            <w:r w:rsidR="001D3CA2" w:rsidRPr="001D3CA2">
              <w:rPr>
                <w:rFonts w:eastAsiaTheme="minorEastAsia" w:cstheme="minorBidi"/>
                <w:noProof/>
                <w:sz w:val="18"/>
                <w:szCs w:val="18"/>
              </w:rPr>
              <w:tab/>
            </w:r>
            <w:r w:rsidR="001D3CA2" w:rsidRPr="001D3CA2">
              <w:rPr>
                <w:rStyle w:val="Hyperlink"/>
                <w:i/>
                <w:noProof/>
                <w:sz w:val="18"/>
                <w:szCs w:val="18"/>
              </w:rPr>
              <w:t>La garantía de imparcialidad de los jurados</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_Toc514172642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69</w:t>
            </w:r>
            <w:r w:rsidR="001D3CA2" w:rsidRPr="001D3CA2">
              <w:rPr>
                <w:noProof/>
                <w:webHidden/>
                <w:sz w:val="18"/>
                <w:szCs w:val="18"/>
              </w:rPr>
              <w:fldChar w:fldCharType="end"/>
            </w:r>
          </w:hyperlink>
        </w:p>
        <w:p w14:paraId="05C45E53" w14:textId="77777777" w:rsidR="001D3CA2" w:rsidRPr="001D3CA2" w:rsidRDefault="00EF48C1" w:rsidP="001D3CA2">
          <w:pPr>
            <w:pStyle w:val="TOC3"/>
            <w:rPr>
              <w:rFonts w:eastAsiaTheme="minorEastAsia" w:cstheme="minorBidi"/>
              <w:noProof/>
              <w:sz w:val="18"/>
              <w:szCs w:val="18"/>
            </w:rPr>
          </w:pPr>
          <w:hyperlink w:anchor="_Toc514172643" w:history="1">
            <w:r w:rsidR="001D3CA2" w:rsidRPr="001D3CA2">
              <w:rPr>
                <w:rStyle w:val="Hyperlink"/>
                <w:i/>
                <w:noProof/>
                <w:sz w:val="18"/>
                <w:szCs w:val="18"/>
              </w:rPr>
              <w:t xml:space="preserve">B.3.c </w:t>
            </w:r>
            <w:r w:rsidR="001D3CA2" w:rsidRPr="001D3CA2">
              <w:rPr>
                <w:rFonts w:eastAsiaTheme="minorEastAsia" w:cstheme="minorBidi"/>
                <w:noProof/>
                <w:sz w:val="18"/>
                <w:szCs w:val="18"/>
              </w:rPr>
              <w:tab/>
            </w:r>
            <w:r w:rsidR="001D3CA2" w:rsidRPr="001D3CA2">
              <w:rPr>
                <w:rStyle w:val="Hyperlink"/>
                <w:i/>
                <w:noProof/>
                <w:sz w:val="18"/>
                <w:szCs w:val="18"/>
              </w:rPr>
              <w:t>El deber de motivación y las garantías contra la arbitrariedad del veredicto</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_Toc514172643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73</w:t>
            </w:r>
            <w:r w:rsidR="001D3CA2" w:rsidRPr="001D3CA2">
              <w:rPr>
                <w:noProof/>
                <w:webHidden/>
                <w:sz w:val="18"/>
                <w:szCs w:val="18"/>
              </w:rPr>
              <w:fldChar w:fldCharType="end"/>
            </w:r>
          </w:hyperlink>
        </w:p>
        <w:p w14:paraId="59633FD0" w14:textId="77777777" w:rsidR="001D3CA2" w:rsidRPr="001D3CA2" w:rsidRDefault="00EF48C1" w:rsidP="001D3CA2">
          <w:pPr>
            <w:pStyle w:val="TOC3"/>
            <w:rPr>
              <w:rFonts w:eastAsiaTheme="minorEastAsia" w:cstheme="minorBidi"/>
              <w:noProof/>
              <w:sz w:val="18"/>
              <w:szCs w:val="18"/>
            </w:rPr>
          </w:pPr>
          <w:hyperlink w:anchor="_Toc514172644" w:history="1">
            <w:r w:rsidR="001D3CA2" w:rsidRPr="001D3CA2">
              <w:rPr>
                <w:rStyle w:val="Hyperlink"/>
                <w:i/>
                <w:noProof/>
                <w:sz w:val="18"/>
                <w:szCs w:val="18"/>
              </w:rPr>
              <w:t xml:space="preserve">B.3.d </w:t>
            </w:r>
            <w:r w:rsidR="001D3CA2" w:rsidRPr="001D3CA2">
              <w:rPr>
                <w:rFonts w:eastAsiaTheme="minorEastAsia" w:cstheme="minorBidi"/>
                <w:noProof/>
                <w:sz w:val="18"/>
                <w:szCs w:val="18"/>
              </w:rPr>
              <w:tab/>
            </w:r>
            <w:r w:rsidR="001D3CA2" w:rsidRPr="001D3CA2">
              <w:rPr>
                <w:rStyle w:val="Hyperlink"/>
                <w:i/>
                <w:noProof/>
                <w:sz w:val="18"/>
                <w:szCs w:val="18"/>
              </w:rPr>
              <w:t>Conclusión</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_Toc514172644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77</w:t>
            </w:r>
            <w:r w:rsidR="001D3CA2" w:rsidRPr="001D3CA2">
              <w:rPr>
                <w:noProof/>
                <w:webHidden/>
                <w:sz w:val="18"/>
                <w:szCs w:val="18"/>
              </w:rPr>
              <w:fldChar w:fldCharType="end"/>
            </w:r>
          </w:hyperlink>
        </w:p>
        <w:p w14:paraId="4F93E81A" w14:textId="77777777" w:rsidR="001D3CA2" w:rsidRPr="001D3CA2" w:rsidRDefault="00EF48C1" w:rsidP="001D3CA2">
          <w:pPr>
            <w:pStyle w:val="TOC2"/>
            <w:jc w:val="both"/>
            <w:rPr>
              <w:rFonts w:eastAsiaTheme="minorEastAsia" w:cstheme="minorBidi"/>
              <w:noProof/>
              <w:sz w:val="18"/>
              <w:szCs w:val="18"/>
            </w:rPr>
          </w:pPr>
          <w:hyperlink w:anchor="_Toc514172645" w:history="1">
            <w:r w:rsidR="001D3CA2" w:rsidRPr="001D3CA2">
              <w:rPr>
                <w:rStyle w:val="Hyperlink"/>
                <w:rFonts w:eastAsia="MS Mincho" w:cs="Arial"/>
                <w:b/>
                <w:bCs/>
                <w:i/>
                <w:noProof/>
                <w:kern w:val="2"/>
                <w:sz w:val="18"/>
                <w:szCs w:val="18"/>
                <w:lang w:val="es-ES" w:eastAsia="en-US"/>
              </w:rPr>
              <w:t>C.</w:t>
            </w:r>
            <w:r w:rsidR="001D3CA2" w:rsidRPr="001D3CA2">
              <w:rPr>
                <w:rFonts w:eastAsiaTheme="minorEastAsia" w:cstheme="minorBidi"/>
                <w:noProof/>
                <w:sz w:val="18"/>
                <w:szCs w:val="18"/>
              </w:rPr>
              <w:tab/>
            </w:r>
            <w:r w:rsidR="001D3CA2" w:rsidRPr="001D3CA2">
              <w:rPr>
                <w:rStyle w:val="Hyperlink"/>
                <w:rFonts w:eastAsia="MS Mincho" w:cs="Arial"/>
                <w:b/>
                <w:bCs/>
                <w:i/>
                <w:noProof/>
                <w:kern w:val="2"/>
                <w:sz w:val="18"/>
                <w:szCs w:val="18"/>
                <w:lang w:val="es-ES" w:eastAsia="en-US"/>
              </w:rPr>
              <w:t>Plazo Razonable</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_Toc514172645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78</w:t>
            </w:r>
            <w:r w:rsidR="001D3CA2" w:rsidRPr="001D3CA2">
              <w:rPr>
                <w:noProof/>
                <w:webHidden/>
                <w:sz w:val="18"/>
                <w:szCs w:val="18"/>
              </w:rPr>
              <w:fldChar w:fldCharType="end"/>
            </w:r>
          </w:hyperlink>
        </w:p>
        <w:p w14:paraId="783C099B" w14:textId="77777777" w:rsidR="001D3CA2" w:rsidRPr="001D3CA2" w:rsidRDefault="00EF48C1" w:rsidP="001D3CA2">
          <w:pPr>
            <w:pStyle w:val="TOC2"/>
            <w:jc w:val="both"/>
            <w:rPr>
              <w:rFonts w:eastAsiaTheme="minorEastAsia" w:cstheme="minorBidi"/>
              <w:noProof/>
              <w:sz w:val="18"/>
              <w:szCs w:val="18"/>
            </w:rPr>
          </w:pPr>
          <w:hyperlink w:anchor="_Toc514172646" w:history="1">
            <w:r w:rsidR="001D3CA2" w:rsidRPr="001D3CA2">
              <w:rPr>
                <w:rStyle w:val="Hyperlink"/>
                <w:bCs/>
                <w:i/>
                <w:noProof/>
                <w:sz w:val="18"/>
                <w:szCs w:val="18"/>
                <w:lang w:val="es-ES"/>
              </w:rPr>
              <w:t xml:space="preserve">C.1 </w:t>
            </w:r>
            <w:r w:rsidR="001D3CA2" w:rsidRPr="001D3CA2">
              <w:rPr>
                <w:rFonts w:eastAsiaTheme="minorEastAsia" w:cstheme="minorBidi"/>
                <w:noProof/>
                <w:sz w:val="18"/>
                <w:szCs w:val="18"/>
              </w:rPr>
              <w:tab/>
            </w:r>
            <w:r w:rsidR="001D3CA2" w:rsidRPr="001D3CA2">
              <w:rPr>
                <w:rStyle w:val="Hyperlink"/>
                <w:bCs/>
                <w:i/>
                <w:noProof/>
                <w:sz w:val="18"/>
                <w:szCs w:val="18"/>
                <w:lang w:val="es-ES"/>
              </w:rPr>
              <w:t>Alegatos de las partes y de la Comisión en relación con el plazo razonable</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_Toc514172646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78</w:t>
            </w:r>
            <w:r w:rsidR="001D3CA2" w:rsidRPr="001D3CA2">
              <w:rPr>
                <w:noProof/>
                <w:webHidden/>
                <w:sz w:val="18"/>
                <w:szCs w:val="18"/>
              </w:rPr>
              <w:fldChar w:fldCharType="end"/>
            </w:r>
          </w:hyperlink>
        </w:p>
        <w:p w14:paraId="3249692F" w14:textId="77777777" w:rsidR="001D3CA2" w:rsidRPr="001D3CA2" w:rsidRDefault="00EF48C1" w:rsidP="001D3CA2">
          <w:pPr>
            <w:pStyle w:val="TOC2"/>
            <w:jc w:val="both"/>
            <w:rPr>
              <w:rFonts w:eastAsiaTheme="minorEastAsia" w:cstheme="minorBidi"/>
              <w:noProof/>
              <w:sz w:val="18"/>
              <w:szCs w:val="18"/>
            </w:rPr>
          </w:pPr>
          <w:hyperlink w:anchor="_Toc514172647" w:history="1">
            <w:r w:rsidR="001D3CA2" w:rsidRPr="001D3CA2">
              <w:rPr>
                <w:rStyle w:val="Hyperlink"/>
                <w:bCs/>
                <w:i/>
                <w:noProof/>
                <w:sz w:val="18"/>
                <w:szCs w:val="18"/>
                <w:lang w:val="es-ES"/>
              </w:rPr>
              <w:t>C.2</w:t>
            </w:r>
            <w:r w:rsidR="001D3CA2" w:rsidRPr="001D3CA2">
              <w:rPr>
                <w:rFonts w:eastAsiaTheme="minorEastAsia" w:cstheme="minorBidi"/>
                <w:noProof/>
                <w:sz w:val="18"/>
                <w:szCs w:val="18"/>
              </w:rPr>
              <w:tab/>
            </w:r>
            <w:r w:rsidR="001D3CA2" w:rsidRPr="001D3CA2">
              <w:rPr>
                <w:rStyle w:val="Hyperlink"/>
                <w:bCs/>
                <w:i/>
                <w:noProof/>
                <w:sz w:val="18"/>
                <w:szCs w:val="18"/>
                <w:lang w:val="es-ES"/>
              </w:rPr>
              <w:t>Consideraciones de la Corte</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_Toc514172647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79</w:t>
            </w:r>
            <w:r w:rsidR="001D3CA2" w:rsidRPr="001D3CA2">
              <w:rPr>
                <w:noProof/>
                <w:webHidden/>
                <w:sz w:val="18"/>
                <w:szCs w:val="18"/>
              </w:rPr>
              <w:fldChar w:fldCharType="end"/>
            </w:r>
          </w:hyperlink>
        </w:p>
        <w:p w14:paraId="4554FCE0" w14:textId="77777777" w:rsidR="001D3CA2" w:rsidRPr="001D3CA2" w:rsidRDefault="00EF48C1" w:rsidP="001D3CA2">
          <w:pPr>
            <w:pStyle w:val="TOC2"/>
            <w:jc w:val="both"/>
            <w:rPr>
              <w:rFonts w:eastAsiaTheme="minorEastAsia" w:cstheme="minorBidi"/>
              <w:noProof/>
              <w:sz w:val="18"/>
              <w:szCs w:val="18"/>
            </w:rPr>
          </w:pPr>
          <w:hyperlink w:anchor="_Toc514172648" w:history="1">
            <w:r w:rsidR="001D3CA2" w:rsidRPr="001D3CA2">
              <w:rPr>
                <w:rStyle w:val="Hyperlink"/>
                <w:rFonts w:eastAsia="MS Mincho" w:cs="Arial"/>
                <w:b/>
                <w:bCs/>
                <w:i/>
                <w:noProof/>
                <w:kern w:val="2"/>
                <w:sz w:val="18"/>
                <w:szCs w:val="18"/>
                <w:lang w:val="es-ES" w:eastAsia="en-US"/>
              </w:rPr>
              <w:t>D.</w:t>
            </w:r>
            <w:r w:rsidR="001D3CA2" w:rsidRPr="001D3CA2">
              <w:rPr>
                <w:rFonts w:eastAsiaTheme="minorEastAsia" w:cstheme="minorBidi"/>
                <w:noProof/>
                <w:sz w:val="18"/>
                <w:szCs w:val="18"/>
              </w:rPr>
              <w:tab/>
            </w:r>
            <w:r w:rsidR="001D3CA2" w:rsidRPr="001D3CA2">
              <w:rPr>
                <w:rStyle w:val="Hyperlink"/>
                <w:rFonts w:eastAsia="MS Mincho" w:cs="Arial"/>
                <w:b/>
                <w:bCs/>
                <w:i/>
                <w:noProof/>
                <w:kern w:val="2"/>
                <w:sz w:val="18"/>
                <w:szCs w:val="18"/>
                <w:lang w:val="es-ES" w:eastAsia="en-US"/>
              </w:rPr>
              <w:t>El principio de igualdad y no discriminación en el acceso a la justicia de la niña V.R.P. y la violencia institucional</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_Toc514172648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81</w:t>
            </w:r>
            <w:r w:rsidR="001D3CA2" w:rsidRPr="001D3CA2">
              <w:rPr>
                <w:noProof/>
                <w:webHidden/>
                <w:sz w:val="18"/>
                <w:szCs w:val="18"/>
              </w:rPr>
              <w:fldChar w:fldCharType="end"/>
            </w:r>
          </w:hyperlink>
        </w:p>
        <w:p w14:paraId="6875FE2E" w14:textId="77777777" w:rsidR="001D3CA2" w:rsidRPr="001D3CA2" w:rsidRDefault="00EF48C1" w:rsidP="001D3CA2">
          <w:pPr>
            <w:pStyle w:val="TOC2"/>
            <w:jc w:val="both"/>
            <w:rPr>
              <w:rFonts w:eastAsiaTheme="minorEastAsia" w:cstheme="minorBidi"/>
              <w:noProof/>
              <w:sz w:val="18"/>
              <w:szCs w:val="18"/>
            </w:rPr>
          </w:pPr>
          <w:hyperlink w:anchor="_Toc514172649" w:history="1">
            <w:r w:rsidR="001D3CA2" w:rsidRPr="001D3CA2">
              <w:rPr>
                <w:rStyle w:val="Hyperlink"/>
                <w:bCs/>
                <w:i/>
                <w:noProof/>
                <w:sz w:val="18"/>
                <w:szCs w:val="18"/>
                <w:lang w:val="es-ES"/>
              </w:rPr>
              <w:t xml:space="preserve">D.1 </w:t>
            </w:r>
            <w:r w:rsidR="001D3CA2" w:rsidRPr="001D3CA2">
              <w:rPr>
                <w:rFonts w:eastAsiaTheme="minorEastAsia" w:cstheme="minorBidi"/>
                <w:noProof/>
                <w:sz w:val="18"/>
                <w:szCs w:val="18"/>
              </w:rPr>
              <w:tab/>
            </w:r>
            <w:r w:rsidR="001D3CA2" w:rsidRPr="001D3CA2">
              <w:rPr>
                <w:rStyle w:val="Hyperlink"/>
                <w:bCs/>
                <w:i/>
                <w:noProof/>
                <w:sz w:val="18"/>
                <w:szCs w:val="18"/>
                <w:lang w:val="es-ES"/>
              </w:rPr>
              <w:t>Alegatos de las partes y de la Comisión</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_Toc514172649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81</w:t>
            </w:r>
            <w:r w:rsidR="001D3CA2" w:rsidRPr="001D3CA2">
              <w:rPr>
                <w:noProof/>
                <w:webHidden/>
                <w:sz w:val="18"/>
                <w:szCs w:val="18"/>
              </w:rPr>
              <w:fldChar w:fldCharType="end"/>
            </w:r>
          </w:hyperlink>
        </w:p>
        <w:p w14:paraId="11A51EA1" w14:textId="77777777" w:rsidR="001D3CA2" w:rsidRPr="001D3CA2" w:rsidRDefault="00EF48C1" w:rsidP="001D3CA2">
          <w:pPr>
            <w:pStyle w:val="TOC2"/>
            <w:jc w:val="both"/>
            <w:rPr>
              <w:rFonts w:eastAsiaTheme="minorEastAsia" w:cstheme="minorBidi"/>
              <w:noProof/>
              <w:sz w:val="18"/>
              <w:szCs w:val="18"/>
            </w:rPr>
          </w:pPr>
          <w:hyperlink w:anchor="_Toc514172650" w:history="1">
            <w:r w:rsidR="001D3CA2" w:rsidRPr="001D3CA2">
              <w:rPr>
                <w:rStyle w:val="Hyperlink"/>
                <w:bCs/>
                <w:i/>
                <w:noProof/>
                <w:sz w:val="18"/>
                <w:szCs w:val="18"/>
                <w:lang w:val="es-ES"/>
              </w:rPr>
              <w:t xml:space="preserve">D.2 </w:t>
            </w:r>
            <w:r w:rsidR="001D3CA2" w:rsidRPr="001D3CA2">
              <w:rPr>
                <w:rFonts w:eastAsiaTheme="minorEastAsia" w:cstheme="minorBidi"/>
                <w:noProof/>
                <w:sz w:val="18"/>
                <w:szCs w:val="18"/>
              </w:rPr>
              <w:tab/>
            </w:r>
            <w:r w:rsidR="001D3CA2" w:rsidRPr="001D3CA2">
              <w:rPr>
                <w:rStyle w:val="Hyperlink"/>
                <w:bCs/>
                <w:i/>
                <w:noProof/>
                <w:sz w:val="18"/>
                <w:szCs w:val="18"/>
                <w:lang w:val="es-ES"/>
              </w:rPr>
              <w:t>Consideraciones de la Corte</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_Toc514172650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82</w:t>
            </w:r>
            <w:r w:rsidR="001D3CA2" w:rsidRPr="001D3CA2">
              <w:rPr>
                <w:noProof/>
                <w:webHidden/>
                <w:sz w:val="18"/>
                <w:szCs w:val="18"/>
              </w:rPr>
              <w:fldChar w:fldCharType="end"/>
            </w:r>
          </w:hyperlink>
        </w:p>
        <w:p w14:paraId="0694B9E5" w14:textId="77777777" w:rsidR="001D3CA2" w:rsidRPr="001D3CA2" w:rsidRDefault="00EF48C1" w:rsidP="001D3CA2">
          <w:pPr>
            <w:pStyle w:val="TOC2"/>
            <w:jc w:val="both"/>
            <w:rPr>
              <w:rFonts w:eastAsiaTheme="minorEastAsia" w:cstheme="minorBidi"/>
              <w:noProof/>
              <w:sz w:val="18"/>
              <w:szCs w:val="18"/>
            </w:rPr>
          </w:pPr>
          <w:hyperlink w:anchor="_Toc514172651" w:history="1">
            <w:r w:rsidR="001D3CA2" w:rsidRPr="001D3CA2">
              <w:rPr>
                <w:rStyle w:val="Hyperlink"/>
                <w:rFonts w:eastAsia="MS Mincho" w:cs="Arial"/>
                <w:b/>
                <w:bCs/>
                <w:i/>
                <w:noProof/>
                <w:kern w:val="2"/>
                <w:sz w:val="18"/>
                <w:szCs w:val="18"/>
                <w:lang w:val="es-ES" w:eastAsia="en-US"/>
              </w:rPr>
              <w:t>E.</w:t>
            </w:r>
            <w:r w:rsidR="001D3CA2" w:rsidRPr="001D3CA2">
              <w:rPr>
                <w:rFonts w:eastAsiaTheme="minorEastAsia" w:cstheme="minorBidi"/>
                <w:noProof/>
                <w:sz w:val="18"/>
                <w:szCs w:val="18"/>
              </w:rPr>
              <w:tab/>
            </w:r>
            <w:r w:rsidR="001D3CA2" w:rsidRPr="001D3CA2">
              <w:rPr>
                <w:rStyle w:val="Hyperlink"/>
                <w:rFonts w:eastAsia="MS Mincho" w:cs="Arial"/>
                <w:b/>
                <w:bCs/>
                <w:i/>
                <w:noProof/>
                <w:kern w:val="2"/>
                <w:sz w:val="18"/>
                <w:szCs w:val="18"/>
                <w:lang w:val="es-ES" w:eastAsia="en-US"/>
              </w:rPr>
              <w:t>Recurso efectivo y derecho a conocer la verdad</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_Toc514172651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85</w:t>
            </w:r>
            <w:r w:rsidR="001D3CA2" w:rsidRPr="001D3CA2">
              <w:rPr>
                <w:noProof/>
                <w:webHidden/>
                <w:sz w:val="18"/>
                <w:szCs w:val="18"/>
              </w:rPr>
              <w:fldChar w:fldCharType="end"/>
            </w:r>
          </w:hyperlink>
        </w:p>
        <w:p w14:paraId="12AC2A89" w14:textId="77777777" w:rsidR="001D3CA2" w:rsidRPr="001D3CA2" w:rsidRDefault="00EF48C1" w:rsidP="001D3CA2">
          <w:pPr>
            <w:pStyle w:val="TOC2"/>
            <w:jc w:val="both"/>
            <w:rPr>
              <w:rFonts w:eastAsiaTheme="minorEastAsia" w:cstheme="minorBidi"/>
              <w:noProof/>
              <w:sz w:val="18"/>
              <w:szCs w:val="18"/>
            </w:rPr>
          </w:pPr>
          <w:hyperlink w:anchor="_Toc514172652" w:history="1">
            <w:r w:rsidR="001D3CA2" w:rsidRPr="001D3CA2">
              <w:rPr>
                <w:rStyle w:val="Hyperlink"/>
                <w:i/>
                <w:noProof/>
                <w:sz w:val="18"/>
                <w:szCs w:val="18"/>
                <w:lang w:val="es-ES"/>
              </w:rPr>
              <w:t>E.1</w:t>
            </w:r>
            <w:r w:rsidR="001D3CA2" w:rsidRPr="001D3CA2">
              <w:rPr>
                <w:rFonts w:eastAsiaTheme="minorEastAsia" w:cstheme="minorBidi"/>
                <w:noProof/>
                <w:sz w:val="18"/>
                <w:szCs w:val="18"/>
              </w:rPr>
              <w:tab/>
            </w:r>
            <w:r w:rsidR="001D3CA2" w:rsidRPr="001D3CA2">
              <w:rPr>
                <w:rStyle w:val="Hyperlink"/>
                <w:i/>
                <w:noProof/>
                <w:sz w:val="18"/>
                <w:szCs w:val="18"/>
                <w:lang w:val="es-ES"/>
              </w:rPr>
              <w:t>Argumentos de las partes y de la Comisión</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_Toc514172652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85</w:t>
            </w:r>
            <w:r w:rsidR="001D3CA2" w:rsidRPr="001D3CA2">
              <w:rPr>
                <w:noProof/>
                <w:webHidden/>
                <w:sz w:val="18"/>
                <w:szCs w:val="18"/>
              </w:rPr>
              <w:fldChar w:fldCharType="end"/>
            </w:r>
          </w:hyperlink>
        </w:p>
        <w:p w14:paraId="71E880EA" w14:textId="77777777" w:rsidR="001D3CA2" w:rsidRPr="001D3CA2" w:rsidRDefault="00EF48C1" w:rsidP="001D3CA2">
          <w:pPr>
            <w:pStyle w:val="TOC2"/>
            <w:jc w:val="both"/>
            <w:rPr>
              <w:rFonts w:eastAsiaTheme="minorEastAsia" w:cstheme="minorBidi"/>
              <w:noProof/>
              <w:sz w:val="18"/>
              <w:szCs w:val="18"/>
            </w:rPr>
          </w:pPr>
          <w:hyperlink w:anchor="_Toc514172653" w:history="1">
            <w:r w:rsidR="001D3CA2" w:rsidRPr="001D3CA2">
              <w:rPr>
                <w:rStyle w:val="Hyperlink"/>
                <w:bCs/>
                <w:i/>
                <w:noProof/>
                <w:sz w:val="18"/>
                <w:szCs w:val="18"/>
                <w:lang w:val="es-ES"/>
              </w:rPr>
              <w:t xml:space="preserve">E.2 </w:t>
            </w:r>
            <w:r w:rsidR="001D3CA2" w:rsidRPr="001D3CA2">
              <w:rPr>
                <w:rFonts w:eastAsiaTheme="minorEastAsia" w:cstheme="minorBidi"/>
                <w:noProof/>
                <w:sz w:val="18"/>
                <w:szCs w:val="18"/>
              </w:rPr>
              <w:tab/>
            </w:r>
            <w:r w:rsidR="001D3CA2" w:rsidRPr="001D3CA2">
              <w:rPr>
                <w:rStyle w:val="Hyperlink"/>
                <w:bCs/>
                <w:i/>
                <w:noProof/>
                <w:sz w:val="18"/>
                <w:szCs w:val="18"/>
                <w:lang w:val="es-ES"/>
              </w:rPr>
              <w:t>Consideraciones de la Corte</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_Toc514172653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85</w:t>
            </w:r>
            <w:r w:rsidR="001D3CA2" w:rsidRPr="001D3CA2">
              <w:rPr>
                <w:noProof/>
                <w:webHidden/>
                <w:sz w:val="18"/>
                <w:szCs w:val="18"/>
              </w:rPr>
              <w:fldChar w:fldCharType="end"/>
            </w:r>
          </w:hyperlink>
        </w:p>
        <w:p w14:paraId="7FA68538" w14:textId="77777777" w:rsidR="001D3CA2" w:rsidRPr="001D3CA2" w:rsidRDefault="00EF48C1" w:rsidP="001D3CA2">
          <w:pPr>
            <w:pStyle w:val="TOC2"/>
            <w:jc w:val="both"/>
            <w:rPr>
              <w:rFonts w:eastAsiaTheme="minorEastAsia" w:cstheme="minorBidi"/>
              <w:noProof/>
              <w:sz w:val="18"/>
              <w:szCs w:val="18"/>
            </w:rPr>
          </w:pPr>
          <w:hyperlink w:anchor="_Toc514172654" w:history="1">
            <w:r w:rsidR="001D3CA2" w:rsidRPr="001D3CA2">
              <w:rPr>
                <w:rStyle w:val="Hyperlink"/>
                <w:rFonts w:eastAsia="MS Mincho" w:cs="Arial"/>
                <w:b/>
                <w:bCs/>
                <w:i/>
                <w:noProof/>
                <w:kern w:val="2"/>
                <w:sz w:val="18"/>
                <w:szCs w:val="18"/>
                <w:lang w:val="es-ES" w:eastAsia="en-US"/>
              </w:rPr>
              <w:t>F.</w:t>
            </w:r>
            <w:r w:rsidR="001D3CA2" w:rsidRPr="001D3CA2">
              <w:rPr>
                <w:rFonts w:eastAsiaTheme="minorEastAsia" w:cstheme="minorBidi"/>
                <w:noProof/>
                <w:sz w:val="18"/>
                <w:szCs w:val="18"/>
              </w:rPr>
              <w:tab/>
            </w:r>
            <w:r w:rsidR="001D3CA2" w:rsidRPr="001D3CA2">
              <w:rPr>
                <w:rStyle w:val="Hyperlink"/>
                <w:rFonts w:eastAsia="MS Mincho" w:cs="Arial"/>
                <w:b/>
                <w:bCs/>
                <w:i/>
                <w:noProof/>
                <w:kern w:val="2"/>
                <w:sz w:val="18"/>
                <w:szCs w:val="18"/>
                <w:lang w:val="es-ES" w:eastAsia="en-US"/>
              </w:rPr>
              <w:t>Conclusión</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_Toc514172654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85</w:t>
            </w:r>
            <w:r w:rsidR="001D3CA2" w:rsidRPr="001D3CA2">
              <w:rPr>
                <w:noProof/>
                <w:webHidden/>
                <w:sz w:val="18"/>
                <w:szCs w:val="18"/>
              </w:rPr>
              <w:fldChar w:fldCharType="end"/>
            </w:r>
          </w:hyperlink>
        </w:p>
        <w:p w14:paraId="3251AB0F" w14:textId="77777777" w:rsidR="001D3CA2" w:rsidRPr="001D3CA2" w:rsidRDefault="00EF48C1" w:rsidP="001D3CA2">
          <w:pPr>
            <w:pStyle w:val="TOC1"/>
            <w:tabs>
              <w:tab w:val="right" w:leader="dot" w:pos="10070"/>
            </w:tabs>
            <w:spacing w:after="0" w:line="240" w:lineRule="auto"/>
            <w:rPr>
              <w:rFonts w:eastAsiaTheme="minorEastAsia" w:cstheme="minorBidi"/>
              <w:noProof/>
              <w:sz w:val="18"/>
              <w:szCs w:val="18"/>
            </w:rPr>
          </w:pPr>
          <w:hyperlink w:anchor="_Toc514172655" w:history="1">
            <w:r w:rsidR="001D3CA2" w:rsidRPr="001D3CA2">
              <w:rPr>
                <w:rStyle w:val="Hyperlink"/>
                <w:rFonts w:cs="Arial"/>
                <w:b/>
                <w:bCs/>
                <w:caps/>
                <w:noProof/>
                <w:kern w:val="2"/>
                <w:sz w:val="18"/>
                <w:szCs w:val="18"/>
                <w:lang w:val="es-ES" w:eastAsia="en-US"/>
              </w:rPr>
              <w:t>VIII-2 DERECHOS DE RESIDENCIA, A LA PROTECCIÓN A LA FAMILIA, Y A LAS MEDIDAS ESPECIALES DE PROTECCIÓN DE NIÑAS EN RELACIÓN CON LAS OBLIGACIONES DE RESPETAR Y GARANTIZAR LOS DERECHOS</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_Toc514172655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86</w:t>
            </w:r>
            <w:r w:rsidR="001D3CA2" w:rsidRPr="001D3CA2">
              <w:rPr>
                <w:noProof/>
                <w:webHidden/>
                <w:sz w:val="18"/>
                <w:szCs w:val="18"/>
              </w:rPr>
              <w:fldChar w:fldCharType="end"/>
            </w:r>
          </w:hyperlink>
        </w:p>
        <w:p w14:paraId="021C1FB7" w14:textId="77777777" w:rsidR="001D3CA2" w:rsidRPr="001D3CA2" w:rsidRDefault="00EF48C1" w:rsidP="001D3CA2">
          <w:pPr>
            <w:pStyle w:val="TOC2"/>
            <w:jc w:val="both"/>
            <w:rPr>
              <w:rFonts w:eastAsiaTheme="minorEastAsia" w:cstheme="minorBidi"/>
              <w:noProof/>
              <w:sz w:val="18"/>
              <w:szCs w:val="18"/>
            </w:rPr>
          </w:pPr>
          <w:hyperlink w:anchor="_Toc514172656" w:history="1">
            <w:r w:rsidR="001D3CA2" w:rsidRPr="001D3CA2">
              <w:rPr>
                <w:rStyle w:val="Hyperlink"/>
                <w:rFonts w:eastAsia="MS Mincho" w:cs="Arial"/>
                <w:b/>
                <w:bCs/>
                <w:i/>
                <w:noProof/>
                <w:kern w:val="2"/>
                <w:sz w:val="18"/>
                <w:szCs w:val="18"/>
                <w:lang w:val="es-ES" w:eastAsia="en-US"/>
              </w:rPr>
              <w:t>A.</w:t>
            </w:r>
            <w:r w:rsidR="001D3CA2" w:rsidRPr="001D3CA2">
              <w:rPr>
                <w:rFonts w:eastAsiaTheme="minorEastAsia" w:cstheme="minorBidi"/>
                <w:noProof/>
                <w:sz w:val="18"/>
                <w:szCs w:val="18"/>
              </w:rPr>
              <w:tab/>
            </w:r>
            <w:r w:rsidR="001D3CA2" w:rsidRPr="001D3CA2">
              <w:rPr>
                <w:rStyle w:val="Hyperlink"/>
                <w:rFonts w:eastAsia="MS Mincho" w:cs="Arial"/>
                <w:b/>
                <w:bCs/>
                <w:i/>
                <w:noProof/>
                <w:kern w:val="2"/>
                <w:sz w:val="18"/>
                <w:szCs w:val="18"/>
                <w:lang w:val="es-ES" w:eastAsia="en-US"/>
              </w:rPr>
              <w:t>Argumentos de las partes y de la Comisión</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_Toc514172656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86</w:t>
            </w:r>
            <w:r w:rsidR="001D3CA2" w:rsidRPr="001D3CA2">
              <w:rPr>
                <w:noProof/>
                <w:webHidden/>
                <w:sz w:val="18"/>
                <w:szCs w:val="18"/>
              </w:rPr>
              <w:fldChar w:fldCharType="end"/>
            </w:r>
          </w:hyperlink>
        </w:p>
        <w:p w14:paraId="0BF96AFA" w14:textId="77777777" w:rsidR="001D3CA2" w:rsidRPr="001D3CA2" w:rsidRDefault="00EF48C1" w:rsidP="001D3CA2">
          <w:pPr>
            <w:pStyle w:val="TOC2"/>
            <w:jc w:val="both"/>
            <w:rPr>
              <w:rFonts w:eastAsiaTheme="minorEastAsia" w:cstheme="minorBidi"/>
              <w:noProof/>
              <w:sz w:val="18"/>
              <w:szCs w:val="18"/>
            </w:rPr>
          </w:pPr>
          <w:hyperlink w:anchor="_Toc514172657" w:history="1">
            <w:r w:rsidR="001D3CA2" w:rsidRPr="001D3CA2">
              <w:rPr>
                <w:rStyle w:val="Hyperlink"/>
                <w:rFonts w:eastAsia="MS Mincho" w:cs="Arial"/>
                <w:b/>
                <w:bCs/>
                <w:i/>
                <w:noProof/>
                <w:kern w:val="2"/>
                <w:sz w:val="18"/>
                <w:szCs w:val="18"/>
                <w:lang w:val="es-ES"/>
              </w:rPr>
              <w:t>B.</w:t>
            </w:r>
            <w:r w:rsidR="001D3CA2" w:rsidRPr="001D3CA2">
              <w:rPr>
                <w:rFonts w:eastAsiaTheme="minorEastAsia" w:cstheme="minorBidi"/>
                <w:noProof/>
                <w:sz w:val="18"/>
                <w:szCs w:val="18"/>
              </w:rPr>
              <w:tab/>
            </w:r>
            <w:r w:rsidR="001D3CA2" w:rsidRPr="001D3CA2">
              <w:rPr>
                <w:rStyle w:val="Hyperlink"/>
                <w:rFonts w:eastAsia="MS Mincho" w:cs="Arial"/>
                <w:b/>
                <w:bCs/>
                <w:i/>
                <w:noProof/>
                <w:kern w:val="2"/>
                <w:sz w:val="18"/>
                <w:szCs w:val="18"/>
                <w:lang w:val="es-ES"/>
              </w:rPr>
              <w:t>Consideraciones de la Corte</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_Toc514172657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86</w:t>
            </w:r>
            <w:r w:rsidR="001D3CA2" w:rsidRPr="001D3CA2">
              <w:rPr>
                <w:noProof/>
                <w:webHidden/>
                <w:sz w:val="18"/>
                <w:szCs w:val="18"/>
              </w:rPr>
              <w:fldChar w:fldCharType="end"/>
            </w:r>
          </w:hyperlink>
        </w:p>
        <w:p w14:paraId="7A89B4D6" w14:textId="77777777" w:rsidR="001D3CA2" w:rsidRPr="001D3CA2" w:rsidRDefault="00EF48C1" w:rsidP="001D3CA2">
          <w:pPr>
            <w:pStyle w:val="TOC1"/>
            <w:tabs>
              <w:tab w:val="right" w:leader="dot" w:pos="10070"/>
            </w:tabs>
            <w:spacing w:after="0" w:line="240" w:lineRule="auto"/>
            <w:rPr>
              <w:rFonts w:eastAsiaTheme="minorEastAsia" w:cstheme="minorBidi"/>
              <w:noProof/>
              <w:sz w:val="18"/>
              <w:szCs w:val="18"/>
            </w:rPr>
          </w:pPr>
          <w:hyperlink w:anchor="_Toc514172658" w:history="1">
            <w:r w:rsidR="001D3CA2" w:rsidRPr="001D3CA2">
              <w:rPr>
                <w:rStyle w:val="Hyperlink"/>
                <w:rFonts w:cs="Arial"/>
                <w:b/>
                <w:bCs/>
                <w:caps/>
                <w:noProof/>
                <w:sz w:val="18"/>
                <w:szCs w:val="18"/>
                <w:lang w:val="es-ES" w:eastAsia="en-US"/>
              </w:rPr>
              <w:t>VIII-3 derecho A LA INTEGRIDAD personal DE LOS FAMILIARES en relación con la obligación de respetar los derechos</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_Toc514172658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91</w:t>
            </w:r>
            <w:r w:rsidR="001D3CA2" w:rsidRPr="001D3CA2">
              <w:rPr>
                <w:noProof/>
                <w:webHidden/>
                <w:sz w:val="18"/>
                <w:szCs w:val="18"/>
              </w:rPr>
              <w:fldChar w:fldCharType="end"/>
            </w:r>
          </w:hyperlink>
        </w:p>
        <w:p w14:paraId="0FEB7989" w14:textId="77777777" w:rsidR="001D3CA2" w:rsidRPr="001D3CA2" w:rsidRDefault="00EF48C1" w:rsidP="001D3CA2">
          <w:pPr>
            <w:pStyle w:val="TOC2"/>
            <w:jc w:val="both"/>
            <w:rPr>
              <w:rFonts w:eastAsiaTheme="minorEastAsia" w:cstheme="minorBidi"/>
              <w:noProof/>
              <w:sz w:val="18"/>
              <w:szCs w:val="18"/>
            </w:rPr>
          </w:pPr>
          <w:hyperlink w:anchor="_Toc514172659" w:history="1">
            <w:r w:rsidR="001D3CA2" w:rsidRPr="001D3CA2">
              <w:rPr>
                <w:rStyle w:val="Hyperlink"/>
                <w:rFonts w:eastAsia="MS Mincho" w:cs="Arial"/>
                <w:b/>
                <w:bCs/>
                <w:i/>
                <w:noProof/>
                <w:sz w:val="18"/>
                <w:szCs w:val="18"/>
                <w:lang w:val="es-ES" w:eastAsia="en-US"/>
              </w:rPr>
              <w:t>A.</w:t>
            </w:r>
            <w:r w:rsidR="001D3CA2" w:rsidRPr="001D3CA2">
              <w:rPr>
                <w:rFonts w:eastAsiaTheme="minorEastAsia" w:cstheme="minorBidi"/>
                <w:noProof/>
                <w:sz w:val="18"/>
                <w:szCs w:val="18"/>
              </w:rPr>
              <w:tab/>
            </w:r>
            <w:r w:rsidR="001D3CA2" w:rsidRPr="001D3CA2">
              <w:rPr>
                <w:rStyle w:val="Hyperlink"/>
                <w:rFonts w:eastAsia="MS Mincho" w:cs="Arial"/>
                <w:b/>
                <w:bCs/>
                <w:i/>
                <w:noProof/>
                <w:sz w:val="18"/>
                <w:szCs w:val="18"/>
                <w:lang w:val="es-ES" w:eastAsia="en-US"/>
              </w:rPr>
              <w:t>Argumentos de las partes y de la Comisión</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_Toc514172659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91</w:t>
            </w:r>
            <w:r w:rsidR="001D3CA2" w:rsidRPr="001D3CA2">
              <w:rPr>
                <w:noProof/>
                <w:webHidden/>
                <w:sz w:val="18"/>
                <w:szCs w:val="18"/>
              </w:rPr>
              <w:fldChar w:fldCharType="end"/>
            </w:r>
          </w:hyperlink>
        </w:p>
        <w:p w14:paraId="57A23471" w14:textId="77777777" w:rsidR="001D3CA2" w:rsidRPr="001D3CA2" w:rsidRDefault="00EF48C1" w:rsidP="001D3CA2">
          <w:pPr>
            <w:pStyle w:val="TOC2"/>
            <w:jc w:val="both"/>
            <w:rPr>
              <w:rFonts w:eastAsiaTheme="minorEastAsia" w:cstheme="minorBidi"/>
              <w:noProof/>
              <w:sz w:val="18"/>
              <w:szCs w:val="18"/>
            </w:rPr>
          </w:pPr>
          <w:hyperlink w:anchor="_Toc514172660" w:history="1">
            <w:r w:rsidR="001D3CA2" w:rsidRPr="001D3CA2">
              <w:rPr>
                <w:rStyle w:val="Hyperlink"/>
                <w:rFonts w:eastAsia="MS Mincho" w:cs="Arial"/>
                <w:b/>
                <w:bCs/>
                <w:i/>
                <w:noProof/>
                <w:sz w:val="18"/>
                <w:szCs w:val="18"/>
                <w:lang w:val="es-ES" w:eastAsia="en-US"/>
              </w:rPr>
              <w:t>B.</w:t>
            </w:r>
            <w:r w:rsidR="001D3CA2" w:rsidRPr="001D3CA2">
              <w:rPr>
                <w:rFonts w:eastAsiaTheme="minorEastAsia" w:cstheme="minorBidi"/>
                <w:noProof/>
                <w:sz w:val="18"/>
                <w:szCs w:val="18"/>
              </w:rPr>
              <w:tab/>
            </w:r>
            <w:r w:rsidR="001D3CA2" w:rsidRPr="001D3CA2">
              <w:rPr>
                <w:rStyle w:val="Hyperlink"/>
                <w:rFonts w:eastAsia="MS Mincho" w:cs="Arial"/>
                <w:b/>
                <w:bCs/>
                <w:i/>
                <w:noProof/>
                <w:sz w:val="18"/>
                <w:szCs w:val="18"/>
                <w:lang w:val="es-ES" w:eastAsia="en-US"/>
              </w:rPr>
              <w:t>Consideraciones de la Corte</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_Toc514172660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92</w:t>
            </w:r>
            <w:r w:rsidR="001D3CA2" w:rsidRPr="001D3CA2">
              <w:rPr>
                <w:noProof/>
                <w:webHidden/>
                <w:sz w:val="18"/>
                <w:szCs w:val="18"/>
              </w:rPr>
              <w:fldChar w:fldCharType="end"/>
            </w:r>
          </w:hyperlink>
        </w:p>
        <w:p w14:paraId="04C2AB52" w14:textId="77777777" w:rsidR="001D3CA2" w:rsidRPr="001D3CA2" w:rsidRDefault="00EF48C1" w:rsidP="001D3CA2">
          <w:pPr>
            <w:pStyle w:val="TOC1"/>
            <w:tabs>
              <w:tab w:val="right" w:leader="dot" w:pos="10070"/>
            </w:tabs>
            <w:spacing w:after="0" w:line="240" w:lineRule="auto"/>
            <w:rPr>
              <w:rFonts w:eastAsiaTheme="minorEastAsia" w:cstheme="minorBidi"/>
              <w:noProof/>
              <w:sz w:val="18"/>
              <w:szCs w:val="18"/>
            </w:rPr>
          </w:pPr>
          <w:hyperlink w:anchor="_Toc514172661" w:history="1">
            <w:r w:rsidR="001D3CA2" w:rsidRPr="001D3CA2">
              <w:rPr>
                <w:rStyle w:val="Hyperlink"/>
                <w:rFonts w:cs="Verdana"/>
                <w:b/>
                <w:bCs/>
                <w:caps/>
                <w:noProof/>
                <w:snapToGrid w:val="0"/>
                <w:sz w:val="18"/>
                <w:szCs w:val="18"/>
                <w:lang w:val="es-ES"/>
              </w:rPr>
              <w:t>IX REPARACIONES (</w:t>
            </w:r>
            <w:r w:rsidR="001D3CA2" w:rsidRPr="001D3CA2">
              <w:rPr>
                <w:rStyle w:val="Hyperlink"/>
                <w:rFonts w:cs="Verdana"/>
                <w:b/>
                <w:bCs/>
                <w:noProof/>
                <w:snapToGrid w:val="0"/>
                <w:sz w:val="18"/>
                <w:szCs w:val="18"/>
                <w:lang w:val="es-ES"/>
              </w:rPr>
              <w:t>Aplicación del artículo 63.1 de la Convención Americana</w:t>
            </w:r>
            <w:r w:rsidR="001D3CA2" w:rsidRPr="001D3CA2">
              <w:rPr>
                <w:rStyle w:val="Hyperlink"/>
                <w:rFonts w:cs="Verdana"/>
                <w:b/>
                <w:bCs/>
                <w:caps/>
                <w:noProof/>
                <w:snapToGrid w:val="0"/>
                <w:sz w:val="18"/>
                <w:szCs w:val="18"/>
                <w:lang w:val="es-ES"/>
              </w:rPr>
              <w:t>)</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_Toc514172661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94</w:t>
            </w:r>
            <w:r w:rsidR="001D3CA2" w:rsidRPr="001D3CA2">
              <w:rPr>
                <w:noProof/>
                <w:webHidden/>
                <w:sz w:val="18"/>
                <w:szCs w:val="18"/>
              </w:rPr>
              <w:fldChar w:fldCharType="end"/>
            </w:r>
          </w:hyperlink>
        </w:p>
        <w:p w14:paraId="3B331B37" w14:textId="77777777" w:rsidR="001D3CA2" w:rsidRPr="001D3CA2" w:rsidRDefault="00EF48C1" w:rsidP="001D3CA2">
          <w:pPr>
            <w:pStyle w:val="TOC2"/>
            <w:jc w:val="both"/>
            <w:rPr>
              <w:rFonts w:eastAsiaTheme="minorEastAsia" w:cstheme="minorBidi"/>
              <w:noProof/>
              <w:sz w:val="18"/>
              <w:szCs w:val="18"/>
            </w:rPr>
          </w:pPr>
          <w:hyperlink w:anchor="_Toc514172662" w:history="1">
            <w:r w:rsidR="001D3CA2" w:rsidRPr="001D3CA2">
              <w:rPr>
                <w:rStyle w:val="Hyperlink"/>
                <w:rFonts w:eastAsia="MS Mincho"/>
                <w:b/>
                <w:bCs/>
                <w:i/>
                <w:noProof/>
                <w:sz w:val="18"/>
                <w:szCs w:val="18"/>
                <w:lang w:val="es-ES"/>
              </w:rPr>
              <w:t>A.</w:t>
            </w:r>
            <w:r w:rsidR="001D3CA2" w:rsidRPr="001D3CA2">
              <w:rPr>
                <w:rFonts w:eastAsiaTheme="minorEastAsia" w:cstheme="minorBidi"/>
                <w:noProof/>
                <w:sz w:val="18"/>
                <w:szCs w:val="18"/>
              </w:rPr>
              <w:tab/>
            </w:r>
            <w:r w:rsidR="001D3CA2" w:rsidRPr="001D3CA2">
              <w:rPr>
                <w:rStyle w:val="Hyperlink"/>
                <w:rFonts w:eastAsia="MS Mincho"/>
                <w:b/>
                <w:bCs/>
                <w:i/>
                <w:noProof/>
                <w:sz w:val="18"/>
                <w:szCs w:val="18"/>
                <w:lang w:val="es-ES"/>
              </w:rPr>
              <w:t>Parte Lesionada</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_Toc514172662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95</w:t>
            </w:r>
            <w:r w:rsidR="001D3CA2" w:rsidRPr="001D3CA2">
              <w:rPr>
                <w:noProof/>
                <w:webHidden/>
                <w:sz w:val="18"/>
                <w:szCs w:val="18"/>
              </w:rPr>
              <w:fldChar w:fldCharType="end"/>
            </w:r>
          </w:hyperlink>
        </w:p>
        <w:p w14:paraId="32A7F030" w14:textId="77777777" w:rsidR="001D3CA2" w:rsidRPr="001D3CA2" w:rsidRDefault="00EF48C1" w:rsidP="001D3CA2">
          <w:pPr>
            <w:pStyle w:val="TOC2"/>
            <w:jc w:val="both"/>
            <w:rPr>
              <w:rFonts w:eastAsiaTheme="minorEastAsia" w:cstheme="minorBidi"/>
              <w:noProof/>
              <w:sz w:val="18"/>
              <w:szCs w:val="18"/>
            </w:rPr>
          </w:pPr>
          <w:hyperlink w:anchor="_Toc514172663" w:history="1">
            <w:r w:rsidR="001D3CA2" w:rsidRPr="001D3CA2">
              <w:rPr>
                <w:rStyle w:val="Hyperlink"/>
                <w:rFonts w:eastAsia="MS Mincho"/>
                <w:b/>
                <w:bCs/>
                <w:i/>
                <w:noProof/>
                <w:sz w:val="18"/>
                <w:szCs w:val="18"/>
                <w:lang w:val="es-ES"/>
              </w:rPr>
              <w:t>B.</w:t>
            </w:r>
            <w:r w:rsidR="001D3CA2" w:rsidRPr="001D3CA2">
              <w:rPr>
                <w:rFonts w:eastAsiaTheme="minorEastAsia" w:cstheme="minorBidi"/>
                <w:noProof/>
                <w:sz w:val="18"/>
                <w:szCs w:val="18"/>
              </w:rPr>
              <w:tab/>
            </w:r>
            <w:r w:rsidR="001D3CA2" w:rsidRPr="001D3CA2">
              <w:rPr>
                <w:rStyle w:val="Hyperlink"/>
                <w:rFonts w:eastAsia="MS Mincho"/>
                <w:b/>
                <w:bCs/>
                <w:i/>
                <w:noProof/>
                <w:sz w:val="18"/>
                <w:szCs w:val="18"/>
                <w:lang w:val="es-ES"/>
              </w:rPr>
              <w:t>Obligación de investigar los hechos e identificar, juzgar y, en su caso, sancionar a los responsables</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_Toc514172663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95</w:t>
            </w:r>
            <w:r w:rsidR="001D3CA2" w:rsidRPr="001D3CA2">
              <w:rPr>
                <w:noProof/>
                <w:webHidden/>
                <w:sz w:val="18"/>
                <w:szCs w:val="18"/>
              </w:rPr>
              <w:fldChar w:fldCharType="end"/>
            </w:r>
          </w:hyperlink>
        </w:p>
        <w:p w14:paraId="6FB627CB" w14:textId="77777777" w:rsidR="001D3CA2" w:rsidRPr="001D3CA2" w:rsidRDefault="00EF48C1" w:rsidP="001D3CA2">
          <w:pPr>
            <w:pStyle w:val="TOC2"/>
            <w:jc w:val="both"/>
            <w:rPr>
              <w:rFonts w:eastAsiaTheme="minorEastAsia" w:cstheme="minorBidi"/>
              <w:noProof/>
              <w:sz w:val="18"/>
              <w:szCs w:val="18"/>
            </w:rPr>
          </w:pPr>
          <w:hyperlink w:anchor="_Toc514172664" w:history="1">
            <w:r w:rsidR="001D3CA2" w:rsidRPr="001D3CA2">
              <w:rPr>
                <w:rStyle w:val="Hyperlink"/>
                <w:rFonts w:eastAsia="MS Mincho"/>
                <w:b/>
                <w:bCs/>
                <w:i/>
                <w:noProof/>
                <w:sz w:val="18"/>
                <w:szCs w:val="18"/>
                <w:lang w:val="es-ES"/>
              </w:rPr>
              <w:t>C.</w:t>
            </w:r>
            <w:r w:rsidR="001D3CA2" w:rsidRPr="001D3CA2">
              <w:rPr>
                <w:rFonts w:eastAsiaTheme="minorEastAsia" w:cstheme="minorBidi"/>
                <w:noProof/>
                <w:sz w:val="18"/>
                <w:szCs w:val="18"/>
              </w:rPr>
              <w:tab/>
            </w:r>
            <w:r w:rsidR="001D3CA2" w:rsidRPr="001D3CA2">
              <w:rPr>
                <w:rStyle w:val="Hyperlink"/>
                <w:rFonts w:eastAsia="MS Mincho"/>
                <w:b/>
                <w:bCs/>
                <w:i/>
                <w:noProof/>
                <w:sz w:val="18"/>
                <w:szCs w:val="18"/>
                <w:lang w:val="es-ES"/>
              </w:rPr>
              <w:t>Medidas de rehabilitación, satisfacción y garantías de no repetición</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_Toc514172664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96</w:t>
            </w:r>
            <w:r w:rsidR="001D3CA2" w:rsidRPr="001D3CA2">
              <w:rPr>
                <w:noProof/>
                <w:webHidden/>
                <w:sz w:val="18"/>
                <w:szCs w:val="18"/>
              </w:rPr>
              <w:fldChar w:fldCharType="end"/>
            </w:r>
          </w:hyperlink>
        </w:p>
        <w:p w14:paraId="3A218617" w14:textId="77777777" w:rsidR="001D3CA2" w:rsidRPr="001D3CA2" w:rsidRDefault="00EF48C1" w:rsidP="001D3CA2">
          <w:pPr>
            <w:pStyle w:val="TOC2"/>
            <w:jc w:val="both"/>
            <w:rPr>
              <w:rFonts w:eastAsiaTheme="minorEastAsia" w:cstheme="minorBidi"/>
              <w:noProof/>
              <w:sz w:val="18"/>
              <w:szCs w:val="18"/>
            </w:rPr>
          </w:pPr>
          <w:hyperlink w:anchor="_Toc514172665" w:history="1">
            <w:r w:rsidR="001D3CA2" w:rsidRPr="001D3CA2">
              <w:rPr>
                <w:rStyle w:val="Hyperlink"/>
                <w:i/>
                <w:noProof/>
                <w:sz w:val="18"/>
                <w:szCs w:val="18"/>
                <w:lang w:val="es-ES"/>
              </w:rPr>
              <w:t xml:space="preserve">C.1 </w:t>
            </w:r>
            <w:r w:rsidR="001D3CA2" w:rsidRPr="001D3CA2">
              <w:rPr>
                <w:rFonts w:eastAsiaTheme="minorEastAsia" w:cstheme="minorBidi"/>
                <w:noProof/>
                <w:sz w:val="18"/>
                <w:szCs w:val="18"/>
              </w:rPr>
              <w:tab/>
            </w:r>
            <w:r w:rsidR="001D3CA2" w:rsidRPr="001D3CA2">
              <w:rPr>
                <w:rStyle w:val="Hyperlink"/>
                <w:i/>
                <w:noProof/>
                <w:sz w:val="18"/>
                <w:szCs w:val="18"/>
                <w:lang w:val="es-ES"/>
              </w:rPr>
              <w:t>Rehabilitación</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_Toc514172665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96</w:t>
            </w:r>
            <w:r w:rsidR="001D3CA2" w:rsidRPr="001D3CA2">
              <w:rPr>
                <w:noProof/>
                <w:webHidden/>
                <w:sz w:val="18"/>
                <w:szCs w:val="18"/>
              </w:rPr>
              <w:fldChar w:fldCharType="end"/>
            </w:r>
          </w:hyperlink>
        </w:p>
        <w:p w14:paraId="3321F70C" w14:textId="77777777" w:rsidR="001D3CA2" w:rsidRPr="001D3CA2" w:rsidRDefault="00EF48C1" w:rsidP="001D3CA2">
          <w:pPr>
            <w:pStyle w:val="TOC2"/>
            <w:jc w:val="both"/>
            <w:rPr>
              <w:rFonts w:eastAsiaTheme="minorEastAsia" w:cstheme="minorBidi"/>
              <w:noProof/>
              <w:sz w:val="18"/>
              <w:szCs w:val="18"/>
            </w:rPr>
          </w:pPr>
          <w:hyperlink w:anchor="_Toc514172666" w:history="1">
            <w:r w:rsidR="001D3CA2" w:rsidRPr="001D3CA2">
              <w:rPr>
                <w:rStyle w:val="Hyperlink"/>
                <w:i/>
                <w:noProof/>
                <w:sz w:val="18"/>
                <w:szCs w:val="18"/>
                <w:lang w:val="es-ES"/>
              </w:rPr>
              <w:t xml:space="preserve">C.2 </w:t>
            </w:r>
            <w:r w:rsidR="001D3CA2" w:rsidRPr="001D3CA2">
              <w:rPr>
                <w:rFonts w:eastAsiaTheme="minorEastAsia" w:cstheme="minorBidi"/>
                <w:noProof/>
                <w:sz w:val="18"/>
                <w:szCs w:val="18"/>
              </w:rPr>
              <w:tab/>
            </w:r>
            <w:r w:rsidR="001D3CA2" w:rsidRPr="001D3CA2">
              <w:rPr>
                <w:rStyle w:val="Hyperlink"/>
                <w:i/>
                <w:noProof/>
                <w:sz w:val="18"/>
                <w:szCs w:val="18"/>
                <w:lang w:val="es-ES"/>
              </w:rPr>
              <w:t>Satisfacción</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_Toc514172666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98</w:t>
            </w:r>
            <w:r w:rsidR="001D3CA2" w:rsidRPr="001D3CA2">
              <w:rPr>
                <w:noProof/>
                <w:webHidden/>
                <w:sz w:val="18"/>
                <w:szCs w:val="18"/>
              </w:rPr>
              <w:fldChar w:fldCharType="end"/>
            </w:r>
          </w:hyperlink>
        </w:p>
        <w:p w14:paraId="390F6745" w14:textId="77777777" w:rsidR="001D3CA2" w:rsidRPr="001D3CA2" w:rsidRDefault="00EF48C1" w:rsidP="001D3CA2">
          <w:pPr>
            <w:pStyle w:val="TOC2"/>
            <w:jc w:val="both"/>
            <w:rPr>
              <w:rFonts w:eastAsiaTheme="minorEastAsia" w:cstheme="minorBidi"/>
              <w:noProof/>
              <w:sz w:val="18"/>
              <w:szCs w:val="18"/>
            </w:rPr>
          </w:pPr>
          <w:hyperlink w:anchor="_Toc514172667" w:history="1">
            <w:r w:rsidR="001D3CA2" w:rsidRPr="001D3CA2">
              <w:rPr>
                <w:rStyle w:val="Hyperlink"/>
                <w:i/>
                <w:noProof/>
                <w:sz w:val="18"/>
                <w:szCs w:val="18"/>
                <w:lang w:val="es-ES"/>
              </w:rPr>
              <w:t xml:space="preserve">C.3 </w:t>
            </w:r>
            <w:r w:rsidR="001D3CA2" w:rsidRPr="001D3CA2">
              <w:rPr>
                <w:rFonts w:eastAsiaTheme="minorEastAsia" w:cstheme="minorBidi"/>
                <w:noProof/>
                <w:sz w:val="18"/>
                <w:szCs w:val="18"/>
              </w:rPr>
              <w:tab/>
            </w:r>
            <w:r w:rsidR="001D3CA2" w:rsidRPr="001D3CA2">
              <w:rPr>
                <w:rStyle w:val="Hyperlink"/>
                <w:i/>
                <w:noProof/>
                <w:sz w:val="18"/>
                <w:szCs w:val="18"/>
                <w:lang w:val="es-ES"/>
              </w:rPr>
              <w:t>Garantías de no repetición</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_Toc514172667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100</w:t>
            </w:r>
            <w:r w:rsidR="001D3CA2" w:rsidRPr="001D3CA2">
              <w:rPr>
                <w:noProof/>
                <w:webHidden/>
                <w:sz w:val="18"/>
                <w:szCs w:val="18"/>
              </w:rPr>
              <w:fldChar w:fldCharType="end"/>
            </w:r>
          </w:hyperlink>
        </w:p>
        <w:p w14:paraId="1EF988BA" w14:textId="77777777" w:rsidR="001D3CA2" w:rsidRPr="001D3CA2" w:rsidRDefault="00EF48C1" w:rsidP="001D3CA2">
          <w:pPr>
            <w:pStyle w:val="TOC2"/>
            <w:jc w:val="both"/>
            <w:rPr>
              <w:rFonts w:eastAsiaTheme="minorEastAsia" w:cstheme="minorBidi"/>
              <w:noProof/>
              <w:sz w:val="18"/>
              <w:szCs w:val="18"/>
            </w:rPr>
          </w:pPr>
          <w:hyperlink w:anchor="_Toc514172668" w:history="1">
            <w:r w:rsidR="001D3CA2" w:rsidRPr="001D3CA2">
              <w:rPr>
                <w:rStyle w:val="Hyperlink"/>
                <w:i/>
                <w:noProof/>
                <w:sz w:val="18"/>
                <w:szCs w:val="18"/>
                <w:lang w:val="es-ES"/>
              </w:rPr>
              <w:t xml:space="preserve">C.4 </w:t>
            </w:r>
            <w:r w:rsidR="001D3CA2" w:rsidRPr="001D3CA2">
              <w:rPr>
                <w:rFonts w:eastAsiaTheme="minorEastAsia" w:cstheme="minorBidi"/>
                <w:noProof/>
                <w:sz w:val="18"/>
                <w:szCs w:val="18"/>
              </w:rPr>
              <w:tab/>
            </w:r>
            <w:r w:rsidR="001D3CA2" w:rsidRPr="001D3CA2">
              <w:rPr>
                <w:rStyle w:val="Hyperlink"/>
                <w:i/>
                <w:noProof/>
                <w:sz w:val="18"/>
                <w:szCs w:val="18"/>
                <w:lang w:val="es-ES"/>
              </w:rPr>
              <w:t>Otras medidas solicitadas</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_Toc514172668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108</w:t>
            </w:r>
            <w:r w:rsidR="001D3CA2" w:rsidRPr="001D3CA2">
              <w:rPr>
                <w:noProof/>
                <w:webHidden/>
                <w:sz w:val="18"/>
                <w:szCs w:val="18"/>
              </w:rPr>
              <w:fldChar w:fldCharType="end"/>
            </w:r>
          </w:hyperlink>
        </w:p>
        <w:p w14:paraId="65FF060F" w14:textId="77777777" w:rsidR="001D3CA2" w:rsidRPr="001D3CA2" w:rsidRDefault="00EF48C1" w:rsidP="001D3CA2">
          <w:pPr>
            <w:pStyle w:val="TOC2"/>
            <w:jc w:val="both"/>
            <w:rPr>
              <w:rFonts w:eastAsiaTheme="minorEastAsia" w:cstheme="minorBidi"/>
              <w:noProof/>
              <w:sz w:val="18"/>
              <w:szCs w:val="18"/>
            </w:rPr>
          </w:pPr>
          <w:hyperlink w:anchor="_Toc514172669" w:history="1">
            <w:r w:rsidR="001D3CA2" w:rsidRPr="001D3CA2">
              <w:rPr>
                <w:rStyle w:val="Hyperlink"/>
                <w:rFonts w:eastAsia="MS Mincho"/>
                <w:b/>
                <w:bCs/>
                <w:i/>
                <w:noProof/>
                <w:sz w:val="18"/>
                <w:szCs w:val="18"/>
                <w:lang w:val="es-ES"/>
              </w:rPr>
              <w:t>D.</w:t>
            </w:r>
            <w:r w:rsidR="001D3CA2" w:rsidRPr="001D3CA2">
              <w:rPr>
                <w:rFonts w:eastAsiaTheme="minorEastAsia" w:cstheme="minorBidi"/>
                <w:noProof/>
                <w:sz w:val="18"/>
                <w:szCs w:val="18"/>
              </w:rPr>
              <w:tab/>
            </w:r>
            <w:r w:rsidR="001D3CA2" w:rsidRPr="001D3CA2">
              <w:rPr>
                <w:rStyle w:val="Hyperlink"/>
                <w:rFonts w:eastAsia="MS Mincho"/>
                <w:b/>
                <w:bCs/>
                <w:i/>
                <w:noProof/>
                <w:sz w:val="18"/>
                <w:szCs w:val="18"/>
                <w:lang w:val="es-ES"/>
              </w:rPr>
              <w:t>Indemnizaciones compensatorias</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_Toc514172669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109</w:t>
            </w:r>
            <w:r w:rsidR="001D3CA2" w:rsidRPr="001D3CA2">
              <w:rPr>
                <w:noProof/>
                <w:webHidden/>
                <w:sz w:val="18"/>
                <w:szCs w:val="18"/>
              </w:rPr>
              <w:fldChar w:fldCharType="end"/>
            </w:r>
          </w:hyperlink>
        </w:p>
        <w:p w14:paraId="03985A06" w14:textId="77777777" w:rsidR="001D3CA2" w:rsidRPr="001D3CA2" w:rsidRDefault="00EF48C1" w:rsidP="001D3CA2">
          <w:pPr>
            <w:pStyle w:val="TOC2"/>
            <w:jc w:val="both"/>
            <w:rPr>
              <w:rFonts w:eastAsiaTheme="minorEastAsia" w:cstheme="minorBidi"/>
              <w:noProof/>
              <w:sz w:val="18"/>
              <w:szCs w:val="18"/>
            </w:rPr>
          </w:pPr>
          <w:hyperlink w:anchor="_Toc514172670" w:history="1">
            <w:r w:rsidR="001D3CA2" w:rsidRPr="001D3CA2">
              <w:rPr>
                <w:rStyle w:val="Hyperlink"/>
                <w:i/>
                <w:noProof/>
                <w:sz w:val="18"/>
                <w:szCs w:val="18"/>
                <w:lang w:val="es-ES"/>
              </w:rPr>
              <w:t>D.1</w:t>
            </w:r>
            <w:r w:rsidR="001D3CA2" w:rsidRPr="001D3CA2">
              <w:rPr>
                <w:rFonts w:eastAsiaTheme="minorEastAsia" w:cstheme="minorBidi"/>
                <w:noProof/>
                <w:sz w:val="18"/>
                <w:szCs w:val="18"/>
              </w:rPr>
              <w:tab/>
            </w:r>
            <w:r w:rsidR="001D3CA2" w:rsidRPr="001D3CA2">
              <w:rPr>
                <w:rStyle w:val="Hyperlink"/>
                <w:i/>
                <w:noProof/>
                <w:sz w:val="18"/>
                <w:szCs w:val="18"/>
                <w:lang w:val="es-ES"/>
              </w:rPr>
              <w:t>Daño material</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_Toc514172670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110</w:t>
            </w:r>
            <w:r w:rsidR="001D3CA2" w:rsidRPr="001D3CA2">
              <w:rPr>
                <w:noProof/>
                <w:webHidden/>
                <w:sz w:val="18"/>
                <w:szCs w:val="18"/>
              </w:rPr>
              <w:fldChar w:fldCharType="end"/>
            </w:r>
          </w:hyperlink>
        </w:p>
        <w:p w14:paraId="06C2533A" w14:textId="77777777" w:rsidR="001D3CA2" w:rsidRPr="001D3CA2" w:rsidRDefault="00EF48C1" w:rsidP="001D3CA2">
          <w:pPr>
            <w:pStyle w:val="TOC2"/>
            <w:jc w:val="both"/>
            <w:rPr>
              <w:rFonts w:eastAsiaTheme="minorEastAsia" w:cstheme="minorBidi"/>
              <w:noProof/>
              <w:sz w:val="18"/>
              <w:szCs w:val="18"/>
            </w:rPr>
          </w:pPr>
          <w:hyperlink w:anchor="_Toc514172671" w:history="1">
            <w:r w:rsidR="001D3CA2" w:rsidRPr="001D3CA2">
              <w:rPr>
                <w:rStyle w:val="Hyperlink"/>
                <w:i/>
                <w:noProof/>
                <w:sz w:val="18"/>
                <w:szCs w:val="18"/>
                <w:lang w:val="es-ES"/>
              </w:rPr>
              <w:t>D.2</w:t>
            </w:r>
            <w:r w:rsidR="001D3CA2" w:rsidRPr="001D3CA2">
              <w:rPr>
                <w:rFonts w:eastAsiaTheme="minorEastAsia" w:cstheme="minorBidi"/>
                <w:noProof/>
                <w:sz w:val="18"/>
                <w:szCs w:val="18"/>
              </w:rPr>
              <w:tab/>
            </w:r>
            <w:r w:rsidR="001D3CA2" w:rsidRPr="001D3CA2">
              <w:rPr>
                <w:rStyle w:val="Hyperlink"/>
                <w:i/>
                <w:noProof/>
                <w:sz w:val="18"/>
                <w:szCs w:val="18"/>
                <w:lang w:val="es-ES"/>
              </w:rPr>
              <w:t>Daño inmaterial</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_Toc514172671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113</w:t>
            </w:r>
            <w:r w:rsidR="001D3CA2" w:rsidRPr="001D3CA2">
              <w:rPr>
                <w:noProof/>
                <w:webHidden/>
                <w:sz w:val="18"/>
                <w:szCs w:val="18"/>
              </w:rPr>
              <w:fldChar w:fldCharType="end"/>
            </w:r>
          </w:hyperlink>
        </w:p>
        <w:p w14:paraId="67FF90A4" w14:textId="77777777" w:rsidR="001D3CA2" w:rsidRPr="001D3CA2" w:rsidRDefault="00EF48C1" w:rsidP="001D3CA2">
          <w:pPr>
            <w:pStyle w:val="TOC2"/>
            <w:jc w:val="both"/>
            <w:rPr>
              <w:rFonts w:eastAsiaTheme="minorEastAsia" w:cstheme="minorBidi"/>
              <w:noProof/>
              <w:sz w:val="18"/>
              <w:szCs w:val="18"/>
            </w:rPr>
          </w:pPr>
          <w:hyperlink w:anchor="_Toc514172672" w:history="1">
            <w:r w:rsidR="001D3CA2" w:rsidRPr="001D3CA2">
              <w:rPr>
                <w:rStyle w:val="Hyperlink"/>
                <w:rFonts w:eastAsia="MS Mincho"/>
                <w:b/>
                <w:bCs/>
                <w:i/>
                <w:noProof/>
                <w:sz w:val="18"/>
                <w:szCs w:val="18"/>
                <w:lang w:val="es-ES"/>
              </w:rPr>
              <w:t>E.</w:t>
            </w:r>
            <w:r w:rsidR="001D3CA2" w:rsidRPr="001D3CA2">
              <w:rPr>
                <w:rFonts w:eastAsiaTheme="minorEastAsia" w:cstheme="minorBidi"/>
                <w:noProof/>
                <w:sz w:val="18"/>
                <w:szCs w:val="18"/>
              </w:rPr>
              <w:tab/>
            </w:r>
            <w:r w:rsidR="001D3CA2" w:rsidRPr="001D3CA2">
              <w:rPr>
                <w:rStyle w:val="Hyperlink"/>
                <w:rFonts w:eastAsia="MS Mincho"/>
                <w:b/>
                <w:bCs/>
                <w:i/>
                <w:noProof/>
                <w:sz w:val="18"/>
                <w:szCs w:val="18"/>
                <w:lang w:val="es-ES"/>
              </w:rPr>
              <w:t>Costas y Gastos</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_Toc514172672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115</w:t>
            </w:r>
            <w:r w:rsidR="001D3CA2" w:rsidRPr="001D3CA2">
              <w:rPr>
                <w:noProof/>
                <w:webHidden/>
                <w:sz w:val="18"/>
                <w:szCs w:val="18"/>
              </w:rPr>
              <w:fldChar w:fldCharType="end"/>
            </w:r>
          </w:hyperlink>
        </w:p>
        <w:p w14:paraId="525CC2BC" w14:textId="77777777" w:rsidR="001D3CA2" w:rsidRPr="001D3CA2" w:rsidRDefault="00EF48C1" w:rsidP="001D3CA2">
          <w:pPr>
            <w:pStyle w:val="TOC2"/>
            <w:jc w:val="both"/>
            <w:rPr>
              <w:rFonts w:eastAsiaTheme="minorEastAsia" w:cstheme="minorBidi"/>
              <w:noProof/>
              <w:sz w:val="18"/>
              <w:szCs w:val="18"/>
            </w:rPr>
          </w:pPr>
          <w:hyperlink w:anchor="_Toc514172673" w:history="1">
            <w:r w:rsidR="001D3CA2" w:rsidRPr="001D3CA2">
              <w:rPr>
                <w:rStyle w:val="Hyperlink"/>
                <w:rFonts w:eastAsia="MS Mincho"/>
                <w:b/>
                <w:bCs/>
                <w:i/>
                <w:noProof/>
                <w:sz w:val="18"/>
                <w:szCs w:val="18"/>
                <w:lang w:val="es-ES"/>
              </w:rPr>
              <w:t>F.</w:t>
            </w:r>
            <w:r w:rsidR="001D3CA2" w:rsidRPr="001D3CA2">
              <w:rPr>
                <w:rFonts w:eastAsiaTheme="minorEastAsia" w:cstheme="minorBidi"/>
                <w:noProof/>
                <w:sz w:val="18"/>
                <w:szCs w:val="18"/>
              </w:rPr>
              <w:tab/>
            </w:r>
            <w:r w:rsidR="001D3CA2" w:rsidRPr="001D3CA2">
              <w:rPr>
                <w:rStyle w:val="Hyperlink"/>
                <w:rFonts w:eastAsia="MS Mincho"/>
                <w:b/>
                <w:bCs/>
                <w:i/>
                <w:noProof/>
                <w:sz w:val="18"/>
                <w:szCs w:val="18"/>
                <w:lang w:val="es-ES"/>
              </w:rPr>
              <w:t>Reintegro de los gastos al Fondo de Asistencia Legal de Víctimas</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_Toc514172673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116</w:t>
            </w:r>
            <w:r w:rsidR="001D3CA2" w:rsidRPr="001D3CA2">
              <w:rPr>
                <w:noProof/>
                <w:webHidden/>
                <w:sz w:val="18"/>
                <w:szCs w:val="18"/>
              </w:rPr>
              <w:fldChar w:fldCharType="end"/>
            </w:r>
          </w:hyperlink>
        </w:p>
        <w:p w14:paraId="4BA79A5C" w14:textId="77777777" w:rsidR="001D3CA2" w:rsidRPr="001D3CA2" w:rsidRDefault="00EF48C1" w:rsidP="001D3CA2">
          <w:pPr>
            <w:pStyle w:val="TOC2"/>
            <w:jc w:val="both"/>
            <w:rPr>
              <w:rFonts w:eastAsiaTheme="minorEastAsia" w:cstheme="minorBidi"/>
              <w:noProof/>
              <w:sz w:val="18"/>
              <w:szCs w:val="18"/>
            </w:rPr>
          </w:pPr>
          <w:hyperlink w:anchor="_Toc514172674" w:history="1">
            <w:r w:rsidR="001D3CA2" w:rsidRPr="001D3CA2">
              <w:rPr>
                <w:rStyle w:val="Hyperlink"/>
                <w:rFonts w:eastAsia="MS Mincho"/>
                <w:b/>
                <w:bCs/>
                <w:i/>
                <w:noProof/>
                <w:sz w:val="18"/>
                <w:szCs w:val="18"/>
                <w:lang w:val="es-ES"/>
              </w:rPr>
              <w:t>G.</w:t>
            </w:r>
            <w:r w:rsidR="001D3CA2" w:rsidRPr="001D3CA2">
              <w:rPr>
                <w:rFonts w:eastAsiaTheme="minorEastAsia" w:cstheme="minorBidi"/>
                <w:noProof/>
                <w:sz w:val="18"/>
                <w:szCs w:val="18"/>
              </w:rPr>
              <w:tab/>
            </w:r>
            <w:r w:rsidR="001D3CA2" w:rsidRPr="001D3CA2">
              <w:rPr>
                <w:rStyle w:val="Hyperlink"/>
                <w:rFonts w:eastAsia="MS Mincho"/>
                <w:b/>
                <w:bCs/>
                <w:i/>
                <w:noProof/>
                <w:sz w:val="18"/>
                <w:szCs w:val="18"/>
                <w:lang w:val="es-ES"/>
              </w:rPr>
              <w:t>Modalidad de cumplimiento de los pagos ordenados</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_Toc514172674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118</w:t>
            </w:r>
            <w:r w:rsidR="001D3CA2" w:rsidRPr="001D3CA2">
              <w:rPr>
                <w:noProof/>
                <w:webHidden/>
                <w:sz w:val="18"/>
                <w:szCs w:val="18"/>
              </w:rPr>
              <w:fldChar w:fldCharType="end"/>
            </w:r>
          </w:hyperlink>
        </w:p>
        <w:p w14:paraId="77D9A31F" w14:textId="77777777" w:rsidR="001D3CA2" w:rsidRPr="001D3CA2" w:rsidRDefault="00EF48C1" w:rsidP="001D3CA2">
          <w:pPr>
            <w:pStyle w:val="TOC1"/>
            <w:tabs>
              <w:tab w:val="right" w:leader="dot" w:pos="10070"/>
            </w:tabs>
            <w:spacing w:after="0" w:line="240" w:lineRule="auto"/>
            <w:rPr>
              <w:rFonts w:eastAsiaTheme="minorEastAsia" w:cstheme="minorBidi"/>
              <w:noProof/>
              <w:sz w:val="18"/>
              <w:szCs w:val="18"/>
            </w:rPr>
          </w:pPr>
          <w:hyperlink w:anchor="_Toc514172675" w:history="1">
            <w:r w:rsidR="001D3CA2" w:rsidRPr="001D3CA2">
              <w:rPr>
                <w:rStyle w:val="Hyperlink"/>
                <w:rFonts w:cs="Verdana"/>
                <w:b/>
                <w:bCs/>
                <w:caps/>
                <w:noProof/>
                <w:snapToGrid w:val="0"/>
                <w:sz w:val="18"/>
                <w:szCs w:val="18"/>
                <w:lang w:val="es-ES"/>
              </w:rPr>
              <w:t>X PUNTOS RESOLUTIVOS</w:t>
            </w:r>
            <w:r w:rsidR="001D3CA2" w:rsidRPr="001D3CA2">
              <w:rPr>
                <w:noProof/>
                <w:webHidden/>
                <w:sz w:val="18"/>
                <w:szCs w:val="18"/>
              </w:rPr>
              <w:tab/>
            </w:r>
            <w:r w:rsidR="001D3CA2" w:rsidRPr="001D3CA2">
              <w:rPr>
                <w:noProof/>
                <w:webHidden/>
                <w:sz w:val="18"/>
                <w:szCs w:val="18"/>
              </w:rPr>
              <w:fldChar w:fldCharType="begin"/>
            </w:r>
            <w:r w:rsidR="001D3CA2" w:rsidRPr="001D3CA2">
              <w:rPr>
                <w:noProof/>
                <w:webHidden/>
                <w:sz w:val="18"/>
                <w:szCs w:val="18"/>
              </w:rPr>
              <w:instrText xml:space="preserve"> PAGEREF _Toc514172675 \h </w:instrText>
            </w:r>
            <w:r w:rsidR="001D3CA2" w:rsidRPr="001D3CA2">
              <w:rPr>
                <w:noProof/>
                <w:webHidden/>
                <w:sz w:val="18"/>
                <w:szCs w:val="18"/>
              </w:rPr>
            </w:r>
            <w:r w:rsidR="001D3CA2" w:rsidRPr="001D3CA2">
              <w:rPr>
                <w:noProof/>
                <w:webHidden/>
                <w:sz w:val="18"/>
                <w:szCs w:val="18"/>
              </w:rPr>
              <w:fldChar w:fldCharType="separate"/>
            </w:r>
            <w:r>
              <w:rPr>
                <w:noProof/>
                <w:webHidden/>
                <w:sz w:val="18"/>
                <w:szCs w:val="18"/>
              </w:rPr>
              <w:t>118</w:t>
            </w:r>
            <w:r w:rsidR="001D3CA2" w:rsidRPr="001D3CA2">
              <w:rPr>
                <w:noProof/>
                <w:webHidden/>
                <w:sz w:val="18"/>
                <w:szCs w:val="18"/>
              </w:rPr>
              <w:fldChar w:fldCharType="end"/>
            </w:r>
          </w:hyperlink>
        </w:p>
        <w:p w14:paraId="75F299B5" w14:textId="77777777" w:rsidR="00F414CE" w:rsidRPr="001D3CA2" w:rsidRDefault="00920B09" w:rsidP="001D3CA2">
          <w:pPr>
            <w:spacing w:line="240" w:lineRule="auto"/>
            <w:rPr>
              <w:sz w:val="18"/>
              <w:szCs w:val="18"/>
              <w:lang w:val="es-ES"/>
            </w:rPr>
          </w:pPr>
          <w:r w:rsidRPr="001D3CA2">
            <w:rPr>
              <w:b/>
              <w:bCs/>
              <w:sz w:val="18"/>
              <w:szCs w:val="18"/>
              <w:lang w:val="es-ES"/>
            </w:rPr>
            <w:fldChar w:fldCharType="end"/>
          </w:r>
        </w:p>
      </w:sdtContent>
    </w:sdt>
    <w:p w14:paraId="76FF9AF4" w14:textId="77777777" w:rsidR="00F414CE" w:rsidRPr="003D5FBA" w:rsidRDefault="00F414CE" w:rsidP="003D5FBA">
      <w:pPr>
        <w:spacing w:line="240" w:lineRule="auto"/>
        <w:rPr>
          <w:rFonts w:eastAsia="Verdana" w:cs="Verdana"/>
          <w:position w:val="-1"/>
          <w:sz w:val="18"/>
          <w:szCs w:val="18"/>
          <w:lang w:val="es-ES"/>
        </w:rPr>
      </w:pPr>
    </w:p>
    <w:p w14:paraId="46E8798D" w14:textId="77777777" w:rsidR="00F414CE" w:rsidRPr="00975C02" w:rsidRDefault="00F414CE">
      <w:pPr>
        <w:widowControl/>
        <w:adjustRightInd/>
        <w:spacing w:after="200" w:line="276" w:lineRule="auto"/>
        <w:jc w:val="left"/>
        <w:textAlignment w:val="auto"/>
        <w:rPr>
          <w:rFonts w:eastAsia="Verdana" w:cs="Verdana"/>
          <w:position w:val="-1"/>
          <w:sz w:val="20"/>
          <w:szCs w:val="20"/>
          <w:lang w:val="es-ES"/>
        </w:rPr>
      </w:pPr>
      <w:r w:rsidRPr="00975C02">
        <w:rPr>
          <w:rFonts w:eastAsia="Verdana" w:cs="Verdana"/>
          <w:position w:val="-1"/>
          <w:sz w:val="20"/>
          <w:szCs w:val="20"/>
          <w:lang w:val="es-ES"/>
        </w:rPr>
        <w:br w:type="page"/>
      </w:r>
    </w:p>
    <w:p w14:paraId="5F8BFA40" w14:textId="77777777" w:rsidR="00E16176" w:rsidRPr="00975C02" w:rsidRDefault="00E16176" w:rsidP="006C37C9">
      <w:pPr>
        <w:spacing w:before="23" w:line="240" w:lineRule="auto"/>
        <w:ind w:right="5131"/>
        <w:rPr>
          <w:rFonts w:eastAsia="Verdana" w:cs="Verdana"/>
          <w:b/>
          <w:bCs/>
          <w:sz w:val="20"/>
          <w:szCs w:val="20"/>
          <w:lang w:val="es-ES"/>
        </w:rPr>
      </w:pPr>
    </w:p>
    <w:p w14:paraId="180C55E6" w14:textId="77777777" w:rsidR="006C37C9" w:rsidRPr="00975C02" w:rsidRDefault="006C37C9" w:rsidP="00A93967">
      <w:pPr>
        <w:keepNext/>
        <w:keepLines/>
        <w:tabs>
          <w:tab w:val="left" w:pos="851"/>
        </w:tabs>
        <w:spacing w:line="240" w:lineRule="auto"/>
        <w:jc w:val="center"/>
        <w:outlineLvl w:val="0"/>
        <w:rPr>
          <w:rFonts w:cs="Verdana"/>
          <w:b/>
          <w:bCs/>
          <w:caps/>
          <w:snapToGrid w:val="0"/>
          <w:sz w:val="20"/>
          <w:szCs w:val="20"/>
          <w:lang w:val="es-ES"/>
        </w:rPr>
      </w:pPr>
      <w:bookmarkStart w:id="1" w:name="_Toc373093233"/>
      <w:bookmarkStart w:id="2" w:name="_Toc373350045"/>
      <w:bookmarkStart w:id="3" w:name="_Toc375560891"/>
      <w:bookmarkStart w:id="4" w:name="_Toc401931877"/>
      <w:bookmarkStart w:id="5" w:name="_Toc428369976"/>
      <w:bookmarkStart w:id="6" w:name="_Toc459158092"/>
      <w:bookmarkStart w:id="7" w:name="_Toc470180032"/>
      <w:bookmarkStart w:id="8" w:name="_Toc514172589"/>
      <w:r w:rsidRPr="00975C02">
        <w:rPr>
          <w:rFonts w:cs="Verdana"/>
          <w:b/>
          <w:bCs/>
          <w:caps/>
          <w:snapToGrid w:val="0"/>
          <w:sz w:val="20"/>
          <w:szCs w:val="20"/>
          <w:lang w:val="es-ES"/>
        </w:rPr>
        <w:t>I</w:t>
      </w:r>
      <w:bookmarkStart w:id="9" w:name="_Toc375062709"/>
      <w:bookmarkStart w:id="10" w:name="_Toc375140859"/>
      <w:bookmarkStart w:id="11" w:name="_Toc375504818"/>
      <w:bookmarkStart w:id="12" w:name="_Toc375560892"/>
      <w:bookmarkEnd w:id="1"/>
      <w:bookmarkEnd w:id="2"/>
      <w:bookmarkEnd w:id="3"/>
      <w:r w:rsidRPr="00975C02">
        <w:rPr>
          <w:rFonts w:cs="Verdana"/>
          <w:b/>
          <w:bCs/>
          <w:caps/>
          <w:snapToGrid w:val="0"/>
          <w:sz w:val="20"/>
          <w:szCs w:val="20"/>
          <w:lang w:val="es-ES"/>
        </w:rPr>
        <w:br/>
        <w:t>INTRODUCCIÓN DE LA CAUSA y OBJETO DE LA CONTROVERSIA</w:t>
      </w:r>
      <w:bookmarkEnd w:id="4"/>
      <w:bookmarkEnd w:id="5"/>
      <w:bookmarkEnd w:id="6"/>
      <w:bookmarkEnd w:id="7"/>
      <w:bookmarkEnd w:id="8"/>
      <w:bookmarkEnd w:id="9"/>
      <w:bookmarkEnd w:id="10"/>
      <w:bookmarkEnd w:id="11"/>
      <w:bookmarkEnd w:id="12"/>
    </w:p>
    <w:p w14:paraId="2C481A91" w14:textId="77777777" w:rsidR="006C37C9" w:rsidRPr="00975C02" w:rsidRDefault="006C37C9" w:rsidP="006C37C9">
      <w:pPr>
        <w:spacing w:before="4" w:line="240" w:lineRule="exact"/>
        <w:rPr>
          <w:rFonts w:ascii="Calibri" w:eastAsia="Calibri" w:hAnsi="Calibri"/>
          <w:lang w:val="es-ES"/>
        </w:rPr>
      </w:pPr>
    </w:p>
    <w:p w14:paraId="6530077D" w14:textId="0DE1E44B" w:rsidR="006C37C9" w:rsidRPr="00975C02" w:rsidRDefault="006C37C9" w:rsidP="00C8070B">
      <w:pPr>
        <w:numPr>
          <w:ilvl w:val="0"/>
          <w:numId w:val="2"/>
        </w:numPr>
        <w:tabs>
          <w:tab w:val="left" w:pos="567"/>
          <w:tab w:val="num" w:pos="12305"/>
        </w:tabs>
        <w:spacing w:line="240" w:lineRule="auto"/>
        <w:ind w:left="0" w:firstLine="0"/>
        <w:rPr>
          <w:rFonts w:eastAsia="Calibri" w:cs="Arial"/>
          <w:sz w:val="20"/>
          <w:szCs w:val="20"/>
          <w:lang w:val="es-ES"/>
        </w:rPr>
      </w:pPr>
      <w:r w:rsidRPr="00975C02">
        <w:rPr>
          <w:rFonts w:eastAsia="Verdana" w:cs="Verdana"/>
          <w:i/>
          <w:sz w:val="20"/>
          <w:szCs w:val="20"/>
          <w:lang w:val="es-ES"/>
        </w:rPr>
        <w:t xml:space="preserve">El caso sometido a la Corte. – </w:t>
      </w:r>
      <w:r w:rsidR="0058113B" w:rsidRPr="00975C02">
        <w:rPr>
          <w:rFonts w:eastAsia="Verdana" w:cs="Verdana"/>
          <w:sz w:val="20"/>
          <w:szCs w:val="20"/>
          <w:lang w:val="es-ES"/>
        </w:rPr>
        <w:t>El 25</w:t>
      </w:r>
      <w:r w:rsidRPr="00975C02">
        <w:rPr>
          <w:rFonts w:eastAsia="Verdana" w:cs="Verdana"/>
          <w:sz w:val="20"/>
          <w:szCs w:val="20"/>
          <w:lang w:val="es-ES"/>
        </w:rPr>
        <w:t xml:space="preserve"> de a</w:t>
      </w:r>
      <w:r w:rsidR="0058113B" w:rsidRPr="00975C02">
        <w:rPr>
          <w:rFonts w:eastAsia="Verdana" w:cs="Verdana"/>
          <w:sz w:val="20"/>
          <w:szCs w:val="20"/>
          <w:lang w:val="es-ES"/>
        </w:rPr>
        <w:t>gosto de 2016</w:t>
      </w:r>
      <w:r w:rsidRPr="00975C02">
        <w:rPr>
          <w:rFonts w:eastAsia="Verdana" w:cs="Verdana"/>
          <w:sz w:val="20"/>
          <w:szCs w:val="20"/>
          <w:lang w:val="es-ES"/>
        </w:rPr>
        <w:t xml:space="preserve"> la Comisión Interamericana de Derechos Humanos (en adelante “la Comisión</w:t>
      </w:r>
      <w:r w:rsidR="006A1285" w:rsidRPr="00975C02">
        <w:rPr>
          <w:rFonts w:eastAsia="Verdana" w:cs="Verdana"/>
          <w:sz w:val="20"/>
          <w:szCs w:val="20"/>
          <w:lang w:val="es-ES"/>
        </w:rPr>
        <w:t xml:space="preserve"> </w:t>
      </w:r>
      <w:r w:rsidRPr="00975C02">
        <w:rPr>
          <w:rFonts w:eastAsia="Verdana" w:cs="Verdana"/>
          <w:sz w:val="20"/>
          <w:szCs w:val="20"/>
          <w:lang w:val="es-ES"/>
        </w:rPr>
        <w:t xml:space="preserve">Interamericana” o “la Comisión”) sometió a la jurisdicción de la Corte el caso </w:t>
      </w:r>
      <w:r w:rsidR="0058113B" w:rsidRPr="00975C02">
        <w:rPr>
          <w:rFonts w:eastAsia="Verdana" w:cs="Verdana"/>
          <w:i/>
          <w:sz w:val="20"/>
          <w:szCs w:val="20"/>
          <w:lang w:val="es-ES"/>
        </w:rPr>
        <w:t>“V.R.P. y V.P.C.</w:t>
      </w:r>
      <w:r w:rsidRPr="00975C02">
        <w:rPr>
          <w:rFonts w:eastAsia="Verdana" w:cs="Verdana"/>
          <w:i/>
          <w:sz w:val="20"/>
          <w:szCs w:val="20"/>
          <w:lang w:val="es-ES"/>
        </w:rPr>
        <w:t>”</w:t>
      </w:r>
      <w:r w:rsidRPr="00975C02">
        <w:rPr>
          <w:rFonts w:eastAsia="Verdana" w:cs="Verdana"/>
          <w:sz w:val="20"/>
          <w:szCs w:val="20"/>
          <w:lang w:val="es-ES"/>
        </w:rPr>
        <w:t xml:space="preserve"> contra </w:t>
      </w:r>
      <w:r w:rsidR="0058113B" w:rsidRPr="00975C02">
        <w:rPr>
          <w:rFonts w:eastAsia="Verdana" w:cs="Verdana"/>
          <w:sz w:val="20"/>
          <w:szCs w:val="20"/>
          <w:lang w:val="es-ES"/>
        </w:rPr>
        <w:t>la República de Nicaragua</w:t>
      </w:r>
      <w:r w:rsidRPr="00975C02">
        <w:rPr>
          <w:rFonts w:eastAsia="Verdana" w:cs="Verdana"/>
          <w:sz w:val="20"/>
          <w:szCs w:val="20"/>
          <w:lang w:val="es-ES"/>
        </w:rPr>
        <w:t xml:space="preserve"> (en adelante “el Estado de </w:t>
      </w:r>
      <w:r w:rsidR="0058113B" w:rsidRPr="00975C02">
        <w:rPr>
          <w:rFonts w:eastAsia="Verdana" w:cs="Verdana"/>
          <w:sz w:val="20"/>
          <w:szCs w:val="20"/>
          <w:lang w:val="es-ES"/>
        </w:rPr>
        <w:t>Nicaragua</w:t>
      </w:r>
      <w:r w:rsidRPr="00975C02">
        <w:rPr>
          <w:rFonts w:eastAsia="Verdana" w:cs="Verdana"/>
          <w:sz w:val="20"/>
          <w:szCs w:val="20"/>
          <w:lang w:val="es-ES"/>
        </w:rPr>
        <w:t>”, “el Estado” o “</w:t>
      </w:r>
      <w:r w:rsidR="0058113B" w:rsidRPr="00975C02">
        <w:rPr>
          <w:rFonts w:eastAsia="Verdana" w:cs="Verdana"/>
          <w:sz w:val="20"/>
          <w:szCs w:val="20"/>
          <w:lang w:val="es-ES"/>
        </w:rPr>
        <w:t>Nicaragua</w:t>
      </w:r>
      <w:r w:rsidRPr="00975C02">
        <w:rPr>
          <w:rFonts w:eastAsia="Verdana" w:cs="Verdana"/>
          <w:sz w:val="20"/>
          <w:szCs w:val="20"/>
          <w:lang w:val="es-ES"/>
        </w:rPr>
        <w:t>”). De acuerdo con lo indicado por la Comisión, el caso se refiere a la</w:t>
      </w:r>
      <w:r w:rsidR="00F14674" w:rsidRPr="00975C02">
        <w:rPr>
          <w:rFonts w:eastAsia="Calibri" w:cs="Arial"/>
          <w:sz w:val="20"/>
          <w:szCs w:val="20"/>
          <w:lang w:val="es-ES"/>
        </w:rPr>
        <w:t xml:space="preserve"> alegada responsabilidad internacional del Estado de Nicaragua por la supuesta falta de respuesta estatal frente a la violación sexual cometida por un actor no estatal contra una niña, quien al momento de los hechos tenía </w:t>
      </w:r>
      <w:r w:rsidR="00490BF0" w:rsidRPr="00975C02">
        <w:rPr>
          <w:rFonts w:eastAsia="Calibri" w:cs="Arial"/>
          <w:sz w:val="20"/>
          <w:szCs w:val="20"/>
          <w:lang w:val="es-ES"/>
        </w:rPr>
        <w:t>ocho</w:t>
      </w:r>
      <w:r w:rsidR="00F14674" w:rsidRPr="00975C02">
        <w:rPr>
          <w:rFonts w:eastAsia="Calibri" w:cs="Arial"/>
          <w:sz w:val="20"/>
          <w:szCs w:val="20"/>
          <w:lang w:val="es-ES"/>
        </w:rPr>
        <w:t xml:space="preserve"> años de edad y afirmó que el responsable sería su padre, </w:t>
      </w:r>
      <w:r w:rsidR="007C5E70" w:rsidRPr="00975C02">
        <w:rPr>
          <w:rFonts w:eastAsia="Calibri" w:cs="Arial"/>
          <w:sz w:val="20"/>
          <w:szCs w:val="20"/>
          <w:lang w:val="es-ES"/>
        </w:rPr>
        <w:t>así como</w:t>
      </w:r>
      <w:r w:rsidR="00F14674" w:rsidRPr="00975C02">
        <w:rPr>
          <w:rFonts w:eastAsia="Calibri" w:cs="Arial"/>
          <w:sz w:val="20"/>
          <w:szCs w:val="20"/>
          <w:lang w:val="es-ES"/>
        </w:rPr>
        <w:t xml:space="preserve"> las alegadas afectaciones a los derechos a la integridad personal, a la dignidad, vida privada y autonomía, a la igualdad y no discriminación y a la protección especial como niña, particularmente por el alegado incumplimiento del deber de investigar con la debida diligencia, en un plazo razonable y de manera acorde con una perspectiva de género y los deberes estatales reforzados derivados de la condición de niña de la víctima, toda vez que ésta habría sido gravemente revictimizada con un impacto severo en su integridad psíquica y en la de su madre y hermanos. </w:t>
      </w:r>
      <w:r w:rsidR="00050C17" w:rsidRPr="00975C02">
        <w:rPr>
          <w:rFonts w:eastAsia="Calibri" w:cs="Arial"/>
          <w:sz w:val="20"/>
          <w:szCs w:val="20"/>
          <w:lang w:val="es-ES"/>
        </w:rPr>
        <w:t>Las presuntas víctimas en este caso son</w:t>
      </w:r>
      <w:r w:rsidR="00050C17" w:rsidRPr="00975C02">
        <w:rPr>
          <w:rFonts w:eastAsia="Calibri" w:cs="Arial"/>
          <w:sz w:val="18"/>
          <w:szCs w:val="18"/>
          <w:lang w:val="es-ES"/>
        </w:rPr>
        <w:t xml:space="preserve"> </w:t>
      </w:r>
      <w:r w:rsidR="00050C17" w:rsidRPr="00975C02">
        <w:rPr>
          <w:sz w:val="20"/>
          <w:szCs w:val="20"/>
          <w:lang w:val="es-ES" w:eastAsia="en-US"/>
        </w:rPr>
        <w:t xml:space="preserve">V.R.P. y V.P.C., así como </w:t>
      </w:r>
      <w:r w:rsidR="00762232" w:rsidRPr="00975C02">
        <w:rPr>
          <w:sz w:val="20"/>
          <w:szCs w:val="20"/>
          <w:lang w:val="es-ES" w:eastAsia="en-US"/>
        </w:rPr>
        <w:t xml:space="preserve">N.R.P., </w:t>
      </w:r>
      <w:r w:rsidR="00050C17" w:rsidRPr="00975C02">
        <w:rPr>
          <w:sz w:val="20"/>
          <w:szCs w:val="20"/>
          <w:lang w:val="es-ES" w:eastAsia="en-US"/>
        </w:rPr>
        <w:t>H.</w:t>
      </w:r>
      <w:r w:rsidR="00500D8E" w:rsidRPr="00975C02">
        <w:rPr>
          <w:sz w:val="20"/>
          <w:szCs w:val="20"/>
          <w:lang w:val="es-ES" w:eastAsia="en-US"/>
        </w:rPr>
        <w:t>J.</w:t>
      </w:r>
      <w:r w:rsidR="00050C17" w:rsidRPr="00975C02">
        <w:rPr>
          <w:sz w:val="20"/>
          <w:szCs w:val="20"/>
          <w:lang w:val="es-ES" w:eastAsia="en-US"/>
        </w:rPr>
        <w:t>R.P.</w:t>
      </w:r>
      <w:r w:rsidR="00762232" w:rsidRPr="00975C02">
        <w:rPr>
          <w:sz w:val="20"/>
          <w:szCs w:val="20"/>
          <w:lang w:val="es-ES" w:eastAsia="en-US"/>
        </w:rPr>
        <w:t xml:space="preserve"> y</w:t>
      </w:r>
      <w:r w:rsidR="00050C17" w:rsidRPr="00975C02">
        <w:rPr>
          <w:sz w:val="20"/>
          <w:szCs w:val="20"/>
          <w:lang w:val="es-ES" w:eastAsia="en-US"/>
        </w:rPr>
        <w:t xml:space="preserve"> V.A.R.P.</w:t>
      </w:r>
      <w:r w:rsidR="00762232" w:rsidRPr="00975C02">
        <w:rPr>
          <w:sz w:val="20"/>
          <w:szCs w:val="20"/>
          <w:lang w:val="es-ES" w:eastAsia="en-US"/>
        </w:rPr>
        <w:t>,</w:t>
      </w:r>
      <w:r w:rsidR="00050C17" w:rsidRPr="00975C02">
        <w:rPr>
          <w:sz w:val="20"/>
          <w:szCs w:val="20"/>
          <w:lang w:val="es-ES" w:eastAsia="en-US"/>
        </w:rPr>
        <w:t xml:space="preserve"> </w:t>
      </w:r>
      <w:r w:rsidR="008C4F59" w:rsidRPr="00975C02">
        <w:rPr>
          <w:sz w:val="20"/>
          <w:szCs w:val="20"/>
          <w:lang w:val="es-ES" w:eastAsia="en-US"/>
        </w:rPr>
        <w:t>de acuerdo a las consideraciones vertidas</w:t>
      </w:r>
      <w:r w:rsidR="00050C17" w:rsidRPr="00975C02">
        <w:rPr>
          <w:sz w:val="20"/>
          <w:szCs w:val="20"/>
          <w:lang w:val="es-ES" w:eastAsia="en-US"/>
        </w:rPr>
        <w:t xml:space="preserve"> </w:t>
      </w:r>
      <w:r w:rsidR="00050C17" w:rsidRPr="00975C02">
        <w:rPr>
          <w:i/>
          <w:sz w:val="20"/>
          <w:szCs w:val="20"/>
          <w:lang w:val="es-ES" w:eastAsia="en-US"/>
        </w:rPr>
        <w:t>infra</w:t>
      </w:r>
      <w:r w:rsidR="00050C17" w:rsidRPr="00975C02">
        <w:rPr>
          <w:sz w:val="20"/>
          <w:szCs w:val="20"/>
          <w:lang w:val="es-ES" w:eastAsia="en-US"/>
        </w:rPr>
        <w:t xml:space="preserve"> en el capítulo relativo a las consideraciones previas</w:t>
      </w:r>
      <w:r w:rsidR="00050C17" w:rsidRPr="00975C02">
        <w:rPr>
          <w:i/>
          <w:sz w:val="20"/>
          <w:szCs w:val="20"/>
          <w:lang w:val="es-ES" w:eastAsia="en-US"/>
        </w:rPr>
        <w:t>.</w:t>
      </w:r>
    </w:p>
    <w:p w14:paraId="7E9C25F1" w14:textId="77777777" w:rsidR="006C37C9" w:rsidRPr="00975C02" w:rsidRDefault="006C37C9" w:rsidP="006C37C9">
      <w:pPr>
        <w:tabs>
          <w:tab w:val="left" w:pos="567"/>
        </w:tabs>
        <w:spacing w:line="240" w:lineRule="auto"/>
        <w:rPr>
          <w:rFonts w:eastAsia="Calibri" w:cs="Arial"/>
          <w:sz w:val="20"/>
          <w:szCs w:val="20"/>
          <w:lang w:val="es-ES"/>
        </w:rPr>
      </w:pPr>
    </w:p>
    <w:p w14:paraId="47687F18" w14:textId="77777777" w:rsidR="006C37C9" w:rsidRPr="00975C02" w:rsidRDefault="006C37C9" w:rsidP="00C8070B">
      <w:pPr>
        <w:numPr>
          <w:ilvl w:val="0"/>
          <w:numId w:val="2"/>
        </w:numPr>
        <w:tabs>
          <w:tab w:val="left" w:pos="567"/>
          <w:tab w:val="num" w:pos="12305"/>
        </w:tabs>
        <w:spacing w:line="240" w:lineRule="auto"/>
        <w:ind w:left="0" w:firstLine="0"/>
        <w:rPr>
          <w:rFonts w:eastAsia="Calibri" w:cs="Arial"/>
          <w:sz w:val="20"/>
          <w:szCs w:val="20"/>
          <w:lang w:val="es-ES"/>
        </w:rPr>
      </w:pPr>
      <w:r w:rsidRPr="00975C02">
        <w:rPr>
          <w:rFonts w:eastAsia="Verdana" w:cs="Verdana"/>
          <w:i/>
          <w:sz w:val="20"/>
          <w:szCs w:val="20"/>
          <w:lang w:val="es-ES"/>
        </w:rPr>
        <w:t xml:space="preserve">Trámite ante la Comisión. – </w:t>
      </w:r>
      <w:r w:rsidRPr="00975C02">
        <w:rPr>
          <w:rFonts w:eastAsia="Verdana" w:cs="Verdana"/>
          <w:sz w:val="20"/>
          <w:szCs w:val="20"/>
          <w:lang w:val="es-ES"/>
        </w:rPr>
        <w:t>El trámite ante la Comisión fue el siguiente:</w:t>
      </w:r>
    </w:p>
    <w:p w14:paraId="0EE08EF8" w14:textId="77777777" w:rsidR="006C37C9" w:rsidRPr="00975C02" w:rsidRDefault="006C37C9" w:rsidP="006C37C9">
      <w:pPr>
        <w:spacing w:line="240" w:lineRule="auto"/>
        <w:rPr>
          <w:rFonts w:eastAsia="Calibri"/>
          <w:sz w:val="20"/>
          <w:szCs w:val="20"/>
          <w:lang w:val="es-ES"/>
        </w:rPr>
      </w:pPr>
    </w:p>
    <w:p w14:paraId="57D96C00" w14:textId="64F50344" w:rsidR="006C37C9" w:rsidRPr="00975C02" w:rsidRDefault="006C37C9" w:rsidP="00C8070B">
      <w:pPr>
        <w:numPr>
          <w:ilvl w:val="0"/>
          <w:numId w:val="3"/>
        </w:numPr>
        <w:adjustRightInd/>
        <w:spacing w:after="200" w:line="240" w:lineRule="auto"/>
        <w:ind w:right="144"/>
        <w:contextualSpacing/>
        <w:textAlignment w:val="auto"/>
        <w:rPr>
          <w:rFonts w:eastAsia="Verdana" w:cs="Verdana"/>
          <w:sz w:val="20"/>
          <w:szCs w:val="20"/>
          <w:lang w:val="es-ES"/>
        </w:rPr>
      </w:pPr>
      <w:r w:rsidRPr="00975C02">
        <w:rPr>
          <w:rFonts w:eastAsia="Verdana" w:cs="Verdana"/>
          <w:i/>
          <w:sz w:val="20"/>
          <w:szCs w:val="20"/>
          <w:lang w:val="es-ES"/>
        </w:rPr>
        <w:t xml:space="preserve">Petición. – </w:t>
      </w:r>
      <w:r w:rsidRPr="00975C02">
        <w:rPr>
          <w:rFonts w:eastAsia="Verdana" w:cs="Verdana"/>
          <w:sz w:val="20"/>
          <w:szCs w:val="20"/>
          <w:lang w:val="es-ES"/>
        </w:rPr>
        <w:t xml:space="preserve">El </w:t>
      </w:r>
      <w:r w:rsidR="00F14674" w:rsidRPr="00975C02">
        <w:rPr>
          <w:rFonts w:eastAsia="Verdana" w:cs="Verdana"/>
          <w:sz w:val="20"/>
          <w:szCs w:val="20"/>
          <w:lang w:val="es-ES"/>
        </w:rPr>
        <w:t>28</w:t>
      </w:r>
      <w:r w:rsidRPr="00975C02">
        <w:rPr>
          <w:rFonts w:eastAsia="Verdana" w:cs="Verdana"/>
          <w:sz w:val="20"/>
          <w:szCs w:val="20"/>
          <w:lang w:val="es-ES"/>
        </w:rPr>
        <w:t xml:space="preserve"> de </w:t>
      </w:r>
      <w:r w:rsidR="00F14674" w:rsidRPr="00975C02">
        <w:rPr>
          <w:rFonts w:eastAsia="Verdana" w:cs="Verdana"/>
          <w:sz w:val="20"/>
          <w:szCs w:val="20"/>
          <w:lang w:val="es-ES"/>
        </w:rPr>
        <w:t>octubre</w:t>
      </w:r>
      <w:r w:rsidRPr="00975C02">
        <w:rPr>
          <w:rFonts w:eastAsia="Verdana" w:cs="Verdana"/>
          <w:sz w:val="20"/>
          <w:szCs w:val="20"/>
          <w:lang w:val="es-ES"/>
        </w:rPr>
        <w:t xml:space="preserve"> d</w:t>
      </w:r>
      <w:r w:rsidR="00F14674" w:rsidRPr="00975C02">
        <w:rPr>
          <w:rFonts w:eastAsia="Verdana" w:cs="Verdana"/>
          <w:sz w:val="20"/>
          <w:szCs w:val="20"/>
          <w:lang w:val="es-ES"/>
        </w:rPr>
        <w:t>e 2002</w:t>
      </w:r>
      <w:r w:rsidRPr="00975C02">
        <w:rPr>
          <w:rFonts w:eastAsia="Verdana" w:cs="Verdana"/>
          <w:sz w:val="20"/>
          <w:szCs w:val="20"/>
          <w:lang w:val="es-ES"/>
        </w:rPr>
        <w:t xml:space="preserve"> </w:t>
      </w:r>
      <w:r w:rsidR="00F14674" w:rsidRPr="00975C02">
        <w:rPr>
          <w:rFonts w:eastAsia="Verdana" w:cs="Verdana"/>
          <w:sz w:val="20"/>
          <w:szCs w:val="20"/>
          <w:lang w:val="es-ES"/>
        </w:rPr>
        <w:t>la señora V.P.C.</w:t>
      </w:r>
      <w:r w:rsidRPr="00975C02">
        <w:rPr>
          <w:rFonts w:eastAsia="Verdana" w:cs="Verdana"/>
          <w:sz w:val="20"/>
          <w:szCs w:val="20"/>
          <w:lang w:val="es-ES"/>
        </w:rPr>
        <w:t xml:space="preserve"> (en adelante “</w:t>
      </w:r>
      <w:r w:rsidR="00F14674" w:rsidRPr="00975C02">
        <w:rPr>
          <w:rFonts w:eastAsia="Verdana" w:cs="Verdana"/>
          <w:sz w:val="20"/>
          <w:szCs w:val="20"/>
          <w:lang w:val="es-ES"/>
        </w:rPr>
        <w:t>la peticionaria</w:t>
      </w:r>
      <w:r w:rsidRPr="00975C02">
        <w:rPr>
          <w:rFonts w:eastAsia="Verdana" w:cs="Verdana"/>
          <w:sz w:val="20"/>
          <w:szCs w:val="20"/>
          <w:lang w:val="es-ES"/>
        </w:rPr>
        <w:t>”</w:t>
      </w:r>
      <w:r w:rsidR="00E51B99" w:rsidRPr="00975C02">
        <w:rPr>
          <w:rFonts w:eastAsia="Verdana" w:cs="Verdana"/>
          <w:sz w:val="20"/>
          <w:szCs w:val="20"/>
          <w:lang w:val="es-ES"/>
        </w:rPr>
        <w:t xml:space="preserve"> o “presunta víctima”</w:t>
      </w:r>
      <w:r w:rsidRPr="00975C02">
        <w:rPr>
          <w:rFonts w:eastAsia="Verdana" w:cs="Verdana"/>
          <w:sz w:val="20"/>
          <w:szCs w:val="20"/>
          <w:lang w:val="es-ES"/>
        </w:rPr>
        <w:t>) presentó la petición inicial ante la Comisión</w:t>
      </w:r>
      <w:r w:rsidR="009647EB" w:rsidRPr="00975C02">
        <w:rPr>
          <w:rFonts w:eastAsia="Verdana" w:cs="Verdana"/>
          <w:sz w:val="20"/>
          <w:szCs w:val="20"/>
          <w:lang w:val="es-ES"/>
        </w:rPr>
        <w:t>,</w:t>
      </w:r>
      <w:r w:rsidR="000F5ADD" w:rsidRPr="00975C02">
        <w:rPr>
          <w:rFonts w:eastAsia="Verdana" w:cs="Verdana"/>
          <w:sz w:val="20"/>
          <w:szCs w:val="20"/>
          <w:lang w:val="es-ES"/>
        </w:rPr>
        <w:t xml:space="preserve"> en la cual alegó la responsabilidad internacional de Nicaragua por las </w:t>
      </w:r>
      <w:r w:rsidR="009647EB" w:rsidRPr="00975C02">
        <w:rPr>
          <w:rFonts w:eastAsia="Verdana" w:cs="Verdana"/>
          <w:sz w:val="20"/>
          <w:szCs w:val="20"/>
          <w:lang w:val="es-ES"/>
        </w:rPr>
        <w:t xml:space="preserve">supuestas </w:t>
      </w:r>
      <w:r w:rsidR="000F5ADD" w:rsidRPr="00975C02">
        <w:rPr>
          <w:rFonts w:eastAsia="Verdana" w:cs="Verdana"/>
          <w:sz w:val="20"/>
          <w:szCs w:val="20"/>
          <w:lang w:val="es-ES"/>
        </w:rPr>
        <w:t xml:space="preserve">irregularidades y situación de impunidad en el proceso penal seguido por el delito de violación sexual </w:t>
      </w:r>
      <w:r w:rsidR="005E1A6C" w:rsidRPr="00975C02">
        <w:rPr>
          <w:rFonts w:eastAsia="Verdana" w:cs="Verdana"/>
          <w:sz w:val="20"/>
          <w:szCs w:val="20"/>
          <w:lang w:val="es-ES"/>
        </w:rPr>
        <w:t xml:space="preserve">cometido </w:t>
      </w:r>
      <w:r w:rsidR="000F5ADD" w:rsidRPr="00975C02">
        <w:rPr>
          <w:rFonts w:eastAsia="Verdana" w:cs="Verdana"/>
          <w:sz w:val="20"/>
          <w:szCs w:val="20"/>
          <w:lang w:val="es-ES"/>
        </w:rPr>
        <w:t>en contra de la niña V.R.P</w:t>
      </w:r>
      <w:r w:rsidRPr="00975C02">
        <w:rPr>
          <w:rFonts w:eastAsia="Verdana" w:cs="Verdana"/>
          <w:sz w:val="20"/>
          <w:szCs w:val="20"/>
          <w:lang w:val="es-ES"/>
        </w:rPr>
        <w:t>.</w:t>
      </w:r>
      <w:r w:rsidR="000F5ADD" w:rsidRPr="00975C02">
        <w:rPr>
          <w:rFonts w:eastAsia="Verdana" w:cs="Verdana"/>
          <w:sz w:val="20"/>
          <w:szCs w:val="20"/>
          <w:lang w:val="es-ES"/>
        </w:rPr>
        <w:t xml:space="preserve"> (en adelante “la presunta víctima”)</w:t>
      </w:r>
      <w:r w:rsidR="00DF5313" w:rsidRPr="00975C02">
        <w:rPr>
          <w:rFonts w:eastAsia="Verdana" w:cs="Verdana"/>
          <w:sz w:val="20"/>
          <w:szCs w:val="20"/>
          <w:lang w:val="es-ES"/>
        </w:rPr>
        <w:t>.</w:t>
      </w:r>
    </w:p>
    <w:p w14:paraId="4B1126C6" w14:textId="77777777" w:rsidR="006C37C9" w:rsidRPr="00975C02" w:rsidRDefault="006C37C9" w:rsidP="006C37C9">
      <w:pPr>
        <w:spacing w:line="240" w:lineRule="auto"/>
        <w:ind w:left="818" w:right="144"/>
        <w:contextualSpacing/>
        <w:rPr>
          <w:rFonts w:eastAsia="Verdana" w:cs="Verdana"/>
          <w:sz w:val="20"/>
          <w:szCs w:val="20"/>
          <w:lang w:val="es-ES"/>
        </w:rPr>
      </w:pPr>
    </w:p>
    <w:p w14:paraId="6C094D8C" w14:textId="3428F90B" w:rsidR="006C37C9" w:rsidRPr="00975C02" w:rsidRDefault="006C37C9" w:rsidP="00C8070B">
      <w:pPr>
        <w:numPr>
          <w:ilvl w:val="0"/>
          <w:numId w:val="3"/>
        </w:numPr>
        <w:adjustRightInd/>
        <w:spacing w:after="200" w:line="240" w:lineRule="auto"/>
        <w:ind w:right="144"/>
        <w:contextualSpacing/>
        <w:textAlignment w:val="auto"/>
        <w:rPr>
          <w:rFonts w:eastAsia="Verdana" w:cs="Verdana"/>
          <w:sz w:val="20"/>
          <w:szCs w:val="20"/>
          <w:lang w:val="es-ES"/>
        </w:rPr>
      </w:pPr>
      <w:r w:rsidRPr="00975C02">
        <w:rPr>
          <w:rFonts w:eastAsia="Verdana" w:cs="Verdana"/>
          <w:i/>
          <w:sz w:val="20"/>
          <w:szCs w:val="20"/>
          <w:lang w:val="es-ES"/>
        </w:rPr>
        <w:t xml:space="preserve">Informe de Admisibilidad. – </w:t>
      </w:r>
      <w:r w:rsidRPr="00975C02">
        <w:rPr>
          <w:rFonts w:eastAsia="Verdana" w:cs="Verdana"/>
          <w:sz w:val="20"/>
          <w:szCs w:val="20"/>
          <w:lang w:val="es-ES"/>
        </w:rPr>
        <w:t xml:space="preserve">El </w:t>
      </w:r>
      <w:r w:rsidR="000F5ADD" w:rsidRPr="00975C02">
        <w:rPr>
          <w:rFonts w:eastAsia="Verdana" w:cs="Verdana"/>
          <w:sz w:val="20"/>
          <w:szCs w:val="20"/>
          <w:lang w:val="es-ES"/>
        </w:rPr>
        <w:t>11</w:t>
      </w:r>
      <w:r w:rsidRPr="00975C02">
        <w:rPr>
          <w:rFonts w:eastAsia="Verdana" w:cs="Verdana"/>
          <w:sz w:val="20"/>
          <w:szCs w:val="20"/>
          <w:lang w:val="es-ES"/>
        </w:rPr>
        <w:t xml:space="preserve"> de </w:t>
      </w:r>
      <w:r w:rsidR="000F5ADD" w:rsidRPr="00975C02">
        <w:rPr>
          <w:rFonts w:eastAsia="Verdana" w:cs="Verdana"/>
          <w:sz w:val="20"/>
          <w:szCs w:val="20"/>
          <w:lang w:val="es-ES"/>
        </w:rPr>
        <w:t>febrero de 2009</w:t>
      </w:r>
      <w:r w:rsidRPr="00975C02">
        <w:rPr>
          <w:rFonts w:eastAsia="Verdana" w:cs="Verdana"/>
          <w:sz w:val="20"/>
          <w:szCs w:val="20"/>
          <w:lang w:val="es-ES"/>
        </w:rPr>
        <w:t xml:space="preserve"> la Comisión aprobó el Informe de </w:t>
      </w:r>
      <w:r w:rsidRPr="00975C02">
        <w:rPr>
          <w:rFonts w:eastAsia="Verdana" w:cs="Verdana"/>
          <w:position w:val="-1"/>
          <w:sz w:val="20"/>
          <w:szCs w:val="20"/>
          <w:lang w:val="es-ES"/>
        </w:rPr>
        <w:t xml:space="preserve">Admisibilidad No. </w:t>
      </w:r>
      <w:r w:rsidR="000F5ADD" w:rsidRPr="00975C02">
        <w:rPr>
          <w:rFonts w:eastAsia="Verdana" w:cs="Verdana"/>
          <w:position w:val="-1"/>
          <w:sz w:val="20"/>
          <w:szCs w:val="20"/>
          <w:lang w:val="es-ES"/>
        </w:rPr>
        <w:t>3/09</w:t>
      </w:r>
      <w:r w:rsidRPr="00975C02">
        <w:rPr>
          <w:rFonts w:eastAsia="Verdana" w:cs="Verdana"/>
          <w:position w:val="-1"/>
          <w:sz w:val="20"/>
          <w:szCs w:val="20"/>
          <w:lang w:val="es-ES"/>
        </w:rPr>
        <w:t xml:space="preserve"> </w:t>
      </w:r>
      <w:r w:rsidRPr="00975C02">
        <w:rPr>
          <w:rFonts w:cs="Verdana"/>
          <w:sz w:val="20"/>
          <w:szCs w:val="20"/>
          <w:lang w:val="es-ES"/>
        </w:rPr>
        <w:t xml:space="preserve">en el que concluyó que la petición </w:t>
      </w:r>
      <w:r w:rsidR="003A6303" w:rsidRPr="00975C02">
        <w:rPr>
          <w:rFonts w:cs="Verdana"/>
          <w:sz w:val="20"/>
          <w:szCs w:val="20"/>
          <w:lang w:val="es-ES"/>
        </w:rPr>
        <w:t>4408-02</w:t>
      </w:r>
      <w:r w:rsidRPr="00975C02">
        <w:rPr>
          <w:rFonts w:cs="Verdana"/>
          <w:sz w:val="20"/>
          <w:szCs w:val="20"/>
          <w:lang w:val="es-ES"/>
        </w:rPr>
        <w:t xml:space="preserve"> era admisible</w:t>
      </w:r>
      <w:r w:rsidRPr="00975C02">
        <w:rPr>
          <w:rStyle w:val="FootnoteReference"/>
          <w:rFonts w:eastAsia="Verdana" w:cs="Verdana"/>
          <w:position w:val="-1"/>
          <w:sz w:val="20"/>
          <w:szCs w:val="20"/>
          <w:lang w:val="es-ES"/>
        </w:rPr>
        <w:footnoteReference w:id="3"/>
      </w:r>
      <w:r w:rsidRPr="00975C02">
        <w:rPr>
          <w:rFonts w:eastAsia="Verdana" w:cs="Verdana"/>
          <w:position w:val="-1"/>
          <w:sz w:val="20"/>
          <w:szCs w:val="20"/>
          <w:lang w:val="es-ES"/>
        </w:rPr>
        <w:t>.</w:t>
      </w:r>
    </w:p>
    <w:p w14:paraId="3BF0E8F9" w14:textId="77777777" w:rsidR="006C37C9" w:rsidRPr="00975C02" w:rsidRDefault="006C37C9" w:rsidP="006C37C9">
      <w:pPr>
        <w:spacing w:line="240" w:lineRule="auto"/>
        <w:ind w:left="818" w:right="144"/>
        <w:contextualSpacing/>
        <w:rPr>
          <w:rFonts w:eastAsia="Verdana" w:cs="Verdana"/>
          <w:sz w:val="20"/>
          <w:szCs w:val="20"/>
          <w:lang w:val="es-ES"/>
        </w:rPr>
      </w:pPr>
    </w:p>
    <w:p w14:paraId="24266EB4" w14:textId="77777777" w:rsidR="006C37C9" w:rsidRPr="00975C02" w:rsidRDefault="006C37C9" w:rsidP="00C8070B">
      <w:pPr>
        <w:numPr>
          <w:ilvl w:val="0"/>
          <w:numId w:val="3"/>
        </w:numPr>
        <w:adjustRightInd/>
        <w:spacing w:after="200" w:line="240" w:lineRule="auto"/>
        <w:ind w:right="144"/>
        <w:contextualSpacing/>
        <w:textAlignment w:val="auto"/>
        <w:rPr>
          <w:rFonts w:eastAsia="Verdana" w:cs="Verdana"/>
          <w:sz w:val="20"/>
          <w:szCs w:val="20"/>
          <w:lang w:val="es-ES"/>
        </w:rPr>
      </w:pPr>
      <w:r w:rsidRPr="00975C02">
        <w:rPr>
          <w:rFonts w:eastAsia="Verdana" w:cs="Verdana"/>
          <w:i/>
          <w:sz w:val="20"/>
          <w:szCs w:val="20"/>
          <w:lang w:val="es-ES"/>
        </w:rPr>
        <w:t xml:space="preserve">Informe de Fondo. – </w:t>
      </w:r>
      <w:r w:rsidR="003A6303" w:rsidRPr="00975C02">
        <w:rPr>
          <w:rFonts w:eastAsia="Verdana" w:cs="Verdana"/>
          <w:sz w:val="20"/>
          <w:szCs w:val="20"/>
          <w:lang w:val="es-ES"/>
        </w:rPr>
        <w:t>El 13</w:t>
      </w:r>
      <w:r w:rsidRPr="00975C02">
        <w:rPr>
          <w:rFonts w:eastAsia="Verdana" w:cs="Verdana"/>
          <w:sz w:val="20"/>
          <w:szCs w:val="20"/>
          <w:lang w:val="es-ES"/>
        </w:rPr>
        <w:t xml:space="preserve"> de a</w:t>
      </w:r>
      <w:r w:rsidR="003A6303" w:rsidRPr="00975C02">
        <w:rPr>
          <w:rFonts w:eastAsia="Verdana" w:cs="Verdana"/>
          <w:sz w:val="20"/>
          <w:szCs w:val="20"/>
          <w:lang w:val="es-ES"/>
        </w:rPr>
        <w:t>bril de 2016</w:t>
      </w:r>
      <w:r w:rsidRPr="00975C02">
        <w:rPr>
          <w:rFonts w:eastAsia="Verdana" w:cs="Verdana"/>
          <w:sz w:val="20"/>
          <w:szCs w:val="20"/>
          <w:lang w:val="es-ES"/>
        </w:rPr>
        <w:t xml:space="preserve"> la Comisión aprobó el Informe de Fondo No. </w:t>
      </w:r>
      <w:r w:rsidR="003A6303" w:rsidRPr="00975C02">
        <w:rPr>
          <w:rFonts w:eastAsia="Verdana" w:cs="Verdana"/>
          <w:sz w:val="20"/>
          <w:szCs w:val="20"/>
          <w:lang w:val="es-ES"/>
        </w:rPr>
        <w:t>4/16</w:t>
      </w:r>
      <w:r w:rsidRPr="00975C02">
        <w:rPr>
          <w:rFonts w:eastAsia="Verdana" w:cs="Verdana"/>
          <w:sz w:val="20"/>
          <w:szCs w:val="20"/>
          <w:lang w:val="es-ES"/>
        </w:rPr>
        <w:t xml:space="preserve">, de conformidad con el artículo 50 de la Convención (en adelante también “el </w:t>
      </w:r>
      <w:r w:rsidR="00C00A35" w:rsidRPr="00975C02">
        <w:rPr>
          <w:rFonts w:eastAsia="Verdana" w:cs="Verdana"/>
          <w:sz w:val="20"/>
          <w:szCs w:val="20"/>
          <w:lang w:val="es-ES"/>
        </w:rPr>
        <w:t>I</w:t>
      </w:r>
      <w:r w:rsidRPr="00975C02">
        <w:rPr>
          <w:rFonts w:eastAsia="Verdana" w:cs="Verdana"/>
          <w:sz w:val="20"/>
          <w:szCs w:val="20"/>
          <w:lang w:val="es-ES"/>
        </w:rPr>
        <w:t xml:space="preserve">nforme de </w:t>
      </w:r>
      <w:r w:rsidR="00C00A35" w:rsidRPr="00975C02">
        <w:rPr>
          <w:rFonts w:eastAsia="Verdana" w:cs="Verdana"/>
          <w:sz w:val="20"/>
          <w:szCs w:val="20"/>
          <w:lang w:val="es-ES"/>
        </w:rPr>
        <w:t>F</w:t>
      </w:r>
      <w:r w:rsidRPr="00975C02">
        <w:rPr>
          <w:rFonts w:eastAsia="Verdana" w:cs="Verdana"/>
          <w:sz w:val="20"/>
          <w:szCs w:val="20"/>
          <w:lang w:val="es-ES"/>
        </w:rPr>
        <w:t xml:space="preserve">ondo” o “el </w:t>
      </w:r>
      <w:r w:rsidR="00C00A35" w:rsidRPr="00975C02">
        <w:rPr>
          <w:rFonts w:eastAsia="Verdana" w:cs="Verdana"/>
          <w:sz w:val="20"/>
          <w:szCs w:val="20"/>
          <w:lang w:val="es-ES"/>
        </w:rPr>
        <w:t>I</w:t>
      </w:r>
      <w:r w:rsidRPr="00975C02">
        <w:rPr>
          <w:rFonts w:eastAsia="Verdana" w:cs="Verdana"/>
          <w:sz w:val="20"/>
          <w:szCs w:val="20"/>
          <w:lang w:val="es-ES"/>
        </w:rPr>
        <w:t xml:space="preserve">nforme No. </w:t>
      </w:r>
      <w:r w:rsidR="003A6303" w:rsidRPr="00975C02">
        <w:rPr>
          <w:rFonts w:eastAsia="Verdana" w:cs="Verdana"/>
          <w:sz w:val="20"/>
          <w:szCs w:val="20"/>
          <w:lang w:val="es-ES"/>
        </w:rPr>
        <w:t>4/16</w:t>
      </w:r>
      <w:r w:rsidRPr="00975C02">
        <w:rPr>
          <w:rFonts w:eastAsia="Verdana" w:cs="Verdana"/>
          <w:sz w:val="20"/>
          <w:szCs w:val="20"/>
          <w:lang w:val="es-ES"/>
        </w:rPr>
        <w:t>”), en el cual llegó a una serie de conclusiones y formuló varias recomendaciones al Estado.</w:t>
      </w:r>
    </w:p>
    <w:p w14:paraId="7171A57C" w14:textId="0E0FB82A" w:rsidR="006C37C9" w:rsidRPr="00975C02" w:rsidRDefault="006C37C9" w:rsidP="00C8070B">
      <w:pPr>
        <w:pStyle w:val="ListParagraph"/>
        <w:numPr>
          <w:ilvl w:val="0"/>
          <w:numId w:val="4"/>
        </w:numPr>
        <w:adjustRightInd/>
        <w:spacing w:line="240" w:lineRule="auto"/>
        <w:ind w:right="148"/>
        <w:contextualSpacing/>
        <w:textAlignment w:val="auto"/>
        <w:rPr>
          <w:rFonts w:eastAsia="Verdana" w:cs="Verdana"/>
          <w:sz w:val="20"/>
          <w:szCs w:val="20"/>
          <w:lang w:val="es-ES"/>
        </w:rPr>
      </w:pPr>
      <w:r w:rsidRPr="00975C02">
        <w:rPr>
          <w:rFonts w:eastAsia="Verdana" w:cs="Verdana"/>
          <w:i/>
          <w:sz w:val="20"/>
          <w:szCs w:val="20"/>
          <w:lang w:val="es-ES"/>
        </w:rPr>
        <w:t xml:space="preserve">Conclusiones. – </w:t>
      </w:r>
      <w:r w:rsidRPr="00975C02">
        <w:rPr>
          <w:rFonts w:eastAsia="Verdana" w:cs="Verdana"/>
          <w:sz w:val="20"/>
          <w:szCs w:val="20"/>
          <w:lang w:val="es-ES"/>
        </w:rPr>
        <w:t>La Comisión concluyó que el Estado era responsable por “</w:t>
      </w:r>
      <w:r w:rsidR="003A6303" w:rsidRPr="00975C02">
        <w:rPr>
          <w:rFonts w:eastAsia="Verdana" w:cs="Verdana"/>
          <w:sz w:val="20"/>
          <w:szCs w:val="20"/>
          <w:lang w:val="es-ES"/>
        </w:rPr>
        <w:t>la violación de los derechos establecidos</w:t>
      </w:r>
      <w:r w:rsidRPr="00975C02">
        <w:rPr>
          <w:rFonts w:eastAsia="Verdana" w:cs="Verdana"/>
          <w:sz w:val="20"/>
          <w:szCs w:val="20"/>
          <w:lang w:val="es-ES"/>
        </w:rPr>
        <w:t xml:space="preserve"> en </w:t>
      </w:r>
      <w:r w:rsidR="003A6303" w:rsidRPr="00975C02">
        <w:rPr>
          <w:sz w:val="20"/>
          <w:szCs w:val="20"/>
          <w:lang w:val="es-ES"/>
        </w:rPr>
        <w:t>los artículos 5, 8</w:t>
      </w:r>
      <w:r w:rsidRPr="00975C02">
        <w:rPr>
          <w:sz w:val="20"/>
          <w:szCs w:val="20"/>
          <w:lang w:val="es-ES"/>
        </w:rPr>
        <w:t xml:space="preserve">, 11, </w:t>
      </w:r>
      <w:r w:rsidR="003A6303" w:rsidRPr="00975C02">
        <w:rPr>
          <w:sz w:val="20"/>
          <w:szCs w:val="20"/>
          <w:lang w:val="es-ES"/>
        </w:rPr>
        <w:t>19</w:t>
      </w:r>
      <w:r w:rsidRPr="00975C02">
        <w:rPr>
          <w:sz w:val="20"/>
          <w:szCs w:val="20"/>
          <w:lang w:val="es-ES"/>
        </w:rPr>
        <w:t xml:space="preserve">, </w:t>
      </w:r>
      <w:r w:rsidR="003A6303" w:rsidRPr="00975C02">
        <w:rPr>
          <w:sz w:val="20"/>
          <w:szCs w:val="20"/>
          <w:lang w:val="es-ES"/>
        </w:rPr>
        <w:t>24 y 25</w:t>
      </w:r>
      <w:r w:rsidRPr="00975C02">
        <w:rPr>
          <w:sz w:val="20"/>
          <w:szCs w:val="20"/>
          <w:lang w:val="es-ES"/>
        </w:rPr>
        <w:t xml:space="preserve"> de la Convención Americana, en relación con el artículo 1.1 del mismo instrumento</w:t>
      </w:r>
      <w:r w:rsidR="003A6303" w:rsidRPr="00975C02">
        <w:rPr>
          <w:sz w:val="20"/>
          <w:szCs w:val="20"/>
          <w:lang w:val="es-ES"/>
        </w:rPr>
        <w:t>; y del artículo 7.b) de la</w:t>
      </w:r>
      <w:r w:rsidR="00C9501F" w:rsidRPr="00975C02">
        <w:rPr>
          <w:sz w:val="20"/>
          <w:szCs w:val="20"/>
          <w:lang w:val="es-ES"/>
        </w:rPr>
        <w:t xml:space="preserve"> [</w:t>
      </w:r>
      <w:r w:rsidR="00C9501F" w:rsidRPr="00975C02">
        <w:rPr>
          <w:rFonts w:cstheme="minorBidi"/>
          <w:sz w:val="20"/>
          <w:szCs w:val="20"/>
          <w:lang w:val="es-ES" w:eastAsia="en-US"/>
        </w:rPr>
        <w:t>Convención Interamericana para Prevenir, Sancionar y Erradicar la Violencia contra la Mujer o</w:t>
      </w:r>
      <w:r w:rsidR="00C9501F" w:rsidRPr="00975C02">
        <w:rPr>
          <w:sz w:val="20"/>
          <w:szCs w:val="20"/>
          <w:lang w:val="es-ES"/>
        </w:rPr>
        <w:t>]</w:t>
      </w:r>
      <w:r w:rsidR="003A6303" w:rsidRPr="00975C02">
        <w:rPr>
          <w:sz w:val="20"/>
          <w:szCs w:val="20"/>
          <w:lang w:val="es-ES"/>
        </w:rPr>
        <w:t xml:space="preserve"> Convención</w:t>
      </w:r>
      <w:r w:rsidR="009647EB" w:rsidRPr="00975C02">
        <w:rPr>
          <w:sz w:val="20"/>
          <w:szCs w:val="20"/>
          <w:lang w:val="es-ES"/>
        </w:rPr>
        <w:t xml:space="preserve"> de</w:t>
      </w:r>
      <w:r w:rsidR="003A6303" w:rsidRPr="00975C02">
        <w:rPr>
          <w:sz w:val="20"/>
          <w:szCs w:val="20"/>
          <w:lang w:val="es-ES"/>
        </w:rPr>
        <w:t xml:space="preserve"> Belém do Pará</w:t>
      </w:r>
      <w:r w:rsidRPr="00975C02">
        <w:rPr>
          <w:sz w:val="20"/>
          <w:szCs w:val="20"/>
          <w:lang w:val="es-ES"/>
        </w:rPr>
        <w:t xml:space="preserve">, en perjuicio </w:t>
      </w:r>
      <w:r w:rsidR="005F1B7E" w:rsidRPr="00975C02">
        <w:rPr>
          <w:sz w:val="20"/>
          <w:szCs w:val="20"/>
          <w:lang w:val="es-ES"/>
        </w:rPr>
        <w:t>de las personas que se indican en cada una de las secciones del […] informe</w:t>
      </w:r>
      <w:r w:rsidR="003A6303" w:rsidRPr="00975C02">
        <w:rPr>
          <w:sz w:val="20"/>
          <w:szCs w:val="20"/>
          <w:lang w:val="es-ES"/>
        </w:rPr>
        <w:t>”</w:t>
      </w:r>
      <w:r w:rsidR="00DF5313" w:rsidRPr="00975C02">
        <w:rPr>
          <w:sz w:val="20"/>
          <w:szCs w:val="20"/>
          <w:lang w:val="es-ES"/>
        </w:rPr>
        <w:t>.</w:t>
      </w:r>
    </w:p>
    <w:p w14:paraId="2FE68BCC" w14:textId="77777777" w:rsidR="006C37C9" w:rsidRPr="00975C02" w:rsidRDefault="006C37C9" w:rsidP="006C37C9">
      <w:pPr>
        <w:pStyle w:val="ListParagraph"/>
        <w:spacing w:line="240" w:lineRule="auto"/>
        <w:ind w:left="1900" w:right="148"/>
        <w:rPr>
          <w:rFonts w:eastAsia="Verdana" w:cs="Verdana"/>
          <w:sz w:val="20"/>
          <w:szCs w:val="20"/>
          <w:lang w:val="es-ES"/>
        </w:rPr>
      </w:pPr>
    </w:p>
    <w:p w14:paraId="3A8DCD6D" w14:textId="77777777" w:rsidR="006C37C9" w:rsidRPr="00975C02" w:rsidRDefault="006C37C9" w:rsidP="00C8070B">
      <w:pPr>
        <w:pStyle w:val="ListParagraph"/>
        <w:numPr>
          <w:ilvl w:val="0"/>
          <w:numId w:val="4"/>
        </w:numPr>
        <w:adjustRightInd/>
        <w:spacing w:line="240" w:lineRule="auto"/>
        <w:ind w:right="148"/>
        <w:contextualSpacing/>
        <w:textAlignment w:val="auto"/>
        <w:rPr>
          <w:rFonts w:eastAsia="Verdana" w:cs="Verdana"/>
          <w:sz w:val="20"/>
          <w:szCs w:val="20"/>
          <w:lang w:val="es-ES"/>
        </w:rPr>
      </w:pPr>
      <w:r w:rsidRPr="00975C02">
        <w:rPr>
          <w:rFonts w:eastAsia="Verdana" w:cs="Verdana"/>
          <w:i/>
          <w:sz w:val="20"/>
          <w:szCs w:val="20"/>
          <w:lang w:val="es-ES"/>
        </w:rPr>
        <w:t xml:space="preserve">Recomendaciones. – </w:t>
      </w:r>
      <w:r w:rsidRPr="00975C02">
        <w:rPr>
          <w:rFonts w:eastAsia="Verdana" w:cs="Verdana"/>
          <w:sz w:val="20"/>
          <w:szCs w:val="20"/>
          <w:lang w:val="es-ES"/>
        </w:rPr>
        <w:t xml:space="preserve">En consecuencia, la Comisión hizo al Estado una serie de </w:t>
      </w:r>
      <w:r w:rsidRPr="00975C02">
        <w:rPr>
          <w:rFonts w:eastAsia="Verdana" w:cs="Verdana"/>
          <w:sz w:val="20"/>
          <w:szCs w:val="20"/>
          <w:lang w:val="es-ES"/>
        </w:rPr>
        <w:lastRenderedPageBreak/>
        <w:t>recomendaciones:</w:t>
      </w:r>
    </w:p>
    <w:p w14:paraId="6D0EB0E7" w14:textId="77777777" w:rsidR="006C37C9" w:rsidRPr="00975C02" w:rsidRDefault="006C37C9" w:rsidP="006C37C9">
      <w:pPr>
        <w:pStyle w:val="ListParagraph"/>
        <w:spacing w:line="240" w:lineRule="auto"/>
        <w:ind w:left="1900" w:right="148"/>
        <w:rPr>
          <w:rFonts w:eastAsia="Verdana" w:cs="Verdana"/>
          <w:sz w:val="20"/>
          <w:szCs w:val="20"/>
          <w:lang w:val="es-ES"/>
        </w:rPr>
      </w:pPr>
    </w:p>
    <w:p w14:paraId="67A573BE" w14:textId="77777777" w:rsidR="006C37C9" w:rsidRPr="00975C02" w:rsidRDefault="00D20333" w:rsidP="00C8070B">
      <w:pPr>
        <w:pStyle w:val="ListParagraph"/>
        <w:widowControl/>
        <w:numPr>
          <w:ilvl w:val="0"/>
          <w:numId w:val="5"/>
        </w:numPr>
        <w:autoSpaceDE w:val="0"/>
        <w:autoSpaceDN w:val="0"/>
        <w:spacing w:after="120" w:line="240" w:lineRule="auto"/>
        <w:textAlignment w:val="auto"/>
        <w:rPr>
          <w:sz w:val="16"/>
          <w:szCs w:val="16"/>
          <w:lang w:val="es-ES"/>
        </w:rPr>
      </w:pPr>
      <w:r w:rsidRPr="00975C02">
        <w:rPr>
          <w:sz w:val="16"/>
          <w:szCs w:val="16"/>
          <w:lang w:val="es-ES"/>
        </w:rPr>
        <w:t>[l]levar a cabo con la debida diligencia y en un plazo razonable, las investigaciones y procesos penales correspondientes, con el fin de individualizar, identificar, juzgar y, en su caso, sancionar a la persona responsable de la violación sexual en perjuicio de V.R.P.</w:t>
      </w:r>
      <w:r w:rsidR="006C37C9" w:rsidRPr="00975C02">
        <w:rPr>
          <w:sz w:val="16"/>
          <w:szCs w:val="16"/>
          <w:lang w:val="es-ES"/>
        </w:rPr>
        <w:t>[;]</w:t>
      </w:r>
    </w:p>
    <w:p w14:paraId="51563A88" w14:textId="77777777" w:rsidR="006C37C9" w:rsidRPr="00975C02" w:rsidRDefault="006C37C9" w:rsidP="00C8070B">
      <w:pPr>
        <w:pStyle w:val="ListParagraph"/>
        <w:widowControl/>
        <w:numPr>
          <w:ilvl w:val="0"/>
          <w:numId w:val="5"/>
        </w:numPr>
        <w:autoSpaceDE w:val="0"/>
        <w:autoSpaceDN w:val="0"/>
        <w:spacing w:after="120" w:line="240" w:lineRule="auto"/>
        <w:textAlignment w:val="auto"/>
        <w:rPr>
          <w:sz w:val="16"/>
          <w:szCs w:val="16"/>
          <w:lang w:val="es-ES"/>
        </w:rPr>
      </w:pPr>
      <w:r w:rsidRPr="00975C02">
        <w:rPr>
          <w:sz w:val="16"/>
          <w:szCs w:val="16"/>
          <w:lang w:val="es-ES"/>
        </w:rPr>
        <w:t>[</w:t>
      </w:r>
      <w:r w:rsidR="00D20333" w:rsidRPr="00975C02">
        <w:rPr>
          <w:sz w:val="16"/>
          <w:szCs w:val="16"/>
          <w:lang w:val="es-ES"/>
        </w:rPr>
        <w:t>r</w:t>
      </w:r>
      <w:r w:rsidRPr="00975C02">
        <w:rPr>
          <w:sz w:val="16"/>
          <w:szCs w:val="16"/>
          <w:lang w:val="es-ES"/>
        </w:rPr>
        <w:t>]</w:t>
      </w:r>
      <w:r w:rsidR="00D20333" w:rsidRPr="00975C02">
        <w:rPr>
          <w:sz w:val="16"/>
          <w:szCs w:val="16"/>
          <w:lang w:val="es-ES"/>
        </w:rPr>
        <w:t>eparar</w:t>
      </w:r>
      <w:r w:rsidRPr="00975C02">
        <w:rPr>
          <w:sz w:val="16"/>
          <w:szCs w:val="16"/>
          <w:lang w:val="es-ES"/>
        </w:rPr>
        <w:t xml:space="preserve"> </w:t>
      </w:r>
      <w:r w:rsidR="00D20333" w:rsidRPr="00975C02">
        <w:rPr>
          <w:sz w:val="16"/>
          <w:szCs w:val="16"/>
          <w:lang w:val="es-ES"/>
        </w:rPr>
        <w:t xml:space="preserve">integralmente las violaciones de derechos humanos declaradas en el </w:t>
      </w:r>
      <w:r w:rsidR="00FE183B" w:rsidRPr="00975C02">
        <w:rPr>
          <w:sz w:val="16"/>
          <w:szCs w:val="16"/>
          <w:lang w:val="es-ES"/>
        </w:rPr>
        <w:t>[…]</w:t>
      </w:r>
      <w:r w:rsidR="00D20333" w:rsidRPr="00975C02">
        <w:rPr>
          <w:sz w:val="16"/>
          <w:szCs w:val="16"/>
          <w:lang w:val="es-ES"/>
        </w:rPr>
        <w:t xml:space="preserve"> informe tanto en el aspecto material como moral</w:t>
      </w:r>
      <w:r w:rsidRPr="00975C02">
        <w:rPr>
          <w:sz w:val="16"/>
          <w:szCs w:val="16"/>
          <w:lang w:val="es-ES"/>
        </w:rPr>
        <w:t>[;]</w:t>
      </w:r>
    </w:p>
    <w:p w14:paraId="74104C91" w14:textId="0C18E28A" w:rsidR="006C37C9" w:rsidRPr="00975C02" w:rsidRDefault="00A470D3" w:rsidP="00C8070B">
      <w:pPr>
        <w:pStyle w:val="ListParagraph"/>
        <w:widowControl/>
        <w:numPr>
          <w:ilvl w:val="0"/>
          <w:numId w:val="5"/>
        </w:numPr>
        <w:autoSpaceDE w:val="0"/>
        <w:autoSpaceDN w:val="0"/>
        <w:spacing w:after="120" w:line="240" w:lineRule="auto"/>
        <w:textAlignment w:val="auto"/>
        <w:rPr>
          <w:sz w:val="16"/>
          <w:szCs w:val="16"/>
          <w:lang w:val="es-ES"/>
        </w:rPr>
      </w:pPr>
      <w:r w:rsidRPr="00975C02">
        <w:rPr>
          <w:sz w:val="16"/>
          <w:szCs w:val="16"/>
          <w:lang w:val="es-ES"/>
        </w:rPr>
        <w:t>[b</w:t>
      </w:r>
      <w:r w:rsidR="006C37C9" w:rsidRPr="00975C02">
        <w:rPr>
          <w:sz w:val="16"/>
          <w:szCs w:val="16"/>
          <w:lang w:val="es-ES"/>
        </w:rPr>
        <w:t>]</w:t>
      </w:r>
      <w:r w:rsidRPr="00975C02">
        <w:rPr>
          <w:sz w:val="16"/>
          <w:szCs w:val="16"/>
          <w:lang w:val="es-ES"/>
        </w:rPr>
        <w:t>rindar</w:t>
      </w:r>
      <w:r w:rsidR="006C37C9" w:rsidRPr="00975C02">
        <w:rPr>
          <w:sz w:val="16"/>
          <w:szCs w:val="16"/>
          <w:lang w:val="es-ES"/>
        </w:rPr>
        <w:t xml:space="preserve"> </w:t>
      </w:r>
      <w:r w:rsidRPr="00975C02">
        <w:rPr>
          <w:sz w:val="16"/>
          <w:szCs w:val="16"/>
          <w:lang w:val="es-ES"/>
        </w:rPr>
        <w:t xml:space="preserve">de forma gratuita e inmediata, el tratamiento médico y psicológico o psiquiátrico, según corresponda, a las [presuntas] víctimas del presente caso que así lo soliciten. Tomando en cuenta que las [presuntas] víctimas se encuentran fuera del país, esta recomendación puede ser cumplida mediante el otorgamiento de un monto económico que razonablemente permita costear la atención en salud requerida por las </w:t>
      </w:r>
      <w:r w:rsidR="00E85F36" w:rsidRPr="00975C02">
        <w:rPr>
          <w:sz w:val="16"/>
          <w:szCs w:val="16"/>
          <w:lang w:val="es-ES"/>
        </w:rPr>
        <w:t xml:space="preserve">[presuntas] </w:t>
      </w:r>
      <w:r w:rsidRPr="00975C02">
        <w:rPr>
          <w:sz w:val="16"/>
          <w:szCs w:val="16"/>
          <w:lang w:val="es-ES"/>
        </w:rPr>
        <w:t>víctimas</w:t>
      </w:r>
      <w:r w:rsidR="006C37C9" w:rsidRPr="00975C02">
        <w:rPr>
          <w:sz w:val="16"/>
          <w:szCs w:val="16"/>
          <w:lang w:val="es-ES"/>
        </w:rPr>
        <w:t>[;]</w:t>
      </w:r>
    </w:p>
    <w:p w14:paraId="30565CB9" w14:textId="77777777" w:rsidR="006C37C9" w:rsidRPr="00975C02" w:rsidRDefault="00A470D3" w:rsidP="00C8070B">
      <w:pPr>
        <w:pStyle w:val="ListParagraph"/>
        <w:widowControl/>
        <w:numPr>
          <w:ilvl w:val="0"/>
          <w:numId w:val="5"/>
        </w:numPr>
        <w:autoSpaceDE w:val="0"/>
        <w:autoSpaceDN w:val="0"/>
        <w:spacing w:after="120" w:line="240" w:lineRule="auto"/>
        <w:textAlignment w:val="auto"/>
        <w:rPr>
          <w:sz w:val="16"/>
          <w:szCs w:val="16"/>
          <w:lang w:val="es-ES"/>
        </w:rPr>
      </w:pPr>
      <w:r w:rsidRPr="00975C02">
        <w:rPr>
          <w:sz w:val="16"/>
          <w:szCs w:val="16"/>
          <w:lang w:val="es-ES"/>
        </w:rPr>
        <w:t>[d</w:t>
      </w:r>
      <w:r w:rsidR="006C37C9" w:rsidRPr="00975C02">
        <w:rPr>
          <w:sz w:val="16"/>
          <w:szCs w:val="16"/>
          <w:lang w:val="es-ES"/>
        </w:rPr>
        <w:t>]</w:t>
      </w:r>
      <w:r w:rsidRPr="00975C02">
        <w:rPr>
          <w:sz w:val="16"/>
          <w:szCs w:val="16"/>
          <w:lang w:val="es-ES"/>
        </w:rPr>
        <w:t>isponer las medidas administrativas, disciplinarias o penales correspondientes frente a las acciones u omisiones de los funcionarios estatales que contribuyeron a la denegación de justicia e impunidad en la que se</w:t>
      </w:r>
      <w:r w:rsidR="00D20333" w:rsidRPr="00975C02">
        <w:rPr>
          <w:sz w:val="16"/>
          <w:szCs w:val="16"/>
          <w:lang w:val="es-ES"/>
        </w:rPr>
        <w:t xml:space="preserve"> encuentran los hechos del caso</w:t>
      </w:r>
      <w:r w:rsidR="006C37C9" w:rsidRPr="00975C02">
        <w:rPr>
          <w:sz w:val="16"/>
          <w:szCs w:val="16"/>
          <w:lang w:val="es-ES"/>
        </w:rPr>
        <w:t>[;]</w:t>
      </w:r>
    </w:p>
    <w:p w14:paraId="7C2FFD65" w14:textId="31B7779A" w:rsidR="006C37C9" w:rsidRPr="00975C02" w:rsidRDefault="006C37C9" w:rsidP="00C8070B">
      <w:pPr>
        <w:pStyle w:val="ListParagraph"/>
        <w:widowControl/>
        <w:numPr>
          <w:ilvl w:val="0"/>
          <w:numId w:val="5"/>
        </w:numPr>
        <w:autoSpaceDE w:val="0"/>
        <w:autoSpaceDN w:val="0"/>
        <w:spacing w:after="120" w:line="240" w:lineRule="auto"/>
        <w:textAlignment w:val="auto"/>
        <w:rPr>
          <w:sz w:val="16"/>
          <w:szCs w:val="16"/>
          <w:lang w:val="es-ES"/>
        </w:rPr>
      </w:pPr>
      <w:r w:rsidRPr="00975C02">
        <w:rPr>
          <w:sz w:val="16"/>
          <w:szCs w:val="16"/>
          <w:lang w:val="es-ES"/>
        </w:rPr>
        <w:t>[</w:t>
      </w:r>
      <w:r w:rsidR="00A470D3" w:rsidRPr="00975C02">
        <w:rPr>
          <w:sz w:val="16"/>
          <w:szCs w:val="16"/>
          <w:lang w:val="es-ES"/>
        </w:rPr>
        <w:t>d</w:t>
      </w:r>
      <w:r w:rsidRPr="00975C02">
        <w:rPr>
          <w:sz w:val="16"/>
          <w:szCs w:val="16"/>
          <w:lang w:val="es-ES"/>
        </w:rPr>
        <w:t>]</w:t>
      </w:r>
      <w:r w:rsidR="00A470D3" w:rsidRPr="00975C02">
        <w:rPr>
          <w:sz w:val="16"/>
          <w:szCs w:val="16"/>
          <w:lang w:val="es-ES"/>
        </w:rPr>
        <w:t>esarrollar</w:t>
      </w:r>
      <w:r w:rsidRPr="00975C02">
        <w:rPr>
          <w:sz w:val="16"/>
          <w:szCs w:val="16"/>
          <w:lang w:val="es-ES"/>
        </w:rPr>
        <w:t xml:space="preserve"> </w:t>
      </w:r>
      <w:r w:rsidR="00A470D3" w:rsidRPr="00975C02">
        <w:rPr>
          <w:sz w:val="16"/>
          <w:szCs w:val="16"/>
          <w:lang w:val="es-ES"/>
        </w:rPr>
        <w:t xml:space="preserve">protocolos de investigación para que los casos de violación sexual y otras formas de violencia sexual en contra de mujeres, incluyendo niñas, sean debidamente investigados y juzgados de conformidad con los estándares establecidos en el </w:t>
      </w:r>
      <w:r w:rsidR="008539EE" w:rsidRPr="00975C02">
        <w:rPr>
          <w:sz w:val="16"/>
          <w:szCs w:val="16"/>
          <w:lang w:val="es-ES"/>
        </w:rPr>
        <w:t>[…]</w:t>
      </w:r>
      <w:r w:rsidR="00A470D3" w:rsidRPr="00975C02">
        <w:rPr>
          <w:sz w:val="16"/>
          <w:szCs w:val="16"/>
          <w:lang w:val="es-ES"/>
        </w:rPr>
        <w:t xml:space="preserve"> informe</w:t>
      </w:r>
      <w:r w:rsidRPr="00975C02">
        <w:rPr>
          <w:sz w:val="16"/>
          <w:szCs w:val="16"/>
          <w:lang w:val="es-ES"/>
        </w:rPr>
        <w:t>[</w:t>
      </w:r>
      <w:r w:rsidR="00A470D3" w:rsidRPr="00975C02">
        <w:rPr>
          <w:sz w:val="16"/>
          <w:szCs w:val="16"/>
          <w:lang w:val="es-ES"/>
        </w:rPr>
        <w:t>;</w:t>
      </w:r>
      <w:r w:rsidRPr="00975C02">
        <w:rPr>
          <w:sz w:val="16"/>
          <w:szCs w:val="16"/>
          <w:lang w:val="es-ES"/>
        </w:rPr>
        <w:t>]</w:t>
      </w:r>
    </w:p>
    <w:p w14:paraId="581903E0" w14:textId="66741843" w:rsidR="006C37C9" w:rsidRPr="00975C02" w:rsidRDefault="00A470D3" w:rsidP="00C8070B">
      <w:pPr>
        <w:pStyle w:val="ListParagraph"/>
        <w:widowControl/>
        <w:numPr>
          <w:ilvl w:val="0"/>
          <w:numId w:val="5"/>
        </w:numPr>
        <w:autoSpaceDE w:val="0"/>
        <w:autoSpaceDN w:val="0"/>
        <w:spacing w:after="120" w:line="240" w:lineRule="auto"/>
        <w:textAlignment w:val="auto"/>
        <w:rPr>
          <w:sz w:val="16"/>
          <w:szCs w:val="16"/>
          <w:lang w:val="es-ES"/>
        </w:rPr>
      </w:pPr>
      <w:r w:rsidRPr="00975C02">
        <w:rPr>
          <w:sz w:val="16"/>
          <w:szCs w:val="16"/>
          <w:lang w:val="es-ES"/>
        </w:rPr>
        <w:t>[f</w:t>
      </w:r>
      <w:r w:rsidR="006C37C9" w:rsidRPr="00975C02">
        <w:rPr>
          <w:sz w:val="16"/>
          <w:szCs w:val="16"/>
          <w:lang w:val="es-ES"/>
        </w:rPr>
        <w:t>]</w:t>
      </w:r>
      <w:r w:rsidRPr="00975C02">
        <w:rPr>
          <w:sz w:val="16"/>
          <w:szCs w:val="16"/>
          <w:lang w:val="es-ES"/>
        </w:rPr>
        <w:t>ortalecer</w:t>
      </w:r>
      <w:r w:rsidR="006C37C9" w:rsidRPr="00975C02">
        <w:rPr>
          <w:sz w:val="16"/>
          <w:szCs w:val="16"/>
          <w:lang w:val="es-ES"/>
        </w:rPr>
        <w:t xml:space="preserve"> </w:t>
      </w:r>
      <w:r w:rsidRPr="00975C02">
        <w:rPr>
          <w:sz w:val="16"/>
          <w:szCs w:val="16"/>
          <w:lang w:val="es-ES"/>
        </w:rPr>
        <w:t>la capacidad institucional para combatir la impunidad frente a casos de violación sexual y otras formas de violencia sexual contra las mujeres, incluyendo niñas, a través de investigaciones criminales efectivas con perspectiva de género, garantizando así una adecuada sanción y reparación[;]</w:t>
      </w:r>
    </w:p>
    <w:p w14:paraId="52B68FB3" w14:textId="0ED3A536" w:rsidR="00A470D3" w:rsidRPr="00975C02" w:rsidRDefault="00A470D3" w:rsidP="00C8070B">
      <w:pPr>
        <w:pStyle w:val="ListParagraph"/>
        <w:widowControl/>
        <w:numPr>
          <w:ilvl w:val="0"/>
          <w:numId w:val="5"/>
        </w:numPr>
        <w:autoSpaceDE w:val="0"/>
        <w:autoSpaceDN w:val="0"/>
        <w:spacing w:after="120" w:line="240" w:lineRule="auto"/>
        <w:textAlignment w:val="auto"/>
        <w:rPr>
          <w:sz w:val="16"/>
          <w:szCs w:val="16"/>
          <w:lang w:val="es-ES"/>
        </w:rPr>
      </w:pPr>
      <w:r w:rsidRPr="00975C02">
        <w:rPr>
          <w:sz w:val="16"/>
          <w:szCs w:val="16"/>
          <w:lang w:val="es-ES"/>
        </w:rPr>
        <w:t>[d]iseñar e implementar programas de capacitación permanentes para funcionarios públicos pertenecientes al Poder Judicial, Ministerio Público y Policía Nacional, sobre estándares internacionales en materia de investigación de violación sexual y otras formas de violencia sexual en contra de mujeres, incluyendo niñas. Asimismo, se deberá capacitar al personal de salud, tanto médico como psicológico, que esté vinculado a dichas investigaciones, sobre los estándares internacionales en materia de trato a niños y niñas víctimas de violencia sexual[</w:t>
      </w:r>
      <w:r w:rsidR="00270ED1" w:rsidRPr="00975C02">
        <w:rPr>
          <w:sz w:val="16"/>
          <w:szCs w:val="16"/>
          <w:lang w:val="es-ES"/>
        </w:rPr>
        <w:t xml:space="preserve">, </w:t>
      </w:r>
      <w:r w:rsidRPr="00975C02">
        <w:rPr>
          <w:sz w:val="16"/>
          <w:szCs w:val="16"/>
          <w:lang w:val="es-ES"/>
        </w:rPr>
        <w:t>y]</w:t>
      </w:r>
    </w:p>
    <w:p w14:paraId="40B3B260" w14:textId="08C06AC1" w:rsidR="00A470D3" w:rsidRPr="00975C02" w:rsidRDefault="00A470D3" w:rsidP="00C8070B">
      <w:pPr>
        <w:pStyle w:val="ListParagraph"/>
        <w:widowControl/>
        <w:numPr>
          <w:ilvl w:val="0"/>
          <w:numId w:val="5"/>
        </w:numPr>
        <w:autoSpaceDE w:val="0"/>
        <w:autoSpaceDN w:val="0"/>
        <w:spacing w:after="120" w:line="240" w:lineRule="auto"/>
        <w:textAlignment w:val="auto"/>
        <w:rPr>
          <w:sz w:val="16"/>
          <w:szCs w:val="16"/>
          <w:lang w:val="es-ES"/>
        </w:rPr>
      </w:pPr>
      <w:r w:rsidRPr="00975C02">
        <w:rPr>
          <w:sz w:val="16"/>
          <w:szCs w:val="16"/>
          <w:lang w:val="es-ES"/>
        </w:rPr>
        <w:t>[a]doptar políticas públicas y programas institucionales integrados destinados a enfrentar la violencia contra mujeres y niñas como forma de discriminación, así como a promover la erradicación de patrones socioculturales discriminatorios que impiden su acceso pleno a la justicia.</w:t>
      </w:r>
    </w:p>
    <w:p w14:paraId="48CED960" w14:textId="53CDF931" w:rsidR="006C37C9" w:rsidRPr="00975C02" w:rsidRDefault="006C37C9" w:rsidP="00C8070B">
      <w:pPr>
        <w:pStyle w:val="ListParagraph"/>
        <w:numPr>
          <w:ilvl w:val="0"/>
          <w:numId w:val="4"/>
        </w:numPr>
        <w:adjustRightInd/>
        <w:spacing w:after="200" w:line="240" w:lineRule="auto"/>
        <w:ind w:right="148"/>
        <w:contextualSpacing/>
        <w:textAlignment w:val="auto"/>
        <w:rPr>
          <w:rFonts w:eastAsia="Verdana" w:cs="Verdana"/>
          <w:sz w:val="20"/>
          <w:szCs w:val="20"/>
          <w:lang w:val="es-ES"/>
        </w:rPr>
      </w:pPr>
      <w:r w:rsidRPr="00975C02">
        <w:rPr>
          <w:rFonts w:eastAsia="Verdana" w:cs="Verdana"/>
          <w:i/>
          <w:sz w:val="20"/>
          <w:szCs w:val="20"/>
          <w:lang w:val="es-ES"/>
        </w:rPr>
        <w:t xml:space="preserve">Notificación al Estado. – </w:t>
      </w:r>
      <w:r w:rsidRPr="00975C02">
        <w:rPr>
          <w:rFonts w:eastAsia="Verdana" w:cs="Verdana"/>
          <w:sz w:val="20"/>
          <w:szCs w:val="20"/>
          <w:lang w:val="es-ES"/>
        </w:rPr>
        <w:t xml:space="preserve">El </w:t>
      </w:r>
      <w:r w:rsidR="00D566C9" w:rsidRPr="00975C02">
        <w:rPr>
          <w:rFonts w:eastAsia="Verdana" w:cs="Verdana"/>
          <w:sz w:val="20"/>
          <w:szCs w:val="20"/>
          <w:lang w:val="es-ES"/>
        </w:rPr>
        <w:t>Informe No. 4/16</w:t>
      </w:r>
      <w:r w:rsidRPr="00975C02">
        <w:rPr>
          <w:rFonts w:eastAsia="Verdana" w:cs="Verdana"/>
          <w:sz w:val="20"/>
          <w:szCs w:val="20"/>
          <w:lang w:val="es-ES"/>
        </w:rPr>
        <w:t xml:space="preserve"> fue notificado al Estado </w:t>
      </w:r>
      <w:r w:rsidR="00EF57B6" w:rsidRPr="00975C02">
        <w:rPr>
          <w:rFonts w:eastAsia="Verdana" w:cs="Verdana"/>
          <w:sz w:val="20"/>
          <w:szCs w:val="20"/>
          <w:lang w:val="es-ES"/>
        </w:rPr>
        <w:t>mediante co</w:t>
      </w:r>
      <w:r w:rsidR="00D20333" w:rsidRPr="00975C02">
        <w:rPr>
          <w:rFonts w:eastAsia="Verdana" w:cs="Verdana"/>
          <w:sz w:val="20"/>
          <w:szCs w:val="20"/>
          <w:lang w:val="es-ES"/>
        </w:rPr>
        <w:t>municación de 25 de mayo de 2016</w:t>
      </w:r>
      <w:r w:rsidRPr="00975C02">
        <w:rPr>
          <w:rFonts w:eastAsia="Verdana" w:cs="Verdana"/>
          <w:sz w:val="20"/>
          <w:szCs w:val="20"/>
          <w:lang w:val="es-ES"/>
        </w:rPr>
        <w:t>, otorgándole un plazo de dos meses para informar sobre el cumplimiento de las recomendaciones.</w:t>
      </w:r>
    </w:p>
    <w:p w14:paraId="4276232C" w14:textId="5432AEAF" w:rsidR="006C37C9" w:rsidRPr="00975C02" w:rsidRDefault="006C37C9" w:rsidP="00C8070B">
      <w:pPr>
        <w:numPr>
          <w:ilvl w:val="0"/>
          <w:numId w:val="3"/>
        </w:numPr>
        <w:adjustRightInd/>
        <w:spacing w:after="200" w:line="240" w:lineRule="auto"/>
        <w:ind w:right="144"/>
        <w:contextualSpacing/>
        <w:textAlignment w:val="auto"/>
        <w:rPr>
          <w:rFonts w:eastAsia="Verdana" w:cs="Verdana"/>
          <w:sz w:val="20"/>
          <w:szCs w:val="20"/>
          <w:lang w:val="es-ES"/>
        </w:rPr>
      </w:pPr>
      <w:r w:rsidRPr="00975C02">
        <w:rPr>
          <w:rFonts w:eastAsia="Verdana" w:cs="Verdana"/>
          <w:i/>
          <w:sz w:val="20"/>
          <w:szCs w:val="20"/>
          <w:lang w:val="es-ES"/>
        </w:rPr>
        <w:t>Informes sobre las recomendaciones de la Comisión. –</w:t>
      </w:r>
      <w:r w:rsidR="00753849" w:rsidRPr="00975C02">
        <w:rPr>
          <w:rFonts w:eastAsia="Verdana" w:cs="Verdana"/>
          <w:i/>
          <w:sz w:val="20"/>
          <w:szCs w:val="20"/>
          <w:lang w:val="es-ES"/>
        </w:rPr>
        <w:t xml:space="preserve"> </w:t>
      </w:r>
      <w:r w:rsidR="00EF57B6" w:rsidRPr="00975C02">
        <w:rPr>
          <w:rFonts w:eastAsia="Verdana" w:cs="Verdana"/>
          <w:sz w:val="20"/>
          <w:szCs w:val="20"/>
          <w:lang w:val="es-ES"/>
        </w:rPr>
        <w:t xml:space="preserve">El Estado de Nicaragua no dio respuesta alguna al </w:t>
      </w:r>
      <w:r w:rsidR="00D566C9" w:rsidRPr="00975C02">
        <w:rPr>
          <w:rFonts w:eastAsia="Verdana" w:cs="Verdana"/>
          <w:sz w:val="20"/>
          <w:szCs w:val="20"/>
          <w:lang w:val="es-ES"/>
        </w:rPr>
        <w:t>I</w:t>
      </w:r>
      <w:r w:rsidR="00EF57B6" w:rsidRPr="00975C02">
        <w:rPr>
          <w:rFonts w:eastAsia="Verdana" w:cs="Verdana"/>
          <w:sz w:val="20"/>
          <w:szCs w:val="20"/>
          <w:lang w:val="es-ES"/>
        </w:rPr>
        <w:t xml:space="preserve">nforme de </w:t>
      </w:r>
      <w:r w:rsidR="00D566C9" w:rsidRPr="00975C02">
        <w:rPr>
          <w:rFonts w:eastAsia="Verdana" w:cs="Verdana"/>
          <w:sz w:val="20"/>
          <w:szCs w:val="20"/>
          <w:lang w:val="es-ES"/>
        </w:rPr>
        <w:t>F</w:t>
      </w:r>
      <w:r w:rsidR="00EF57B6" w:rsidRPr="00975C02">
        <w:rPr>
          <w:rFonts w:eastAsia="Verdana" w:cs="Verdana"/>
          <w:sz w:val="20"/>
          <w:szCs w:val="20"/>
          <w:lang w:val="es-ES"/>
        </w:rPr>
        <w:t>ondo de la Comisión.</w:t>
      </w:r>
    </w:p>
    <w:p w14:paraId="49302D05" w14:textId="77777777" w:rsidR="006C37C9" w:rsidRPr="00975C02" w:rsidRDefault="006C37C9" w:rsidP="006C37C9">
      <w:pPr>
        <w:spacing w:line="240" w:lineRule="auto"/>
        <w:ind w:left="818" w:right="144"/>
        <w:contextualSpacing/>
        <w:rPr>
          <w:rFonts w:eastAsia="Verdana" w:cs="Verdana"/>
          <w:sz w:val="20"/>
          <w:szCs w:val="20"/>
          <w:lang w:val="es-ES"/>
        </w:rPr>
      </w:pPr>
    </w:p>
    <w:p w14:paraId="583BF115" w14:textId="3153C3D5" w:rsidR="006C37C9" w:rsidRPr="00975C02" w:rsidRDefault="006C37C9" w:rsidP="00C8070B">
      <w:pPr>
        <w:numPr>
          <w:ilvl w:val="0"/>
          <w:numId w:val="3"/>
        </w:numPr>
        <w:adjustRightInd/>
        <w:spacing w:after="200" w:line="240" w:lineRule="auto"/>
        <w:ind w:right="144"/>
        <w:contextualSpacing/>
        <w:textAlignment w:val="auto"/>
        <w:rPr>
          <w:rFonts w:cs="Arial"/>
          <w:sz w:val="20"/>
          <w:szCs w:val="20"/>
          <w:lang w:val="es-ES"/>
        </w:rPr>
      </w:pPr>
      <w:r w:rsidRPr="00975C02">
        <w:rPr>
          <w:rFonts w:eastAsia="Verdana" w:cs="Verdana"/>
          <w:i/>
          <w:sz w:val="20"/>
          <w:szCs w:val="20"/>
          <w:lang w:val="es-ES"/>
        </w:rPr>
        <w:t xml:space="preserve">Sometimiento a la Corte. </w:t>
      </w:r>
      <w:r w:rsidR="00EF57B6" w:rsidRPr="00975C02">
        <w:rPr>
          <w:rFonts w:eastAsia="Verdana" w:cs="Verdana"/>
          <w:sz w:val="20"/>
          <w:szCs w:val="20"/>
          <w:lang w:val="es-ES"/>
        </w:rPr>
        <w:t>– El 25</w:t>
      </w:r>
      <w:r w:rsidRPr="00975C02">
        <w:rPr>
          <w:rFonts w:eastAsia="Verdana" w:cs="Verdana"/>
          <w:sz w:val="20"/>
          <w:szCs w:val="20"/>
          <w:lang w:val="es-ES"/>
        </w:rPr>
        <w:t xml:space="preserve"> de a</w:t>
      </w:r>
      <w:r w:rsidR="00EF57B6" w:rsidRPr="00975C02">
        <w:rPr>
          <w:rFonts w:eastAsia="Verdana" w:cs="Verdana"/>
          <w:sz w:val="20"/>
          <w:szCs w:val="20"/>
          <w:lang w:val="es-ES"/>
        </w:rPr>
        <w:t>gosto de 2016</w:t>
      </w:r>
      <w:r w:rsidRPr="00975C02">
        <w:rPr>
          <w:rFonts w:eastAsia="Verdana" w:cs="Verdana"/>
          <w:sz w:val="20"/>
          <w:szCs w:val="20"/>
          <w:lang w:val="es-ES"/>
        </w:rPr>
        <w:t xml:space="preserve"> la Comisión sometió a la jurisdicción de la Corte Interamericana la totalidad de los hechos y violaciones de derechos humanos descritos en el </w:t>
      </w:r>
      <w:r w:rsidR="00D566C9" w:rsidRPr="00975C02">
        <w:rPr>
          <w:rFonts w:eastAsia="Verdana" w:cs="Verdana"/>
          <w:sz w:val="20"/>
          <w:szCs w:val="20"/>
          <w:lang w:val="es-ES"/>
        </w:rPr>
        <w:t>I</w:t>
      </w:r>
      <w:r w:rsidRPr="00975C02">
        <w:rPr>
          <w:rFonts w:eastAsia="Verdana" w:cs="Verdana"/>
          <w:sz w:val="20"/>
          <w:szCs w:val="20"/>
          <w:lang w:val="es-ES"/>
        </w:rPr>
        <w:t xml:space="preserve">nforme de </w:t>
      </w:r>
      <w:r w:rsidR="00D566C9" w:rsidRPr="00975C02">
        <w:rPr>
          <w:rFonts w:eastAsia="Verdana" w:cs="Verdana"/>
          <w:sz w:val="20"/>
          <w:szCs w:val="20"/>
          <w:lang w:val="es-ES"/>
        </w:rPr>
        <w:t>F</w:t>
      </w:r>
      <w:r w:rsidRPr="00975C02">
        <w:rPr>
          <w:rFonts w:eastAsia="Verdana" w:cs="Verdana"/>
          <w:sz w:val="20"/>
          <w:szCs w:val="20"/>
          <w:lang w:val="es-ES"/>
        </w:rPr>
        <w:t>ondo “ante la necesidad de obtención de justicia”</w:t>
      </w:r>
      <w:r w:rsidR="00EB3F3D" w:rsidRPr="00975C02">
        <w:rPr>
          <w:rStyle w:val="FootnoteReference"/>
          <w:rFonts w:eastAsia="Verdana" w:cs="Verdana"/>
          <w:sz w:val="20"/>
          <w:szCs w:val="20"/>
          <w:lang w:val="es-ES"/>
        </w:rPr>
        <w:footnoteReference w:id="4"/>
      </w:r>
      <w:r w:rsidR="00DF5313" w:rsidRPr="00975C02">
        <w:rPr>
          <w:rFonts w:eastAsia="Verdana" w:cs="Verdana"/>
          <w:sz w:val="20"/>
          <w:szCs w:val="20"/>
          <w:lang w:val="es-ES"/>
        </w:rPr>
        <w:t>.</w:t>
      </w:r>
    </w:p>
    <w:p w14:paraId="0E9C8B6C" w14:textId="77777777" w:rsidR="006C37C9" w:rsidRPr="00975C02" w:rsidRDefault="006C37C9" w:rsidP="006C37C9">
      <w:pPr>
        <w:spacing w:line="240" w:lineRule="auto"/>
        <w:ind w:left="818" w:right="144"/>
        <w:contextualSpacing/>
        <w:rPr>
          <w:rFonts w:cs="Arial"/>
          <w:sz w:val="20"/>
          <w:szCs w:val="20"/>
          <w:lang w:val="es-ES"/>
        </w:rPr>
      </w:pPr>
    </w:p>
    <w:p w14:paraId="269D6B14" w14:textId="2C71D79D" w:rsidR="006C37C9" w:rsidRPr="00975C02" w:rsidRDefault="006C37C9" w:rsidP="00C8070B">
      <w:pPr>
        <w:numPr>
          <w:ilvl w:val="0"/>
          <w:numId w:val="2"/>
        </w:numPr>
        <w:tabs>
          <w:tab w:val="left" w:pos="567"/>
          <w:tab w:val="num" w:pos="12305"/>
        </w:tabs>
        <w:spacing w:line="240" w:lineRule="auto"/>
        <w:ind w:left="0" w:firstLine="0"/>
        <w:rPr>
          <w:rFonts w:eastAsia="Verdana" w:cs="Verdana"/>
          <w:sz w:val="20"/>
          <w:szCs w:val="20"/>
          <w:lang w:val="es-ES"/>
        </w:rPr>
      </w:pPr>
      <w:r w:rsidRPr="00975C02">
        <w:rPr>
          <w:rFonts w:eastAsia="Verdana" w:cs="Verdana"/>
          <w:i/>
          <w:sz w:val="20"/>
          <w:szCs w:val="20"/>
          <w:lang w:val="es-ES"/>
        </w:rPr>
        <w:t xml:space="preserve">Solicitudes de la Comisión Interamericana. – </w:t>
      </w:r>
      <w:r w:rsidRPr="00975C02">
        <w:rPr>
          <w:rFonts w:eastAsia="Verdana" w:cs="Verdana"/>
          <w:sz w:val="20"/>
          <w:szCs w:val="20"/>
          <w:lang w:val="es-ES"/>
        </w:rPr>
        <w:t xml:space="preserve">Con base en lo anterior, la Comisión solicitó a la Corte que declarara la responsabilidad internacional del Estado por las mismas violaciones señaladas en su </w:t>
      </w:r>
      <w:r w:rsidR="00D566C9" w:rsidRPr="00975C02">
        <w:rPr>
          <w:rFonts w:eastAsia="Verdana" w:cs="Verdana"/>
          <w:sz w:val="20"/>
          <w:szCs w:val="20"/>
          <w:lang w:val="es-ES"/>
        </w:rPr>
        <w:t>I</w:t>
      </w:r>
      <w:r w:rsidRPr="00975C02">
        <w:rPr>
          <w:rFonts w:eastAsia="Verdana" w:cs="Verdana"/>
          <w:sz w:val="20"/>
          <w:szCs w:val="20"/>
          <w:lang w:val="es-ES"/>
        </w:rPr>
        <w:t xml:space="preserve">nforme de </w:t>
      </w:r>
      <w:r w:rsidR="00D566C9" w:rsidRPr="00975C02">
        <w:rPr>
          <w:rFonts w:eastAsia="Verdana" w:cs="Verdana"/>
          <w:sz w:val="20"/>
          <w:szCs w:val="20"/>
          <w:lang w:val="es-ES"/>
        </w:rPr>
        <w:t>F</w:t>
      </w:r>
      <w:r w:rsidRPr="00975C02">
        <w:rPr>
          <w:rFonts w:eastAsia="Verdana" w:cs="Verdana"/>
          <w:sz w:val="20"/>
          <w:szCs w:val="20"/>
          <w:lang w:val="es-ES"/>
        </w:rPr>
        <w:t xml:space="preserve">ondo </w:t>
      </w:r>
      <w:r w:rsidRPr="00975C02">
        <w:rPr>
          <w:rFonts w:cs="Verdana"/>
          <w:sz w:val="20"/>
          <w:szCs w:val="20"/>
          <w:lang w:val="es-ES"/>
        </w:rPr>
        <w:t>(</w:t>
      </w:r>
      <w:r w:rsidRPr="00975C02">
        <w:rPr>
          <w:rFonts w:cs="Verdana"/>
          <w:i/>
          <w:iCs/>
          <w:sz w:val="20"/>
          <w:szCs w:val="20"/>
          <w:lang w:val="es-ES"/>
        </w:rPr>
        <w:t xml:space="preserve">supra </w:t>
      </w:r>
      <w:r w:rsidRPr="00975C02">
        <w:rPr>
          <w:rFonts w:cs="Verdana"/>
          <w:sz w:val="20"/>
          <w:szCs w:val="20"/>
          <w:lang w:val="es-ES"/>
        </w:rPr>
        <w:t>párr. 2.c.a)</w:t>
      </w:r>
      <w:r w:rsidRPr="00975C02">
        <w:rPr>
          <w:rFonts w:eastAsia="Verdana" w:cs="Verdana"/>
          <w:sz w:val="20"/>
          <w:szCs w:val="20"/>
          <w:lang w:val="es-ES"/>
        </w:rPr>
        <w:t xml:space="preserve">. Asimismo, la Comisión solicitó a la </w:t>
      </w:r>
      <w:r w:rsidRPr="00975C02">
        <w:rPr>
          <w:rFonts w:eastAsia="Calibri" w:cs="Arial"/>
          <w:sz w:val="20"/>
          <w:szCs w:val="20"/>
          <w:lang w:val="es-ES"/>
        </w:rPr>
        <w:t>Corte</w:t>
      </w:r>
      <w:r w:rsidRPr="00975C02">
        <w:rPr>
          <w:rFonts w:eastAsia="Verdana" w:cs="Verdana"/>
          <w:sz w:val="20"/>
          <w:szCs w:val="20"/>
          <w:lang w:val="es-ES"/>
        </w:rPr>
        <w:t xml:space="preserve"> que ordenara al Estado determinadas medidas de reparación, las cuales se detallan y analizan en el Capítulo</w:t>
      </w:r>
      <w:r w:rsidR="00646CC5" w:rsidRPr="00975C02">
        <w:rPr>
          <w:rFonts w:eastAsia="Verdana" w:cs="Verdana"/>
          <w:sz w:val="20"/>
          <w:szCs w:val="20"/>
          <w:lang w:val="es-ES"/>
        </w:rPr>
        <w:t xml:space="preserve"> IX</w:t>
      </w:r>
      <w:r w:rsidRPr="00975C02">
        <w:rPr>
          <w:rFonts w:eastAsia="Verdana" w:cs="Verdana"/>
          <w:sz w:val="20"/>
          <w:szCs w:val="20"/>
          <w:lang w:val="es-ES"/>
        </w:rPr>
        <w:t xml:space="preserve"> de la presente Sentencia.</w:t>
      </w:r>
    </w:p>
    <w:p w14:paraId="0021A4A1" w14:textId="77777777" w:rsidR="006C37C9" w:rsidRPr="00975C02" w:rsidRDefault="006C37C9" w:rsidP="006C37C9">
      <w:pPr>
        <w:pStyle w:val="ListParagraph"/>
        <w:autoSpaceDE w:val="0"/>
        <w:autoSpaceDN w:val="0"/>
        <w:spacing w:line="240" w:lineRule="auto"/>
        <w:ind w:left="709"/>
        <w:rPr>
          <w:rFonts w:eastAsia="Verdana" w:cs="Verdana"/>
          <w:sz w:val="20"/>
          <w:szCs w:val="20"/>
          <w:lang w:val="es-ES"/>
        </w:rPr>
      </w:pPr>
    </w:p>
    <w:p w14:paraId="25B5571B" w14:textId="77777777" w:rsidR="006C37C9" w:rsidRPr="00975C02" w:rsidRDefault="006C37C9" w:rsidP="00A93967">
      <w:pPr>
        <w:keepNext/>
        <w:keepLines/>
        <w:tabs>
          <w:tab w:val="left" w:pos="851"/>
        </w:tabs>
        <w:spacing w:line="240" w:lineRule="auto"/>
        <w:jc w:val="center"/>
        <w:outlineLvl w:val="0"/>
        <w:rPr>
          <w:rFonts w:cs="Verdana"/>
          <w:b/>
          <w:bCs/>
          <w:caps/>
          <w:snapToGrid w:val="0"/>
          <w:sz w:val="20"/>
          <w:szCs w:val="20"/>
          <w:lang w:val="es-ES"/>
        </w:rPr>
      </w:pPr>
      <w:bookmarkStart w:id="13" w:name="_Toc372568229"/>
      <w:bookmarkStart w:id="14" w:name="_Toc373093235"/>
      <w:bookmarkStart w:id="15" w:name="_Toc373350047"/>
      <w:bookmarkStart w:id="16" w:name="_Toc375560893"/>
      <w:bookmarkStart w:id="17" w:name="_Toc401931878"/>
      <w:bookmarkStart w:id="18" w:name="_Toc428369977"/>
      <w:bookmarkStart w:id="19" w:name="_Toc459158093"/>
      <w:bookmarkStart w:id="20" w:name="_Toc470180033"/>
      <w:bookmarkStart w:id="21" w:name="_Toc514172590"/>
      <w:r w:rsidRPr="00975C02">
        <w:rPr>
          <w:rFonts w:cs="Verdana"/>
          <w:b/>
          <w:bCs/>
          <w:caps/>
          <w:snapToGrid w:val="0"/>
          <w:sz w:val="20"/>
          <w:szCs w:val="20"/>
          <w:lang w:val="es-ES"/>
        </w:rPr>
        <w:lastRenderedPageBreak/>
        <w:t>II</w:t>
      </w:r>
      <w:bookmarkStart w:id="22" w:name="_Toc375062711"/>
      <w:bookmarkStart w:id="23" w:name="_Toc375140861"/>
      <w:bookmarkStart w:id="24" w:name="_Toc375504820"/>
      <w:bookmarkStart w:id="25" w:name="_Toc375560894"/>
      <w:bookmarkEnd w:id="13"/>
      <w:bookmarkEnd w:id="14"/>
      <w:bookmarkEnd w:id="15"/>
      <w:bookmarkEnd w:id="16"/>
      <w:r w:rsidRPr="00975C02">
        <w:rPr>
          <w:rFonts w:cs="Verdana"/>
          <w:b/>
          <w:bCs/>
          <w:caps/>
          <w:snapToGrid w:val="0"/>
          <w:sz w:val="20"/>
          <w:szCs w:val="20"/>
          <w:lang w:val="es-ES"/>
        </w:rPr>
        <w:br/>
        <w:t>PROCEDIMIENTO ANTE LA CORTE</w:t>
      </w:r>
      <w:bookmarkEnd w:id="17"/>
      <w:bookmarkEnd w:id="18"/>
      <w:bookmarkEnd w:id="19"/>
      <w:bookmarkEnd w:id="20"/>
      <w:bookmarkEnd w:id="21"/>
      <w:bookmarkEnd w:id="22"/>
      <w:bookmarkEnd w:id="23"/>
      <w:bookmarkEnd w:id="24"/>
      <w:bookmarkEnd w:id="25"/>
    </w:p>
    <w:p w14:paraId="38DB7D81" w14:textId="77777777" w:rsidR="006C37C9" w:rsidRPr="00975C02" w:rsidRDefault="006C37C9" w:rsidP="006C37C9">
      <w:pPr>
        <w:spacing w:line="240" w:lineRule="auto"/>
        <w:ind w:left="3255" w:right="3302" w:firstLine="1776"/>
        <w:rPr>
          <w:rFonts w:eastAsia="Verdana" w:cs="Verdana"/>
          <w:sz w:val="20"/>
          <w:szCs w:val="20"/>
          <w:lang w:val="es-ES"/>
        </w:rPr>
      </w:pPr>
    </w:p>
    <w:p w14:paraId="576A85CB" w14:textId="21E85FAD" w:rsidR="00724B11" w:rsidRPr="00975C02" w:rsidRDefault="00724B11" w:rsidP="00C8070B">
      <w:pPr>
        <w:numPr>
          <w:ilvl w:val="0"/>
          <w:numId w:val="2"/>
        </w:numPr>
        <w:tabs>
          <w:tab w:val="left" w:pos="567"/>
          <w:tab w:val="num" w:pos="12305"/>
        </w:tabs>
        <w:spacing w:line="240" w:lineRule="auto"/>
        <w:ind w:left="0" w:firstLine="0"/>
        <w:rPr>
          <w:rFonts w:eastAsia="Verdana" w:cs="Verdana"/>
          <w:sz w:val="16"/>
          <w:szCs w:val="16"/>
          <w:lang w:val="es-ES"/>
        </w:rPr>
      </w:pPr>
      <w:r w:rsidRPr="00975C02">
        <w:rPr>
          <w:rFonts w:eastAsia="Calibri" w:cs="Verdana"/>
          <w:i/>
          <w:snapToGrid w:val="0"/>
          <w:sz w:val="20"/>
          <w:szCs w:val="20"/>
          <w:lang w:val="es-ES" w:eastAsia="es-ES"/>
        </w:rPr>
        <w:t>Designación de Defensores Públicos Interamericanos</w:t>
      </w:r>
      <w:r w:rsidRPr="00975C02">
        <w:rPr>
          <w:rFonts w:eastAsia="Calibri" w:cs="Verdana"/>
          <w:snapToGrid w:val="0"/>
          <w:sz w:val="20"/>
          <w:szCs w:val="20"/>
          <w:lang w:val="es-ES" w:eastAsia="es-ES"/>
        </w:rPr>
        <w:t>. – En el escrito de presentación del caso, la Comisión indicó que actuó como peticionaria la señora V.P.C. Luego de una comunicación remitida por la Secretaría</w:t>
      </w:r>
      <w:r w:rsidRPr="00975C02">
        <w:rPr>
          <w:rFonts w:eastAsia="Calibri" w:cs="Verdana"/>
          <w:snapToGrid w:val="0"/>
          <w:sz w:val="20"/>
          <w:szCs w:val="20"/>
          <w:vertAlign w:val="superscript"/>
          <w:lang w:val="es-ES" w:eastAsia="es-ES"/>
        </w:rPr>
        <w:footnoteReference w:id="5"/>
      </w:r>
      <w:r w:rsidRPr="00975C02">
        <w:rPr>
          <w:rFonts w:eastAsia="Calibri" w:cs="Verdana"/>
          <w:snapToGrid w:val="0"/>
          <w:sz w:val="20"/>
          <w:szCs w:val="20"/>
          <w:lang w:val="es-ES" w:eastAsia="es-ES"/>
        </w:rPr>
        <w:t xml:space="preserve">, siguiendo instrucciones del Presidente de la Corte durante el examen preliminar del sometimiento del caso, el </w:t>
      </w:r>
      <w:r w:rsidR="00E809CA" w:rsidRPr="00975C02">
        <w:rPr>
          <w:rFonts w:eastAsia="Calibri" w:cs="Verdana"/>
          <w:snapToGrid w:val="0"/>
          <w:sz w:val="20"/>
          <w:szCs w:val="20"/>
          <w:lang w:val="es-ES" w:eastAsia="es-ES"/>
        </w:rPr>
        <w:t>4 y 10 de noviembre de 2016</w:t>
      </w:r>
      <w:r w:rsidRPr="00975C02">
        <w:rPr>
          <w:rFonts w:eastAsia="Calibri" w:cs="Verdana"/>
          <w:snapToGrid w:val="0"/>
          <w:sz w:val="20"/>
          <w:szCs w:val="20"/>
          <w:lang w:val="es-ES" w:eastAsia="es-ES"/>
        </w:rPr>
        <w:t xml:space="preserve"> l</w:t>
      </w:r>
      <w:r w:rsidR="00E809CA" w:rsidRPr="00975C02">
        <w:rPr>
          <w:rFonts w:eastAsia="Calibri" w:cs="Verdana"/>
          <w:snapToGrid w:val="0"/>
          <w:sz w:val="20"/>
          <w:szCs w:val="20"/>
          <w:lang w:val="es-ES" w:eastAsia="es-ES"/>
        </w:rPr>
        <w:t>as</w:t>
      </w:r>
      <w:r w:rsidRPr="00975C02">
        <w:rPr>
          <w:rFonts w:eastAsia="Calibri" w:cs="Verdana"/>
          <w:snapToGrid w:val="0"/>
          <w:sz w:val="20"/>
          <w:szCs w:val="20"/>
          <w:lang w:val="es-ES" w:eastAsia="es-ES"/>
        </w:rPr>
        <w:t xml:space="preserve"> señor</w:t>
      </w:r>
      <w:r w:rsidR="00E809CA" w:rsidRPr="00975C02">
        <w:rPr>
          <w:rFonts w:eastAsia="Calibri" w:cs="Verdana"/>
          <w:snapToGrid w:val="0"/>
          <w:sz w:val="20"/>
          <w:szCs w:val="20"/>
          <w:lang w:val="es-ES" w:eastAsia="es-ES"/>
        </w:rPr>
        <w:t>as V.P.C. y V.R.P.</w:t>
      </w:r>
      <w:r w:rsidRPr="00975C02">
        <w:rPr>
          <w:rFonts w:eastAsia="Calibri" w:cs="Verdana"/>
          <w:snapToGrid w:val="0"/>
          <w:sz w:val="20"/>
          <w:szCs w:val="20"/>
          <w:lang w:val="es-ES" w:eastAsia="es-ES"/>
        </w:rPr>
        <w:t xml:space="preserve"> solicit</w:t>
      </w:r>
      <w:r w:rsidR="00E809CA" w:rsidRPr="00975C02">
        <w:rPr>
          <w:rFonts w:eastAsia="Calibri" w:cs="Verdana"/>
          <w:snapToGrid w:val="0"/>
          <w:sz w:val="20"/>
          <w:szCs w:val="20"/>
          <w:lang w:val="es-ES" w:eastAsia="es-ES"/>
        </w:rPr>
        <w:t>aron</w:t>
      </w:r>
      <w:r w:rsidRPr="00975C02">
        <w:rPr>
          <w:rFonts w:eastAsia="Calibri" w:cs="Verdana"/>
          <w:snapToGrid w:val="0"/>
          <w:sz w:val="20"/>
          <w:szCs w:val="20"/>
          <w:lang w:val="es-ES" w:eastAsia="es-ES"/>
        </w:rPr>
        <w:t xml:space="preserve"> la designación de un Defensor Interamericano. Luego de las respectivas comunicaciones con la Asociación Interamericana de Defensorías Públicas (AIDEF)</w:t>
      </w:r>
      <w:r w:rsidRPr="00975C02">
        <w:rPr>
          <w:rFonts w:eastAsia="Calibri" w:cs="Verdana"/>
          <w:snapToGrid w:val="0"/>
          <w:sz w:val="20"/>
          <w:szCs w:val="20"/>
          <w:vertAlign w:val="superscript"/>
          <w:lang w:val="es-ES" w:eastAsia="es-ES"/>
        </w:rPr>
        <w:footnoteReference w:id="6"/>
      </w:r>
      <w:r w:rsidRPr="00975C02">
        <w:rPr>
          <w:rFonts w:eastAsia="Calibri" w:cs="Verdana"/>
          <w:snapToGrid w:val="0"/>
          <w:sz w:val="20"/>
          <w:szCs w:val="20"/>
          <w:lang w:val="es-ES" w:eastAsia="es-ES"/>
        </w:rPr>
        <w:t xml:space="preserve">, el </w:t>
      </w:r>
      <w:r w:rsidR="00E809CA" w:rsidRPr="00975C02">
        <w:rPr>
          <w:rFonts w:eastAsia="Calibri" w:cs="Verdana"/>
          <w:snapToGrid w:val="0"/>
          <w:sz w:val="20"/>
          <w:szCs w:val="20"/>
          <w:lang w:val="es-ES" w:eastAsia="es-ES"/>
        </w:rPr>
        <w:t>22</w:t>
      </w:r>
      <w:r w:rsidRPr="00975C02">
        <w:rPr>
          <w:rFonts w:eastAsia="Calibri" w:cs="Verdana"/>
          <w:snapToGrid w:val="0"/>
          <w:sz w:val="20"/>
          <w:szCs w:val="20"/>
          <w:lang w:val="es-ES" w:eastAsia="es-ES"/>
        </w:rPr>
        <w:t xml:space="preserve"> de </w:t>
      </w:r>
      <w:r w:rsidR="00E809CA" w:rsidRPr="00975C02">
        <w:rPr>
          <w:rFonts w:eastAsia="Calibri" w:cs="Verdana"/>
          <w:snapToGrid w:val="0"/>
          <w:sz w:val="20"/>
          <w:szCs w:val="20"/>
          <w:lang w:val="es-ES" w:eastAsia="es-ES"/>
        </w:rPr>
        <w:t>noviembre</w:t>
      </w:r>
      <w:r w:rsidRPr="00975C02">
        <w:rPr>
          <w:rFonts w:eastAsia="Calibri" w:cs="Verdana"/>
          <w:snapToGrid w:val="0"/>
          <w:sz w:val="20"/>
          <w:szCs w:val="20"/>
          <w:lang w:val="es-ES" w:eastAsia="es-ES"/>
        </w:rPr>
        <w:t xml:space="preserve"> de 201</w:t>
      </w:r>
      <w:r w:rsidR="00E809CA" w:rsidRPr="00975C02">
        <w:rPr>
          <w:rFonts w:eastAsia="Calibri" w:cs="Verdana"/>
          <w:snapToGrid w:val="0"/>
          <w:sz w:val="20"/>
          <w:szCs w:val="20"/>
          <w:lang w:val="es-ES" w:eastAsia="es-ES"/>
        </w:rPr>
        <w:t>6</w:t>
      </w:r>
      <w:r w:rsidRPr="00975C02">
        <w:rPr>
          <w:rFonts w:eastAsia="Calibri" w:cs="Verdana"/>
          <w:snapToGrid w:val="0"/>
          <w:sz w:val="20"/>
          <w:szCs w:val="20"/>
          <w:lang w:val="es-ES" w:eastAsia="es-ES"/>
        </w:rPr>
        <w:t xml:space="preserve"> </w:t>
      </w:r>
      <w:r w:rsidR="00E809CA" w:rsidRPr="00975C02">
        <w:rPr>
          <w:rFonts w:eastAsia="Calibri" w:cs="Verdana"/>
          <w:snapToGrid w:val="0"/>
          <w:sz w:val="20"/>
          <w:szCs w:val="20"/>
          <w:lang w:val="es-ES" w:eastAsia="es-ES"/>
        </w:rPr>
        <w:t>e</w:t>
      </w:r>
      <w:r w:rsidRPr="00975C02">
        <w:rPr>
          <w:rFonts w:eastAsia="Calibri" w:cs="Verdana"/>
          <w:snapToGrid w:val="0"/>
          <w:sz w:val="20"/>
          <w:szCs w:val="20"/>
          <w:lang w:val="es-ES" w:eastAsia="es-ES"/>
        </w:rPr>
        <w:t>l Coordinador General de dicha Asociación comunicó a la Corte que l</w:t>
      </w:r>
      <w:r w:rsidR="00E809CA" w:rsidRPr="00975C02">
        <w:rPr>
          <w:rFonts w:eastAsia="Calibri" w:cs="Verdana"/>
          <w:snapToGrid w:val="0"/>
          <w:sz w:val="20"/>
          <w:szCs w:val="20"/>
          <w:lang w:val="es-ES" w:eastAsia="es-ES"/>
        </w:rPr>
        <w:t>a</w:t>
      </w:r>
      <w:r w:rsidRPr="00975C02">
        <w:rPr>
          <w:rFonts w:eastAsia="Calibri" w:cs="Verdana"/>
          <w:snapToGrid w:val="0"/>
          <w:sz w:val="20"/>
          <w:szCs w:val="20"/>
          <w:lang w:val="es-ES" w:eastAsia="es-ES"/>
        </w:rPr>
        <w:t>s señor</w:t>
      </w:r>
      <w:r w:rsidR="00E809CA" w:rsidRPr="00975C02">
        <w:rPr>
          <w:rFonts w:eastAsia="Calibri" w:cs="Verdana"/>
          <w:snapToGrid w:val="0"/>
          <w:sz w:val="20"/>
          <w:szCs w:val="20"/>
          <w:lang w:val="es-ES" w:eastAsia="es-ES"/>
        </w:rPr>
        <w:t>a</w:t>
      </w:r>
      <w:r w:rsidRPr="00975C02">
        <w:rPr>
          <w:rFonts w:eastAsia="Calibri" w:cs="Verdana"/>
          <w:snapToGrid w:val="0"/>
          <w:sz w:val="20"/>
          <w:szCs w:val="20"/>
          <w:lang w:val="es-ES" w:eastAsia="es-ES"/>
        </w:rPr>
        <w:t xml:space="preserve">s </w:t>
      </w:r>
      <w:r w:rsidR="00E809CA" w:rsidRPr="00975C02">
        <w:rPr>
          <w:rFonts w:eastAsia="Calibri" w:cs="Verdana"/>
          <w:snapToGrid w:val="0"/>
          <w:sz w:val="20"/>
          <w:szCs w:val="20"/>
          <w:lang w:val="es-ES" w:eastAsia="es-ES"/>
        </w:rPr>
        <w:t>Fidencia Orozco García</w:t>
      </w:r>
      <w:r w:rsidR="00450D2C" w:rsidRPr="00975C02">
        <w:rPr>
          <w:rFonts w:eastAsia="Calibri" w:cs="Verdana"/>
          <w:snapToGrid w:val="0"/>
          <w:sz w:val="20"/>
          <w:szCs w:val="20"/>
          <w:lang w:val="es-ES" w:eastAsia="es-ES"/>
        </w:rPr>
        <w:t xml:space="preserve"> de Licardi</w:t>
      </w:r>
      <w:r w:rsidR="00E809CA" w:rsidRPr="00975C02">
        <w:rPr>
          <w:rFonts w:eastAsia="Calibri" w:cs="Verdana"/>
          <w:snapToGrid w:val="0"/>
          <w:sz w:val="20"/>
          <w:szCs w:val="20"/>
          <w:lang w:val="es-ES" w:eastAsia="es-ES"/>
        </w:rPr>
        <w:t xml:space="preserve"> (Guatemala) y Juana María Cruz Fernández (República Dominicana)</w:t>
      </w:r>
      <w:r w:rsidRPr="00975C02">
        <w:rPr>
          <w:rFonts w:eastAsia="Calibri" w:cs="Verdana"/>
          <w:snapToGrid w:val="0"/>
          <w:sz w:val="20"/>
          <w:szCs w:val="20"/>
          <w:lang w:val="es-ES" w:eastAsia="es-ES"/>
        </w:rPr>
        <w:t xml:space="preserve"> habían sido designad</w:t>
      </w:r>
      <w:r w:rsidR="00E809CA" w:rsidRPr="00975C02">
        <w:rPr>
          <w:rFonts w:eastAsia="Calibri" w:cs="Verdana"/>
          <w:snapToGrid w:val="0"/>
          <w:sz w:val="20"/>
          <w:szCs w:val="20"/>
          <w:lang w:val="es-ES" w:eastAsia="es-ES"/>
        </w:rPr>
        <w:t>a</w:t>
      </w:r>
      <w:r w:rsidRPr="00975C02">
        <w:rPr>
          <w:rFonts w:eastAsia="Calibri" w:cs="Verdana"/>
          <w:snapToGrid w:val="0"/>
          <w:sz w:val="20"/>
          <w:szCs w:val="20"/>
          <w:lang w:val="es-ES" w:eastAsia="es-ES"/>
        </w:rPr>
        <w:t>s como defensor</w:t>
      </w:r>
      <w:r w:rsidR="00E809CA" w:rsidRPr="00975C02">
        <w:rPr>
          <w:rFonts w:eastAsia="Calibri" w:cs="Verdana"/>
          <w:snapToGrid w:val="0"/>
          <w:sz w:val="20"/>
          <w:szCs w:val="20"/>
          <w:lang w:val="es-ES" w:eastAsia="es-ES"/>
        </w:rPr>
        <w:t>as públi</w:t>
      </w:r>
      <w:r w:rsidR="00664050" w:rsidRPr="00975C02">
        <w:rPr>
          <w:rFonts w:eastAsia="Calibri" w:cs="Verdana"/>
          <w:snapToGrid w:val="0"/>
          <w:sz w:val="20"/>
          <w:szCs w:val="20"/>
          <w:lang w:val="es-ES" w:eastAsia="es-ES"/>
        </w:rPr>
        <w:t>ca</w:t>
      </w:r>
      <w:r w:rsidR="00E809CA" w:rsidRPr="00975C02">
        <w:rPr>
          <w:rFonts w:eastAsia="Calibri" w:cs="Verdana"/>
          <w:snapToGrid w:val="0"/>
          <w:sz w:val="20"/>
          <w:szCs w:val="20"/>
          <w:lang w:val="es-ES" w:eastAsia="es-ES"/>
        </w:rPr>
        <w:t>s interamericanas</w:t>
      </w:r>
      <w:r w:rsidRPr="00975C02">
        <w:rPr>
          <w:rFonts w:eastAsia="Calibri" w:cs="Verdana"/>
          <w:snapToGrid w:val="0"/>
          <w:sz w:val="20"/>
          <w:szCs w:val="20"/>
          <w:lang w:val="es-ES" w:eastAsia="es-ES"/>
        </w:rPr>
        <w:t xml:space="preserve"> para ejercer la representación legal de las presuntas víctimas en este caso (en adelante “l</w:t>
      </w:r>
      <w:r w:rsidR="00E809CA" w:rsidRPr="00975C02">
        <w:rPr>
          <w:rFonts w:eastAsia="Calibri" w:cs="Verdana"/>
          <w:snapToGrid w:val="0"/>
          <w:sz w:val="20"/>
          <w:szCs w:val="20"/>
          <w:lang w:val="es-ES" w:eastAsia="es-ES"/>
        </w:rPr>
        <w:t>a</w:t>
      </w:r>
      <w:r w:rsidRPr="00975C02">
        <w:rPr>
          <w:rFonts w:eastAsia="Calibri" w:cs="Verdana"/>
          <w:snapToGrid w:val="0"/>
          <w:sz w:val="20"/>
          <w:szCs w:val="20"/>
          <w:lang w:val="es-ES" w:eastAsia="es-ES"/>
        </w:rPr>
        <w:t>s representantes”)</w:t>
      </w:r>
      <w:r w:rsidRPr="00975C02">
        <w:rPr>
          <w:rFonts w:eastAsia="Calibri" w:cs="Verdana"/>
          <w:snapToGrid w:val="0"/>
          <w:sz w:val="20"/>
          <w:szCs w:val="20"/>
          <w:vertAlign w:val="superscript"/>
          <w:lang w:val="es-ES" w:eastAsia="es-ES"/>
        </w:rPr>
        <w:footnoteReference w:id="7"/>
      </w:r>
      <w:r w:rsidRPr="00975C02">
        <w:rPr>
          <w:rFonts w:eastAsia="Calibri" w:cs="Verdana"/>
          <w:snapToGrid w:val="0"/>
          <w:sz w:val="20"/>
          <w:szCs w:val="20"/>
          <w:lang w:val="es-ES" w:eastAsia="es-ES"/>
        </w:rPr>
        <w:t>.</w:t>
      </w:r>
    </w:p>
    <w:p w14:paraId="2C9BA4F9" w14:textId="77777777" w:rsidR="00724B11" w:rsidRPr="00975C02" w:rsidRDefault="00724B11" w:rsidP="00724B11">
      <w:pPr>
        <w:tabs>
          <w:tab w:val="left" w:pos="567"/>
        </w:tabs>
        <w:spacing w:line="240" w:lineRule="auto"/>
        <w:rPr>
          <w:rFonts w:eastAsia="Verdana" w:cs="Verdana"/>
          <w:sz w:val="16"/>
          <w:szCs w:val="16"/>
          <w:lang w:val="es-ES"/>
        </w:rPr>
      </w:pPr>
    </w:p>
    <w:p w14:paraId="6A14B155" w14:textId="47DABABF" w:rsidR="006C37C9" w:rsidRPr="00975C02" w:rsidRDefault="006C37C9" w:rsidP="00C8070B">
      <w:pPr>
        <w:numPr>
          <w:ilvl w:val="0"/>
          <w:numId w:val="2"/>
        </w:numPr>
        <w:tabs>
          <w:tab w:val="left" w:pos="567"/>
          <w:tab w:val="num" w:pos="12305"/>
        </w:tabs>
        <w:spacing w:line="240" w:lineRule="auto"/>
        <w:ind w:left="0" w:firstLine="0"/>
        <w:rPr>
          <w:rFonts w:eastAsia="Verdana" w:cs="Verdana"/>
          <w:sz w:val="16"/>
          <w:szCs w:val="16"/>
          <w:lang w:val="es-ES"/>
        </w:rPr>
      </w:pPr>
      <w:r w:rsidRPr="00975C02">
        <w:rPr>
          <w:rFonts w:eastAsia="Verdana" w:cs="Verdana"/>
          <w:i/>
          <w:sz w:val="20"/>
          <w:szCs w:val="20"/>
          <w:lang w:val="es-ES"/>
        </w:rPr>
        <w:t>Notificación a la</w:t>
      </w:r>
      <w:r w:rsidR="002E5915" w:rsidRPr="00975C02">
        <w:rPr>
          <w:rFonts w:eastAsia="Verdana" w:cs="Verdana"/>
          <w:i/>
          <w:sz w:val="20"/>
          <w:szCs w:val="20"/>
          <w:lang w:val="es-ES"/>
        </w:rPr>
        <w:t>s</w:t>
      </w:r>
      <w:r w:rsidRPr="00975C02">
        <w:rPr>
          <w:rFonts w:eastAsia="Verdana" w:cs="Verdana"/>
          <w:i/>
          <w:sz w:val="20"/>
          <w:szCs w:val="20"/>
          <w:lang w:val="es-ES"/>
        </w:rPr>
        <w:t xml:space="preserve"> representante</w:t>
      </w:r>
      <w:r w:rsidR="002E5915" w:rsidRPr="00975C02">
        <w:rPr>
          <w:rFonts w:eastAsia="Verdana" w:cs="Verdana"/>
          <w:i/>
          <w:sz w:val="20"/>
          <w:szCs w:val="20"/>
          <w:lang w:val="es-ES"/>
        </w:rPr>
        <w:t>s</w:t>
      </w:r>
      <w:r w:rsidR="00A26F4E" w:rsidRPr="00975C02">
        <w:rPr>
          <w:rFonts w:eastAsia="Verdana" w:cs="Verdana"/>
          <w:i/>
          <w:sz w:val="20"/>
          <w:szCs w:val="20"/>
          <w:lang w:val="es-ES"/>
        </w:rPr>
        <w:t xml:space="preserve"> y al Estado</w:t>
      </w:r>
      <w:r w:rsidRPr="00975C02">
        <w:rPr>
          <w:rFonts w:eastAsia="Verdana" w:cs="Verdana"/>
          <w:i/>
          <w:sz w:val="20"/>
          <w:szCs w:val="20"/>
          <w:lang w:val="es-ES"/>
        </w:rPr>
        <w:t xml:space="preserve">. – </w:t>
      </w:r>
      <w:r w:rsidRPr="00975C02">
        <w:rPr>
          <w:rFonts w:eastAsia="Verdana" w:cs="Verdana"/>
          <w:sz w:val="20"/>
          <w:szCs w:val="20"/>
          <w:lang w:val="es-ES"/>
        </w:rPr>
        <w:t>El sometimiento del caso por parte de la Comisión fue notificado por la Corte a la</w:t>
      </w:r>
      <w:r w:rsidR="00E5264E" w:rsidRPr="00975C02">
        <w:rPr>
          <w:rFonts w:eastAsia="Verdana" w:cs="Verdana"/>
          <w:sz w:val="20"/>
          <w:szCs w:val="20"/>
          <w:lang w:val="es-ES"/>
        </w:rPr>
        <w:t>s</w:t>
      </w:r>
      <w:r w:rsidRPr="00975C02">
        <w:rPr>
          <w:rFonts w:eastAsia="Verdana" w:cs="Verdana"/>
          <w:sz w:val="20"/>
          <w:szCs w:val="20"/>
          <w:lang w:val="es-ES"/>
        </w:rPr>
        <w:t xml:space="preserve"> </w:t>
      </w:r>
      <w:r w:rsidR="00E5264E" w:rsidRPr="00975C02">
        <w:rPr>
          <w:rFonts w:eastAsia="Verdana" w:cs="Verdana"/>
          <w:sz w:val="20"/>
          <w:szCs w:val="20"/>
          <w:lang w:val="es-ES"/>
        </w:rPr>
        <w:t>defensoras públicas interamericanas</w:t>
      </w:r>
      <w:r w:rsidRPr="00975C02">
        <w:rPr>
          <w:rFonts w:eastAsia="Verdana" w:cs="Verdana"/>
          <w:sz w:val="20"/>
          <w:szCs w:val="20"/>
          <w:lang w:val="es-ES"/>
        </w:rPr>
        <w:t xml:space="preserve"> </w:t>
      </w:r>
      <w:r w:rsidR="008567B4" w:rsidRPr="00975C02">
        <w:rPr>
          <w:rFonts w:eastAsia="Verdana" w:cs="Verdana"/>
          <w:sz w:val="20"/>
          <w:szCs w:val="20"/>
          <w:lang w:val="es-ES"/>
        </w:rPr>
        <w:t xml:space="preserve">de las presuntas víctimas </w:t>
      </w:r>
      <w:r w:rsidRPr="00975C02">
        <w:rPr>
          <w:rFonts w:eastAsia="Verdana" w:cs="Verdana"/>
          <w:sz w:val="20"/>
          <w:szCs w:val="20"/>
          <w:lang w:val="es-ES"/>
        </w:rPr>
        <w:t xml:space="preserve">el </w:t>
      </w:r>
      <w:r w:rsidR="004B6D26" w:rsidRPr="00975C02">
        <w:rPr>
          <w:rFonts w:eastAsia="Verdana" w:cs="Verdana"/>
          <w:sz w:val="20"/>
          <w:szCs w:val="20"/>
          <w:lang w:val="es-ES"/>
        </w:rPr>
        <w:t>25</w:t>
      </w:r>
      <w:r w:rsidRPr="00975C02">
        <w:rPr>
          <w:rFonts w:eastAsia="Verdana" w:cs="Verdana"/>
          <w:sz w:val="20"/>
          <w:szCs w:val="20"/>
          <w:lang w:val="es-ES"/>
        </w:rPr>
        <w:t xml:space="preserve"> de </w:t>
      </w:r>
      <w:r w:rsidR="004B6D26" w:rsidRPr="00975C02">
        <w:rPr>
          <w:rFonts w:eastAsia="Verdana" w:cs="Verdana"/>
          <w:sz w:val="20"/>
          <w:szCs w:val="20"/>
          <w:lang w:val="es-ES"/>
        </w:rPr>
        <w:t>noviembre de 2016</w:t>
      </w:r>
      <w:r w:rsidRPr="00975C02">
        <w:rPr>
          <w:rFonts w:eastAsia="Verdana" w:cs="Verdana"/>
          <w:sz w:val="20"/>
          <w:szCs w:val="20"/>
          <w:lang w:val="es-ES"/>
        </w:rPr>
        <w:t xml:space="preserve"> y al Estado</w:t>
      </w:r>
      <w:r w:rsidR="008567B4" w:rsidRPr="00975C02">
        <w:rPr>
          <w:rFonts w:eastAsia="Verdana" w:cs="Verdana"/>
          <w:sz w:val="20"/>
          <w:szCs w:val="20"/>
          <w:lang w:val="es-ES"/>
        </w:rPr>
        <w:t xml:space="preserve"> nicaragüense</w:t>
      </w:r>
      <w:r w:rsidRPr="00975C02">
        <w:rPr>
          <w:rFonts w:eastAsia="Verdana" w:cs="Verdana"/>
          <w:sz w:val="20"/>
          <w:szCs w:val="20"/>
          <w:lang w:val="es-ES"/>
        </w:rPr>
        <w:t xml:space="preserve"> el </w:t>
      </w:r>
      <w:r w:rsidR="00E5264E" w:rsidRPr="00975C02">
        <w:rPr>
          <w:rFonts w:eastAsia="Verdana" w:cs="Verdana"/>
          <w:sz w:val="20"/>
          <w:szCs w:val="20"/>
          <w:lang w:val="es-ES"/>
        </w:rPr>
        <w:t>24</w:t>
      </w:r>
      <w:r w:rsidRPr="00975C02">
        <w:rPr>
          <w:rFonts w:eastAsia="Verdana" w:cs="Verdana"/>
          <w:sz w:val="20"/>
          <w:szCs w:val="20"/>
          <w:lang w:val="es-ES"/>
        </w:rPr>
        <w:t xml:space="preserve"> de </w:t>
      </w:r>
      <w:r w:rsidR="004B6D26" w:rsidRPr="00975C02">
        <w:rPr>
          <w:rFonts w:eastAsia="Verdana" w:cs="Verdana"/>
          <w:sz w:val="20"/>
          <w:szCs w:val="20"/>
          <w:lang w:val="es-ES"/>
        </w:rPr>
        <w:t>noviembre de 2016</w:t>
      </w:r>
      <w:r w:rsidRPr="00975C02">
        <w:rPr>
          <w:rFonts w:eastAsia="Verdana" w:cs="Verdana"/>
          <w:sz w:val="20"/>
          <w:szCs w:val="20"/>
          <w:lang w:val="es-ES"/>
        </w:rPr>
        <w:t>.</w:t>
      </w:r>
    </w:p>
    <w:p w14:paraId="36E3F1A8" w14:textId="77777777" w:rsidR="006C37C9" w:rsidRPr="00975C02" w:rsidRDefault="006C37C9" w:rsidP="006C37C9">
      <w:pPr>
        <w:spacing w:before="3" w:line="240" w:lineRule="auto"/>
        <w:rPr>
          <w:sz w:val="20"/>
          <w:szCs w:val="20"/>
          <w:lang w:val="es-ES"/>
        </w:rPr>
      </w:pPr>
    </w:p>
    <w:p w14:paraId="61BA8376" w14:textId="1C957FA2" w:rsidR="006C37C9" w:rsidRPr="00975C02" w:rsidRDefault="006C37C9" w:rsidP="00C8070B">
      <w:pPr>
        <w:numPr>
          <w:ilvl w:val="0"/>
          <w:numId w:val="2"/>
        </w:numPr>
        <w:tabs>
          <w:tab w:val="left" w:pos="567"/>
          <w:tab w:val="num" w:pos="12305"/>
        </w:tabs>
        <w:spacing w:line="240" w:lineRule="auto"/>
        <w:ind w:left="0" w:firstLine="0"/>
        <w:rPr>
          <w:rFonts w:eastAsia="Verdana" w:cs="Verdana"/>
          <w:sz w:val="20"/>
          <w:szCs w:val="20"/>
          <w:u w:val="single"/>
          <w:lang w:val="es-ES"/>
        </w:rPr>
      </w:pPr>
      <w:r w:rsidRPr="00975C02">
        <w:rPr>
          <w:rFonts w:eastAsia="Verdana" w:cs="Verdana"/>
          <w:i/>
          <w:sz w:val="20"/>
          <w:szCs w:val="20"/>
          <w:lang w:val="es-ES"/>
        </w:rPr>
        <w:t xml:space="preserve">Escrito de solicitudes, argumentos y pruebas. – </w:t>
      </w:r>
      <w:r w:rsidRPr="00975C02">
        <w:rPr>
          <w:rFonts w:eastAsia="Verdana" w:cs="Verdana"/>
          <w:sz w:val="20"/>
          <w:szCs w:val="20"/>
          <w:lang w:val="es-ES"/>
        </w:rPr>
        <w:t xml:space="preserve">El </w:t>
      </w:r>
      <w:r w:rsidR="004B6D26" w:rsidRPr="00975C02">
        <w:rPr>
          <w:rFonts w:eastAsia="Verdana" w:cs="Verdana"/>
          <w:sz w:val="20"/>
          <w:szCs w:val="20"/>
          <w:lang w:val="es-ES"/>
        </w:rPr>
        <w:t>2</w:t>
      </w:r>
      <w:r w:rsidR="00934195" w:rsidRPr="00975C02">
        <w:rPr>
          <w:rFonts w:eastAsia="Verdana" w:cs="Verdana"/>
          <w:sz w:val="20"/>
          <w:szCs w:val="20"/>
          <w:lang w:val="es-ES"/>
        </w:rPr>
        <w:t>7</w:t>
      </w:r>
      <w:r w:rsidRPr="00975C02">
        <w:rPr>
          <w:rFonts w:eastAsia="Verdana" w:cs="Verdana"/>
          <w:sz w:val="20"/>
          <w:szCs w:val="20"/>
          <w:lang w:val="es-ES"/>
        </w:rPr>
        <w:t xml:space="preserve"> de </w:t>
      </w:r>
      <w:r w:rsidR="00934195" w:rsidRPr="00975C02">
        <w:rPr>
          <w:rFonts w:eastAsia="Verdana" w:cs="Verdana"/>
          <w:sz w:val="20"/>
          <w:szCs w:val="20"/>
          <w:lang w:val="es-ES"/>
        </w:rPr>
        <w:t>enero</w:t>
      </w:r>
      <w:r w:rsidR="004B6D26" w:rsidRPr="00975C02">
        <w:rPr>
          <w:rFonts w:eastAsia="Verdana" w:cs="Verdana"/>
          <w:sz w:val="20"/>
          <w:szCs w:val="20"/>
          <w:lang w:val="es-ES"/>
        </w:rPr>
        <w:t xml:space="preserve"> de 2017</w:t>
      </w:r>
      <w:r w:rsidRPr="00975C02">
        <w:rPr>
          <w:rFonts w:eastAsia="Verdana" w:cs="Verdana"/>
          <w:sz w:val="20"/>
          <w:szCs w:val="20"/>
          <w:lang w:val="es-ES"/>
        </w:rPr>
        <w:t xml:space="preserve"> la</w:t>
      </w:r>
      <w:r w:rsidR="004B6D26" w:rsidRPr="00975C02">
        <w:rPr>
          <w:rFonts w:eastAsia="Verdana" w:cs="Verdana"/>
          <w:sz w:val="20"/>
          <w:szCs w:val="20"/>
          <w:lang w:val="es-ES"/>
        </w:rPr>
        <w:t>s</w:t>
      </w:r>
      <w:r w:rsidRPr="00975C02">
        <w:rPr>
          <w:rFonts w:eastAsia="Verdana" w:cs="Verdana"/>
          <w:sz w:val="20"/>
          <w:szCs w:val="20"/>
          <w:lang w:val="es-ES"/>
        </w:rPr>
        <w:t xml:space="preserve"> </w:t>
      </w:r>
      <w:r w:rsidR="002E5915" w:rsidRPr="00975C02">
        <w:rPr>
          <w:rFonts w:eastAsia="Calibri" w:cs="Arial"/>
          <w:sz w:val="20"/>
          <w:szCs w:val="20"/>
          <w:lang w:val="es-ES"/>
        </w:rPr>
        <w:t>representantes</w:t>
      </w:r>
      <w:r w:rsidRPr="00975C02">
        <w:rPr>
          <w:rFonts w:eastAsia="Verdana" w:cs="Verdana"/>
          <w:sz w:val="20"/>
          <w:szCs w:val="20"/>
          <w:lang w:val="es-ES"/>
        </w:rPr>
        <w:t xml:space="preserve"> present</w:t>
      </w:r>
      <w:r w:rsidR="004B6D26" w:rsidRPr="00975C02">
        <w:rPr>
          <w:rFonts w:eastAsia="Verdana" w:cs="Verdana"/>
          <w:sz w:val="20"/>
          <w:szCs w:val="20"/>
          <w:lang w:val="es-ES"/>
        </w:rPr>
        <w:t>aron</w:t>
      </w:r>
      <w:r w:rsidRPr="00975C02">
        <w:rPr>
          <w:rFonts w:eastAsia="Verdana" w:cs="Verdana"/>
          <w:sz w:val="20"/>
          <w:szCs w:val="20"/>
          <w:lang w:val="es-ES"/>
        </w:rPr>
        <w:t xml:space="preserve"> ante la Corte su escrito de solicitudes, argumentos y pruebas (en adelante “escrito de solicitudes y argumentos”).</w:t>
      </w:r>
      <w:r w:rsidR="00934195" w:rsidRPr="00975C02">
        <w:rPr>
          <w:rFonts w:eastAsia="Verdana" w:cs="Verdana"/>
          <w:sz w:val="20"/>
          <w:szCs w:val="20"/>
          <w:lang w:val="es-ES"/>
        </w:rPr>
        <w:t xml:space="preserve"> </w:t>
      </w:r>
      <w:r w:rsidRPr="00975C02">
        <w:rPr>
          <w:rFonts w:eastAsia="Verdana" w:cs="Verdana"/>
          <w:sz w:val="20"/>
          <w:szCs w:val="20"/>
          <w:lang w:val="es-ES"/>
        </w:rPr>
        <w:t>La</w:t>
      </w:r>
      <w:r w:rsidR="008567B4" w:rsidRPr="00975C02">
        <w:rPr>
          <w:rFonts w:eastAsia="Verdana" w:cs="Verdana"/>
          <w:sz w:val="20"/>
          <w:szCs w:val="20"/>
          <w:lang w:val="es-ES"/>
        </w:rPr>
        <w:t>s</w:t>
      </w:r>
      <w:r w:rsidRPr="00975C02">
        <w:rPr>
          <w:rFonts w:eastAsia="Verdana" w:cs="Verdana"/>
          <w:sz w:val="20"/>
          <w:szCs w:val="20"/>
          <w:lang w:val="es-ES"/>
        </w:rPr>
        <w:t xml:space="preserve"> representante</w:t>
      </w:r>
      <w:r w:rsidR="008567B4" w:rsidRPr="00975C02">
        <w:rPr>
          <w:rFonts w:eastAsia="Verdana" w:cs="Verdana"/>
          <w:sz w:val="20"/>
          <w:szCs w:val="20"/>
          <w:lang w:val="es-ES"/>
        </w:rPr>
        <w:t>s</w:t>
      </w:r>
      <w:r w:rsidRPr="00975C02">
        <w:rPr>
          <w:rFonts w:eastAsia="Verdana" w:cs="Verdana"/>
          <w:sz w:val="20"/>
          <w:szCs w:val="20"/>
          <w:lang w:val="es-ES"/>
        </w:rPr>
        <w:t xml:space="preserve"> coincidi</w:t>
      </w:r>
      <w:r w:rsidR="008567B4" w:rsidRPr="00975C02">
        <w:rPr>
          <w:rFonts w:eastAsia="Verdana" w:cs="Verdana"/>
          <w:sz w:val="20"/>
          <w:szCs w:val="20"/>
          <w:lang w:val="es-ES"/>
        </w:rPr>
        <w:t>eron</w:t>
      </w:r>
      <w:r w:rsidRPr="00975C02">
        <w:rPr>
          <w:rFonts w:eastAsia="Verdana" w:cs="Verdana"/>
          <w:sz w:val="20"/>
          <w:szCs w:val="20"/>
          <w:lang w:val="es-ES"/>
        </w:rPr>
        <w:t xml:space="preserve"> sustancialmente con los alegatos de la Comisión</w:t>
      </w:r>
      <w:r w:rsidR="00AA0646" w:rsidRPr="00975C02">
        <w:rPr>
          <w:rFonts w:eastAsia="Verdana" w:cs="Verdana"/>
          <w:sz w:val="20"/>
          <w:szCs w:val="20"/>
          <w:lang w:val="es-ES"/>
        </w:rPr>
        <w:t xml:space="preserve">. </w:t>
      </w:r>
      <w:r w:rsidR="00AA0646" w:rsidRPr="00975C02">
        <w:rPr>
          <w:sz w:val="20"/>
          <w:szCs w:val="20"/>
          <w:lang w:val="es-ES"/>
        </w:rPr>
        <w:t xml:space="preserve">Además de los derechos alegados por la Comisión, presentaron </w:t>
      </w:r>
      <w:r w:rsidR="00C946D6">
        <w:rPr>
          <w:sz w:val="20"/>
          <w:szCs w:val="20"/>
          <w:lang w:val="es-ES"/>
        </w:rPr>
        <w:t>argumentos</w:t>
      </w:r>
      <w:r w:rsidR="00AA0646" w:rsidRPr="00975C02">
        <w:rPr>
          <w:sz w:val="20"/>
          <w:szCs w:val="20"/>
          <w:lang w:val="es-ES"/>
        </w:rPr>
        <w:t xml:space="preserve"> sobre la alegada violación de la libertad de conciencia y de religión (artículo 12</w:t>
      </w:r>
      <w:r w:rsidR="00D7413D" w:rsidRPr="00975C02">
        <w:rPr>
          <w:sz w:val="20"/>
          <w:szCs w:val="20"/>
          <w:lang w:val="es-ES"/>
        </w:rPr>
        <w:t>.1</w:t>
      </w:r>
      <w:r w:rsidR="00AA0646" w:rsidRPr="00975C02">
        <w:rPr>
          <w:sz w:val="20"/>
          <w:szCs w:val="20"/>
          <w:lang w:val="es-ES"/>
        </w:rPr>
        <w:t>), del derecho a la protección a la familia (artículo 17</w:t>
      </w:r>
      <w:r w:rsidR="00D7413D" w:rsidRPr="00975C02">
        <w:rPr>
          <w:sz w:val="20"/>
          <w:szCs w:val="20"/>
          <w:lang w:val="es-ES"/>
        </w:rPr>
        <w:t>.1</w:t>
      </w:r>
      <w:r w:rsidR="00AA0646" w:rsidRPr="00975C02">
        <w:rPr>
          <w:sz w:val="20"/>
          <w:szCs w:val="20"/>
          <w:lang w:val="es-ES"/>
        </w:rPr>
        <w:t>) y del derecho de circulación y de residencia (artículo 22.</w:t>
      </w:r>
      <w:r w:rsidR="00D7413D" w:rsidRPr="00975C02">
        <w:rPr>
          <w:sz w:val="20"/>
          <w:szCs w:val="20"/>
          <w:lang w:val="es-ES"/>
        </w:rPr>
        <w:t>1</w:t>
      </w:r>
      <w:r w:rsidR="00AA0646" w:rsidRPr="00975C02">
        <w:rPr>
          <w:sz w:val="20"/>
          <w:szCs w:val="20"/>
          <w:lang w:val="es-ES"/>
        </w:rPr>
        <w:t>). Adicionalmente, presentaron alegatos sobre otros artículos de la Convención de Belém do Pará</w:t>
      </w:r>
      <w:r w:rsidR="00D7413D" w:rsidRPr="00975C02">
        <w:rPr>
          <w:sz w:val="20"/>
          <w:szCs w:val="20"/>
          <w:lang w:val="es-ES"/>
        </w:rPr>
        <w:t>, en particular</w:t>
      </w:r>
      <w:r w:rsidR="00AA0646" w:rsidRPr="00975C02">
        <w:rPr>
          <w:sz w:val="20"/>
          <w:szCs w:val="20"/>
          <w:lang w:val="es-ES"/>
        </w:rPr>
        <w:t xml:space="preserve"> los artículos 1, 2, 4.b) y 4.g), así como sobre los artículos 2.1, 3.1 y 2, 4, 16, 24.1 y 2 de la Convención sobre los Derechos del Niño. </w:t>
      </w:r>
      <w:r w:rsidRPr="00975C02">
        <w:rPr>
          <w:rFonts w:eastAsia="Verdana" w:cs="Verdana"/>
          <w:sz w:val="20"/>
          <w:szCs w:val="20"/>
          <w:lang w:val="es-ES"/>
        </w:rPr>
        <w:t xml:space="preserve">Asimismo, </w:t>
      </w:r>
      <w:r w:rsidR="00AA0646" w:rsidRPr="00975C02">
        <w:rPr>
          <w:sz w:val="20"/>
          <w:szCs w:val="20"/>
          <w:lang w:val="es-ES"/>
        </w:rPr>
        <w:t>las defensoras interamerican</w:t>
      </w:r>
      <w:r w:rsidR="00664050" w:rsidRPr="00975C02">
        <w:rPr>
          <w:sz w:val="20"/>
          <w:szCs w:val="20"/>
          <w:lang w:val="es-ES"/>
        </w:rPr>
        <w:t>a</w:t>
      </w:r>
      <w:r w:rsidR="00AA0646" w:rsidRPr="00975C02">
        <w:rPr>
          <w:sz w:val="20"/>
          <w:szCs w:val="20"/>
          <w:lang w:val="es-ES"/>
        </w:rPr>
        <w:t xml:space="preserve">s hicieron solicitudes respecto a la utilización del </w:t>
      </w:r>
      <w:r w:rsidRPr="00975C02">
        <w:rPr>
          <w:rFonts w:eastAsia="Verdana" w:cs="Verdana"/>
          <w:sz w:val="20"/>
          <w:szCs w:val="20"/>
          <w:lang w:val="es-ES"/>
        </w:rPr>
        <w:t>Fondo de Asistencia Legal de Víctimas de la Corte Interamericana (en adelante el “Fondo de Asistencia de la Corte” o el “Fondo”).</w:t>
      </w:r>
      <w:r w:rsidR="00686D6A" w:rsidRPr="00975C02">
        <w:rPr>
          <w:rFonts w:eastAsia="Verdana" w:cs="Verdana"/>
          <w:sz w:val="20"/>
          <w:szCs w:val="20"/>
          <w:lang w:val="es-ES"/>
        </w:rPr>
        <w:t xml:space="preserve"> </w:t>
      </w:r>
      <w:r w:rsidRPr="00975C02">
        <w:rPr>
          <w:rFonts w:eastAsia="Verdana" w:cs="Verdana"/>
          <w:sz w:val="20"/>
          <w:szCs w:val="20"/>
          <w:lang w:val="es-ES"/>
        </w:rPr>
        <w:t>Finalmente, solicit</w:t>
      </w:r>
      <w:r w:rsidR="00AA0646" w:rsidRPr="00975C02">
        <w:rPr>
          <w:rFonts w:eastAsia="Verdana" w:cs="Verdana"/>
          <w:sz w:val="20"/>
          <w:szCs w:val="20"/>
          <w:lang w:val="es-ES"/>
        </w:rPr>
        <w:t>aron</w:t>
      </w:r>
      <w:r w:rsidRPr="00975C02">
        <w:rPr>
          <w:rFonts w:eastAsia="Verdana" w:cs="Verdana"/>
          <w:sz w:val="20"/>
          <w:szCs w:val="20"/>
          <w:lang w:val="es-ES"/>
        </w:rPr>
        <w:t xml:space="preserve"> a la Corte que ordenara al Estado la adopción de diversas medidas de reparación y el reintegro de determinadas costas y gastos</w:t>
      </w:r>
      <w:r w:rsidR="00E60C44" w:rsidRPr="00975C02">
        <w:rPr>
          <w:rStyle w:val="FootnoteReference"/>
          <w:rFonts w:eastAsia="Verdana" w:cs="Verdana"/>
          <w:sz w:val="20"/>
          <w:szCs w:val="20"/>
          <w:lang w:val="es-ES"/>
        </w:rPr>
        <w:footnoteReference w:id="8"/>
      </w:r>
      <w:r w:rsidR="00DF5313" w:rsidRPr="00975C02">
        <w:rPr>
          <w:rFonts w:eastAsia="Verdana" w:cs="Verdana"/>
          <w:sz w:val="20"/>
          <w:szCs w:val="20"/>
          <w:lang w:val="es-ES"/>
        </w:rPr>
        <w:t>.</w:t>
      </w:r>
    </w:p>
    <w:p w14:paraId="4B522001" w14:textId="77777777" w:rsidR="006C37C9" w:rsidRPr="00975C02" w:rsidRDefault="006C37C9" w:rsidP="006C37C9">
      <w:pPr>
        <w:spacing w:before="4" w:line="240" w:lineRule="auto"/>
        <w:rPr>
          <w:sz w:val="20"/>
          <w:szCs w:val="20"/>
          <w:lang w:val="es-ES"/>
        </w:rPr>
      </w:pPr>
    </w:p>
    <w:p w14:paraId="28A2B3E9" w14:textId="77ACBEF6" w:rsidR="006C37C9" w:rsidRPr="00975C02" w:rsidRDefault="006C37C9" w:rsidP="00C8070B">
      <w:pPr>
        <w:numPr>
          <w:ilvl w:val="0"/>
          <w:numId w:val="2"/>
        </w:numPr>
        <w:tabs>
          <w:tab w:val="left" w:pos="567"/>
          <w:tab w:val="num" w:pos="12305"/>
        </w:tabs>
        <w:spacing w:line="240" w:lineRule="auto"/>
        <w:ind w:left="0" w:firstLine="0"/>
        <w:rPr>
          <w:rFonts w:eastAsia="Verdana" w:cs="Verdana"/>
          <w:i/>
          <w:sz w:val="20"/>
          <w:szCs w:val="20"/>
          <w:lang w:val="es-ES"/>
        </w:rPr>
      </w:pPr>
      <w:r w:rsidRPr="00975C02">
        <w:rPr>
          <w:rFonts w:eastAsia="Verdana" w:cs="Verdana"/>
          <w:i/>
          <w:sz w:val="20"/>
          <w:szCs w:val="20"/>
          <w:lang w:val="es-ES"/>
        </w:rPr>
        <w:lastRenderedPageBreak/>
        <w:t xml:space="preserve">Escrito de contestación. – </w:t>
      </w:r>
      <w:r w:rsidRPr="00975C02">
        <w:rPr>
          <w:rFonts w:eastAsia="Verdana" w:cs="Verdana"/>
          <w:sz w:val="20"/>
          <w:szCs w:val="20"/>
          <w:lang w:val="es-ES"/>
        </w:rPr>
        <w:t xml:space="preserve">El 16 de </w:t>
      </w:r>
      <w:r w:rsidR="00686D6A" w:rsidRPr="00975C02">
        <w:rPr>
          <w:rFonts w:eastAsia="Verdana" w:cs="Verdana"/>
          <w:sz w:val="20"/>
          <w:szCs w:val="20"/>
          <w:lang w:val="es-ES"/>
        </w:rPr>
        <w:t>mayo de 2017</w:t>
      </w:r>
      <w:r w:rsidRPr="00975C02">
        <w:rPr>
          <w:rFonts w:eastAsia="Verdana" w:cs="Verdana"/>
          <w:sz w:val="20"/>
          <w:szCs w:val="20"/>
          <w:lang w:val="es-ES"/>
        </w:rPr>
        <w:t xml:space="preserve"> el Estado</w:t>
      </w:r>
      <w:r w:rsidR="00EB3F3D" w:rsidRPr="00975C02">
        <w:rPr>
          <w:rStyle w:val="FootnoteReference"/>
          <w:rFonts w:eastAsia="Verdana" w:cs="Verdana"/>
          <w:sz w:val="20"/>
          <w:szCs w:val="20"/>
          <w:lang w:val="es-ES"/>
        </w:rPr>
        <w:footnoteReference w:id="9"/>
      </w:r>
      <w:r w:rsidRPr="00975C02">
        <w:rPr>
          <w:rFonts w:eastAsia="Verdana" w:cs="Verdana"/>
          <w:sz w:val="20"/>
          <w:szCs w:val="20"/>
          <w:lang w:val="es-ES"/>
        </w:rPr>
        <w:t xml:space="preserve"> presentó ante la Corte su </w:t>
      </w:r>
      <w:r w:rsidRPr="00975C02">
        <w:rPr>
          <w:rFonts w:eastAsia="Calibri" w:cs="Arial"/>
          <w:sz w:val="20"/>
          <w:szCs w:val="20"/>
          <w:lang w:val="es-ES"/>
        </w:rPr>
        <w:t>escrito</w:t>
      </w:r>
      <w:r w:rsidRPr="00975C02">
        <w:rPr>
          <w:rFonts w:eastAsia="Verdana" w:cs="Verdana"/>
          <w:sz w:val="20"/>
          <w:szCs w:val="20"/>
          <w:lang w:val="es-ES"/>
        </w:rPr>
        <w:t xml:space="preserve"> de contestación al sometimiento e informe de fondo de la Comisión Interamericana y al escrito de solicitudes, argumentos y pruebas de la</w:t>
      </w:r>
      <w:r w:rsidR="00CF0B81" w:rsidRPr="00975C02">
        <w:rPr>
          <w:rFonts w:eastAsia="Verdana" w:cs="Verdana"/>
          <w:sz w:val="20"/>
          <w:szCs w:val="20"/>
          <w:lang w:val="es-ES"/>
        </w:rPr>
        <w:t>s</w:t>
      </w:r>
      <w:r w:rsidRPr="00975C02">
        <w:rPr>
          <w:rFonts w:eastAsia="Verdana" w:cs="Verdana"/>
          <w:sz w:val="20"/>
          <w:szCs w:val="20"/>
          <w:lang w:val="es-ES"/>
        </w:rPr>
        <w:t xml:space="preserve"> representante</w:t>
      </w:r>
      <w:r w:rsidR="00CF0B81" w:rsidRPr="00975C02">
        <w:rPr>
          <w:rFonts w:eastAsia="Verdana" w:cs="Verdana"/>
          <w:sz w:val="20"/>
          <w:szCs w:val="20"/>
          <w:lang w:val="es-ES"/>
        </w:rPr>
        <w:t>s</w:t>
      </w:r>
      <w:r w:rsidRPr="00975C02">
        <w:rPr>
          <w:rFonts w:eastAsia="Verdana" w:cs="Verdana"/>
          <w:sz w:val="20"/>
          <w:szCs w:val="20"/>
          <w:lang w:val="es-ES"/>
        </w:rPr>
        <w:t xml:space="preserve"> (en adelante “escrito de contestación”). En dicho escrito el Estado </w:t>
      </w:r>
      <w:r w:rsidR="00CF0B81" w:rsidRPr="00975C02">
        <w:rPr>
          <w:rFonts w:eastAsia="Verdana" w:cs="Verdana"/>
          <w:sz w:val="20"/>
          <w:szCs w:val="20"/>
          <w:lang w:val="es-ES"/>
        </w:rPr>
        <w:t xml:space="preserve">opuso </w:t>
      </w:r>
      <w:r w:rsidR="00415D0D" w:rsidRPr="00975C02">
        <w:rPr>
          <w:sz w:val="20"/>
          <w:szCs w:val="20"/>
          <w:lang w:val="es-ES"/>
        </w:rPr>
        <w:t>tres excepciones preliminares y alegó ausencia de responsabilidad estatal por la presunta violación de los derechos alegados por la Comisión y por las representantes.</w:t>
      </w:r>
    </w:p>
    <w:p w14:paraId="04DCBA8E" w14:textId="77777777" w:rsidR="006C37C9" w:rsidRPr="00975C02" w:rsidRDefault="006C37C9" w:rsidP="006C37C9">
      <w:pPr>
        <w:autoSpaceDE w:val="0"/>
        <w:autoSpaceDN w:val="0"/>
        <w:spacing w:line="240" w:lineRule="auto"/>
        <w:rPr>
          <w:rFonts w:eastAsia="Verdana" w:cs="Verdana"/>
          <w:sz w:val="20"/>
          <w:szCs w:val="20"/>
          <w:lang w:val="es-ES"/>
        </w:rPr>
      </w:pPr>
    </w:p>
    <w:p w14:paraId="22ED82F3" w14:textId="2368500D" w:rsidR="006C37C9" w:rsidRPr="00975C02" w:rsidRDefault="006C37C9" w:rsidP="00C8070B">
      <w:pPr>
        <w:numPr>
          <w:ilvl w:val="0"/>
          <w:numId w:val="2"/>
        </w:numPr>
        <w:tabs>
          <w:tab w:val="left" w:pos="567"/>
          <w:tab w:val="num" w:pos="12305"/>
        </w:tabs>
        <w:spacing w:line="240" w:lineRule="auto"/>
        <w:ind w:left="0" w:firstLine="0"/>
        <w:rPr>
          <w:rFonts w:eastAsia="Verdana" w:cs="Verdana"/>
          <w:sz w:val="20"/>
          <w:szCs w:val="20"/>
          <w:lang w:val="es-ES"/>
        </w:rPr>
      </w:pPr>
      <w:r w:rsidRPr="00975C02">
        <w:rPr>
          <w:rFonts w:eastAsia="Verdana" w:cs="Verdana"/>
          <w:i/>
          <w:sz w:val="20"/>
          <w:szCs w:val="20"/>
          <w:lang w:val="es-ES"/>
        </w:rPr>
        <w:t xml:space="preserve">Observaciones a las excepciones preliminares. – </w:t>
      </w:r>
      <w:r w:rsidRPr="00975C02">
        <w:rPr>
          <w:rFonts w:eastAsia="Verdana" w:cs="Verdana"/>
          <w:sz w:val="20"/>
          <w:szCs w:val="20"/>
          <w:lang w:val="es-ES"/>
        </w:rPr>
        <w:t xml:space="preserve">Los días </w:t>
      </w:r>
      <w:r w:rsidR="002C2972" w:rsidRPr="00975C02">
        <w:rPr>
          <w:rFonts w:eastAsia="Verdana" w:cs="Verdana"/>
          <w:sz w:val="20"/>
          <w:szCs w:val="20"/>
          <w:lang w:val="es-ES"/>
        </w:rPr>
        <w:t>5</w:t>
      </w:r>
      <w:r w:rsidRPr="00975C02">
        <w:rPr>
          <w:rFonts w:eastAsia="Verdana" w:cs="Verdana"/>
          <w:sz w:val="20"/>
          <w:szCs w:val="20"/>
          <w:lang w:val="es-ES"/>
        </w:rPr>
        <w:t xml:space="preserve"> y </w:t>
      </w:r>
      <w:r w:rsidR="002C2972" w:rsidRPr="00975C02">
        <w:rPr>
          <w:rFonts w:eastAsia="Verdana" w:cs="Verdana"/>
          <w:sz w:val="20"/>
          <w:szCs w:val="20"/>
          <w:lang w:val="es-ES"/>
        </w:rPr>
        <w:t>6</w:t>
      </w:r>
      <w:r w:rsidRPr="00975C02">
        <w:rPr>
          <w:rFonts w:eastAsia="Verdana" w:cs="Verdana"/>
          <w:sz w:val="20"/>
          <w:szCs w:val="20"/>
          <w:lang w:val="es-ES"/>
        </w:rPr>
        <w:t xml:space="preserve"> de </w:t>
      </w:r>
      <w:r w:rsidR="002C2972" w:rsidRPr="00975C02">
        <w:rPr>
          <w:rFonts w:eastAsia="Verdana" w:cs="Verdana"/>
          <w:sz w:val="20"/>
          <w:szCs w:val="20"/>
          <w:lang w:val="es-ES"/>
        </w:rPr>
        <w:t>julio</w:t>
      </w:r>
      <w:r w:rsidRPr="00975C02">
        <w:rPr>
          <w:rFonts w:eastAsia="Verdana" w:cs="Verdana"/>
          <w:sz w:val="20"/>
          <w:szCs w:val="20"/>
          <w:lang w:val="es-ES"/>
        </w:rPr>
        <w:t xml:space="preserve"> de 201</w:t>
      </w:r>
      <w:r w:rsidR="002C2972" w:rsidRPr="00975C02">
        <w:rPr>
          <w:rFonts w:eastAsia="Verdana" w:cs="Verdana"/>
          <w:sz w:val="20"/>
          <w:szCs w:val="20"/>
          <w:lang w:val="es-ES"/>
        </w:rPr>
        <w:t>7</w:t>
      </w:r>
      <w:r w:rsidRPr="00975C02">
        <w:rPr>
          <w:rFonts w:eastAsia="Verdana" w:cs="Verdana"/>
          <w:sz w:val="20"/>
          <w:szCs w:val="20"/>
          <w:lang w:val="es-ES"/>
        </w:rPr>
        <w:t xml:space="preserve"> la Comisión </w:t>
      </w:r>
      <w:r w:rsidR="002C2972" w:rsidRPr="00975C02">
        <w:rPr>
          <w:rFonts w:eastAsia="Verdana" w:cs="Verdana"/>
          <w:sz w:val="20"/>
          <w:szCs w:val="20"/>
          <w:lang w:val="es-ES"/>
        </w:rPr>
        <w:t xml:space="preserve">y las </w:t>
      </w:r>
      <w:r w:rsidR="001908F8" w:rsidRPr="00975C02">
        <w:rPr>
          <w:rFonts w:eastAsia="Verdana" w:cs="Verdana"/>
          <w:sz w:val="20"/>
          <w:szCs w:val="20"/>
          <w:lang w:val="es-ES"/>
        </w:rPr>
        <w:t>representantes</w:t>
      </w:r>
      <w:r w:rsidR="002C2972" w:rsidRPr="00975C02">
        <w:rPr>
          <w:rFonts w:eastAsia="Verdana" w:cs="Verdana"/>
          <w:sz w:val="20"/>
          <w:szCs w:val="20"/>
          <w:lang w:val="es-ES"/>
        </w:rPr>
        <w:t xml:space="preserve"> </w:t>
      </w:r>
      <w:r w:rsidRPr="00975C02">
        <w:rPr>
          <w:rFonts w:eastAsia="Verdana" w:cs="Verdana"/>
          <w:sz w:val="20"/>
          <w:szCs w:val="20"/>
          <w:lang w:val="es-ES"/>
        </w:rPr>
        <w:t xml:space="preserve">presentaron, respectivamente, sus </w:t>
      </w:r>
      <w:r w:rsidRPr="00975C02">
        <w:rPr>
          <w:rFonts w:eastAsiaTheme="minorHAnsi" w:cs="Verdana"/>
          <w:sz w:val="20"/>
          <w:szCs w:val="20"/>
          <w:lang w:val="es-ES" w:eastAsia="es-ES"/>
        </w:rPr>
        <w:t>observaciones</w:t>
      </w:r>
      <w:r w:rsidRPr="00975C02">
        <w:rPr>
          <w:rFonts w:eastAsia="Verdana" w:cs="Verdana"/>
          <w:sz w:val="20"/>
          <w:szCs w:val="20"/>
          <w:lang w:val="es-ES"/>
        </w:rPr>
        <w:t xml:space="preserve"> a las excepciones preliminares opuestas por el Estado.</w:t>
      </w:r>
      <w:r w:rsidR="000070CB" w:rsidRPr="00975C02">
        <w:rPr>
          <w:rFonts w:eastAsia="Verdana" w:cs="Verdana"/>
          <w:sz w:val="20"/>
          <w:szCs w:val="20"/>
          <w:lang w:val="es-ES"/>
        </w:rPr>
        <w:t xml:space="preserve"> Las representantes se refirieron también a otros aspectos del escrito de contestación del Estado, lo cual no había sido solicitado. Además, las representantes impugnaron determinadas pruebas ofrecidas por el Estado.</w:t>
      </w:r>
    </w:p>
    <w:p w14:paraId="0CC561F2" w14:textId="77777777" w:rsidR="006C37C9" w:rsidRPr="00975C02" w:rsidRDefault="006C37C9" w:rsidP="006C37C9">
      <w:pPr>
        <w:autoSpaceDE w:val="0"/>
        <w:autoSpaceDN w:val="0"/>
        <w:spacing w:line="240" w:lineRule="auto"/>
        <w:rPr>
          <w:rFonts w:eastAsia="Verdana" w:cs="Verdana"/>
          <w:sz w:val="20"/>
          <w:szCs w:val="20"/>
          <w:lang w:val="es-ES"/>
        </w:rPr>
      </w:pPr>
    </w:p>
    <w:p w14:paraId="0B4B4733" w14:textId="5AA71D5A" w:rsidR="006C37C9" w:rsidRPr="00975C02" w:rsidRDefault="006C37C9" w:rsidP="00C8070B">
      <w:pPr>
        <w:numPr>
          <w:ilvl w:val="0"/>
          <w:numId w:val="2"/>
        </w:numPr>
        <w:tabs>
          <w:tab w:val="left" w:pos="567"/>
          <w:tab w:val="num" w:pos="12305"/>
        </w:tabs>
        <w:spacing w:line="240" w:lineRule="auto"/>
        <w:ind w:left="0" w:firstLine="0"/>
        <w:rPr>
          <w:rFonts w:eastAsia="Verdana" w:cs="Verdana"/>
          <w:sz w:val="20"/>
          <w:szCs w:val="20"/>
          <w:lang w:val="es-ES"/>
        </w:rPr>
      </w:pPr>
      <w:r w:rsidRPr="00975C02">
        <w:rPr>
          <w:rFonts w:eastAsia="Verdana" w:cs="Verdana"/>
          <w:i/>
          <w:position w:val="-1"/>
          <w:sz w:val="20"/>
          <w:szCs w:val="20"/>
          <w:lang w:val="es-ES"/>
        </w:rPr>
        <w:t xml:space="preserve">Audiencia Pública - </w:t>
      </w:r>
      <w:r w:rsidRPr="00975C02">
        <w:rPr>
          <w:rFonts w:eastAsia="Verdana" w:cs="Verdana"/>
          <w:position w:val="-1"/>
          <w:sz w:val="20"/>
          <w:szCs w:val="20"/>
          <w:lang w:val="es-ES"/>
        </w:rPr>
        <w:t>Mediante Resolución de 2</w:t>
      </w:r>
      <w:r w:rsidR="002C2972" w:rsidRPr="00975C02">
        <w:rPr>
          <w:rFonts w:eastAsia="Verdana" w:cs="Verdana"/>
          <w:position w:val="-1"/>
          <w:sz w:val="20"/>
          <w:szCs w:val="20"/>
          <w:lang w:val="es-ES"/>
        </w:rPr>
        <w:t>1</w:t>
      </w:r>
      <w:r w:rsidRPr="00975C02">
        <w:rPr>
          <w:rFonts w:eastAsia="Verdana" w:cs="Verdana"/>
          <w:position w:val="-1"/>
          <w:sz w:val="20"/>
          <w:szCs w:val="20"/>
          <w:lang w:val="es-ES"/>
        </w:rPr>
        <w:t xml:space="preserve"> de </w:t>
      </w:r>
      <w:r w:rsidR="002C2972" w:rsidRPr="00975C02">
        <w:rPr>
          <w:rFonts w:eastAsia="Verdana" w:cs="Verdana"/>
          <w:position w:val="-1"/>
          <w:sz w:val="20"/>
          <w:szCs w:val="20"/>
          <w:lang w:val="es-ES"/>
        </w:rPr>
        <w:t>septiembre de 2017</w:t>
      </w:r>
      <w:r w:rsidRPr="00975C02">
        <w:rPr>
          <w:rStyle w:val="FootnoteReference"/>
          <w:rFonts w:eastAsia="Verdana" w:cs="Verdana"/>
          <w:position w:val="-1"/>
          <w:sz w:val="20"/>
          <w:szCs w:val="20"/>
          <w:lang w:val="es-ES"/>
        </w:rPr>
        <w:footnoteReference w:id="10"/>
      </w:r>
      <w:r w:rsidRPr="00975C02">
        <w:rPr>
          <w:rFonts w:eastAsia="Verdana" w:cs="Verdana"/>
          <w:position w:val="-1"/>
          <w:sz w:val="20"/>
          <w:szCs w:val="20"/>
          <w:lang w:val="es-ES"/>
        </w:rPr>
        <w:t xml:space="preserve"> el Presidente convocó a las partes y a la Comisión Interamericana a una audiencia pública para recibir sus alegatos y observaciones finales orales sobre las excepciones preliminares y eventuales fondo, reparaciones y costas, así como para recibir las declaraciones </w:t>
      </w:r>
      <w:r w:rsidRPr="00975C02">
        <w:rPr>
          <w:rFonts w:eastAsia="Verdana" w:cs="Verdana"/>
          <w:sz w:val="20"/>
          <w:szCs w:val="20"/>
          <w:lang w:val="es-ES"/>
        </w:rPr>
        <w:t xml:space="preserve">de </w:t>
      </w:r>
      <w:r w:rsidR="002C2972" w:rsidRPr="00975C02">
        <w:rPr>
          <w:rFonts w:eastAsia="Verdana" w:cs="Verdana"/>
          <w:sz w:val="20"/>
          <w:szCs w:val="20"/>
          <w:lang w:val="es-ES"/>
        </w:rPr>
        <w:t>dos</w:t>
      </w:r>
      <w:r w:rsidRPr="00975C02">
        <w:rPr>
          <w:rFonts w:eastAsia="Verdana" w:cs="Verdana"/>
          <w:sz w:val="20"/>
          <w:szCs w:val="20"/>
          <w:lang w:val="es-ES"/>
        </w:rPr>
        <w:t xml:space="preserve"> presunta</w:t>
      </w:r>
      <w:r w:rsidR="002C2972" w:rsidRPr="00975C02">
        <w:rPr>
          <w:rFonts w:eastAsia="Verdana" w:cs="Verdana"/>
          <w:sz w:val="20"/>
          <w:szCs w:val="20"/>
          <w:lang w:val="es-ES"/>
        </w:rPr>
        <w:t>s</w:t>
      </w:r>
      <w:r w:rsidRPr="00975C02">
        <w:rPr>
          <w:rFonts w:eastAsia="Verdana" w:cs="Verdana"/>
          <w:sz w:val="20"/>
          <w:szCs w:val="20"/>
          <w:lang w:val="es-ES"/>
        </w:rPr>
        <w:t xml:space="preserve"> víctima</w:t>
      </w:r>
      <w:r w:rsidR="002C2972" w:rsidRPr="00975C02">
        <w:rPr>
          <w:rFonts w:eastAsia="Verdana" w:cs="Verdana"/>
          <w:sz w:val="20"/>
          <w:szCs w:val="20"/>
          <w:lang w:val="es-ES"/>
        </w:rPr>
        <w:t>s</w:t>
      </w:r>
      <w:r w:rsidRPr="00975C02">
        <w:rPr>
          <w:rFonts w:eastAsia="Verdana" w:cs="Verdana"/>
          <w:sz w:val="20"/>
          <w:szCs w:val="20"/>
          <w:lang w:val="es-ES"/>
        </w:rPr>
        <w:t xml:space="preserve">, </w:t>
      </w:r>
      <w:r w:rsidR="00A32354" w:rsidRPr="00975C02">
        <w:rPr>
          <w:rFonts w:eastAsia="Verdana" w:cs="Verdana"/>
          <w:sz w:val="20"/>
          <w:szCs w:val="20"/>
          <w:lang w:val="es-ES"/>
        </w:rPr>
        <w:t xml:space="preserve">de </w:t>
      </w:r>
      <w:r w:rsidRPr="00975C02">
        <w:rPr>
          <w:rFonts w:eastAsia="Verdana" w:cs="Verdana"/>
          <w:position w:val="-1"/>
          <w:sz w:val="20"/>
          <w:szCs w:val="20"/>
          <w:lang w:val="es-ES"/>
        </w:rPr>
        <w:t xml:space="preserve">un </w:t>
      </w:r>
      <w:r w:rsidR="00BC1629" w:rsidRPr="00975C02">
        <w:rPr>
          <w:rFonts w:eastAsia="Verdana" w:cs="Verdana"/>
          <w:position w:val="-1"/>
          <w:sz w:val="20"/>
          <w:szCs w:val="20"/>
          <w:lang w:val="es-ES"/>
        </w:rPr>
        <w:t>perito</w:t>
      </w:r>
      <w:r w:rsidRPr="00975C02">
        <w:rPr>
          <w:rFonts w:eastAsia="Verdana" w:cs="Verdana"/>
          <w:position w:val="-1"/>
          <w:sz w:val="20"/>
          <w:szCs w:val="20"/>
          <w:lang w:val="es-ES"/>
        </w:rPr>
        <w:t xml:space="preserve"> propuesto por </w:t>
      </w:r>
      <w:r w:rsidR="002C2972" w:rsidRPr="00975C02">
        <w:rPr>
          <w:rFonts w:eastAsia="Verdana" w:cs="Verdana"/>
          <w:position w:val="-1"/>
          <w:sz w:val="20"/>
          <w:szCs w:val="20"/>
          <w:lang w:val="es-ES"/>
        </w:rPr>
        <w:t>las</w:t>
      </w:r>
      <w:r w:rsidRPr="00975C02">
        <w:rPr>
          <w:rFonts w:eastAsia="Verdana" w:cs="Verdana"/>
          <w:position w:val="-1"/>
          <w:sz w:val="20"/>
          <w:szCs w:val="20"/>
          <w:lang w:val="es-ES"/>
        </w:rPr>
        <w:t xml:space="preserve"> </w:t>
      </w:r>
      <w:r w:rsidR="002C2972" w:rsidRPr="00975C02">
        <w:rPr>
          <w:rFonts w:eastAsia="Verdana" w:cs="Verdana"/>
          <w:position w:val="-1"/>
          <w:sz w:val="20"/>
          <w:szCs w:val="20"/>
          <w:lang w:val="es-ES"/>
        </w:rPr>
        <w:t>representantes</w:t>
      </w:r>
      <w:r w:rsidRPr="00975C02">
        <w:rPr>
          <w:rFonts w:eastAsia="Verdana" w:cs="Verdana"/>
          <w:position w:val="-1"/>
          <w:sz w:val="20"/>
          <w:szCs w:val="20"/>
          <w:lang w:val="es-ES"/>
        </w:rPr>
        <w:t xml:space="preserve"> y de </w:t>
      </w:r>
      <w:r w:rsidR="002C2972" w:rsidRPr="00975C02">
        <w:rPr>
          <w:rFonts w:eastAsia="Verdana" w:cs="Verdana"/>
          <w:position w:val="-1"/>
          <w:sz w:val="20"/>
          <w:szCs w:val="20"/>
          <w:lang w:val="es-ES"/>
        </w:rPr>
        <w:t>un perito ofrecido</w:t>
      </w:r>
      <w:r w:rsidRPr="00975C02">
        <w:rPr>
          <w:rFonts w:eastAsia="Verdana" w:cs="Verdana"/>
          <w:position w:val="-1"/>
          <w:sz w:val="20"/>
          <w:szCs w:val="20"/>
          <w:lang w:val="es-ES"/>
        </w:rPr>
        <w:t xml:space="preserve"> por la </w:t>
      </w:r>
      <w:r w:rsidR="002C2972" w:rsidRPr="00975C02">
        <w:rPr>
          <w:rFonts w:eastAsia="Verdana" w:cs="Verdana"/>
          <w:position w:val="-1"/>
          <w:sz w:val="20"/>
          <w:szCs w:val="20"/>
          <w:lang w:val="es-ES"/>
        </w:rPr>
        <w:t>Comisión</w:t>
      </w:r>
      <w:r w:rsidRPr="00975C02">
        <w:rPr>
          <w:rFonts w:eastAsia="Verdana" w:cs="Verdana"/>
          <w:position w:val="-1"/>
          <w:sz w:val="20"/>
          <w:szCs w:val="20"/>
          <w:lang w:val="es-ES"/>
        </w:rPr>
        <w:t xml:space="preserve">. </w:t>
      </w:r>
      <w:r w:rsidRPr="00975C02">
        <w:rPr>
          <w:rFonts w:eastAsia="Verdana" w:cs="Verdana"/>
          <w:sz w:val="20"/>
          <w:szCs w:val="20"/>
          <w:lang w:val="es-ES"/>
        </w:rPr>
        <w:t xml:space="preserve">La audiencia pública fue celebrada el </w:t>
      </w:r>
      <w:r w:rsidR="002C2972" w:rsidRPr="00975C02">
        <w:rPr>
          <w:rFonts w:eastAsia="Verdana" w:cs="Verdana"/>
          <w:sz w:val="20"/>
          <w:szCs w:val="20"/>
          <w:lang w:val="es-ES"/>
        </w:rPr>
        <w:t>16 y 17</w:t>
      </w:r>
      <w:r w:rsidRPr="00975C02">
        <w:rPr>
          <w:rFonts w:eastAsia="Verdana" w:cs="Verdana"/>
          <w:sz w:val="20"/>
          <w:szCs w:val="20"/>
          <w:lang w:val="es-ES"/>
        </w:rPr>
        <w:t xml:space="preserve"> de </w:t>
      </w:r>
      <w:r w:rsidR="002C2972" w:rsidRPr="00975C02">
        <w:rPr>
          <w:rFonts w:eastAsia="Verdana" w:cs="Verdana"/>
          <w:sz w:val="20"/>
          <w:szCs w:val="20"/>
          <w:lang w:val="es-ES"/>
        </w:rPr>
        <w:t>octubre de 2017</w:t>
      </w:r>
      <w:r w:rsidRPr="00975C02">
        <w:rPr>
          <w:rFonts w:eastAsia="Verdana" w:cs="Verdana"/>
          <w:sz w:val="20"/>
          <w:szCs w:val="20"/>
          <w:lang w:val="es-ES"/>
        </w:rPr>
        <w:t xml:space="preserve">, durante el </w:t>
      </w:r>
      <w:r w:rsidR="002C2972" w:rsidRPr="00975C02">
        <w:rPr>
          <w:rFonts w:eastAsia="Verdana" w:cs="Verdana"/>
          <w:sz w:val="20"/>
          <w:szCs w:val="20"/>
          <w:lang w:val="es-ES"/>
        </w:rPr>
        <w:t>58° Período Extrao</w:t>
      </w:r>
      <w:r w:rsidRPr="00975C02">
        <w:rPr>
          <w:rFonts w:eastAsia="Verdana" w:cs="Verdana"/>
          <w:sz w:val="20"/>
          <w:szCs w:val="20"/>
          <w:lang w:val="es-ES"/>
        </w:rPr>
        <w:t xml:space="preserve">rdinario de Sesiones de la Corte, llevado a cabo en </w:t>
      </w:r>
      <w:r w:rsidR="00AB59D1" w:rsidRPr="00975C02">
        <w:rPr>
          <w:rFonts w:eastAsia="Verdana" w:cs="Verdana"/>
          <w:sz w:val="20"/>
          <w:szCs w:val="20"/>
          <w:lang w:val="es-ES"/>
        </w:rPr>
        <w:t>la ciudad de Panamá, República de Panamá</w:t>
      </w:r>
      <w:r w:rsidRPr="00975C02">
        <w:rPr>
          <w:rStyle w:val="FootnoteReference"/>
          <w:rFonts w:eastAsia="Verdana" w:cs="Verdana"/>
          <w:sz w:val="20"/>
          <w:szCs w:val="20"/>
          <w:lang w:val="es-ES"/>
        </w:rPr>
        <w:footnoteReference w:id="11"/>
      </w:r>
      <w:r w:rsidRPr="00975C02">
        <w:rPr>
          <w:rFonts w:eastAsia="Verdana" w:cs="Verdana"/>
          <w:sz w:val="20"/>
          <w:szCs w:val="20"/>
          <w:lang w:val="es-ES"/>
        </w:rPr>
        <w:t xml:space="preserve">. </w:t>
      </w:r>
      <w:r w:rsidR="0093300A" w:rsidRPr="00975C02">
        <w:rPr>
          <w:rFonts w:eastAsia="Verdana" w:cs="Verdana"/>
          <w:sz w:val="20"/>
          <w:szCs w:val="20"/>
          <w:lang w:val="es-ES"/>
        </w:rPr>
        <w:t>A</w:t>
      </w:r>
      <w:r w:rsidR="0093300A" w:rsidRPr="00975C02">
        <w:rPr>
          <w:sz w:val="20"/>
          <w:lang w:val="es-ES"/>
        </w:rPr>
        <w:t xml:space="preserve">ntes de iniciar la audiencia pública del caso, se recibió la declaración de V.R.P. en privado, con la sola intervención de las partes del caso, de la Comisión Interamericana y la presencia del personal de la Secretaría indispensable para realizar dicha diligencia. Una vez concluida dicha declaración y el interrogatorio de las partes, se prosiguió con el desarrollo de la audiencia de forma pública, </w:t>
      </w:r>
      <w:r w:rsidR="0093300A" w:rsidRPr="00975C02">
        <w:rPr>
          <w:rFonts w:eastAsia="Verdana" w:cs="Verdana"/>
          <w:sz w:val="20"/>
          <w:szCs w:val="20"/>
          <w:lang w:val="es-ES"/>
        </w:rPr>
        <w:t xml:space="preserve">en la cual </w:t>
      </w:r>
      <w:r w:rsidRPr="00975C02">
        <w:rPr>
          <w:rFonts w:eastAsia="Verdana" w:cs="Verdana"/>
          <w:sz w:val="20"/>
          <w:szCs w:val="20"/>
          <w:lang w:val="es-ES"/>
        </w:rPr>
        <w:t xml:space="preserve">se recibió la declaración de </w:t>
      </w:r>
      <w:r w:rsidR="00AB59D1" w:rsidRPr="00975C02">
        <w:rPr>
          <w:rFonts w:eastAsia="Verdana" w:cs="Verdana"/>
          <w:sz w:val="20"/>
          <w:szCs w:val="20"/>
          <w:lang w:val="es-ES"/>
        </w:rPr>
        <w:t>V.P.C.</w:t>
      </w:r>
      <w:r w:rsidR="00897146" w:rsidRPr="00975C02">
        <w:rPr>
          <w:rFonts w:eastAsia="Verdana" w:cs="Verdana"/>
          <w:sz w:val="20"/>
          <w:szCs w:val="20"/>
          <w:lang w:val="es-ES"/>
        </w:rPr>
        <w:t xml:space="preserve"> y</w:t>
      </w:r>
      <w:r w:rsidR="0093300A" w:rsidRPr="00975C02">
        <w:rPr>
          <w:rFonts w:eastAsia="Verdana" w:cs="Verdana"/>
          <w:sz w:val="20"/>
          <w:szCs w:val="20"/>
          <w:lang w:val="es-ES"/>
        </w:rPr>
        <w:t xml:space="preserve"> de</w:t>
      </w:r>
      <w:r w:rsidR="00897146" w:rsidRPr="00975C02">
        <w:rPr>
          <w:rFonts w:eastAsia="Verdana" w:cs="Verdana"/>
          <w:sz w:val="20"/>
          <w:szCs w:val="20"/>
          <w:lang w:val="es-ES"/>
        </w:rPr>
        <w:t xml:space="preserve"> </w:t>
      </w:r>
      <w:r w:rsidR="00823CEB" w:rsidRPr="00975C02">
        <w:rPr>
          <w:rFonts w:eastAsia="Verdana" w:cs="Verdana"/>
          <w:sz w:val="20"/>
          <w:szCs w:val="20"/>
          <w:lang w:val="es-ES"/>
        </w:rPr>
        <w:t>l</w:t>
      </w:r>
      <w:r w:rsidR="00897146" w:rsidRPr="00975C02">
        <w:rPr>
          <w:rFonts w:eastAsia="Verdana" w:cs="Verdana"/>
          <w:sz w:val="20"/>
          <w:szCs w:val="20"/>
          <w:lang w:val="es-ES"/>
        </w:rPr>
        <w:t>os</w:t>
      </w:r>
      <w:r w:rsidRPr="00975C02">
        <w:rPr>
          <w:rFonts w:eastAsia="Verdana" w:cs="Verdana"/>
          <w:sz w:val="20"/>
          <w:szCs w:val="20"/>
          <w:lang w:val="es-ES"/>
        </w:rPr>
        <w:t xml:space="preserve"> </w:t>
      </w:r>
      <w:r w:rsidR="00897146" w:rsidRPr="00975C02">
        <w:rPr>
          <w:rFonts w:eastAsia="Verdana" w:cs="Verdana"/>
          <w:sz w:val="20"/>
          <w:szCs w:val="20"/>
          <w:lang w:val="es-ES"/>
        </w:rPr>
        <w:t>peritos</w:t>
      </w:r>
      <w:r w:rsidRPr="00975C02">
        <w:rPr>
          <w:rFonts w:eastAsia="Verdana" w:cs="Verdana"/>
          <w:sz w:val="20"/>
          <w:szCs w:val="20"/>
          <w:lang w:val="es-ES"/>
        </w:rPr>
        <w:t xml:space="preserve"> </w:t>
      </w:r>
      <w:r w:rsidR="00AB59D1" w:rsidRPr="00975C02">
        <w:rPr>
          <w:rFonts w:eastAsia="Verdana" w:cs="Verdana"/>
          <w:sz w:val="20"/>
          <w:szCs w:val="20"/>
          <w:lang w:val="es-ES"/>
        </w:rPr>
        <w:t>Enrique Oscar Stola</w:t>
      </w:r>
      <w:r w:rsidRPr="00975C02">
        <w:rPr>
          <w:rFonts w:eastAsia="Verdana" w:cs="Verdana"/>
          <w:sz w:val="20"/>
          <w:szCs w:val="20"/>
          <w:lang w:val="es-ES"/>
        </w:rPr>
        <w:t xml:space="preserve"> y </w:t>
      </w:r>
      <w:r w:rsidR="00AB59D1" w:rsidRPr="00975C02">
        <w:rPr>
          <w:rFonts w:eastAsia="Verdana" w:cs="Verdana"/>
          <w:sz w:val="20"/>
          <w:szCs w:val="20"/>
          <w:lang w:val="es-ES"/>
        </w:rPr>
        <w:t>Miguel Cillero Bruñol</w:t>
      </w:r>
      <w:r w:rsidRPr="00975C02">
        <w:rPr>
          <w:rFonts w:eastAsia="Verdana" w:cs="Verdana"/>
          <w:sz w:val="20"/>
          <w:szCs w:val="20"/>
          <w:lang w:val="es-ES"/>
        </w:rPr>
        <w:t xml:space="preserve">. </w:t>
      </w:r>
      <w:r w:rsidR="0011543E" w:rsidRPr="00975C02">
        <w:rPr>
          <w:sz w:val="20"/>
          <w:szCs w:val="20"/>
          <w:lang w:val="es-ES" w:eastAsia="es-ES"/>
        </w:rPr>
        <w:t>Asimismo, la Corte requirió a las partes que presentaran determinada información y documentación</w:t>
      </w:r>
      <w:r w:rsidR="0011543E" w:rsidRPr="00975C02">
        <w:rPr>
          <w:rFonts w:eastAsia="Batang"/>
          <w:sz w:val="20"/>
          <w:lang w:val="es-ES"/>
        </w:rPr>
        <w:t>.</w:t>
      </w:r>
      <w:r w:rsidR="0011543E" w:rsidRPr="00975C02">
        <w:rPr>
          <w:sz w:val="20"/>
          <w:szCs w:val="20"/>
          <w:lang w:val="es-ES" w:eastAsia="es-ES"/>
        </w:rPr>
        <w:t xml:space="preserve"> </w:t>
      </w:r>
      <w:r w:rsidRPr="00975C02">
        <w:rPr>
          <w:rFonts w:eastAsia="Verdana" w:cs="Verdana"/>
          <w:position w:val="-1"/>
          <w:sz w:val="20"/>
          <w:szCs w:val="20"/>
          <w:lang w:val="es-ES"/>
        </w:rPr>
        <w:t xml:space="preserve">Las declaraciones solicitadas ante fedatario público fueron recibidas </w:t>
      </w:r>
      <w:r w:rsidR="00631F29" w:rsidRPr="00975C02">
        <w:rPr>
          <w:rFonts w:eastAsia="Verdana" w:cs="Verdana"/>
          <w:position w:val="-1"/>
          <w:sz w:val="20"/>
          <w:szCs w:val="20"/>
          <w:lang w:val="es-ES"/>
        </w:rPr>
        <w:t>el 10</w:t>
      </w:r>
      <w:r w:rsidRPr="00975C02">
        <w:rPr>
          <w:rFonts w:eastAsia="Verdana" w:cs="Verdana"/>
          <w:position w:val="-1"/>
          <w:sz w:val="20"/>
          <w:szCs w:val="20"/>
          <w:lang w:val="es-ES"/>
        </w:rPr>
        <w:t xml:space="preserve"> de </w:t>
      </w:r>
      <w:r w:rsidR="00631F29" w:rsidRPr="00975C02">
        <w:rPr>
          <w:rFonts w:eastAsia="Verdana" w:cs="Verdana"/>
          <w:position w:val="-1"/>
          <w:sz w:val="20"/>
          <w:szCs w:val="20"/>
          <w:lang w:val="es-ES"/>
        </w:rPr>
        <w:t>octubre de 2017</w:t>
      </w:r>
      <w:r w:rsidRPr="00975C02">
        <w:rPr>
          <w:rFonts w:eastAsia="Verdana" w:cs="Verdana"/>
          <w:position w:val="-1"/>
          <w:sz w:val="20"/>
          <w:szCs w:val="20"/>
          <w:lang w:val="es-ES"/>
        </w:rPr>
        <w:t>.</w:t>
      </w:r>
    </w:p>
    <w:p w14:paraId="61F7318A" w14:textId="77777777" w:rsidR="006C37C9" w:rsidRPr="00975C02" w:rsidRDefault="006C37C9" w:rsidP="006C37C9">
      <w:pPr>
        <w:autoSpaceDE w:val="0"/>
        <w:autoSpaceDN w:val="0"/>
        <w:spacing w:line="240" w:lineRule="auto"/>
        <w:rPr>
          <w:rFonts w:eastAsia="Verdana" w:cs="Verdana"/>
          <w:sz w:val="20"/>
          <w:szCs w:val="20"/>
          <w:lang w:val="es-ES"/>
        </w:rPr>
      </w:pPr>
    </w:p>
    <w:p w14:paraId="633455F2" w14:textId="63A47927" w:rsidR="003765A7" w:rsidRPr="00975C02" w:rsidRDefault="003765A7" w:rsidP="00C8070B">
      <w:pPr>
        <w:numPr>
          <w:ilvl w:val="0"/>
          <w:numId w:val="2"/>
        </w:numPr>
        <w:tabs>
          <w:tab w:val="left" w:pos="567"/>
          <w:tab w:val="num" w:pos="12305"/>
        </w:tabs>
        <w:spacing w:line="240" w:lineRule="auto"/>
        <w:ind w:left="0" w:firstLine="0"/>
        <w:rPr>
          <w:rFonts w:eastAsia="Verdana" w:cs="Verdana"/>
          <w:bCs/>
          <w:sz w:val="20"/>
          <w:szCs w:val="20"/>
          <w:lang w:val="es-ES"/>
        </w:rPr>
      </w:pPr>
      <w:r w:rsidRPr="00975C02">
        <w:rPr>
          <w:rFonts w:eastAsia="Verdana" w:cs="Verdana"/>
          <w:i/>
          <w:sz w:val="20"/>
          <w:szCs w:val="20"/>
          <w:lang w:val="es-ES"/>
        </w:rPr>
        <w:t>Amic</w:t>
      </w:r>
      <w:r w:rsidR="00867066" w:rsidRPr="00975C02">
        <w:rPr>
          <w:rFonts w:eastAsia="Verdana" w:cs="Verdana"/>
          <w:i/>
          <w:sz w:val="20"/>
          <w:szCs w:val="20"/>
          <w:lang w:val="es-ES"/>
        </w:rPr>
        <w:t>i</w:t>
      </w:r>
      <w:r w:rsidRPr="00975C02">
        <w:rPr>
          <w:rFonts w:eastAsia="Verdana" w:cs="Verdana"/>
          <w:i/>
          <w:sz w:val="20"/>
          <w:szCs w:val="20"/>
          <w:lang w:val="es-ES"/>
        </w:rPr>
        <w:t xml:space="preserve"> curiae. </w:t>
      </w:r>
      <w:r w:rsidRPr="00975C02">
        <w:rPr>
          <w:rFonts w:eastAsia="Verdana" w:cs="Verdana"/>
          <w:sz w:val="20"/>
          <w:szCs w:val="20"/>
          <w:lang w:val="es-ES"/>
        </w:rPr>
        <w:t xml:space="preserve">– </w:t>
      </w:r>
      <w:r w:rsidR="0093300A" w:rsidRPr="00975C02">
        <w:rPr>
          <w:rFonts w:eastAsia="Verdana" w:cs="Verdana"/>
          <w:sz w:val="20"/>
          <w:szCs w:val="20"/>
          <w:lang w:val="es-ES"/>
        </w:rPr>
        <w:t>Se</w:t>
      </w:r>
      <w:r w:rsidRPr="00975C02">
        <w:rPr>
          <w:rFonts w:eastAsia="Verdana" w:cs="Verdana"/>
          <w:sz w:val="20"/>
          <w:szCs w:val="20"/>
          <w:lang w:val="es-ES"/>
        </w:rPr>
        <w:t xml:space="preserve"> recib</w:t>
      </w:r>
      <w:r w:rsidR="0093300A" w:rsidRPr="00975C02">
        <w:rPr>
          <w:rFonts w:eastAsia="Verdana" w:cs="Verdana"/>
          <w:sz w:val="20"/>
          <w:szCs w:val="20"/>
          <w:lang w:val="es-ES"/>
        </w:rPr>
        <w:t>ieron</w:t>
      </w:r>
      <w:r w:rsidRPr="00975C02">
        <w:rPr>
          <w:rFonts w:eastAsia="Verdana" w:cs="Verdana"/>
          <w:sz w:val="20"/>
          <w:szCs w:val="20"/>
          <w:lang w:val="es-ES"/>
        </w:rPr>
        <w:t xml:space="preserve"> escritos en calidad de </w:t>
      </w:r>
      <w:r w:rsidRPr="00975C02">
        <w:rPr>
          <w:rFonts w:eastAsia="Verdana" w:cs="Verdana"/>
          <w:i/>
          <w:sz w:val="20"/>
          <w:szCs w:val="20"/>
          <w:lang w:val="es-ES"/>
        </w:rPr>
        <w:t>amicus curiae</w:t>
      </w:r>
      <w:r w:rsidRPr="00975C02">
        <w:rPr>
          <w:rFonts w:eastAsia="Verdana" w:cs="Verdana"/>
          <w:sz w:val="20"/>
          <w:szCs w:val="20"/>
          <w:lang w:val="es-ES"/>
        </w:rPr>
        <w:t xml:space="preserve"> por parte de (1) </w:t>
      </w:r>
      <w:r w:rsidR="007D6AD8" w:rsidRPr="00975C02">
        <w:rPr>
          <w:rFonts w:cs="TimesNewRomanPSMT"/>
          <w:sz w:val="20"/>
          <w:szCs w:val="20"/>
          <w:lang w:val="es-ES"/>
        </w:rPr>
        <w:t>Muhammad Muzahidul Islam</w:t>
      </w:r>
      <w:r w:rsidRPr="00975C02">
        <w:rPr>
          <w:rFonts w:cs="TimesNewRomanPSMT"/>
          <w:sz w:val="20"/>
          <w:szCs w:val="20"/>
          <w:lang w:val="es-ES"/>
        </w:rPr>
        <w:t xml:space="preserve"> </w:t>
      </w:r>
      <w:r w:rsidR="005A3F57" w:rsidRPr="00975C02">
        <w:rPr>
          <w:rFonts w:cs="TimesNewRomanPSMT"/>
          <w:sz w:val="20"/>
          <w:szCs w:val="20"/>
          <w:lang w:val="es-ES"/>
        </w:rPr>
        <w:t>los días 16 y 20 de octubre de 2017</w:t>
      </w:r>
      <w:r w:rsidR="00B65DC0" w:rsidRPr="00975C02">
        <w:rPr>
          <w:rStyle w:val="FootnoteReference"/>
          <w:rFonts w:cs="TimesNewRomanPSMT"/>
          <w:sz w:val="20"/>
          <w:szCs w:val="20"/>
          <w:lang w:val="es-ES"/>
        </w:rPr>
        <w:footnoteReference w:id="12"/>
      </w:r>
      <w:r w:rsidR="007D6AD8" w:rsidRPr="00975C02">
        <w:rPr>
          <w:rFonts w:eastAsia="Verdana" w:cs="Verdana"/>
          <w:sz w:val="20"/>
          <w:szCs w:val="20"/>
          <w:lang w:val="es-ES"/>
        </w:rPr>
        <w:t>, y</w:t>
      </w:r>
      <w:r w:rsidRPr="00975C02">
        <w:rPr>
          <w:rFonts w:eastAsia="Verdana" w:cs="Verdana"/>
          <w:sz w:val="20"/>
          <w:szCs w:val="20"/>
          <w:lang w:val="es-ES"/>
        </w:rPr>
        <w:t xml:space="preserve"> (2)</w:t>
      </w:r>
      <w:r w:rsidRPr="00975C02">
        <w:rPr>
          <w:rFonts w:eastAsia="Verdana" w:cs="Verdana"/>
          <w:bCs/>
          <w:sz w:val="20"/>
          <w:szCs w:val="20"/>
          <w:lang w:val="es-ES"/>
        </w:rPr>
        <w:t xml:space="preserve"> </w:t>
      </w:r>
      <w:r w:rsidR="007D6AD8" w:rsidRPr="00975C02">
        <w:rPr>
          <w:rFonts w:cs="Calibri"/>
          <w:sz w:val="20"/>
          <w:szCs w:val="20"/>
          <w:lang w:val="es-ES"/>
        </w:rPr>
        <w:t>la Fundación ProBono Colombia y Gómez</w:t>
      </w:r>
      <w:r w:rsidR="002F731A" w:rsidRPr="00975C02">
        <w:rPr>
          <w:rFonts w:cs="Calibri"/>
          <w:sz w:val="20"/>
          <w:szCs w:val="20"/>
          <w:lang w:val="es-ES"/>
        </w:rPr>
        <w:t>-</w:t>
      </w:r>
      <w:r w:rsidR="00DF5313" w:rsidRPr="00975C02">
        <w:rPr>
          <w:rFonts w:cs="Calibri"/>
          <w:sz w:val="20"/>
          <w:szCs w:val="20"/>
          <w:lang w:val="es-ES"/>
        </w:rPr>
        <w:t>Pinzón</w:t>
      </w:r>
      <w:r w:rsidR="007D6AD8" w:rsidRPr="00975C02">
        <w:rPr>
          <w:rFonts w:cs="Calibri"/>
          <w:sz w:val="20"/>
          <w:szCs w:val="20"/>
          <w:lang w:val="es-ES"/>
        </w:rPr>
        <w:t xml:space="preserve"> Abogados</w:t>
      </w:r>
      <w:r w:rsidR="00B65DC0" w:rsidRPr="00975C02">
        <w:rPr>
          <w:rStyle w:val="FootnoteReference"/>
          <w:rFonts w:cs="Calibri"/>
          <w:sz w:val="20"/>
          <w:szCs w:val="20"/>
          <w:lang w:val="es-ES"/>
        </w:rPr>
        <w:footnoteReference w:id="13"/>
      </w:r>
      <w:r w:rsidRPr="00975C02">
        <w:rPr>
          <w:rFonts w:eastAsia="Verdana" w:cs="Verdana"/>
          <w:sz w:val="20"/>
          <w:szCs w:val="20"/>
          <w:lang w:val="es-ES"/>
        </w:rPr>
        <w:t xml:space="preserve"> </w:t>
      </w:r>
      <w:r w:rsidR="005A3F57" w:rsidRPr="00975C02">
        <w:rPr>
          <w:rFonts w:eastAsia="Verdana" w:cs="Verdana"/>
          <w:sz w:val="20"/>
          <w:szCs w:val="20"/>
          <w:lang w:val="es-ES"/>
        </w:rPr>
        <w:t xml:space="preserve">el </w:t>
      </w:r>
      <w:r w:rsidR="007D6AD8" w:rsidRPr="00975C02">
        <w:rPr>
          <w:rFonts w:eastAsia="Verdana" w:cs="Verdana"/>
          <w:sz w:val="20"/>
          <w:szCs w:val="20"/>
          <w:lang w:val="es-ES"/>
        </w:rPr>
        <w:t>23</w:t>
      </w:r>
      <w:r w:rsidRPr="00975C02">
        <w:rPr>
          <w:rFonts w:eastAsia="Verdana" w:cs="Verdana"/>
          <w:sz w:val="20"/>
          <w:szCs w:val="20"/>
          <w:lang w:val="es-ES"/>
        </w:rPr>
        <w:t xml:space="preserve"> de </w:t>
      </w:r>
      <w:r w:rsidR="007D6AD8" w:rsidRPr="00975C02">
        <w:rPr>
          <w:rFonts w:eastAsia="Verdana" w:cs="Verdana"/>
          <w:sz w:val="20"/>
          <w:szCs w:val="20"/>
          <w:lang w:val="es-ES"/>
        </w:rPr>
        <w:t>octubre</w:t>
      </w:r>
      <w:r w:rsidRPr="00975C02">
        <w:rPr>
          <w:rFonts w:eastAsia="Verdana" w:cs="Verdana"/>
          <w:sz w:val="20"/>
          <w:szCs w:val="20"/>
          <w:lang w:val="es-ES"/>
        </w:rPr>
        <w:t xml:space="preserve"> de 201</w:t>
      </w:r>
      <w:r w:rsidR="00FE3E45" w:rsidRPr="00975C02">
        <w:rPr>
          <w:rFonts w:eastAsia="Verdana" w:cs="Verdana"/>
          <w:sz w:val="20"/>
          <w:szCs w:val="20"/>
          <w:lang w:val="es-ES"/>
        </w:rPr>
        <w:t>7</w:t>
      </w:r>
      <w:r w:rsidR="009D3678" w:rsidRPr="00975C02">
        <w:rPr>
          <w:rStyle w:val="FootnoteReference"/>
          <w:rFonts w:eastAsia="Verdana" w:cs="Verdana"/>
          <w:sz w:val="20"/>
          <w:szCs w:val="20"/>
          <w:lang w:val="es-ES"/>
        </w:rPr>
        <w:footnoteReference w:id="14"/>
      </w:r>
      <w:r w:rsidRPr="00975C02">
        <w:rPr>
          <w:rFonts w:eastAsia="Verdana" w:cs="Verdana"/>
          <w:sz w:val="20"/>
          <w:szCs w:val="20"/>
          <w:lang w:val="es-ES"/>
        </w:rPr>
        <w:t>.</w:t>
      </w:r>
      <w:r w:rsidR="009D69C1" w:rsidRPr="00975C02">
        <w:rPr>
          <w:rFonts w:eastAsia="Verdana" w:cs="Verdana"/>
          <w:b/>
          <w:sz w:val="16"/>
          <w:szCs w:val="16"/>
          <w:lang w:val="es-ES"/>
        </w:rPr>
        <w:t xml:space="preserve"> </w:t>
      </w:r>
    </w:p>
    <w:p w14:paraId="69D20472" w14:textId="77777777" w:rsidR="003765A7" w:rsidRPr="00975C02" w:rsidRDefault="003765A7" w:rsidP="006C37C9">
      <w:pPr>
        <w:autoSpaceDE w:val="0"/>
        <w:autoSpaceDN w:val="0"/>
        <w:spacing w:line="240" w:lineRule="auto"/>
        <w:rPr>
          <w:rFonts w:eastAsia="Verdana" w:cs="Verdana"/>
          <w:sz w:val="20"/>
          <w:szCs w:val="20"/>
          <w:lang w:val="es-ES"/>
        </w:rPr>
      </w:pPr>
    </w:p>
    <w:p w14:paraId="390179F5" w14:textId="37C8A8A8" w:rsidR="006C37C9" w:rsidRPr="00975C02" w:rsidRDefault="006C37C9" w:rsidP="00C8070B">
      <w:pPr>
        <w:numPr>
          <w:ilvl w:val="0"/>
          <w:numId w:val="2"/>
        </w:numPr>
        <w:tabs>
          <w:tab w:val="left" w:pos="567"/>
          <w:tab w:val="num" w:pos="12305"/>
        </w:tabs>
        <w:spacing w:line="240" w:lineRule="auto"/>
        <w:ind w:left="0" w:firstLine="0"/>
        <w:rPr>
          <w:rFonts w:cs="Verdana"/>
          <w:snapToGrid w:val="0"/>
          <w:sz w:val="20"/>
          <w:szCs w:val="20"/>
          <w:lang w:val="es-ES" w:eastAsia="es-ES"/>
        </w:rPr>
      </w:pPr>
      <w:bookmarkStart w:id="26" w:name="_Ref354147731"/>
      <w:r w:rsidRPr="00975C02">
        <w:rPr>
          <w:rFonts w:cs="Verdana"/>
          <w:i/>
          <w:sz w:val="20"/>
          <w:szCs w:val="20"/>
          <w:lang w:val="es-ES"/>
        </w:rPr>
        <w:t xml:space="preserve">Alegatos y observaciones finales escritos. </w:t>
      </w:r>
      <w:bookmarkEnd w:id="26"/>
      <w:r w:rsidRPr="00975C02">
        <w:rPr>
          <w:rFonts w:cs="Verdana"/>
          <w:i/>
          <w:sz w:val="20"/>
          <w:szCs w:val="20"/>
          <w:lang w:val="es-ES"/>
        </w:rPr>
        <w:t xml:space="preserve">- </w:t>
      </w:r>
      <w:r w:rsidR="00581CAD" w:rsidRPr="00975C02">
        <w:rPr>
          <w:rFonts w:cs="Verdana"/>
          <w:sz w:val="20"/>
          <w:szCs w:val="20"/>
          <w:lang w:val="es-ES"/>
        </w:rPr>
        <w:t xml:space="preserve">El </w:t>
      </w:r>
      <w:r w:rsidR="009D69C1" w:rsidRPr="00975C02">
        <w:rPr>
          <w:rFonts w:cs="Verdana"/>
          <w:sz w:val="20"/>
          <w:szCs w:val="20"/>
          <w:lang w:val="es-ES"/>
        </w:rPr>
        <w:t>20</w:t>
      </w:r>
      <w:r w:rsidR="00581CAD" w:rsidRPr="00975C02">
        <w:rPr>
          <w:rFonts w:cs="Verdana"/>
          <w:sz w:val="20"/>
          <w:szCs w:val="20"/>
          <w:lang w:val="es-ES"/>
        </w:rPr>
        <w:t xml:space="preserve"> de </w:t>
      </w:r>
      <w:r w:rsidR="009D69C1" w:rsidRPr="00975C02">
        <w:rPr>
          <w:rFonts w:cs="Verdana"/>
          <w:sz w:val="20"/>
          <w:szCs w:val="20"/>
          <w:lang w:val="es-ES"/>
        </w:rPr>
        <w:t xml:space="preserve">noviembre </w:t>
      </w:r>
      <w:r w:rsidR="00581CAD" w:rsidRPr="00975C02">
        <w:rPr>
          <w:rFonts w:cs="Verdana"/>
          <w:sz w:val="20"/>
          <w:szCs w:val="20"/>
          <w:lang w:val="es-ES"/>
        </w:rPr>
        <w:t>de 2017 l</w:t>
      </w:r>
      <w:r w:rsidR="002E3E91" w:rsidRPr="00975C02">
        <w:rPr>
          <w:rFonts w:cs="Verdana"/>
          <w:sz w:val="20"/>
          <w:szCs w:val="20"/>
          <w:lang w:val="es-ES"/>
        </w:rPr>
        <w:t>a</w:t>
      </w:r>
      <w:r w:rsidR="00581CAD" w:rsidRPr="00975C02">
        <w:rPr>
          <w:rFonts w:cs="Verdana"/>
          <w:sz w:val="20"/>
          <w:szCs w:val="20"/>
          <w:lang w:val="es-ES"/>
        </w:rPr>
        <w:t>s representantes</w:t>
      </w:r>
      <w:r w:rsidR="009D69C1" w:rsidRPr="00975C02">
        <w:rPr>
          <w:rFonts w:cs="Verdana"/>
          <w:sz w:val="20"/>
          <w:szCs w:val="20"/>
          <w:lang w:val="es-ES"/>
        </w:rPr>
        <w:t xml:space="preserve"> y el Estado</w:t>
      </w:r>
      <w:r w:rsidR="00581CAD" w:rsidRPr="00975C02">
        <w:rPr>
          <w:rFonts w:cs="Verdana"/>
          <w:sz w:val="20"/>
          <w:szCs w:val="20"/>
          <w:lang w:val="es-ES"/>
        </w:rPr>
        <w:t xml:space="preserve"> remitieron sus</w:t>
      </w:r>
      <w:r w:rsidR="009D69C1" w:rsidRPr="00975C02">
        <w:rPr>
          <w:rFonts w:cs="Verdana"/>
          <w:sz w:val="20"/>
          <w:szCs w:val="20"/>
          <w:lang w:val="es-ES"/>
        </w:rPr>
        <w:t xml:space="preserve"> respectivos</w:t>
      </w:r>
      <w:r w:rsidR="00581CAD" w:rsidRPr="00975C02">
        <w:rPr>
          <w:rFonts w:cs="Verdana"/>
          <w:sz w:val="20"/>
          <w:szCs w:val="20"/>
          <w:lang w:val="es-ES"/>
        </w:rPr>
        <w:t xml:space="preserve"> alegatos finales escritos, y la Comisión presentó sus observaciones finales escritas.</w:t>
      </w:r>
    </w:p>
    <w:p w14:paraId="08B07F1A" w14:textId="77777777" w:rsidR="006C37C9" w:rsidRPr="00975C02" w:rsidRDefault="006C37C9" w:rsidP="006C37C9">
      <w:pPr>
        <w:autoSpaceDE w:val="0"/>
        <w:autoSpaceDN w:val="0"/>
        <w:spacing w:line="240" w:lineRule="auto"/>
        <w:rPr>
          <w:rFonts w:eastAsia="Batang"/>
          <w:sz w:val="20"/>
          <w:lang w:val="es-ES"/>
        </w:rPr>
      </w:pPr>
    </w:p>
    <w:p w14:paraId="7608CCC7" w14:textId="27FB068E" w:rsidR="00C92904" w:rsidRPr="00975C02" w:rsidRDefault="00C92904" w:rsidP="00581CAD">
      <w:pPr>
        <w:numPr>
          <w:ilvl w:val="0"/>
          <w:numId w:val="2"/>
        </w:numPr>
        <w:tabs>
          <w:tab w:val="left" w:pos="567"/>
          <w:tab w:val="num" w:pos="12305"/>
        </w:tabs>
        <w:spacing w:line="240" w:lineRule="auto"/>
        <w:ind w:left="0" w:firstLine="0"/>
        <w:rPr>
          <w:rFonts w:eastAsia="Batang"/>
          <w:sz w:val="20"/>
          <w:lang w:val="es-ES"/>
        </w:rPr>
      </w:pPr>
      <w:r w:rsidRPr="00975C02">
        <w:rPr>
          <w:rFonts w:eastAsia="Batang"/>
          <w:i/>
          <w:sz w:val="20"/>
          <w:lang w:val="es-ES"/>
        </w:rPr>
        <w:t xml:space="preserve">Prueba para mejor resolver. – </w:t>
      </w:r>
      <w:r w:rsidR="00581CAD" w:rsidRPr="00975C02">
        <w:rPr>
          <w:rFonts w:cs="Verdana"/>
          <w:sz w:val="20"/>
          <w:szCs w:val="20"/>
          <w:lang w:val="es-ES"/>
        </w:rPr>
        <w:t xml:space="preserve">El </w:t>
      </w:r>
      <w:r w:rsidR="009D69C1" w:rsidRPr="00975C02">
        <w:rPr>
          <w:rFonts w:cs="Verdana"/>
          <w:sz w:val="20"/>
          <w:szCs w:val="20"/>
          <w:lang w:val="es-ES"/>
        </w:rPr>
        <w:t>27</w:t>
      </w:r>
      <w:r w:rsidR="00581CAD" w:rsidRPr="00975C02">
        <w:rPr>
          <w:rFonts w:cs="Verdana"/>
          <w:sz w:val="20"/>
          <w:szCs w:val="20"/>
          <w:lang w:val="es-ES"/>
        </w:rPr>
        <w:t xml:space="preserve"> de </w:t>
      </w:r>
      <w:r w:rsidR="00581CAD" w:rsidRPr="00975C02">
        <w:rPr>
          <w:rFonts w:cs="TimesNewRomanPSMT"/>
          <w:sz w:val="20"/>
          <w:szCs w:val="20"/>
          <w:lang w:val="es-ES"/>
        </w:rPr>
        <w:t>noviembre</w:t>
      </w:r>
      <w:r w:rsidR="00581CAD" w:rsidRPr="00975C02">
        <w:rPr>
          <w:rFonts w:cs="Verdana"/>
          <w:sz w:val="20"/>
          <w:szCs w:val="20"/>
          <w:lang w:val="es-ES"/>
        </w:rPr>
        <w:t xml:space="preserve"> de 2017 el Presidente de la Corte solicitó al Estado prueba para mejor resolver. Nicaragua presentó dicha documentación el </w:t>
      </w:r>
      <w:r w:rsidR="009D69C1" w:rsidRPr="00975C02">
        <w:rPr>
          <w:rFonts w:cs="Verdana"/>
          <w:sz w:val="20"/>
          <w:szCs w:val="20"/>
          <w:lang w:val="es-ES"/>
        </w:rPr>
        <w:t>5</w:t>
      </w:r>
      <w:r w:rsidR="00581CAD" w:rsidRPr="00975C02">
        <w:rPr>
          <w:rFonts w:cs="Verdana"/>
          <w:sz w:val="20"/>
          <w:szCs w:val="20"/>
          <w:lang w:val="es-ES"/>
        </w:rPr>
        <w:t xml:space="preserve"> de diciembre de 2017.</w:t>
      </w:r>
      <w:r w:rsidR="00935CD3" w:rsidRPr="00975C02">
        <w:rPr>
          <w:rFonts w:cs="Verdana"/>
          <w:sz w:val="20"/>
          <w:szCs w:val="20"/>
          <w:lang w:val="es-ES"/>
        </w:rPr>
        <w:t xml:space="preserve"> El </w:t>
      </w:r>
      <w:r w:rsidR="00935CD3" w:rsidRPr="00975C02">
        <w:rPr>
          <w:rFonts w:eastAsia="Times"/>
          <w:sz w:val="20"/>
          <w:szCs w:val="20"/>
          <w:lang w:val="es-ES"/>
        </w:rPr>
        <w:t xml:space="preserve">15 de diciembre de 2017 el Estado remitió algunos folios faltantes y realizó aclaraciones </w:t>
      </w:r>
      <w:r w:rsidR="00935CD3" w:rsidRPr="00975C02">
        <w:rPr>
          <w:sz w:val="20"/>
          <w:szCs w:val="20"/>
          <w:lang w:val="es-ES"/>
        </w:rPr>
        <w:t>respecto de otros anexos enviados en virtud de la prueba para mejor resolver solicitada.</w:t>
      </w:r>
    </w:p>
    <w:p w14:paraId="4AA4E14F" w14:textId="77777777" w:rsidR="00C92904" w:rsidRPr="00975C02" w:rsidRDefault="00C92904" w:rsidP="006C37C9">
      <w:pPr>
        <w:autoSpaceDE w:val="0"/>
        <w:autoSpaceDN w:val="0"/>
        <w:spacing w:line="240" w:lineRule="auto"/>
        <w:rPr>
          <w:rFonts w:eastAsia="Batang"/>
          <w:sz w:val="20"/>
          <w:lang w:val="es-ES"/>
        </w:rPr>
      </w:pPr>
    </w:p>
    <w:p w14:paraId="326466A5" w14:textId="77777777" w:rsidR="006C37C9" w:rsidRPr="00975C02" w:rsidRDefault="006C37C9" w:rsidP="004546DF">
      <w:pPr>
        <w:numPr>
          <w:ilvl w:val="0"/>
          <w:numId w:val="2"/>
        </w:numPr>
        <w:tabs>
          <w:tab w:val="left" w:pos="567"/>
          <w:tab w:val="num" w:pos="12305"/>
        </w:tabs>
        <w:spacing w:line="240" w:lineRule="auto"/>
        <w:ind w:left="0" w:firstLine="0"/>
        <w:rPr>
          <w:rFonts w:cs="Verdana"/>
          <w:snapToGrid w:val="0"/>
          <w:sz w:val="20"/>
          <w:szCs w:val="20"/>
          <w:lang w:val="es-ES" w:eastAsia="es-ES"/>
        </w:rPr>
      </w:pPr>
      <w:bookmarkStart w:id="27" w:name="_Ref313990861"/>
      <w:r w:rsidRPr="00975C02">
        <w:rPr>
          <w:rFonts w:eastAsia="Batang"/>
          <w:i/>
          <w:sz w:val="20"/>
          <w:lang w:val="es-ES"/>
        </w:rPr>
        <w:t>Observaciones</w:t>
      </w:r>
      <w:r w:rsidRPr="00975C02">
        <w:rPr>
          <w:rFonts w:cs="Verdana"/>
          <w:i/>
          <w:snapToGrid w:val="0"/>
          <w:sz w:val="20"/>
          <w:szCs w:val="20"/>
          <w:lang w:val="es-ES" w:eastAsia="es-ES"/>
        </w:rPr>
        <w:t xml:space="preserve"> de las </w:t>
      </w:r>
      <w:r w:rsidR="00935CD3" w:rsidRPr="00975C02">
        <w:rPr>
          <w:rFonts w:cs="Verdana"/>
          <w:i/>
          <w:snapToGrid w:val="0"/>
          <w:sz w:val="20"/>
          <w:szCs w:val="20"/>
          <w:lang w:val="es-ES" w:eastAsia="es-ES"/>
        </w:rPr>
        <w:t>representantes</w:t>
      </w:r>
      <w:r w:rsidRPr="00975C02">
        <w:rPr>
          <w:rFonts w:cs="Verdana"/>
          <w:i/>
          <w:snapToGrid w:val="0"/>
          <w:sz w:val="20"/>
          <w:szCs w:val="20"/>
          <w:lang w:val="es-ES" w:eastAsia="es-ES"/>
        </w:rPr>
        <w:t xml:space="preserve"> y la Comisión. – </w:t>
      </w:r>
      <w:bookmarkEnd w:id="27"/>
      <w:r w:rsidR="00935CD3" w:rsidRPr="00975C02">
        <w:rPr>
          <w:rFonts w:cs="Verdana"/>
          <w:snapToGrid w:val="0"/>
          <w:sz w:val="20"/>
          <w:szCs w:val="20"/>
          <w:lang w:val="es-ES" w:eastAsia="es-ES"/>
        </w:rPr>
        <w:t xml:space="preserve">El Presidente otorgó un plazo a las representantes y a la Comisión para que presentaran las observaciones que estimaran pertinentes a la prueba para mejor resolver remitida por el Estado. </w:t>
      </w:r>
      <w:bookmarkStart w:id="28" w:name="_Ref303582878"/>
      <w:r w:rsidR="00935CD3" w:rsidRPr="00975C02">
        <w:rPr>
          <w:rFonts w:cs="Verdana"/>
          <w:snapToGrid w:val="0"/>
          <w:sz w:val="20"/>
          <w:szCs w:val="20"/>
          <w:lang w:val="es-ES" w:eastAsia="es-ES"/>
        </w:rPr>
        <w:t xml:space="preserve">El </w:t>
      </w:r>
      <w:bookmarkEnd w:id="28"/>
      <w:r w:rsidR="004546DF" w:rsidRPr="00975C02">
        <w:rPr>
          <w:rFonts w:eastAsia="Times"/>
          <w:sz w:val="20"/>
          <w:szCs w:val="20"/>
          <w:lang w:val="es-ES"/>
        </w:rPr>
        <w:t>21 de diciembre de 2017 las representantes remitieron sus observaciones sobre la documentación para mejor resolver presentada por el Estado</w:t>
      </w:r>
      <w:r w:rsidR="004546DF" w:rsidRPr="00975C02">
        <w:rPr>
          <w:sz w:val="20"/>
          <w:szCs w:val="20"/>
          <w:lang w:val="es-ES"/>
        </w:rPr>
        <w:t xml:space="preserve"> y</w:t>
      </w:r>
      <w:r w:rsidR="004546DF" w:rsidRPr="00975C02">
        <w:rPr>
          <w:rFonts w:eastAsia="Times"/>
          <w:sz w:val="20"/>
          <w:szCs w:val="20"/>
          <w:lang w:val="es-ES"/>
        </w:rPr>
        <w:t xml:space="preserve"> la Comisión señaló que no tenía observaciones que formular</w:t>
      </w:r>
      <w:r w:rsidR="00AD0DB3" w:rsidRPr="00975C02">
        <w:rPr>
          <w:rStyle w:val="FootnoteReference"/>
          <w:rFonts w:eastAsia="Times"/>
          <w:sz w:val="20"/>
          <w:szCs w:val="20"/>
          <w:lang w:val="es-ES"/>
        </w:rPr>
        <w:footnoteReference w:id="15"/>
      </w:r>
      <w:r w:rsidR="004546DF" w:rsidRPr="00975C02">
        <w:rPr>
          <w:rFonts w:eastAsia="Times"/>
          <w:sz w:val="20"/>
          <w:szCs w:val="20"/>
          <w:lang w:val="es-ES"/>
        </w:rPr>
        <w:t>.</w:t>
      </w:r>
    </w:p>
    <w:p w14:paraId="50C2A4B4" w14:textId="77777777" w:rsidR="006C37C9" w:rsidRPr="00975C02" w:rsidRDefault="006C37C9" w:rsidP="006C37C9">
      <w:pPr>
        <w:tabs>
          <w:tab w:val="left" w:pos="567"/>
          <w:tab w:val="left" w:pos="1134"/>
          <w:tab w:val="num" w:pos="6042"/>
        </w:tabs>
        <w:autoSpaceDE w:val="0"/>
        <w:autoSpaceDN w:val="0"/>
        <w:spacing w:line="240" w:lineRule="auto"/>
        <w:rPr>
          <w:rFonts w:eastAsia="Calibri" w:cs="Verdana"/>
          <w:snapToGrid w:val="0"/>
          <w:sz w:val="20"/>
          <w:szCs w:val="20"/>
          <w:lang w:val="es-ES" w:eastAsia="es-ES"/>
        </w:rPr>
      </w:pPr>
    </w:p>
    <w:p w14:paraId="56356249" w14:textId="36C6F31A" w:rsidR="006C37C9" w:rsidRPr="00975C02" w:rsidRDefault="006C37C9" w:rsidP="006C37C9">
      <w:pPr>
        <w:numPr>
          <w:ilvl w:val="0"/>
          <w:numId w:val="2"/>
        </w:numPr>
        <w:tabs>
          <w:tab w:val="left" w:pos="567"/>
          <w:tab w:val="num" w:pos="6042"/>
          <w:tab w:val="num" w:pos="12305"/>
        </w:tabs>
        <w:autoSpaceDE w:val="0"/>
        <w:autoSpaceDN w:val="0"/>
        <w:spacing w:line="240" w:lineRule="auto"/>
        <w:ind w:left="0" w:firstLine="0"/>
        <w:rPr>
          <w:rFonts w:eastAsia="Calibri" w:cs="Verdana"/>
          <w:snapToGrid w:val="0"/>
          <w:sz w:val="20"/>
          <w:szCs w:val="20"/>
          <w:lang w:val="es-ES" w:eastAsia="es-ES"/>
        </w:rPr>
      </w:pPr>
      <w:r w:rsidRPr="00975C02">
        <w:rPr>
          <w:rFonts w:cs="Verdana"/>
          <w:i/>
          <w:snapToGrid w:val="0"/>
          <w:sz w:val="20"/>
          <w:szCs w:val="20"/>
          <w:lang w:val="es-ES" w:eastAsia="es-ES"/>
        </w:rPr>
        <w:t>Erogaciones en aplicación del Fondo de Asistencia.</w:t>
      </w:r>
      <w:r w:rsidRPr="00975C02">
        <w:rPr>
          <w:rFonts w:cs="Verdana"/>
          <w:snapToGrid w:val="0"/>
          <w:sz w:val="20"/>
          <w:szCs w:val="20"/>
          <w:lang w:val="es-ES" w:eastAsia="es-ES"/>
        </w:rPr>
        <w:t xml:space="preserve"> </w:t>
      </w:r>
      <w:r w:rsidRPr="00975C02">
        <w:rPr>
          <w:rFonts w:cs="Verdana"/>
          <w:iCs/>
          <w:snapToGrid w:val="0"/>
          <w:sz w:val="20"/>
          <w:szCs w:val="20"/>
          <w:lang w:val="es-ES" w:eastAsia="es-ES"/>
        </w:rPr>
        <w:t>–</w:t>
      </w:r>
      <w:r w:rsidRPr="00975C02">
        <w:rPr>
          <w:rFonts w:cs="Verdana"/>
          <w:snapToGrid w:val="0"/>
          <w:sz w:val="20"/>
          <w:szCs w:val="20"/>
          <w:lang w:val="es-ES" w:eastAsia="es-ES"/>
        </w:rPr>
        <w:t xml:space="preserve"> </w:t>
      </w:r>
      <w:r w:rsidR="003B046D" w:rsidRPr="00975C02">
        <w:rPr>
          <w:rFonts w:cs="Verdana"/>
          <w:snapToGrid w:val="0"/>
          <w:sz w:val="20"/>
          <w:szCs w:val="20"/>
          <w:lang w:val="es-ES" w:eastAsia="es-ES"/>
        </w:rPr>
        <w:t xml:space="preserve">El </w:t>
      </w:r>
      <w:r w:rsidR="00B5399E" w:rsidRPr="00975C02">
        <w:rPr>
          <w:rFonts w:cs="Verdana"/>
          <w:snapToGrid w:val="0"/>
          <w:sz w:val="20"/>
          <w:szCs w:val="20"/>
          <w:lang w:val="es-ES" w:eastAsia="es-ES"/>
        </w:rPr>
        <w:t>15</w:t>
      </w:r>
      <w:r w:rsidR="003B046D" w:rsidRPr="00975C02">
        <w:rPr>
          <w:rFonts w:cs="Verdana"/>
          <w:snapToGrid w:val="0"/>
          <w:sz w:val="20"/>
          <w:szCs w:val="20"/>
          <w:lang w:val="es-ES" w:eastAsia="es-ES"/>
        </w:rPr>
        <w:t xml:space="preserve"> de diciembre de 2017 la Secretaría, siguiendo instrucciones del Presidente de la Corte, remitió información al Estado sobre las erogaciones </w:t>
      </w:r>
      <w:r w:rsidR="00703FA8" w:rsidRPr="00975C02">
        <w:rPr>
          <w:rFonts w:cs="Verdana"/>
          <w:snapToGrid w:val="0"/>
          <w:sz w:val="20"/>
          <w:szCs w:val="20"/>
          <w:lang w:val="es-ES" w:eastAsia="es-ES"/>
        </w:rPr>
        <w:t>efectuadas en aplicación del Fondo de Asistencia Legal de Víctimas en el presente caso</w:t>
      </w:r>
      <w:r w:rsidR="00703FA8" w:rsidRPr="00975C02" w:rsidDel="00703FA8">
        <w:rPr>
          <w:rFonts w:cs="Verdana"/>
          <w:snapToGrid w:val="0"/>
          <w:sz w:val="20"/>
          <w:szCs w:val="20"/>
          <w:lang w:val="es-ES" w:eastAsia="es-ES"/>
        </w:rPr>
        <w:t xml:space="preserve"> </w:t>
      </w:r>
      <w:r w:rsidR="003B046D" w:rsidRPr="00975C02">
        <w:rPr>
          <w:rFonts w:cs="Verdana"/>
          <w:snapToGrid w:val="0"/>
          <w:sz w:val="20"/>
          <w:szCs w:val="20"/>
          <w:lang w:val="es-ES" w:eastAsia="es-ES"/>
        </w:rPr>
        <w:t xml:space="preserve">y, según lo dispuesto en el artículo 5 del Reglamento de la Corte sobre el Funcionamiento del referido Fondo, le otorgó un plazo para presentar las observaciones que estimara pertinentes. El Estado </w:t>
      </w:r>
      <w:r w:rsidR="00B5399E" w:rsidRPr="00975C02">
        <w:rPr>
          <w:rFonts w:cs="Verdana"/>
          <w:snapToGrid w:val="0"/>
          <w:sz w:val="20"/>
          <w:szCs w:val="20"/>
          <w:lang w:val="es-ES" w:eastAsia="es-ES"/>
        </w:rPr>
        <w:t>presentó sus observaciones el 21 de diciembre de 2017.</w:t>
      </w:r>
    </w:p>
    <w:p w14:paraId="59085CA4" w14:textId="77777777" w:rsidR="00B5399E" w:rsidRPr="00975C02" w:rsidRDefault="00B5399E" w:rsidP="00B5399E">
      <w:pPr>
        <w:tabs>
          <w:tab w:val="left" w:pos="567"/>
          <w:tab w:val="num" w:pos="6042"/>
        </w:tabs>
        <w:autoSpaceDE w:val="0"/>
        <w:autoSpaceDN w:val="0"/>
        <w:spacing w:line="240" w:lineRule="auto"/>
        <w:rPr>
          <w:rFonts w:eastAsia="Calibri" w:cs="Verdana"/>
          <w:snapToGrid w:val="0"/>
          <w:sz w:val="20"/>
          <w:szCs w:val="20"/>
          <w:lang w:val="es-ES" w:eastAsia="es-ES"/>
        </w:rPr>
      </w:pPr>
    </w:p>
    <w:p w14:paraId="30D6DC6A" w14:textId="69B90BC3" w:rsidR="006C37C9" w:rsidRPr="00975C02" w:rsidRDefault="006C37C9" w:rsidP="00C8070B">
      <w:pPr>
        <w:numPr>
          <w:ilvl w:val="0"/>
          <w:numId w:val="2"/>
        </w:numPr>
        <w:tabs>
          <w:tab w:val="left" w:pos="567"/>
          <w:tab w:val="num" w:pos="12305"/>
        </w:tabs>
        <w:spacing w:line="240" w:lineRule="auto"/>
        <w:ind w:left="0" w:firstLine="0"/>
        <w:rPr>
          <w:rFonts w:cs="Verdana"/>
          <w:snapToGrid w:val="0"/>
          <w:sz w:val="20"/>
          <w:szCs w:val="20"/>
          <w:lang w:val="es-ES" w:eastAsia="es-ES"/>
        </w:rPr>
      </w:pPr>
      <w:r w:rsidRPr="00975C02">
        <w:rPr>
          <w:rFonts w:cs="Verdana"/>
          <w:i/>
          <w:snapToGrid w:val="0"/>
          <w:sz w:val="20"/>
          <w:szCs w:val="20"/>
          <w:lang w:val="es-ES" w:eastAsia="es-ES"/>
        </w:rPr>
        <w:t>Deliberación</w:t>
      </w:r>
      <w:r w:rsidRPr="00975C02">
        <w:rPr>
          <w:rFonts w:cs="Verdana"/>
          <w:i/>
          <w:iCs/>
          <w:snapToGrid w:val="0"/>
          <w:sz w:val="20"/>
          <w:szCs w:val="20"/>
          <w:lang w:val="es-ES" w:eastAsia="es-ES"/>
        </w:rPr>
        <w:t xml:space="preserve"> del presente caso. - </w:t>
      </w:r>
      <w:r w:rsidR="00393D8D" w:rsidRPr="00975C02">
        <w:rPr>
          <w:rFonts w:cs="Verdana"/>
          <w:snapToGrid w:val="0"/>
          <w:sz w:val="20"/>
          <w:szCs w:val="20"/>
          <w:lang w:val="es-ES" w:eastAsia="es-ES"/>
        </w:rPr>
        <w:t xml:space="preserve">La Corte inició la deliberación de la presente Sentencia el </w:t>
      </w:r>
      <w:r w:rsidR="00F53A20" w:rsidRPr="00975C02">
        <w:rPr>
          <w:rFonts w:cs="Verdana"/>
          <w:snapToGrid w:val="0"/>
          <w:sz w:val="20"/>
          <w:szCs w:val="20"/>
          <w:lang w:val="es-ES" w:eastAsia="es-ES"/>
        </w:rPr>
        <w:t>8</w:t>
      </w:r>
      <w:r w:rsidR="00393D8D" w:rsidRPr="00975C02">
        <w:rPr>
          <w:rFonts w:cs="Verdana"/>
          <w:snapToGrid w:val="0"/>
          <w:sz w:val="20"/>
          <w:szCs w:val="20"/>
          <w:lang w:val="es-ES" w:eastAsia="es-ES"/>
        </w:rPr>
        <w:t xml:space="preserve"> de </w:t>
      </w:r>
      <w:r w:rsidR="00B5399E" w:rsidRPr="00975C02">
        <w:rPr>
          <w:rFonts w:cs="Verdana"/>
          <w:snapToGrid w:val="0"/>
          <w:sz w:val="20"/>
          <w:szCs w:val="20"/>
          <w:lang w:val="es-ES" w:eastAsia="es-ES"/>
        </w:rPr>
        <w:t>marzo</w:t>
      </w:r>
      <w:r w:rsidR="00393D8D" w:rsidRPr="00975C02">
        <w:rPr>
          <w:rFonts w:cs="Verdana"/>
          <w:snapToGrid w:val="0"/>
          <w:sz w:val="20"/>
          <w:szCs w:val="20"/>
          <w:lang w:val="es-ES" w:eastAsia="es-ES"/>
        </w:rPr>
        <w:t xml:space="preserve"> de 2018.</w:t>
      </w:r>
    </w:p>
    <w:p w14:paraId="3DD2AA5F" w14:textId="77777777" w:rsidR="006C37C9" w:rsidRPr="00975C02" w:rsidRDefault="006C37C9" w:rsidP="00393D8D">
      <w:pPr>
        <w:spacing w:line="240" w:lineRule="auto"/>
        <w:rPr>
          <w:rFonts w:eastAsia="Verdana" w:cs="Verdana"/>
          <w:sz w:val="20"/>
          <w:szCs w:val="20"/>
          <w:lang w:val="es-ES"/>
        </w:rPr>
      </w:pPr>
    </w:p>
    <w:p w14:paraId="55DECC83" w14:textId="77777777" w:rsidR="006C37C9" w:rsidRPr="00975C02" w:rsidRDefault="006C37C9" w:rsidP="00A93967">
      <w:pPr>
        <w:keepNext/>
        <w:keepLines/>
        <w:tabs>
          <w:tab w:val="left" w:pos="851"/>
        </w:tabs>
        <w:spacing w:line="240" w:lineRule="auto"/>
        <w:jc w:val="center"/>
        <w:outlineLvl w:val="0"/>
        <w:rPr>
          <w:rFonts w:cs="Verdana"/>
          <w:b/>
          <w:bCs/>
          <w:caps/>
          <w:snapToGrid w:val="0"/>
          <w:sz w:val="20"/>
          <w:szCs w:val="20"/>
          <w:lang w:val="es-ES"/>
        </w:rPr>
      </w:pPr>
      <w:bookmarkStart w:id="29" w:name="_Toc470180034"/>
      <w:bookmarkStart w:id="30" w:name="_Toc514172591"/>
      <w:r w:rsidRPr="00975C02">
        <w:rPr>
          <w:rFonts w:cs="Verdana"/>
          <w:b/>
          <w:bCs/>
          <w:caps/>
          <w:snapToGrid w:val="0"/>
          <w:sz w:val="20"/>
          <w:szCs w:val="20"/>
          <w:lang w:val="es-ES"/>
        </w:rPr>
        <w:t>III</w:t>
      </w:r>
      <w:r w:rsidRPr="00975C02">
        <w:rPr>
          <w:rFonts w:cs="Verdana"/>
          <w:b/>
          <w:bCs/>
          <w:caps/>
          <w:snapToGrid w:val="0"/>
          <w:sz w:val="20"/>
          <w:szCs w:val="20"/>
          <w:lang w:val="es-ES"/>
        </w:rPr>
        <w:br/>
        <w:t>COMPETENCIA</w:t>
      </w:r>
      <w:bookmarkEnd w:id="29"/>
      <w:bookmarkEnd w:id="30"/>
    </w:p>
    <w:p w14:paraId="5F589ACD" w14:textId="77777777" w:rsidR="006C37C9" w:rsidRPr="00975C02" w:rsidRDefault="006C37C9" w:rsidP="006C37C9">
      <w:pPr>
        <w:spacing w:before="5" w:line="240" w:lineRule="auto"/>
        <w:rPr>
          <w:sz w:val="20"/>
          <w:szCs w:val="20"/>
          <w:lang w:val="es-ES"/>
        </w:rPr>
      </w:pPr>
    </w:p>
    <w:p w14:paraId="653782D0" w14:textId="03BAA31E" w:rsidR="006C37C9" w:rsidRPr="00975C02" w:rsidRDefault="006C37C9" w:rsidP="00C8070B">
      <w:pPr>
        <w:numPr>
          <w:ilvl w:val="0"/>
          <w:numId w:val="2"/>
        </w:numPr>
        <w:tabs>
          <w:tab w:val="left" w:pos="567"/>
          <w:tab w:val="num" w:pos="12305"/>
        </w:tabs>
        <w:spacing w:line="240" w:lineRule="auto"/>
        <w:ind w:left="0" w:firstLine="0"/>
        <w:rPr>
          <w:lang w:val="es-ES"/>
        </w:rPr>
      </w:pPr>
      <w:r w:rsidRPr="00975C02">
        <w:rPr>
          <w:sz w:val="20"/>
          <w:lang w:val="es-ES"/>
        </w:rPr>
        <w:t xml:space="preserve">La </w:t>
      </w:r>
      <w:r w:rsidRPr="00975C02">
        <w:rPr>
          <w:rFonts w:cs="Verdana"/>
          <w:snapToGrid w:val="0"/>
          <w:sz w:val="20"/>
          <w:szCs w:val="20"/>
          <w:lang w:val="es-ES" w:eastAsia="es-ES"/>
        </w:rPr>
        <w:t>Corte</w:t>
      </w:r>
      <w:r w:rsidRPr="00975C02">
        <w:rPr>
          <w:sz w:val="20"/>
          <w:lang w:val="es-ES"/>
        </w:rPr>
        <w:t xml:space="preserve"> Interamericana es competente para conocer del presente caso, en los términos del </w:t>
      </w:r>
      <w:r w:rsidRPr="00975C02">
        <w:rPr>
          <w:rFonts w:cs="Verdana"/>
          <w:snapToGrid w:val="0"/>
          <w:sz w:val="20"/>
          <w:szCs w:val="20"/>
          <w:lang w:val="es-ES" w:eastAsia="es-ES"/>
        </w:rPr>
        <w:t>artículo</w:t>
      </w:r>
      <w:r w:rsidRPr="00975C02">
        <w:rPr>
          <w:sz w:val="20"/>
          <w:lang w:val="es-ES"/>
        </w:rPr>
        <w:t xml:space="preserve"> 62.3 de la Convención Americana, </w:t>
      </w:r>
      <w:r w:rsidRPr="00975C02">
        <w:rPr>
          <w:rFonts w:cs="Verdana"/>
          <w:sz w:val="20"/>
          <w:szCs w:val="20"/>
          <w:lang w:val="es-ES"/>
        </w:rPr>
        <w:t xml:space="preserve">en razón de que </w:t>
      </w:r>
      <w:r w:rsidR="00DF4CDE" w:rsidRPr="00975C02">
        <w:rPr>
          <w:sz w:val="20"/>
          <w:lang w:val="es-ES"/>
        </w:rPr>
        <w:t>Nicaragua</w:t>
      </w:r>
      <w:r w:rsidRPr="00975C02">
        <w:rPr>
          <w:sz w:val="20"/>
          <w:lang w:val="es-ES"/>
        </w:rPr>
        <w:t xml:space="preserve"> </w:t>
      </w:r>
      <w:r w:rsidRPr="00975C02">
        <w:rPr>
          <w:rFonts w:cs="Verdana"/>
          <w:sz w:val="20"/>
          <w:szCs w:val="20"/>
          <w:lang w:val="es-ES"/>
        </w:rPr>
        <w:t xml:space="preserve">es Estado Parte de dicho instrumento desde el </w:t>
      </w:r>
      <w:r w:rsidR="00DF4CDE" w:rsidRPr="00975C02">
        <w:rPr>
          <w:sz w:val="20"/>
          <w:lang w:val="es-ES"/>
        </w:rPr>
        <w:t>25 de septiembre</w:t>
      </w:r>
      <w:r w:rsidRPr="00975C02">
        <w:rPr>
          <w:sz w:val="20"/>
          <w:lang w:val="es-ES"/>
        </w:rPr>
        <w:t xml:space="preserve"> de 1979</w:t>
      </w:r>
      <w:r w:rsidRPr="00975C02">
        <w:rPr>
          <w:rFonts w:cs="Verdana"/>
          <w:sz w:val="20"/>
          <w:szCs w:val="20"/>
          <w:lang w:val="es-ES"/>
        </w:rPr>
        <w:t xml:space="preserve">, y reconoció la competencia contenciosa de la Corte el </w:t>
      </w:r>
      <w:r w:rsidR="00DF4CDE" w:rsidRPr="00975C02">
        <w:rPr>
          <w:sz w:val="20"/>
          <w:lang w:val="es-ES"/>
        </w:rPr>
        <w:t>12 de febrero de 1991</w:t>
      </w:r>
      <w:r w:rsidRPr="00975C02">
        <w:rPr>
          <w:sz w:val="20"/>
          <w:lang w:val="es-ES"/>
        </w:rPr>
        <w:t>.</w:t>
      </w:r>
      <w:r w:rsidR="00AF089D" w:rsidRPr="00975C02">
        <w:rPr>
          <w:sz w:val="20"/>
          <w:lang w:val="es-ES"/>
        </w:rPr>
        <w:t xml:space="preserve"> </w:t>
      </w:r>
      <w:r w:rsidR="00AF089D" w:rsidRPr="00975C02">
        <w:rPr>
          <w:sz w:val="20"/>
          <w:szCs w:val="20"/>
          <w:lang w:val="es-ES"/>
        </w:rPr>
        <w:t xml:space="preserve">Además, Nicaragua </w:t>
      </w:r>
      <w:r w:rsidR="00792EAE" w:rsidRPr="00975C02">
        <w:rPr>
          <w:sz w:val="20"/>
          <w:szCs w:val="20"/>
          <w:lang w:val="es-ES"/>
        </w:rPr>
        <w:t>depositó el instrumento de ratificación</w:t>
      </w:r>
      <w:r w:rsidR="00AF089D" w:rsidRPr="00975C02">
        <w:rPr>
          <w:sz w:val="20"/>
          <w:szCs w:val="20"/>
          <w:lang w:val="es-ES"/>
        </w:rPr>
        <w:t xml:space="preserve"> de la </w:t>
      </w:r>
      <w:r w:rsidR="00AF089D" w:rsidRPr="00975C02">
        <w:rPr>
          <w:sz w:val="20"/>
          <w:szCs w:val="20"/>
          <w:lang w:val="es-ES"/>
        </w:rPr>
        <w:lastRenderedPageBreak/>
        <w:t xml:space="preserve">Convención de Belém do Pará el </w:t>
      </w:r>
      <w:r w:rsidR="00792EAE" w:rsidRPr="00975C02">
        <w:rPr>
          <w:sz w:val="20"/>
          <w:szCs w:val="20"/>
          <w:lang w:val="es-ES"/>
        </w:rPr>
        <w:t>12</w:t>
      </w:r>
      <w:r w:rsidR="00AF089D" w:rsidRPr="00975C02">
        <w:rPr>
          <w:sz w:val="20"/>
          <w:szCs w:val="20"/>
          <w:lang w:val="es-ES"/>
        </w:rPr>
        <w:t xml:space="preserve"> de </w:t>
      </w:r>
      <w:r w:rsidR="00792EAE" w:rsidRPr="00975C02">
        <w:rPr>
          <w:sz w:val="20"/>
          <w:szCs w:val="20"/>
          <w:lang w:val="es-ES"/>
        </w:rPr>
        <w:t>diciembre</w:t>
      </w:r>
      <w:r w:rsidR="00AF089D" w:rsidRPr="00975C02">
        <w:rPr>
          <w:sz w:val="20"/>
          <w:szCs w:val="20"/>
          <w:lang w:val="es-ES"/>
        </w:rPr>
        <w:t xml:space="preserve"> de 1995.</w:t>
      </w:r>
    </w:p>
    <w:p w14:paraId="1DA24553" w14:textId="77777777" w:rsidR="007A1A14" w:rsidRPr="00975C02" w:rsidRDefault="007A1A14" w:rsidP="007A1A14">
      <w:pPr>
        <w:tabs>
          <w:tab w:val="left" w:pos="720"/>
          <w:tab w:val="num" w:pos="1569"/>
        </w:tabs>
        <w:spacing w:line="240" w:lineRule="auto"/>
        <w:ind w:right="-90"/>
        <w:rPr>
          <w:sz w:val="20"/>
          <w:szCs w:val="20"/>
          <w:lang w:val="es-ES"/>
        </w:rPr>
      </w:pPr>
    </w:p>
    <w:p w14:paraId="754A39DF" w14:textId="77777777" w:rsidR="00DD00E7" w:rsidRPr="00975C02" w:rsidRDefault="00DD00E7" w:rsidP="00DD00E7">
      <w:pPr>
        <w:keepNext/>
        <w:keepLines/>
        <w:tabs>
          <w:tab w:val="left" w:pos="851"/>
        </w:tabs>
        <w:spacing w:line="240" w:lineRule="auto"/>
        <w:jc w:val="center"/>
        <w:outlineLvl w:val="0"/>
        <w:rPr>
          <w:rFonts w:cs="Verdana"/>
          <w:b/>
          <w:bCs/>
          <w:caps/>
          <w:snapToGrid w:val="0"/>
          <w:sz w:val="20"/>
          <w:szCs w:val="20"/>
          <w:lang w:val="es-ES"/>
        </w:rPr>
      </w:pPr>
      <w:bookmarkStart w:id="31" w:name="_Toc375062713"/>
      <w:bookmarkStart w:id="32" w:name="_Toc375140863"/>
      <w:bookmarkStart w:id="33" w:name="_Toc375504822"/>
      <w:bookmarkStart w:id="34" w:name="_Toc375560896"/>
      <w:bookmarkStart w:id="35" w:name="_Toc428369979"/>
      <w:bookmarkStart w:id="36" w:name="_Toc459158095"/>
      <w:bookmarkStart w:id="37" w:name="_Toc401931881"/>
      <w:bookmarkStart w:id="38" w:name="_Toc460857358"/>
      <w:bookmarkStart w:id="39" w:name="_Toc514172592"/>
      <w:r w:rsidRPr="00975C02">
        <w:rPr>
          <w:rFonts w:cs="Verdana"/>
          <w:b/>
          <w:bCs/>
          <w:caps/>
          <w:snapToGrid w:val="0"/>
          <w:sz w:val="20"/>
          <w:szCs w:val="20"/>
          <w:lang w:val="es-ES"/>
        </w:rPr>
        <w:t>IV</w:t>
      </w:r>
      <w:r w:rsidRPr="00975C02">
        <w:rPr>
          <w:rFonts w:cs="Verdana"/>
          <w:b/>
          <w:bCs/>
          <w:caps/>
          <w:snapToGrid w:val="0"/>
          <w:sz w:val="20"/>
          <w:szCs w:val="20"/>
          <w:lang w:val="es-ES"/>
        </w:rPr>
        <w:br/>
        <w:t>EXCEPCIONES PRELIMINAR</w:t>
      </w:r>
      <w:bookmarkEnd w:id="31"/>
      <w:bookmarkEnd w:id="32"/>
      <w:bookmarkEnd w:id="33"/>
      <w:bookmarkEnd w:id="34"/>
      <w:r w:rsidRPr="00975C02">
        <w:rPr>
          <w:rFonts w:cs="Verdana"/>
          <w:b/>
          <w:bCs/>
          <w:caps/>
          <w:snapToGrid w:val="0"/>
          <w:sz w:val="20"/>
          <w:szCs w:val="20"/>
          <w:lang w:val="es-ES"/>
        </w:rPr>
        <w:t>ES</w:t>
      </w:r>
      <w:bookmarkEnd w:id="35"/>
      <w:bookmarkEnd w:id="36"/>
      <w:bookmarkEnd w:id="37"/>
      <w:bookmarkEnd w:id="38"/>
      <w:bookmarkEnd w:id="39"/>
    </w:p>
    <w:p w14:paraId="3B9B0D1C" w14:textId="77777777" w:rsidR="00DD00E7" w:rsidRPr="00975C02" w:rsidRDefault="00DD00E7" w:rsidP="00DD00E7">
      <w:pPr>
        <w:widowControl/>
        <w:tabs>
          <w:tab w:val="left" w:pos="540"/>
        </w:tabs>
        <w:autoSpaceDE w:val="0"/>
        <w:autoSpaceDN w:val="0"/>
        <w:spacing w:line="240" w:lineRule="auto"/>
        <w:textAlignment w:val="auto"/>
        <w:rPr>
          <w:rFonts w:eastAsia="Batang" w:cs="Arial"/>
          <w:iCs/>
          <w:sz w:val="20"/>
          <w:szCs w:val="20"/>
          <w:lang w:val="es-ES" w:eastAsia="en-US"/>
        </w:rPr>
      </w:pPr>
    </w:p>
    <w:p w14:paraId="4652B0A1" w14:textId="6755AF15" w:rsidR="00DD00E7" w:rsidRPr="00975C02" w:rsidRDefault="00DD00E7" w:rsidP="00C8070B">
      <w:pPr>
        <w:numPr>
          <w:ilvl w:val="0"/>
          <w:numId w:val="2"/>
        </w:numPr>
        <w:tabs>
          <w:tab w:val="left" w:pos="567"/>
          <w:tab w:val="num" w:pos="12305"/>
        </w:tabs>
        <w:spacing w:line="240" w:lineRule="auto"/>
        <w:ind w:left="0" w:firstLine="0"/>
        <w:rPr>
          <w:rFonts w:eastAsia="Batang" w:cs="Arial"/>
          <w:iCs/>
          <w:sz w:val="20"/>
          <w:szCs w:val="20"/>
          <w:lang w:val="es-ES" w:eastAsia="en-US"/>
        </w:rPr>
      </w:pPr>
      <w:bookmarkStart w:id="40" w:name="_Ref487106063"/>
      <w:r w:rsidRPr="00975C02">
        <w:rPr>
          <w:rFonts w:eastAsia="Batang" w:cs="Arial"/>
          <w:iCs/>
          <w:sz w:val="20"/>
          <w:szCs w:val="20"/>
          <w:lang w:val="es-ES" w:eastAsia="en-US"/>
        </w:rPr>
        <w:t>El Estado presentó</w:t>
      </w:r>
      <w:r w:rsidR="00306B01" w:rsidRPr="00975C02">
        <w:rPr>
          <w:rFonts w:eastAsia="Batang" w:cs="Arial"/>
          <w:iCs/>
          <w:sz w:val="20"/>
          <w:szCs w:val="20"/>
          <w:lang w:val="es-ES" w:eastAsia="en-US"/>
        </w:rPr>
        <w:t xml:space="preserve"> las siguientes</w:t>
      </w:r>
      <w:r w:rsidRPr="00975C02">
        <w:rPr>
          <w:rFonts w:eastAsia="Batang" w:cs="Arial"/>
          <w:iCs/>
          <w:sz w:val="20"/>
          <w:szCs w:val="20"/>
          <w:lang w:val="es-ES" w:eastAsia="en-US"/>
        </w:rPr>
        <w:t xml:space="preserve"> excepciones preliminares</w:t>
      </w:r>
      <w:r w:rsidR="00306B01" w:rsidRPr="00975C02">
        <w:rPr>
          <w:rFonts w:eastAsia="Batang" w:cs="Arial"/>
          <w:iCs/>
          <w:sz w:val="20"/>
          <w:szCs w:val="20"/>
          <w:lang w:val="es-ES" w:eastAsia="en-US"/>
        </w:rPr>
        <w:t xml:space="preserve"> en su escrito de contestación</w:t>
      </w:r>
      <w:r w:rsidRPr="00975C02">
        <w:rPr>
          <w:rFonts w:eastAsia="Batang" w:cs="Arial"/>
          <w:iCs/>
          <w:sz w:val="20"/>
          <w:szCs w:val="20"/>
          <w:lang w:val="es-ES" w:eastAsia="en-US"/>
        </w:rPr>
        <w:t xml:space="preserve">: </w:t>
      </w:r>
      <w:r w:rsidR="00C8094A" w:rsidRPr="00975C02">
        <w:rPr>
          <w:rFonts w:eastAsia="Batang" w:cs="Arial"/>
          <w:iCs/>
          <w:sz w:val="20"/>
          <w:szCs w:val="20"/>
          <w:lang w:val="es-ES" w:eastAsia="en-US"/>
        </w:rPr>
        <w:t>la alegada falta de</w:t>
      </w:r>
      <w:r w:rsidR="0026739F" w:rsidRPr="00975C02">
        <w:rPr>
          <w:rFonts w:eastAsia="Batang" w:cs="Arial"/>
          <w:iCs/>
          <w:sz w:val="20"/>
          <w:szCs w:val="20"/>
          <w:lang w:val="es-ES" w:eastAsia="en-US"/>
        </w:rPr>
        <w:t xml:space="preserve"> agotamiento de los recursos internos; la </w:t>
      </w:r>
      <w:r w:rsidR="00C8094A" w:rsidRPr="00975C02">
        <w:rPr>
          <w:rFonts w:eastAsia="Batang" w:cs="Arial"/>
          <w:iCs/>
          <w:sz w:val="20"/>
          <w:szCs w:val="20"/>
          <w:lang w:val="es-ES" w:eastAsia="en-US"/>
        </w:rPr>
        <w:t xml:space="preserve">alegada falta de competencia </w:t>
      </w:r>
      <w:r w:rsidR="00C8094A" w:rsidRPr="00975C02">
        <w:rPr>
          <w:rFonts w:eastAsia="Batang" w:cs="Arial"/>
          <w:i/>
          <w:iCs/>
          <w:sz w:val="20"/>
          <w:szCs w:val="20"/>
          <w:lang w:val="es-ES" w:eastAsia="en-US"/>
        </w:rPr>
        <w:t>ratione temporis</w:t>
      </w:r>
      <w:r w:rsidR="0026739F" w:rsidRPr="00975C02">
        <w:rPr>
          <w:rFonts w:eastAsia="Batang" w:cs="Arial"/>
          <w:iCs/>
          <w:sz w:val="20"/>
          <w:szCs w:val="20"/>
          <w:lang w:val="es-ES" w:eastAsia="en-US"/>
        </w:rPr>
        <w:t xml:space="preserve"> de la Comisión y de la Corte Interamericana, y la</w:t>
      </w:r>
      <w:r w:rsidR="00C8094A" w:rsidRPr="00975C02">
        <w:rPr>
          <w:rFonts w:eastAsia="Batang" w:cs="Arial"/>
          <w:iCs/>
          <w:sz w:val="20"/>
          <w:szCs w:val="20"/>
          <w:lang w:val="es-ES" w:eastAsia="en-US"/>
        </w:rPr>
        <w:t xml:space="preserve"> alegada falta de</w:t>
      </w:r>
      <w:r w:rsidR="0026739F" w:rsidRPr="00975C02">
        <w:rPr>
          <w:rFonts w:eastAsia="Batang" w:cs="Arial"/>
          <w:iCs/>
          <w:sz w:val="20"/>
          <w:szCs w:val="20"/>
          <w:lang w:val="es-ES" w:eastAsia="en-US"/>
        </w:rPr>
        <w:t xml:space="preserve"> competencia </w:t>
      </w:r>
      <w:r w:rsidR="0026739F" w:rsidRPr="00975C02">
        <w:rPr>
          <w:rFonts w:eastAsia="Batang" w:cs="Arial"/>
          <w:i/>
          <w:iCs/>
          <w:sz w:val="20"/>
          <w:szCs w:val="20"/>
          <w:lang w:val="es-ES" w:eastAsia="en-US"/>
        </w:rPr>
        <w:t>ratione materiae</w:t>
      </w:r>
      <w:r w:rsidR="0026739F" w:rsidRPr="00975C02">
        <w:rPr>
          <w:rFonts w:eastAsia="Batang" w:cs="Arial"/>
          <w:iCs/>
          <w:sz w:val="20"/>
          <w:szCs w:val="20"/>
          <w:lang w:val="es-ES" w:eastAsia="en-US"/>
        </w:rPr>
        <w:t xml:space="preserve"> de la Corte en relación con la </w:t>
      </w:r>
      <w:r w:rsidR="00C8094A" w:rsidRPr="00975C02">
        <w:rPr>
          <w:rFonts w:eastAsia="Batang" w:cs="Arial"/>
          <w:iCs/>
          <w:sz w:val="20"/>
          <w:szCs w:val="20"/>
          <w:lang w:val="es-ES" w:eastAsia="en-US"/>
        </w:rPr>
        <w:t xml:space="preserve">presunta </w:t>
      </w:r>
      <w:r w:rsidR="0026739F" w:rsidRPr="00975C02">
        <w:rPr>
          <w:rFonts w:eastAsia="Batang" w:cs="Arial"/>
          <w:iCs/>
          <w:sz w:val="20"/>
          <w:szCs w:val="20"/>
          <w:lang w:val="es-ES" w:eastAsia="en-US"/>
        </w:rPr>
        <w:t>violación de artículos de la Convención sobr</w:t>
      </w:r>
      <w:r w:rsidR="00777F26" w:rsidRPr="00975C02">
        <w:rPr>
          <w:rFonts w:eastAsia="Batang" w:cs="Arial"/>
          <w:iCs/>
          <w:sz w:val="20"/>
          <w:szCs w:val="20"/>
          <w:lang w:val="es-ES" w:eastAsia="en-US"/>
        </w:rPr>
        <w:t>e los Derechos del Niño</w:t>
      </w:r>
      <w:r w:rsidRPr="00975C02">
        <w:rPr>
          <w:rFonts w:eastAsia="Batang" w:cs="Arial"/>
          <w:iCs/>
          <w:sz w:val="20"/>
          <w:szCs w:val="20"/>
          <w:lang w:val="es-ES" w:eastAsia="en-US"/>
        </w:rPr>
        <w:t>.</w:t>
      </w:r>
      <w:bookmarkEnd w:id="40"/>
      <w:r w:rsidR="004D1430" w:rsidRPr="00975C02">
        <w:rPr>
          <w:rFonts w:eastAsia="Batang" w:cs="Arial"/>
          <w:iCs/>
          <w:sz w:val="20"/>
          <w:szCs w:val="20"/>
          <w:lang w:val="es-ES" w:eastAsia="en-US"/>
        </w:rPr>
        <w:t xml:space="preserve"> La Corte resolverá las excepciones en ese mismo orden.</w:t>
      </w:r>
    </w:p>
    <w:p w14:paraId="6D4EF8F0" w14:textId="77777777" w:rsidR="00DD00E7" w:rsidRPr="00975C02" w:rsidRDefault="00DD00E7" w:rsidP="00DD00E7">
      <w:pPr>
        <w:widowControl/>
        <w:tabs>
          <w:tab w:val="left" w:pos="567"/>
        </w:tabs>
        <w:autoSpaceDE w:val="0"/>
        <w:autoSpaceDN w:val="0"/>
        <w:adjustRightInd/>
        <w:spacing w:line="240" w:lineRule="auto"/>
        <w:textAlignment w:val="auto"/>
        <w:rPr>
          <w:rFonts w:eastAsia="Batang" w:cs="Arial"/>
          <w:b/>
          <w:iCs/>
          <w:sz w:val="20"/>
          <w:szCs w:val="20"/>
          <w:lang w:val="es-ES" w:eastAsia="en-US"/>
        </w:rPr>
      </w:pPr>
    </w:p>
    <w:p w14:paraId="09B0F0F9" w14:textId="77777777" w:rsidR="00DD00E7" w:rsidRPr="00975C02" w:rsidRDefault="0026739F" w:rsidP="00DD00E7">
      <w:pPr>
        <w:keepNext/>
        <w:keepLines/>
        <w:tabs>
          <w:tab w:val="left" w:pos="1134"/>
        </w:tabs>
        <w:spacing w:line="240" w:lineRule="auto"/>
        <w:ind w:left="567" w:firstLine="1"/>
        <w:outlineLvl w:val="1"/>
        <w:rPr>
          <w:rFonts w:eastAsia="MS Mincho"/>
          <w:b/>
          <w:bCs/>
          <w:i/>
          <w:sz w:val="20"/>
          <w:szCs w:val="20"/>
          <w:lang w:val="es-ES"/>
        </w:rPr>
      </w:pPr>
      <w:bookmarkStart w:id="41" w:name="_Toc401931886"/>
      <w:bookmarkStart w:id="42" w:name="_Toc428369983"/>
      <w:bookmarkStart w:id="43" w:name="_Toc459158099"/>
      <w:bookmarkStart w:id="44" w:name="_Toc460857359"/>
      <w:bookmarkStart w:id="45" w:name="_Toc514172593"/>
      <w:r w:rsidRPr="00975C02">
        <w:rPr>
          <w:rFonts w:eastAsia="MS Mincho"/>
          <w:b/>
          <w:bCs/>
          <w:i/>
          <w:sz w:val="20"/>
          <w:szCs w:val="20"/>
          <w:lang w:val="es-ES"/>
        </w:rPr>
        <w:t>A</w:t>
      </w:r>
      <w:r w:rsidR="00DD00E7" w:rsidRPr="00975C02">
        <w:rPr>
          <w:rFonts w:eastAsia="MS Mincho"/>
          <w:b/>
          <w:bCs/>
          <w:i/>
          <w:sz w:val="20"/>
          <w:szCs w:val="20"/>
          <w:lang w:val="es-ES"/>
        </w:rPr>
        <w:t>.</w:t>
      </w:r>
      <w:r w:rsidR="00DD00E7" w:rsidRPr="00975C02">
        <w:rPr>
          <w:rFonts w:eastAsia="MS Mincho"/>
          <w:b/>
          <w:bCs/>
          <w:i/>
          <w:sz w:val="20"/>
          <w:szCs w:val="20"/>
          <w:lang w:val="es-ES"/>
        </w:rPr>
        <w:tab/>
        <w:t>Excepción sobre la alegada</w:t>
      </w:r>
      <w:bookmarkEnd w:id="41"/>
      <w:bookmarkEnd w:id="42"/>
      <w:bookmarkEnd w:id="43"/>
      <w:bookmarkEnd w:id="44"/>
      <w:r w:rsidR="00DD00E7" w:rsidRPr="00975C02">
        <w:rPr>
          <w:rFonts w:eastAsia="MS Mincho"/>
          <w:b/>
          <w:bCs/>
          <w:i/>
          <w:sz w:val="20"/>
          <w:szCs w:val="20"/>
          <w:lang w:val="es-ES"/>
        </w:rPr>
        <w:t xml:space="preserve"> falta de agotamiento de los recursos internos</w:t>
      </w:r>
      <w:bookmarkEnd w:id="45"/>
    </w:p>
    <w:p w14:paraId="64193594" w14:textId="77777777" w:rsidR="00DD00E7" w:rsidRPr="00975C02" w:rsidRDefault="00DD00E7" w:rsidP="00DD00E7">
      <w:pPr>
        <w:tabs>
          <w:tab w:val="left" w:pos="720"/>
        </w:tabs>
        <w:spacing w:line="240" w:lineRule="auto"/>
        <w:rPr>
          <w:bCs/>
          <w:sz w:val="20"/>
          <w:szCs w:val="20"/>
          <w:lang w:val="es-ES"/>
        </w:rPr>
      </w:pPr>
    </w:p>
    <w:p w14:paraId="362966A7" w14:textId="77777777" w:rsidR="00DD00E7" w:rsidRPr="00975C02" w:rsidRDefault="0026739F" w:rsidP="00C607DD">
      <w:pPr>
        <w:pStyle w:val="Heading2"/>
        <w:tabs>
          <w:tab w:val="left" w:pos="1843"/>
        </w:tabs>
        <w:spacing w:before="0" w:line="240" w:lineRule="auto"/>
        <w:ind w:left="1134"/>
        <w:rPr>
          <w:rFonts w:ascii="Verdana" w:hAnsi="Verdana"/>
          <w:b w:val="0"/>
          <w:i/>
          <w:color w:val="auto"/>
          <w:sz w:val="20"/>
          <w:szCs w:val="20"/>
          <w:lang w:val="es-ES"/>
        </w:rPr>
      </w:pPr>
      <w:bookmarkStart w:id="46" w:name="_Toc459158100"/>
      <w:bookmarkStart w:id="47" w:name="_Toc460857360"/>
      <w:bookmarkStart w:id="48" w:name="_Toc514172594"/>
      <w:r w:rsidRPr="00975C02">
        <w:rPr>
          <w:rFonts w:ascii="Verdana" w:hAnsi="Verdana"/>
          <w:b w:val="0"/>
          <w:i/>
          <w:color w:val="auto"/>
          <w:sz w:val="20"/>
          <w:szCs w:val="20"/>
          <w:lang w:val="es-ES"/>
        </w:rPr>
        <w:t>A</w:t>
      </w:r>
      <w:r w:rsidR="00DD00E7" w:rsidRPr="00975C02">
        <w:rPr>
          <w:rFonts w:ascii="Verdana" w:hAnsi="Verdana"/>
          <w:b w:val="0"/>
          <w:i/>
          <w:color w:val="auto"/>
          <w:sz w:val="20"/>
          <w:szCs w:val="20"/>
          <w:lang w:val="es-ES"/>
        </w:rPr>
        <w:t xml:space="preserve">.1 </w:t>
      </w:r>
      <w:r w:rsidR="00C607DD" w:rsidRPr="00975C02">
        <w:rPr>
          <w:rFonts w:ascii="Verdana" w:hAnsi="Verdana"/>
          <w:b w:val="0"/>
          <w:i/>
          <w:color w:val="auto"/>
          <w:sz w:val="20"/>
          <w:szCs w:val="20"/>
          <w:lang w:val="es-ES"/>
        </w:rPr>
        <w:tab/>
      </w:r>
      <w:r w:rsidR="00DD00E7" w:rsidRPr="00975C02">
        <w:rPr>
          <w:rFonts w:ascii="Verdana" w:hAnsi="Verdana"/>
          <w:b w:val="0"/>
          <w:i/>
          <w:color w:val="auto"/>
          <w:sz w:val="20"/>
          <w:szCs w:val="20"/>
          <w:lang w:val="es-ES"/>
        </w:rPr>
        <w:t>Alegatos del Estado y observaciones de la Comisión y las representante</w:t>
      </w:r>
      <w:bookmarkEnd w:id="46"/>
      <w:bookmarkEnd w:id="47"/>
      <w:r w:rsidR="00DD00E7" w:rsidRPr="00975C02">
        <w:rPr>
          <w:rFonts w:ascii="Verdana" w:hAnsi="Verdana"/>
          <w:b w:val="0"/>
          <w:i/>
          <w:color w:val="auto"/>
          <w:sz w:val="20"/>
          <w:szCs w:val="20"/>
          <w:lang w:val="es-ES"/>
        </w:rPr>
        <w:t>s</w:t>
      </w:r>
      <w:bookmarkEnd w:id="48"/>
    </w:p>
    <w:p w14:paraId="6D53E01E" w14:textId="77777777" w:rsidR="00DD00E7" w:rsidRPr="00975C02" w:rsidRDefault="00DD00E7" w:rsidP="00DD00E7">
      <w:pPr>
        <w:tabs>
          <w:tab w:val="left" w:pos="720"/>
        </w:tabs>
        <w:spacing w:line="240" w:lineRule="auto"/>
        <w:rPr>
          <w:bCs/>
          <w:sz w:val="20"/>
          <w:szCs w:val="20"/>
          <w:lang w:val="es-ES"/>
        </w:rPr>
      </w:pPr>
    </w:p>
    <w:p w14:paraId="45C9DBBB" w14:textId="394CC1AF" w:rsidR="00DD00E7" w:rsidRPr="00975C02" w:rsidRDefault="00DD00E7" w:rsidP="00C8070B">
      <w:pPr>
        <w:pStyle w:val="ListParagraph"/>
        <w:numPr>
          <w:ilvl w:val="0"/>
          <w:numId w:val="2"/>
        </w:numPr>
        <w:tabs>
          <w:tab w:val="left" w:pos="567"/>
        </w:tabs>
        <w:spacing w:line="240" w:lineRule="auto"/>
        <w:ind w:left="0" w:firstLine="0"/>
        <w:contextualSpacing/>
        <w:rPr>
          <w:sz w:val="16"/>
          <w:szCs w:val="16"/>
          <w:lang w:val="es-ES"/>
        </w:rPr>
      </w:pPr>
      <w:r w:rsidRPr="00975C02">
        <w:rPr>
          <w:rFonts w:cs="Verdana,Italic"/>
          <w:iCs/>
          <w:sz w:val="20"/>
          <w:szCs w:val="20"/>
          <w:lang w:val="es-ES" w:eastAsia="en-US"/>
        </w:rPr>
        <w:t xml:space="preserve">El </w:t>
      </w:r>
      <w:r w:rsidRPr="00975C02">
        <w:rPr>
          <w:rFonts w:eastAsia="Calibri" w:cs="Arial"/>
          <w:b/>
          <w:i/>
          <w:sz w:val="20"/>
          <w:szCs w:val="20"/>
          <w:lang w:val="es-ES" w:eastAsia="en-US"/>
        </w:rPr>
        <w:t>Estado</w:t>
      </w:r>
      <w:r w:rsidRPr="00975C02">
        <w:rPr>
          <w:rFonts w:eastAsia="Calibri" w:cs="Arial"/>
          <w:sz w:val="20"/>
          <w:szCs w:val="20"/>
          <w:lang w:val="es-ES" w:eastAsia="en-US"/>
        </w:rPr>
        <w:t xml:space="preserve"> </w:t>
      </w:r>
      <w:r w:rsidRPr="00975C02">
        <w:rPr>
          <w:rFonts w:eastAsia="MS Mincho" w:cs="Arial"/>
          <w:sz w:val="20"/>
          <w:szCs w:val="20"/>
          <w:lang w:val="es-ES" w:eastAsia="en-US"/>
        </w:rPr>
        <w:t xml:space="preserve">alegó la falta de agotamiento de los recursos de la jurisdicción interna con base en el artículo 46.1.a) de la Convención. </w:t>
      </w:r>
      <w:r w:rsidR="00755BA7" w:rsidRPr="00975C02">
        <w:rPr>
          <w:rFonts w:eastAsia="MS Mincho" w:cs="Arial"/>
          <w:sz w:val="20"/>
          <w:szCs w:val="20"/>
          <w:lang w:val="es-ES" w:eastAsia="en-US"/>
        </w:rPr>
        <w:t>Sostuvo que</w:t>
      </w:r>
      <w:r w:rsidRPr="00975C02">
        <w:rPr>
          <w:rFonts w:eastAsia="MS Mincho" w:cs="Arial"/>
          <w:sz w:val="20"/>
          <w:szCs w:val="20"/>
          <w:lang w:val="es-ES" w:eastAsia="en-US"/>
        </w:rPr>
        <w:t xml:space="preserve"> </w:t>
      </w:r>
      <w:r w:rsidR="00755BA7" w:rsidRPr="00975C02">
        <w:rPr>
          <w:rFonts w:eastAsia="MS Mincho" w:cs="Arial"/>
          <w:sz w:val="20"/>
          <w:szCs w:val="20"/>
          <w:lang w:val="es-ES" w:eastAsia="en-US"/>
        </w:rPr>
        <w:t xml:space="preserve">la Comisión </w:t>
      </w:r>
      <w:r w:rsidRPr="00975C02">
        <w:rPr>
          <w:sz w:val="20"/>
          <w:szCs w:val="20"/>
          <w:lang w:val="es-ES"/>
        </w:rPr>
        <w:t xml:space="preserve">debió verificar si se habían agotado los recursos de la jurisdicción interna, </w:t>
      </w:r>
      <w:r w:rsidR="00755BA7" w:rsidRPr="00975C02">
        <w:rPr>
          <w:sz w:val="20"/>
          <w:szCs w:val="20"/>
          <w:lang w:val="es-ES"/>
        </w:rPr>
        <w:t xml:space="preserve">ya </w:t>
      </w:r>
      <w:r w:rsidRPr="00975C02">
        <w:rPr>
          <w:sz w:val="20"/>
          <w:szCs w:val="20"/>
          <w:lang w:val="es-ES"/>
        </w:rPr>
        <w:t>que el proceso penal no se había agotado.</w:t>
      </w:r>
      <w:r w:rsidR="00C75DF0" w:rsidRPr="00975C02">
        <w:rPr>
          <w:sz w:val="20"/>
          <w:szCs w:val="20"/>
          <w:lang w:val="es-ES"/>
        </w:rPr>
        <w:t xml:space="preserve"> </w:t>
      </w:r>
      <w:r w:rsidRPr="00975C02">
        <w:rPr>
          <w:sz w:val="20"/>
          <w:szCs w:val="20"/>
          <w:lang w:val="es-ES"/>
        </w:rPr>
        <w:t>Por tal motivo, el Estado argumentó que la Comisión, al darle el trámite inicial a la petición, estableció un proceso paralelo al proceso jurisdiccional interno,</w:t>
      </w:r>
      <w:r w:rsidR="00C75DF0" w:rsidRPr="00975C02">
        <w:rPr>
          <w:sz w:val="20"/>
          <w:szCs w:val="20"/>
          <w:lang w:val="es-ES"/>
        </w:rPr>
        <w:t xml:space="preserve"> toda vez que éste no había concluido ni existí</w:t>
      </w:r>
      <w:r w:rsidR="00EA5BC3" w:rsidRPr="00975C02">
        <w:rPr>
          <w:sz w:val="20"/>
          <w:szCs w:val="20"/>
          <w:lang w:val="es-ES"/>
        </w:rPr>
        <w:t>a</w:t>
      </w:r>
      <w:r w:rsidR="00C75DF0" w:rsidRPr="00975C02">
        <w:rPr>
          <w:sz w:val="20"/>
          <w:szCs w:val="20"/>
          <w:lang w:val="es-ES"/>
        </w:rPr>
        <w:t xml:space="preserve"> retardo injustificado de acuerdo a la práctica procesal de la época. </w:t>
      </w:r>
      <w:r w:rsidR="00D022A9" w:rsidRPr="00975C02">
        <w:rPr>
          <w:sz w:val="20"/>
          <w:szCs w:val="20"/>
          <w:lang w:val="es-ES"/>
        </w:rPr>
        <w:t>El Estado indicó que</w:t>
      </w:r>
      <w:r w:rsidR="003E5E9C" w:rsidRPr="00975C02">
        <w:rPr>
          <w:sz w:val="20"/>
          <w:szCs w:val="20"/>
          <w:lang w:val="es-ES"/>
        </w:rPr>
        <w:t>,</w:t>
      </w:r>
      <w:r w:rsidR="00D022A9" w:rsidRPr="00975C02">
        <w:rPr>
          <w:sz w:val="20"/>
          <w:szCs w:val="20"/>
          <w:lang w:val="es-ES"/>
        </w:rPr>
        <w:t xml:space="preserve"> en el Informe de </w:t>
      </w:r>
      <w:r w:rsidR="00557F97" w:rsidRPr="00975C02">
        <w:rPr>
          <w:sz w:val="20"/>
          <w:szCs w:val="20"/>
          <w:lang w:val="es-ES"/>
        </w:rPr>
        <w:t>A</w:t>
      </w:r>
      <w:r w:rsidR="00D022A9" w:rsidRPr="00975C02">
        <w:rPr>
          <w:sz w:val="20"/>
          <w:szCs w:val="20"/>
          <w:lang w:val="es-ES"/>
        </w:rPr>
        <w:t>dmisibilidad</w:t>
      </w:r>
      <w:r w:rsidR="003E5E9C" w:rsidRPr="00975C02">
        <w:rPr>
          <w:sz w:val="20"/>
          <w:szCs w:val="20"/>
          <w:lang w:val="es-ES"/>
        </w:rPr>
        <w:t>,</w:t>
      </w:r>
      <w:r w:rsidR="00D022A9" w:rsidRPr="00975C02">
        <w:rPr>
          <w:sz w:val="20"/>
          <w:szCs w:val="20"/>
          <w:lang w:val="es-ES"/>
        </w:rPr>
        <w:t xml:space="preserve"> </w:t>
      </w:r>
      <w:r w:rsidR="00557F97" w:rsidRPr="00975C02">
        <w:rPr>
          <w:sz w:val="20"/>
          <w:szCs w:val="20"/>
          <w:lang w:val="es-ES"/>
        </w:rPr>
        <w:t xml:space="preserve">la Comisión </w:t>
      </w:r>
      <w:r w:rsidR="00D022A9" w:rsidRPr="00975C02">
        <w:rPr>
          <w:sz w:val="20"/>
          <w:szCs w:val="20"/>
          <w:lang w:val="es-ES"/>
        </w:rPr>
        <w:t xml:space="preserve">“argumentó la admisión de la petición […] alegando que existía un retardo injustificado </w:t>
      </w:r>
      <w:r w:rsidR="00557F97" w:rsidRPr="00975C02">
        <w:rPr>
          <w:sz w:val="20"/>
          <w:szCs w:val="20"/>
          <w:lang w:val="es-ES"/>
        </w:rPr>
        <w:t xml:space="preserve">[…] </w:t>
      </w:r>
      <w:r w:rsidR="00D022A9" w:rsidRPr="00975C02">
        <w:rPr>
          <w:sz w:val="20"/>
          <w:szCs w:val="20"/>
          <w:lang w:val="es-ES"/>
        </w:rPr>
        <w:t xml:space="preserve">en amplia transgresión a su Reglamento y a la Convención”. </w:t>
      </w:r>
      <w:r w:rsidR="003E5E9C" w:rsidRPr="00975C02">
        <w:rPr>
          <w:sz w:val="20"/>
          <w:szCs w:val="20"/>
          <w:lang w:val="es-ES"/>
        </w:rPr>
        <w:t>Al respecto</w:t>
      </w:r>
      <w:r w:rsidR="00D022A9" w:rsidRPr="00975C02">
        <w:rPr>
          <w:sz w:val="20"/>
          <w:szCs w:val="20"/>
          <w:lang w:val="es-ES"/>
        </w:rPr>
        <w:t xml:space="preserve">, el Estado negó que haya existido retardo injustificado en el presente caso ya que el proceso inició el 20 de noviembre de 2001 y </w:t>
      </w:r>
      <w:r w:rsidR="003E5E9C" w:rsidRPr="00975C02">
        <w:rPr>
          <w:sz w:val="20"/>
          <w:szCs w:val="20"/>
          <w:lang w:val="es-ES"/>
        </w:rPr>
        <w:t>la</w:t>
      </w:r>
      <w:r w:rsidR="00D022A9" w:rsidRPr="00975C02">
        <w:rPr>
          <w:sz w:val="20"/>
          <w:szCs w:val="20"/>
          <w:lang w:val="es-ES"/>
        </w:rPr>
        <w:t xml:space="preserve"> primera instancia concluyó el 13 de abril de 2002, “un plazo razonable en el contexto de la realidad procesal de la época”. </w:t>
      </w:r>
      <w:r w:rsidR="00C75DF0" w:rsidRPr="00975C02">
        <w:rPr>
          <w:sz w:val="20"/>
          <w:szCs w:val="20"/>
          <w:lang w:val="es-ES"/>
        </w:rPr>
        <w:t xml:space="preserve">Asimismo, señaló que </w:t>
      </w:r>
      <w:r w:rsidR="001C1AF9" w:rsidRPr="00975C02">
        <w:rPr>
          <w:sz w:val="20"/>
          <w:szCs w:val="20"/>
          <w:lang w:val="es-ES"/>
        </w:rPr>
        <w:t>los recursos</w:t>
      </w:r>
      <w:r w:rsidR="00C75DF0" w:rsidRPr="00975C02">
        <w:rPr>
          <w:sz w:val="20"/>
          <w:szCs w:val="20"/>
          <w:lang w:val="es-ES"/>
        </w:rPr>
        <w:t xml:space="preserve"> interno</w:t>
      </w:r>
      <w:r w:rsidR="001C1AF9" w:rsidRPr="00975C02">
        <w:rPr>
          <w:sz w:val="20"/>
          <w:szCs w:val="20"/>
          <w:lang w:val="es-ES"/>
        </w:rPr>
        <w:t>s</w:t>
      </w:r>
      <w:r w:rsidR="00C75DF0" w:rsidRPr="00975C02">
        <w:rPr>
          <w:sz w:val="20"/>
          <w:szCs w:val="20"/>
          <w:lang w:val="es-ES"/>
        </w:rPr>
        <w:t xml:space="preserve"> se</w:t>
      </w:r>
      <w:r w:rsidR="001C1AF9" w:rsidRPr="00975C02">
        <w:rPr>
          <w:sz w:val="20"/>
          <w:szCs w:val="20"/>
          <w:lang w:val="es-ES"/>
        </w:rPr>
        <w:t xml:space="preserve"> agotaron</w:t>
      </w:r>
      <w:r w:rsidRPr="00975C02">
        <w:rPr>
          <w:sz w:val="20"/>
          <w:szCs w:val="20"/>
          <w:lang w:val="es-ES"/>
        </w:rPr>
        <w:t xml:space="preserve"> con la Sentencia n° 45 de la Sala Penal del Tribunal de Apelaciones Circunscripción Norte, emitida el 24 de octubre de 2007. En razón de lo expuesto, el Estado solicitó a la Corte que “se pronunci</w:t>
      </w:r>
      <w:r w:rsidR="003E5E9C" w:rsidRPr="00975C02">
        <w:rPr>
          <w:sz w:val="20"/>
          <w:szCs w:val="20"/>
          <w:lang w:val="es-ES"/>
        </w:rPr>
        <w:t>[ara]</w:t>
      </w:r>
      <w:r w:rsidRPr="00975C02">
        <w:rPr>
          <w:sz w:val="20"/>
          <w:szCs w:val="20"/>
          <w:lang w:val="es-ES"/>
        </w:rPr>
        <w:t xml:space="preserve"> sobre la obligación de la Comisión de valorar en cada caso, la eficacia de los recursos internos incluidos y componentes de un ordenamiento jurídico estructurado, sistémico e integral con finalidades y ámbitos de protección específicos pero complementarios”.</w:t>
      </w:r>
    </w:p>
    <w:p w14:paraId="6BFF6016" w14:textId="77777777" w:rsidR="00DD00E7" w:rsidRPr="00975C02" w:rsidRDefault="00DD00E7" w:rsidP="00DD00E7">
      <w:pPr>
        <w:spacing w:line="240" w:lineRule="auto"/>
        <w:rPr>
          <w:b/>
          <w:sz w:val="20"/>
          <w:szCs w:val="20"/>
          <w:lang w:val="es-ES"/>
        </w:rPr>
      </w:pPr>
    </w:p>
    <w:p w14:paraId="3F160CF3" w14:textId="55493500" w:rsidR="004F5167" w:rsidRPr="00975C02" w:rsidRDefault="00DD00E7" w:rsidP="00F0635A">
      <w:pPr>
        <w:pStyle w:val="ListParagraph"/>
        <w:numPr>
          <w:ilvl w:val="0"/>
          <w:numId w:val="2"/>
        </w:numPr>
        <w:tabs>
          <w:tab w:val="left" w:pos="567"/>
        </w:tabs>
        <w:spacing w:line="240" w:lineRule="auto"/>
        <w:ind w:left="0" w:firstLine="0"/>
        <w:contextualSpacing/>
        <w:rPr>
          <w:b/>
          <w:sz w:val="20"/>
          <w:szCs w:val="20"/>
          <w:lang w:val="es-ES"/>
        </w:rPr>
      </w:pPr>
      <w:r w:rsidRPr="00975C02">
        <w:rPr>
          <w:rFonts w:eastAsia="Calibri" w:cs="Arial"/>
          <w:sz w:val="20"/>
          <w:szCs w:val="20"/>
          <w:lang w:val="es-ES" w:eastAsia="en-US"/>
        </w:rPr>
        <w:t xml:space="preserve">La </w:t>
      </w:r>
      <w:r w:rsidRPr="00975C02">
        <w:rPr>
          <w:rFonts w:eastAsia="Calibri" w:cs="Arial"/>
          <w:b/>
          <w:i/>
          <w:sz w:val="20"/>
          <w:szCs w:val="20"/>
          <w:lang w:val="es-ES" w:eastAsia="en-US"/>
        </w:rPr>
        <w:t>Comisión</w:t>
      </w:r>
      <w:r w:rsidRPr="00975C02">
        <w:rPr>
          <w:rFonts w:eastAsia="Calibri" w:cs="Arial"/>
          <w:sz w:val="20"/>
          <w:szCs w:val="20"/>
          <w:lang w:val="es-ES" w:eastAsia="en-US"/>
        </w:rPr>
        <w:t xml:space="preserve"> </w:t>
      </w:r>
      <w:r w:rsidRPr="00975C02">
        <w:rPr>
          <w:sz w:val="20"/>
          <w:szCs w:val="20"/>
          <w:lang w:val="es-ES"/>
        </w:rPr>
        <w:t xml:space="preserve">confirmó que el Estado argumentó la falta de agotamiento de los recursos internos en el momento procesal oportuno. </w:t>
      </w:r>
      <w:r w:rsidR="00F0635A" w:rsidRPr="00975C02">
        <w:rPr>
          <w:sz w:val="20"/>
          <w:szCs w:val="20"/>
          <w:lang w:val="es-ES"/>
        </w:rPr>
        <w:t>R</w:t>
      </w:r>
      <w:r w:rsidRPr="00975C02">
        <w:rPr>
          <w:sz w:val="20"/>
          <w:szCs w:val="20"/>
          <w:lang w:val="es-ES"/>
        </w:rPr>
        <w:t xml:space="preserve">eiteró que “en casos en los cuales la situación de los recursos internos se modifica a lo largo de[l] trámite de admisibilidad, el análisis del cumplimiento del requisito de agotamiento de los recursos internos se efectúa con base en la situación vigente al momento del informe de admisibilidad y no con base en la situación vigente al momento de la interposición de la petición o de su apertura a trámite”. </w:t>
      </w:r>
      <w:r w:rsidR="00F0635A" w:rsidRPr="00975C02">
        <w:rPr>
          <w:sz w:val="20"/>
          <w:szCs w:val="20"/>
          <w:lang w:val="es-ES"/>
        </w:rPr>
        <w:t>L</w:t>
      </w:r>
      <w:r w:rsidRPr="00975C02">
        <w:rPr>
          <w:sz w:val="20"/>
          <w:szCs w:val="20"/>
          <w:lang w:val="es-ES"/>
        </w:rPr>
        <w:t>a Comisión aclaró que</w:t>
      </w:r>
      <w:r w:rsidR="00F0635A" w:rsidRPr="00975C02">
        <w:rPr>
          <w:sz w:val="20"/>
          <w:szCs w:val="20"/>
          <w:lang w:val="es-ES"/>
        </w:rPr>
        <w:t>,</w:t>
      </w:r>
      <w:r w:rsidRPr="00975C02">
        <w:rPr>
          <w:sz w:val="20"/>
          <w:szCs w:val="20"/>
          <w:lang w:val="es-ES"/>
        </w:rPr>
        <w:t xml:space="preserve"> “si bien en la etapa de fondo tomó conocimiento de que el proceso penal había culminado el 24 de octubre de 2007,[…] no contaba con esta información al momento de emitir su informe de admisibilidad”. </w:t>
      </w:r>
      <w:r w:rsidR="004E6A8F" w:rsidRPr="00975C02">
        <w:rPr>
          <w:sz w:val="20"/>
          <w:szCs w:val="20"/>
          <w:lang w:val="es-ES"/>
        </w:rPr>
        <w:t>I</w:t>
      </w:r>
      <w:r w:rsidRPr="00975C02">
        <w:rPr>
          <w:sz w:val="20"/>
          <w:szCs w:val="20"/>
          <w:lang w:val="es-ES"/>
        </w:rPr>
        <w:t xml:space="preserve">ndicó que el último escrito del Estado en la etapa de admisibilidad es anterior a esa fecha. </w:t>
      </w:r>
      <w:r w:rsidR="004E6A8F" w:rsidRPr="00975C02">
        <w:rPr>
          <w:sz w:val="20"/>
          <w:szCs w:val="20"/>
          <w:lang w:val="es-ES"/>
        </w:rPr>
        <w:t xml:space="preserve">En sus observaciones finales, la Comisión precisó que, en su primera contestación, el Estado habría señalado que la peticionaria había agotado los recursos internos, pero </w:t>
      </w:r>
      <w:r w:rsidR="001754FC">
        <w:rPr>
          <w:sz w:val="20"/>
          <w:szCs w:val="20"/>
          <w:lang w:val="es-ES"/>
        </w:rPr>
        <w:t xml:space="preserve">posteriormente </w:t>
      </w:r>
      <w:r w:rsidR="004E6A8F" w:rsidRPr="00975C02">
        <w:rPr>
          <w:sz w:val="20"/>
          <w:szCs w:val="20"/>
          <w:lang w:val="es-ES"/>
        </w:rPr>
        <w:t xml:space="preserve">informó que no se habían agotado dado que se encontraba pendiente el proceso sobre la nulidad y que el retardo se debía a múltiples diligencias promovidas por ambas partes. </w:t>
      </w:r>
      <w:r w:rsidRPr="00975C02">
        <w:rPr>
          <w:sz w:val="20"/>
          <w:szCs w:val="20"/>
          <w:lang w:val="es-ES"/>
        </w:rPr>
        <w:t>Es por ello que</w:t>
      </w:r>
      <w:r w:rsidR="00F0635A" w:rsidRPr="00975C02">
        <w:rPr>
          <w:sz w:val="20"/>
          <w:szCs w:val="20"/>
          <w:lang w:val="es-ES"/>
        </w:rPr>
        <w:t>,</w:t>
      </w:r>
      <w:r w:rsidRPr="00975C02">
        <w:rPr>
          <w:sz w:val="20"/>
          <w:szCs w:val="20"/>
          <w:lang w:val="es-ES"/>
        </w:rPr>
        <w:t xml:space="preserve"> a la luz de la información disponible, la Comisión entendió que el proceso continuaba en curso y dio aplicación a la excepción de retardo injustificado prevista en el artículo 46.2 c) de la Convención Americana. </w:t>
      </w:r>
      <w:r w:rsidR="004E6A8F" w:rsidRPr="00975C02">
        <w:rPr>
          <w:sz w:val="20"/>
          <w:szCs w:val="20"/>
          <w:lang w:val="es-ES"/>
        </w:rPr>
        <w:t>Manifestó que, “</w:t>
      </w:r>
      <w:r w:rsidRPr="00975C02">
        <w:rPr>
          <w:sz w:val="20"/>
          <w:szCs w:val="20"/>
          <w:lang w:val="es-ES"/>
        </w:rPr>
        <w:t>de haber conocido oportunamente que el proceso penal había finalizado, en todo caso la petición hubiese resultado admisible, en tanto los recursos internos se encontraban efectivamente agotados”. En virtud de lo indicado, la Comisión solicitó a la Corte que desechara esta excepción preliminar interpuesta por Nicaragua.</w:t>
      </w:r>
      <w:r w:rsidR="00F0635A" w:rsidRPr="00975C02">
        <w:rPr>
          <w:sz w:val="20"/>
          <w:szCs w:val="20"/>
          <w:lang w:val="es-ES"/>
        </w:rPr>
        <w:t xml:space="preserve"> </w:t>
      </w:r>
    </w:p>
    <w:p w14:paraId="4BFBA1EA" w14:textId="77777777" w:rsidR="004F5167" w:rsidRPr="00975C02" w:rsidRDefault="004F5167" w:rsidP="00DD00E7">
      <w:pPr>
        <w:tabs>
          <w:tab w:val="left" w:pos="567"/>
          <w:tab w:val="num" w:pos="12305"/>
        </w:tabs>
        <w:spacing w:line="240" w:lineRule="auto"/>
        <w:rPr>
          <w:rFonts w:eastAsia="Calibri" w:cs="Arial"/>
          <w:b/>
          <w:sz w:val="20"/>
          <w:szCs w:val="20"/>
          <w:lang w:val="es-ES" w:eastAsia="en-US"/>
        </w:rPr>
      </w:pPr>
    </w:p>
    <w:p w14:paraId="0F7F6D78" w14:textId="71E246F0" w:rsidR="00DD00E7" w:rsidRPr="00975C02" w:rsidRDefault="00DD00E7" w:rsidP="00C8070B">
      <w:pPr>
        <w:pStyle w:val="ListParagraph"/>
        <w:numPr>
          <w:ilvl w:val="0"/>
          <w:numId w:val="2"/>
        </w:numPr>
        <w:tabs>
          <w:tab w:val="left" w:pos="567"/>
        </w:tabs>
        <w:spacing w:line="240" w:lineRule="auto"/>
        <w:ind w:left="0" w:firstLine="0"/>
        <w:contextualSpacing/>
        <w:rPr>
          <w:sz w:val="20"/>
          <w:szCs w:val="20"/>
          <w:lang w:val="es-ES"/>
        </w:rPr>
      </w:pPr>
      <w:r w:rsidRPr="00975C02">
        <w:rPr>
          <w:rFonts w:eastAsia="Calibri" w:cs="Arial"/>
          <w:sz w:val="20"/>
          <w:szCs w:val="20"/>
          <w:lang w:val="es-ES" w:eastAsia="en-US"/>
        </w:rPr>
        <w:lastRenderedPageBreak/>
        <w:t xml:space="preserve">Las </w:t>
      </w:r>
      <w:r w:rsidRPr="00975C02">
        <w:rPr>
          <w:rFonts w:eastAsia="Calibri" w:cs="Arial"/>
          <w:b/>
          <w:i/>
          <w:sz w:val="20"/>
          <w:szCs w:val="20"/>
          <w:lang w:val="es-ES" w:eastAsia="en-US"/>
        </w:rPr>
        <w:t xml:space="preserve">representantes </w:t>
      </w:r>
      <w:r w:rsidRPr="00975C02">
        <w:rPr>
          <w:sz w:val="20"/>
          <w:szCs w:val="20"/>
          <w:lang w:val="es-ES"/>
        </w:rPr>
        <w:t>sostuvieron que</w:t>
      </w:r>
      <w:r w:rsidR="00744F46" w:rsidRPr="00975C02">
        <w:rPr>
          <w:sz w:val="20"/>
          <w:szCs w:val="20"/>
          <w:lang w:val="es-ES"/>
        </w:rPr>
        <w:t>,</w:t>
      </w:r>
      <w:r w:rsidRPr="00975C02">
        <w:rPr>
          <w:sz w:val="20"/>
          <w:szCs w:val="20"/>
          <w:lang w:val="es-ES"/>
        </w:rPr>
        <w:t xml:space="preserve"> </w:t>
      </w:r>
      <w:r w:rsidR="00744F46" w:rsidRPr="00975C02">
        <w:rPr>
          <w:sz w:val="20"/>
          <w:szCs w:val="20"/>
          <w:lang w:val="es-ES"/>
        </w:rPr>
        <w:t>a</w:t>
      </w:r>
      <w:r w:rsidRPr="00975C02">
        <w:rPr>
          <w:sz w:val="20"/>
          <w:szCs w:val="20"/>
          <w:lang w:val="es-ES"/>
        </w:rPr>
        <w:t>l momento de los hechos</w:t>
      </w:r>
      <w:r w:rsidR="00744F46" w:rsidRPr="00975C02">
        <w:rPr>
          <w:sz w:val="20"/>
          <w:szCs w:val="20"/>
          <w:lang w:val="es-ES"/>
        </w:rPr>
        <w:t>,</w:t>
      </w:r>
      <w:r w:rsidRPr="00975C02">
        <w:rPr>
          <w:sz w:val="20"/>
          <w:szCs w:val="20"/>
          <w:lang w:val="es-ES"/>
        </w:rPr>
        <w:t xml:space="preserve"> no existía un debido proceso legal que permitiera la protección efectiva de los derechos que fueron vulnerados. </w:t>
      </w:r>
      <w:r w:rsidR="009944A6" w:rsidRPr="00975C02">
        <w:rPr>
          <w:sz w:val="20"/>
          <w:szCs w:val="20"/>
          <w:lang w:val="es-ES"/>
        </w:rPr>
        <w:t>Señalaron</w:t>
      </w:r>
      <w:r w:rsidRPr="00975C02">
        <w:rPr>
          <w:sz w:val="20"/>
          <w:szCs w:val="20"/>
          <w:lang w:val="es-ES"/>
        </w:rPr>
        <w:t xml:space="preserve"> que la única vía </w:t>
      </w:r>
      <w:r w:rsidR="006B542F" w:rsidRPr="00975C02">
        <w:rPr>
          <w:sz w:val="20"/>
          <w:szCs w:val="20"/>
          <w:lang w:val="es-ES"/>
        </w:rPr>
        <w:t xml:space="preserve">recursiva </w:t>
      </w:r>
      <w:r w:rsidRPr="00975C02">
        <w:rPr>
          <w:sz w:val="20"/>
          <w:szCs w:val="20"/>
          <w:lang w:val="es-ES"/>
        </w:rPr>
        <w:t>posible para la parte acusadora</w:t>
      </w:r>
      <w:r w:rsidR="009E0A16" w:rsidRPr="00975C02">
        <w:rPr>
          <w:sz w:val="20"/>
          <w:szCs w:val="20"/>
          <w:lang w:val="es-ES"/>
        </w:rPr>
        <w:t xml:space="preserve"> </w:t>
      </w:r>
      <w:r w:rsidRPr="00975C02">
        <w:rPr>
          <w:sz w:val="20"/>
          <w:szCs w:val="20"/>
          <w:lang w:val="es-ES"/>
        </w:rPr>
        <w:t>era intentar un incidente de nulidad, el cual se trata</w:t>
      </w:r>
      <w:r w:rsidR="006B542F" w:rsidRPr="00975C02">
        <w:rPr>
          <w:sz w:val="20"/>
          <w:szCs w:val="20"/>
          <w:lang w:val="es-ES"/>
        </w:rPr>
        <w:t>ba</w:t>
      </w:r>
      <w:r w:rsidRPr="00975C02">
        <w:rPr>
          <w:sz w:val="20"/>
          <w:szCs w:val="20"/>
          <w:lang w:val="es-ES"/>
        </w:rPr>
        <w:t xml:space="preserve"> de una vía extraordinaria dispuesta para casos específicos. Por lo tanto, </w:t>
      </w:r>
      <w:r w:rsidR="00744F46" w:rsidRPr="00975C02">
        <w:rPr>
          <w:sz w:val="20"/>
          <w:szCs w:val="20"/>
          <w:lang w:val="es-ES"/>
        </w:rPr>
        <w:t xml:space="preserve">según </w:t>
      </w:r>
      <w:r w:rsidRPr="00975C02">
        <w:rPr>
          <w:sz w:val="20"/>
          <w:szCs w:val="20"/>
          <w:lang w:val="es-ES"/>
        </w:rPr>
        <w:t>las representantes</w:t>
      </w:r>
      <w:r w:rsidR="00744F46" w:rsidRPr="00975C02">
        <w:rPr>
          <w:sz w:val="20"/>
          <w:szCs w:val="20"/>
          <w:lang w:val="es-ES"/>
        </w:rPr>
        <w:t>,</w:t>
      </w:r>
      <w:r w:rsidRPr="00975C02">
        <w:rPr>
          <w:sz w:val="20"/>
          <w:szCs w:val="20"/>
          <w:lang w:val="es-ES"/>
        </w:rPr>
        <w:t xml:space="preserve"> </w:t>
      </w:r>
      <w:r w:rsidR="009944A6" w:rsidRPr="00975C02">
        <w:rPr>
          <w:sz w:val="20"/>
          <w:szCs w:val="20"/>
          <w:lang w:val="es-ES"/>
        </w:rPr>
        <w:t>operó</w:t>
      </w:r>
      <w:r w:rsidRPr="00975C02">
        <w:rPr>
          <w:sz w:val="20"/>
          <w:szCs w:val="20"/>
          <w:lang w:val="es-ES"/>
        </w:rPr>
        <w:t xml:space="preserve"> la excepción </w:t>
      </w:r>
      <w:r w:rsidR="00744F46" w:rsidRPr="00975C02">
        <w:rPr>
          <w:sz w:val="20"/>
          <w:szCs w:val="20"/>
          <w:lang w:val="es-ES"/>
        </w:rPr>
        <w:t>prevista en</w:t>
      </w:r>
      <w:r w:rsidRPr="00975C02">
        <w:rPr>
          <w:sz w:val="20"/>
          <w:szCs w:val="20"/>
          <w:lang w:val="es-ES"/>
        </w:rPr>
        <w:t xml:space="preserve"> el artículo 46</w:t>
      </w:r>
      <w:r w:rsidR="009944A6" w:rsidRPr="00975C02">
        <w:rPr>
          <w:sz w:val="20"/>
          <w:szCs w:val="20"/>
          <w:lang w:val="es-ES"/>
        </w:rPr>
        <w:t>.2.a)</w:t>
      </w:r>
      <w:r w:rsidRPr="00975C02">
        <w:rPr>
          <w:sz w:val="20"/>
          <w:szCs w:val="20"/>
          <w:lang w:val="es-ES"/>
        </w:rPr>
        <w:t xml:space="preserve"> de la Convención, al no existir en la legislación interna del Estado</w:t>
      </w:r>
      <w:r w:rsidR="00744F46" w:rsidRPr="00975C02">
        <w:rPr>
          <w:sz w:val="20"/>
          <w:szCs w:val="20"/>
          <w:lang w:val="es-ES"/>
        </w:rPr>
        <w:t>, cuando el caso fuera conocido por jurados,</w:t>
      </w:r>
      <w:r w:rsidRPr="00975C02">
        <w:rPr>
          <w:sz w:val="20"/>
          <w:szCs w:val="20"/>
          <w:lang w:val="es-ES"/>
        </w:rPr>
        <w:t xml:space="preserve"> un debido proceso legal para la protección del derecho o derechos que se alega</w:t>
      </w:r>
      <w:r w:rsidR="00744F46" w:rsidRPr="00975C02">
        <w:rPr>
          <w:sz w:val="20"/>
          <w:szCs w:val="20"/>
          <w:lang w:val="es-ES"/>
        </w:rPr>
        <w:t>n</w:t>
      </w:r>
      <w:r w:rsidRPr="00975C02">
        <w:rPr>
          <w:sz w:val="20"/>
          <w:szCs w:val="20"/>
          <w:lang w:val="es-ES"/>
        </w:rPr>
        <w:t xml:space="preserve"> </w:t>
      </w:r>
      <w:r w:rsidR="00744F46" w:rsidRPr="00975C02">
        <w:rPr>
          <w:sz w:val="20"/>
          <w:szCs w:val="20"/>
          <w:lang w:val="es-ES"/>
        </w:rPr>
        <w:t>vulnerados</w:t>
      </w:r>
      <w:r w:rsidRPr="00975C02">
        <w:rPr>
          <w:sz w:val="20"/>
          <w:szCs w:val="20"/>
          <w:lang w:val="es-ES"/>
        </w:rPr>
        <w:t xml:space="preserve">. </w:t>
      </w:r>
      <w:r w:rsidR="00973F03" w:rsidRPr="00975C02">
        <w:rPr>
          <w:sz w:val="20"/>
          <w:szCs w:val="20"/>
          <w:lang w:val="es-ES"/>
        </w:rPr>
        <w:t>En sus alegatos finales, agregaron que el Estado interp</w:t>
      </w:r>
      <w:r w:rsidR="00744F46" w:rsidRPr="00975C02">
        <w:rPr>
          <w:sz w:val="20"/>
          <w:szCs w:val="20"/>
          <w:lang w:val="es-ES"/>
        </w:rPr>
        <w:t>uso</w:t>
      </w:r>
      <w:r w:rsidR="00973F03" w:rsidRPr="00975C02">
        <w:rPr>
          <w:sz w:val="20"/>
          <w:szCs w:val="20"/>
          <w:lang w:val="es-ES"/>
        </w:rPr>
        <w:t xml:space="preserve"> </w:t>
      </w:r>
      <w:r w:rsidR="009A6AA7" w:rsidRPr="00975C02">
        <w:rPr>
          <w:sz w:val="20"/>
          <w:szCs w:val="20"/>
          <w:lang w:val="es-ES"/>
        </w:rPr>
        <w:t>esta</w:t>
      </w:r>
      <w:r w:rsidR="00973F03" w:rsidRPr="00975C02">
        <w:rPr>
          <w:sz w:val="20"/>
          <w:szCs w:val="20"/>
          <w:lang w:val="es-ES"/>
        </w:rPr>
        <w:t xml:space="preserve"> excepción de manera genérica, sin especificar cuáles eran los recursos que no se habían agotado y mucho menos si los mismos eran idóneos y efectivos.</w:t>
      </w:r>
    </w:p>
    <w:p w14:paraId="269757CE" w14:textId="77777777" w:rsidR="00DD00E7" w:rsidRPr="00975C02" w:rsidRDefault="00DD00E7" w:rsidP="00DD00E7">
      <w:pPr>
        <w:pStyle w:val="ListParagraph"/>
        <w:tabs>
          <w:tab w:val="left" w:pos="567"/>
        </w:tabs>
        <w:spacing w:line="240" w:lineRule="auto"/>
        <w:ind w:left="0"/>
        <w:rPr>
          <w:sz w:val="20"/>
          <w:szCs w:val="20"/>
          <w:lang w:val="es-ES"/>
        </w:rPr>
      </w:pPr>
    </w:p>
    <w:p w14:paraId="1710510E" w14:textId="77777777" w:rsidR="00DD00E7" w:rsidRPr="00975C02" w:rsidRDefault="0026739F" w:rsidP="00C607DD">
      <w:pPr>
        <w:pStyle w:val="Heading2"/>
        <w:tabs>
          <w:tab w:val="left" w:pos="1843"/>
        </w:tabs>
        <w:spacing w:before="0" w:line="240" w:lineRule="auto"/>
        <w:ind w:left="1134"/>
        <w:rPr>
          <w:rFonts w:ascii="Verdana" w:hAnsi="Verdana"/>
          <w:b w:val="0"/>
          <w:i/>
          <w:color w:val="auto"/>
          <w:sz w:val="20"/>
          <w:szCs w:val="20"/>
          <w:lang w:val="es-ES"/>
        </w:rPr>
      </w:pPr>
      <w:bookmarkStart w:id="49" w:name="_Toc401931885"/>
      <w:bookmarkStart w:id="50" w:name="_Toc428369982"/>
      <w:bookmarkStart w:id="51" w:name="_Toc459158101"/>
      <w:bookmarkStart w:id="52" w:name="_Toc460857361"/>
      <w:bookmarkStart w:id="53" w:name="_Toc514172595"/>
      <w:r w:rsidRPr="00975C02">
        <w:rPr>
          <w:rFonts w:ascii="Verdana" w:hAnsi="Verdana"/>
          <w:b w:val="0"/>
          <w:i/>
          <w:color w:val="auto"/>
          <w:sz w:val="20"/>
          <w:szCs w:val="20"/>
          <w:lang w:val="es-ES"/>
        </w:rPr>
        <w:t>A</w:t>
      </w:r>
      <w:r w:rsidR="00DD00E7" w:rsidRPr="00975C02">
        <w:rPr>
          <w:rFonts w:ascii="Verdana" w:hAnsi="Verdana"/>
          <w:b w:val="0"/>
          <w:i/>
          <w:color w:val="auto"/>
          <w:sz w:val="20"/>
          <w:szCs w:val="20"/>
          <w:lang w:val="es-ES"/>
        </w:rPr>
        <w:t>.2</w:t>
      </w:r>
      <w:r w:rsidR="00C607DD" w:rsidRPr="00975C02">
        <w:rPr>
          <w:rFonts w:ascii="Verdana" w:hAnsi="Verdana"/>
          <w:b w:val="0"/>
          <w:i/>
          <w:color w:val="auto"/>
          <w:sz w:val="20"/>
          <w:szCs w:val="20"/>
          <w:lang w:val="es-ES"/>
        </w:rPr>
        <w:tab/>
      </w:r>
      <w:r w:rsidR="00DD00E7" w:rsidRPr="00975C02">
        <w:rPr>
          <w:rFonts w:ascii="Verdana" w:hAnsi="Verdana"/>
          <w:b w:val="0"/>
          <w:i/>
          <w:color w:val="auto"/>
          <w:sz w:val="20"/>
          <w:szCs w:val="20"/>
          <w:lang w:val="es-ES"/>
        </w:rPr>
        <w:t>Consideraciones de la Corte</w:t>
      </w:r>
      <w:bookmarkEnd w:id="49"/>
      <w:bookmarkEnd w:id="50"/>
      <w:bookmarkEnd w:id="51"/>
      <w:bookmarkEnd w:id="52"/>
      <w:bookmarkEnd w:id="53"/>
    </w:p>
    <w:p w14:paraId="68024A0B" w14:textId="77777777" w:rsidR="00DD00E7" w:rsidRPr="00975C02" w:rsidRDefault="00DD00E7" w:rsidP="00DD00E7">
      <w:pPr>
        <w:tabs>
          <w:tab w:val="left" w:pos="1134"/>
        </w:tabs>
        <w:spacing w:line="240" w:lineRule="auto"/>
        <w:ind w:left="1134"/>
        <w:rPr>
          <w:rFonts w:eastAsia="Calibri" w:cs="Arial"/>
          <w:sz w:val="20"/>
          <w:szCs w:val="20"/>
          <w:lang w:val="es-ES" w:eastAsia="en-US"/>
        </w:rPr>
      </w:pPr>
    </w:p>
    <w:p w14:paraId="3ADF7E89" w14:textId="12227CB7" w:rsidR="00DD00E7" w:rsidRPr="00975C02" w:rsidRDefault="00DD00E7" w:rsidP="00C8070B">
      <w:pPr>
        <w:numPr>
          <w:ilvl w:val="0"/>
          <w:numId w:val="2"/>
        </w:numPr>
        <w:tabs>
          <w:tab w:val="left" w:pos="567"/>
        </w:tabs>
        <w:spacing w:line="240" w:lineRule="auto"/>
        <w:ind w:left="0" w:firstLine="0"/>
        <w:textAlignment w:val="auto"/>
        <w:rPr>
          <w:rFonts w:cs="Arial"/>
          <w:sz w:val="20"/>
          <w:szCs w:val="20"/>
          <w:lang w:val="es-ES"/>
        </w:rPr>
      </w:pPr>
      <w:r w:rsidRPr="00975C02">
        <w:rPr>
          <w:rFonts w:eastAsia="Batang" w:cs="Times"/>
          <w:sz w:val="20"/>
          <w:szCs w:val="20"/>
          <w:lang w:val="es-ES" w:eastAsia="es-ES"/>
        </w:rPr>
        <w:t xml:space="preserve">El artículo 46.1.a) de la </w:t>
      </w:r>
      <w:r w:rsidR="00975C02" w:rsidRPr="00975C02">
        <w:rPr>
          <w:rFonts w:eastAsia="Batang" w:cs="Times"/>
          <w:sz w:val="20"/>
          <w:szCs w:val="20"/>
          <w:lang w:val="es-ES" w:eastAsia="es-ES"/>
        </w:rPr>
        <w:t>Convención</w:t>
      </w:r>
      <w:r w:rsidRPr="00975C02">
        <w:rPr>
          <w:rFonts w:eastAsia="Batang" w:cs="Times"/>
          <w:sz w:val="20"/>
          <w:szCs w:val="20"/>
          <w:lang w:val="es-ES" w:eastAsia="es-ES"/>
        </w:rPr>
        <w:t xml:space="preserve"> dispone que para determinar la admisibilidad de una </w:t>
      </w:r>
      <w:r w:rsidR="00975C02" w:rsidRPr="00975C02">
        <w:rPr>
          <w:rFonts w:eastAsia="Batang" w:cs="Times"/>
          <w:sz w:val="20"/>
          <w:szCs w:val="20"/>
          <w:lang w:val="es-ES" w:eastAsia="es-ES"/>
        </w:rPr>
        <w:t>petición</w:t>
      </w:r>
      <w:r w:rsidRPr="00975C02">
        <w:rPr>
          <w:rFonts w:eastAsia="Batang" w:cs="Times"/>
          <w:sz w:val="20"/>
          <w:szCs w:val="20"/>
          <w:lang w:val="es-ES" w:eastAsia="es-ES"/>
        </w:rPr>
        <w:t xml:space="preserve"> o </w:t>
      </w:r>
      <w:r w:rsidR="00975C02" w:rsidRPr="00975C02">
        <w:rPr>
          <w:rFonts w:eastAsia="Batang" w:cs="Times"/>
          <w:sz w:val="20"/>
          <w:szCs w:val="20"/>
          <w:lang w:val="es-ES" w:eastAsia="es-ES"/>
        </w:rPr>
        <w:t>comunicación</w:t>
      </w:r>
      <w:r w:rsidRPr="00975C02">
        <w:rPr>
          <w:rFonts w:eastAsia="Batang" w:cs="Times"/>
          <w:sz w:val="20"/>
          <w:szCs w:val="20"/>
          <w:lang w:val="es-ES" w:eastAsia="es-ES"/>
        </w:rPr>
        <w:t xml:space="preserve"> presentada ante la </w:t>
      </w:r>
      <w:r w:rsidR="00975C02" w:rsidRPr="00975C02">
        <w:rPr>
          <w:rFonts w:eastAsia="Batang" w:cs="Times"/>
          <w:sz w:val="20"/>
          <w:szCs w:val="20"/>
          <w:lang w:val="es-ES" w:eastAsia="es-ES"/>
        </w:rPr>
        <w:t>Comisión</w:t>
      </w:r>
      <w:r w:rsidRPr="00975C02">
        <w:rPr>
          <w:rFonts w:eastAsia="Batang" w:cs="Times"/>
          <w:sz w:val="20"/>
          <w:szCs w:val="20"/>
          <w:lang w:val="es-ES" w:eastAsia="es-ES"/>
        </w:rPr>
        <w:t xml:space="preserve">, de conformidad con los </w:t>
      </w:r>
      <w:r w:rsidR="00975C02" w:rsidRPr="00975C02">
        <w:rPr>
          <w:rFonts w:eastAsia="Batang" w:cs="Times"/>
          <w:sz w:val="20"/>
          <w:szCs w:val="20"/>
          <w:lang w:val="es-ES" w:eastAsia="es-ES"/>
        </w:rPr>
        <w:t>artículos</w:t>
      </w:r>
      <w:r w:rsidRPr="00975C02">
        <w:rPr>
          <w:rFonts w:eastAsia="Batang" w:cs="Times"/>
          <w:sz w:val="20"/>
          <w:szCs w:val="20"/>
          <w:lang w:val="es-ES" w:eastAsia="es-ES"/>
        </w:rPr>
        <w:t xml:space="preserve"> 44 o 45 de la </w:t>
      </w:r>
      <w:r w:rsidR="00975C02" w:rsidRPr="00975C02">
        <w:rPr>
          <w:rFonts w:eastAsia="Batang" w:cs="Times"/>
          <w:sz w:val="20"/>
          <w:szCs w:val="20"/>
          <w:lang w:val="es-ES" w:eastAsia="es-ES"/>
        </w:rPr>
        <w:t>Convención</w:t>
      </w:r>
      <w:r w:rsidRPr="00975C02">
        <w:rPr>
          <w:rFonts w:eastAsia="Batang" w:cs="Times"/>
          <w:sz w:val="20"/>
          <w:szCs w:val="20"/>
          <w:lang w:val="es-ES" w:eastAsia="es-ES"/>
        </w:rPr>
        <w:t xml:space="preserve">, es necesario que se hayan interpuesto y agotado los recursos de la </w:t>
      </w:r>
      <w:r w:rsidR="00975C02" w:rsidRPr="00975C02">
        <w:rPr>
          <w:rFonts w:eastAsia="Batang" w:cs="Times"/>
          <w:sz w:val="20"/>
          <w:szCs w:val="20"/>
          <w:lang w:val="es-ES" w:eastAsia="es-ES"/>
        </w:rPr>
        <w:t>jurisdicción</w:t>
      </w:r>
      <w:r w:rsidRPr="00975C02">
        <w:rPr>
          <w:rFonts w:eastAsia="Batang" w:cs="Times"/>
          <w:sz w:val="20"/>
          <w:szCs w:val="20"/>
          <w:lang w:val="es-ES" w:eastAsia="es-ES"/>
        </w:rPr>
        <w:t xml:space="preserve"> interna, conforme a los principios del Derecho Internacional generalmente reconocidos. </w:t>
      </w:r>
      <w:r w:rsidRPr="00975C02">
        <w:rPr>
          <w:sz w:val="20"/>
          <w:szCs w:val="20"/>
          <w:lang w:val="es-ES"/>
        </w:rPr>
        <w:t xml:space="preserve">La Corte recuerda que la regla del previo agotamiento de los recursos internos está concebida en interés del Estado, pues busca dispensarlo de responder ante un órgano internacional por actos que se le imputen, </w:t>
      </w:r>
      <w:r w:rsidRPr="00975C02">
        <w:rPr>
          <w:iCs/>
          <w:sz w:val="20"/>
          <w:szCs w:val="20"/>
          <w:lang w:val="es-ES"/>
        </w:rPr>
        <w:t xml:space="preserve">antes de haber tenido la ocasión de remediarlos con sus propios medios. </w:t>
      </w:r>
      <w:r w:rsidRPr="00975C02">
        <w:rPr>
          <w:sz w:val="20"/>
          <w:szCs w:val="20"/>
          <w:lang w:val="es-ES"/>
        </w:rPr>
        <w:t>Lo anterior significa que no sólo deben existir formalmente esos recursos, sino que también deben ser adecuados y efectivos, como resulta de las excepciones contempladas en el artículo 46.2 de la Convención</w:t>
      </w:r>
      <w:r w:rsidRPr="00975C02">
        <w:rPr>
          <w:sz w:val="20"/>
          <w:szCs w:val="20"/>
          <w:vertAlign w:val="superscript"/>
          <w:lang w:val="es-ES"/>
        </w:rPr>
        <w:footnoteReference w:id="16"/>
      </w:r>
      <w:r w:rsidRPr="00975C02">
        <w:rPr>
          <w:sz w:val="20"/>
          <w:szCs w:val="20"/>
          <w:lang w:val="es-ES"/>
        </w:rPr>
        <w:t>.</w:t>
      </w:r>
    </w:p>
    <w:p w14:paraId="2B060EE2" w14:textId="77777777" w:rsidR="00DD00E7" w:rsidRPr="00975C02" w:rsidRDefault="00DD00E7" w:rsidP="00DD00E7">
      <w:pPr>
        <w:tabs>
          <w:tab w:val="left" w:pos="567"/>
        </w:tabs>
        <w:spacing w:line="240" w:lineRule="auto"/>
        <w:textAlignment w:val="auto"/>
        <w:rPr>
          <w:rFonts w:cs="Arial"/>
          <w:sz w:val="20"/>
          <w:szCs w:val="20"/>
          <w:lang w:val="es-ES"/>
        </w:rPr>
      </w:pPr>
    </w:p>
    <w:p w14:paraId="2275C806" w14:textId="714E5170" w:rsidR="00DD00E7" w:rsidRPr="00975C02" w:rsidRDefault="00DD00E7" w:rsidP="00C8070B">
      <w:pPr>
        <w:numPr>
          <w:ilvl w:val="0"/>
          <w:numId w:val="2"/>
        </w:numPr>
        <w:tabs>
          <w:tab w:val="left" w:pos="567"/>
        </w:tabs>
        <w:spacing w:line="240" w:lineRule="auto"/>
        <w:ind w:left="0" w:firstLine="0"/>
        <w:textAlignment w:val="auto"/>
        <w:rPr>
          <w:rFonts w:cs="Arial"/>
          <w:sz w:val="20"/>
          <w:szCs w:val="20"/>
          <w:lang w:val="es-ES"/>
        </w:rPr>
      </w:pPr>
      <w:r w:rsidRPr="00975C02">
        <w:rPr>
          <w:sz w:val="20"/>
          <w:szCs w:val="20"/>
          <w:lang w:val="es-ES"/>
        </w:rPr>
        <w:t>Asimismo, la Corte ha sostenido en su jurisprudencia constante que una objeción al ejercicio de su jurisdicción basada en la supuesta falta de agotamiento de los recursos internos debe ser presentada en el momento procesal oportuno, esto es, durante el procedimiento de admisibilidad ante la Comisión</w:t>
      </w:r>
      <w:r w:rsidR="00D77066" w:rsidRPr="00975C02">
        <w:rPr>
          <w:sz w:val="20"/>
          <w:szCs w:val="20"/>
          <w:lang w:val="es-ES"/>
        </w:rPr>
        <w:t>. Luego de ese momento</w:t>
      </w:r>
      <w:r w:rsidRPr="00975C02">
        <w:rPr>
          <w:sz w:val="20"/>
          <w:szCs w:val="20"/>
          <w:lang w:val="es-ES"/>
        </w:rPr>
        <w:t>, se entiende que opera el principio de preclusión procesal</w:t>
      </w:r>
      <w:r w:rsidRPr="00975C02">
        <w:rPr>
          <w:sz w:val="20"/>
          <w:szCs w:val="20"/>
          <w:vertAlign w:val="superscript"/>
          <w:lang w:val="es-ES"/>
        </w:rPr>
        <w:footnoteReference w:id="17"/>
      </w:r>
      <w:r w:rsidR="00F70008" w:rsidRPr="00975C02">
        <w:rPr>
          <w:sz w:val="20"/>
          <w:szCs w:val="20"/>
          <w:lang w:val="es-ES"/>
        </w:rPr>
        <w:t>.</w:t>
      </w:r>
    </w:p>
    <w:p w14:paraId="1B875271" w14:textId="77777777" w:rsidR="00DD00E7" w:rsidRPr="00975C02" w:rsidRDefault="00DD00E7" w:rsidP="00DD00E7">
      <w:pPr>
        <w:tabs>
          <w:tab w:val="left" w:pos="567"/>
        </w:tabs>
        <w:spacing w:line="240" w:lineRule="auto"/>
        <w:textAlignment w:val="auto"/>
        <w:rPr>
          <w:rFonts w:cs="Arial"/>
          <w:sz w:val="20"/>
          <w:szCs w:val="20"/>
          <w:lang w:val="es-ES"/>
        </w:rPr>
      </w:pPr>
    </w:p>
    <w:p w14:paraId="31727EBC" w14:textId="7347DA38" w:rsidR="00DD00E7" w:rsidRPr="00975C02" w:rsidRDefault="00DD00E7" w:rsidP="00C8070B">
      <w:pPr>
        <w:numPr>
          <w:ilvl w:val="0"/>
          <w:numId w:val="2"/>
        </w:numPr>
        <w:tabs>
          <w:tab w:val="left" w:pos="567"/>
        </w:tabs>
        <w:spacing w:line="240" w:lineRule="auto"/>
        <w:ind w:left="0" w:firstLine="0"/>
        <w:textAlignment w:val="auto"/>
        <w:rPr>
          <w:rFonts w:cs="Arial"/>
          <w:sz w:val="20"/>
          <w:szCs w:val="20"/>
          <w:lang w:val="es-ES"/>
        </w:rPr>
      </w:pPr>
      <w:r w:rsidRPr="00975C02">
        <w:rPr>
          <w:rFonts w:eastAsia="Batang" w:cs="Times"/>
          <w:sz w:val="20"/>
          <w:szCs w:val="20"/>
          <w:lang w:val="es-ES" w:eastAsia="es-ES"/>
        </w:rPr>
        <w:t xml:space="preserve">Por lo tanto, durante la etapa de admisibilidad del caso ante la Comisión, el Estado debe precisar claramente los recursos que, según su criterio, aún no han sido agotados ante la necesidad de salvaguardar el principio de igualdad procesal entre las partes que debe regir todo el procedimiento ante el </w:t>
      </w:r>
      <w:r w:rsidR="00D91088" w:rsidRPr="00975C02">
        <w:rPr>
          <w:rFonts w:eastAsia="Batang" w:cs="Times"/>
          <w:sz w:val="20"/>
          <w:szCs w:val="20"/>
          <w:lang w:val="es-ES" w:eastAsia="es-ES"/>
        </w:rPr>
        <w:t>s</w:t>
      </w:r>
      <w:r w:rsidRPr="00975C02">
        <w:rPr>
          <w:rFonts w:eastAsia="Batang" w:cs="Times"/>
          <w:sz w:val="20"/>
          <w:szCs w:val="20"/>
          <w:lang w:val="es-ES" w:eastAsia="es-ES"/>
        </w:rPr>
        <w:t xml:space="preserve">istema </w:t>
      </w:r>
      <w:r w:rsidR="00D91088" w:rsidRPr="00975C02">
        <w:rPr>
          <w:rFonts w:eastAsia="Batang" w:cs="Times"/>
          <w:sz w:val="20"/>
          <w:szCs w:val="20"/>
          <w:lang w:val="es-ES" w:eastAsia="es-ES"/>
        </w:rPr>
        <w:t>i</w:t>
      </w:r>
      <w:r w:rsidRPr="00975C02">
        <w:rPr>
          <w:rFonts w:eastAsia="Batang" w:cs="Times"/>
          <w:sz w:val="20"/>
          <w:szCs w:val="20"/>
          <w:lang w:val="es-ES" w:eastAsia="es-ES"/>
        </w:rPr>
        <w:t>nteramericano</w:t>
      </w:r>
      <w:r w:rsidRPr="00975C02">
        <w:rPr>
          <w:rFonts w:eastAsia="Batang"/>
          <w:sz w:val="20"/>
          <w:szCs w:val="20"/>
          <w:vertAlign w:val="superscript"/>
          <w:lang w:val="es-ES" w:eastAsia="es-ES"/>
        </w:rPr>
        <w:footnoteReference w:id="18"/>
      </w:r>
      <w:r w:rsidRPr="00975C02">
        <w:rPr>
          <w:rFonts w:eastAsia="Batang" w:cs="Times"/>
          <w:sz w:val="20"/>
          <w:szCs w:val="20"/>
          <w:lang w:val="es-ES" w:eastAsia="es-ES"/>
        </w:rPr>
        <w:t xml:space="preserve">. Como la Corte ha establecido de manera reiterada, no es tarea de este Tribunal, ni de la </w:t>
      </w:r>
      <w:r w:rsidR="00975C02" w:rsidRPr="00975C02">
        <w:rPr>
          <w:rFonts w:eastAsia="Batang" w:cs="Times"/>
          <w:sz w:val="20"/>
          <w:szCs w:val="20"/>
          <w:lang w:val="es-ES" w:eastAsia="es-ES"/>
        </w:rPr>
        <w:t>Comisión</w:t>
      </w:r>
      <w:r w:rsidRPr="00975C02">
        <w:rPr>
          <w:rFonts w:eastAsia="Batang" w:cs="Times"/>
          <w:sz w:val="20"/>
          <w:szCs w:val="20"/>
          <w:lang w:val="es-ES" w:eastAsia="es-ES"/>
        </w:rPr>
        <w:t xml:space="preserve">, identificar </w:t>
      </w:r>
      <w:r w:rsidRPr="00975C02">
        <w:rPr>
          <w:rFonts w:eastAsia="Batang" w:cs="Times"/>
          <w:i/>
          <w:sz w:val="20"/>
          <w:szCs w:val="20"/>
          <w:lang w:val="es-ES" w:eastAsia="es-ES"/>
        </w:rPr>
        <w:t>ex officio</w:t>
      </w:r>
      <w:r w:rsidRPr="00975C02">
        <w:rPr>
          <w:rFonts w:eastAsia="Batang" w:cs="Times"/>
          <w:sz w:val="20"/>
          <w:szCs w:val="20"/>
          <w:lang w:val="es-ES" w:eastAsia="es-ES"/>
        </w:rPr>
        <w:t xml:space="preserve"> </w:t>
      </w:r>
      <w:r w:rsidR="00975C02" w:rsidRPr="00975C02">
        <w:rPr>
          <w:rFonts w:eastAsia="Batang" w:cs="Times"/>
          <w:sz w:val="20"/>
          <w:szCs w:val="20"/>
          <w:lang w:val="es-ES" w:eastAsia="es-ES"/>
        </w:rPr>
        <w:t>cuáles</w:t>
      </w:r>
      <w:r w:rsidRPr="00975C02">
        <w:rPr>
          <w:rFonts w:eastAsia="Batang" w:cs="Times"/>
          <w:sz w:val="20"/>
          <w:szCs w:val="20"/>
          <w:lang w:val="es-ES" w:eastAsia="es-ES"/>
        </w:rPr>
        <w:t xml:space="preserve"> son los recursos internos pendientes de agotamiento, en </w:t>
      </w:r>
      <w:r w:rsidR="00975C02" w:rsidRPr="00975C02">
        <w:rPr>
          <w:rFonts w:eastAsia="Batang" w:cs="Times"/>
          <w:sz w:val="20"/>
          <w:szCs w:val="20"/>
          <w:lang w:val="es-ES" w:eastAsia="es-ES"/>
        </w:rPr>
        <w:t>razón</w:t>
      </w:r>
      <w:r w:rsidRPr="00975C02">
        <w:rPr>
          <w:rFonts w:eastAsia="Batang" w:cs="Times"/>
          <w:sz w:val="20"/>
          <w:szCs w:val="20"/>
          <w:lang w:val="es-ES" w:eastAsia="es-ES"/>
        </w:rPr>
        <w:t xml:space="preserve"> de que no compete a los </w:t>
      </w:r>
      <w:r w:rsidR="00975C02" w:rsidRPr="00975C02">
        <w:rPr>
          <w:rFonts w:eastAsia="Batang" w:cs="Times"/>
          <w:sz w:val="20"/>
          <w:szCs w:val="20"/>
          <w:lang w:val="es-ES" w:eastAsia="es-ES"/>
        </w:rPr>
        <w:t>órganos</w:t>
      </w:r>
      <w:r w:rsidRPr="00975C02">
        <w:rPr>
          <w:rFonts w:eastAsia="Batang" w:cs="Times"/>
          <w:sz w:val="20"/>
          <w:szCs w:val="20"/>
          <w:lang w:val="es-ES" w:eastAsia="es-ES"/>
        </w:rPr>
        <w:t xml:space="preserve"> internacionales subsanar la falta de </w:t>
      </w:r>
      <w:r w:rsidR="00975C02" w:rsidRPr="00975C02">
        <w:rPr>
          <w:rFonts w:eastAsia="Batang" w:cs="Times"/>
          <w:sz w:val="20"/>
          <w:szCs w:val="20"/>
          <w:lang w:val="es-ES" w:eastAsia="es-ES"/>
        </w:rPr>
        <w:t>precisión</w:t>
      </w:r>
      <w:r w:rsidRPr="00975C02">
        <w:rPr>
          <w:rFonts w:eastAsia="Batang" w:cs="Times"/>
          <w:sz w:val="20"/>
          <w:szCs w:val="20"/>
          <w:lang w:val="es-ES" w:eastAsia="es-ES"/>
        </w:rPr>
        <w:t xml:space="preserve"> de los alegatos del Estado</w:t>
      </w:r>
      <w:r w:rsidRPr="00975C02">
        <w:rPr>
          <w:rFonts w:eastAsia="Batang"/>
          <w:sz w:val="20"/>
          <w:szCs w:val="20"/>
          <w:vertAlign w:val="superscript"/>
          <w:lang w:val="es-ES" w:eastAsia="es-ES"/>
        </w:rPr>
        <w:footnoteReference w:id="19"/>
      </w:r>
      <w:r w:rsidRPr="00975C02">
        <w:rPr>
          <w:rFonts w:eastAsia="Batang" w:cs="Times"/>
          <w:sz w:val="20"/>
          <w:szCs w:val="20"/>
          <w:lang w:val="es-ES" w:eastAsia="es-ES"/>
        </w:rPr>
        <w:t>.</w:t>
      </w:r>
    </w:p>
    <w:p w14:paraId="1074C94B" w14:textId="77777777" w:rsidR="00DD00E7" w:rsidRPr="00975C02" w:rsidRDefault="00DD00E7" w:rsidP="00DD00E7">
      <w:pPr>
        <w:pStyle w:val="ListParagraph"/>
        <w:spacing w:line="240" w:lineRule="auto"/>
        <w:ind w:left="0"/>
        <w:textAlignment w:val="auto"/>
        <w:rPr>
          <w:sz w:val="20"/>
          <w:szCs w:val="20"/>
          <w:lang w:val="es-ES"/>
        </w:rPr>
      </w:pPr>
    </w:p>
    <w:p w14:paraId="6B5AF14C" w14:textId="7F59A430" w:rsidR="00BD0E79" w:rsidRPr="00975C02" w:rsidRDefault="00DD00E7" w:rsidP="00AA2BAE">
      <w:pPr>
        <w:numPr>
          <w:ilvl w:val="0"/>
          <w:numId w:val="2"/>
        </w:numPr>
        <w:tabs>
          <w:tab w:val="left" w:pos="567"/>
        </w:tabs>
        <w:spacing w:line="240" w:lineRule="auto"/>
        <w:ind w:left="0" w:firstLine="0"/>
        <w:textAlignment w:val="auto"/>
        <w:rPr>
          <w:rFonts w:cs="Arial"/>
          <w:sz w:val="20"/>
          <w:szCs w:val="20"/>
          <w:lang w:val="es-ES"/>
        </w:rPr>
      </w:pPr>
      <w:r w:rsidRPr="00975C02">
        <w:rPr>
          <w:rFonts w:cs="Verdana"/>
          <w:sz w:val="20"/>
          <w:szCs w:val="20"/>
          <w:lang w:val="es-ES" w:eastAsia="es-MX"/>
        </w:rPr>
        <w:t xml:space="preserve">En efecto, la Corte recuerda que lo primero que procede determinar, en relación con una excepción preliminar de esta naturaleza, es si la objeción fue opuesta en el momento procesal oportuno. Al respecto, la Comisión </w:t>
      </w:r>
      <w:r w:rsidR="00AA2BAE" w:rsidRPr="00975C02">
        <w:rPr>
          <w:rFonts w:cs="Verdana"/>
          <w:sz w:val="20"/>
          <w:szCs w:val="20"/>
          <w:lang w:val="es-ES" w:eastAsia="es-MX"/>
        </w:rPr>
        <w:t>señaló que el Estado cuestionó</w:t>
      </w:r>
      <w:r w:rsidRPr="00975C02">
        <w:rPr>
          <w:rFonts w:cs="Verdana"/>
          <w:sz w:val="20"/>
          <w:szCs w:val="20"/>
          <w:lang w:val="es-ES" w:eastAsia="es-MX"/>
        </w:rPr>
        <w:t xml:space="preserve"> de manera oportuna </w:t>
      </w:r>
      <w:r w:rsidR="00AA2BAE" w:rsidRPr="00975C02">
        <w:rPr>
          <w:rFonts w:cs="Verdana"/>
          <w:sz w:val="20"/>
          <w:szCs w:val="20"/>
          <w:lang w:val="es-ES" w:eastAsia="es-MX"/>
        </w:rPr>
        <w:t xml:space="preserve">la falta de </w:t>
      </w:r>
      <w:r w:rsidR="00AA2BAE" w:rsidRPr="00975C02">
        <w:rPr>
          <w:rFonts w:cs="Verdana"/>
          <w:sz w:val="20"/>
          <w:szCs w:val="20"/>
          <w:lang w:val="es-ES" w:eastAsia="es-MX"/>
        </w:rPr>
        <w:lastRenderedPageBreak/>
        <w:t>agotamiento</w:t>
      </w:r>
      <w:r w:rsidR="00ED5B92" w:rsidRPr="00975C02">
        <w:rPr>
          <w:rFonts w:cs="Verdana"/>
          <w:sz w:val="20"/>
          <w:szCs w:val="20"/>
          <w:lang w:val="es-ES" w:eastAsia="es-MX"/>
        </w:rPr>
        <w:t xml:space="preserve"> de los recursos internos</w:t>
      </w:r>
      <w:r w:rsidRPr="00975C02">
        <w:rPr>
          <w:rFonts w:cs="Verdana"/>
          <w:sz w:val="20"/>
          <w:szCs w:val="20"/>
          <w:lang w:val="es-ES" w:eastAsia="es-MX"/>
        </w:rPr>
        <w:t xml:space="preserve"> (</w:t>
      </w:r>
      <w:r w:rsidRPr="00975C02">
        <w:rPr>
          <w:rFonts w:cs="Verdana"/>
          <w:i/>
          <w:sz w:val="20"/>
          <w:szCs w:val="20"/>
          <w:lang w:val="es-ES" w:eastAsia="es-MX"/>
        </w:rPr>
        <w:t>supra</w:t>
      </w:r>
      <w:r w:rsidRPr="00975C02">
        <w:rPr>
          <w:rFonts w:cs="Verdana"/>
          <w:sz w:val="20"/>
          <w:szCs w:val="20"/>
          <w:lang w:val="es-ES" w:eastAsia="es-MX"/>
        </w:rPr>
        <w:t xml:space="preserve"> párr.</w:t>
      </w:r>
      <w:r w:rsidR="00FA0912" w:rsidRPr="00975C02">
        <w:rPr>
          <w:rFonts w:cs="Verdana"/>
          <w:sz w:val="20"/>
          <w:szCs w:val="20"/>
          <w:lang w:val="es-ES" w:eastAsia="es-MX"/>
        </w:rPr>
        <w:t xml:space="preserve"> 19</w:t>
      </w:r>
      <w:r w:rsidRPr="00975C02">
        <w:rPr>
          <w:rFonts w:cs="Verdana"/>
          <w:sz w:val="20"/>
          <w:szCs w:val="20"/>
          <w:lang w:val="es-ES" w:eastAsia="es-MX"/>
        </w:rPr>
        <w:t xml:space="preserve">), y las representantes no </w:t>
      </w:r>
      <w:r w:rsidR="00FB01D0" w:rsidRPr="00975C02">
        <w:rPr>
          <w:rFonts w:cs="Verdana"/>
          <w:sz w:val="20"/>
          <w:szCs w:val="20"/>
          <w:lang w:val="es-ES" w:eastAsia="es-MX"/>
        </w:rPr>
        <w:t>han controvertido este aspecto.</w:t>
      </w:r>
      <w:r w:rsidR="00AA2BAE" w:rsidRPr="00975C02">
        <w:rPr>
          <w:rFonts w:cs="Arial"/>
          <w:sz w:val="20"/>
          <w:szCs w:val="20"/>
          <w:lang w:val="es-ES"/>
        </w:rPr>
        <w:t xml:space="preserve"> </w:t>
      </w:r>
      <w:r w:rsidR="00AA2BAE" w:rsidRPr="00975C02">
        <w:rPr>
          <w:rFonts w:cs="Verdana"/>
          <w:sz w:val="20"/>
          <w:szCs w:val="20"/>
          <w:lang w:val="es-ES" w:eastAsia="es-MX"/>
        </w:rPr>
        <w:t xml:space="preserve">La Corte advierte que </w:t>
      </w:r>
      <w:r w:rsidR="00BD0E79" w:rsidRPr="00975C02">
        <w:rPr>
          <w:rFonts w:cs="Verdana"/>
          <w:sz w:val="20"/>
          <w:szCs w:val="20"/>
          <w:lang w:val="es-ES" w:eastAsia="es-MX"/>
        </w:rPr>
        <w:t xml:space="preserve">el Estado efectivamente alegó la falta de agotamiento de los recursos de la jurisdicción interna </w:t>
      </w:r>
      <w:r w:rsidR="002926B6" w:rsidRPr="00975C02">
        <w:rPr>
          <w:rFonts w:cs="Verdana"/>
          <w:sz w:val="20"/>
          <w:szCs w:val="20"/>
          <w:lang w:val="es-ES" w:eastAsia="es-MX"/>
        </w:rPr>
        <w:t xml:space="preserve">durante la etapa de admisibilidad, específicamente </w:t>
      </w:r>
      <w:r w:rsidR="00BD0E79" w:rsidRPr="00975C02">
        <w:rPr>
          <w:rFonts w:cs="Verdana"/>
          <w:sz w:val="20"/>
          <w:szCs w:val="20"/>
          <w:lang w:val="es-ES" w:eastAsia="es-MX"/>
        </w:rPr>
        <w:t xml:space="preserve">en el </w:t>
      </w:r>
      <w:r w:rsidR="00BD0E79" w:rsidRPr="00975C02">
        <w:rPr>
          <w:rFonts w:cs="Verdana"/>
          <w:i/>
          <w:sz w:val="20"/>
          <w:szCs w:val="20"/>
          <w:lang w:val="es-ES" w:eastAsia="es-MX"/>
        </w:rPr>
        <w:t>addendum</w:t>
      </w:r>
      <w:r w:rsidR="00BD0E79" w:rsidRPr="00975C02">
        <w:rPr>
          <w:rFonts w:cs="Verdana"/>
          <w:sz w:val="20"/>
          <w:szCs w:val="20"/>
          <w:lang w:val="es-ES" w:eastAsia="es-MX"/>
        </w:rPr>
        <w:t xml:space="preserve"> </w:t>
      </w:r>
      <w:r w:rsidR="002926B6" w:rsidRPr="00975C02">
        <w:rPr>
          <w:rFonts w:cs="Verdana"/>
          <w:sz w:val="20"/>
          <w:szCs w:val="20"/>
          <w:lang w:val="es-ES" w:eastAsia="es-MX"/>
        </w:rPr>
        <w:t>a su respuesta inicial</w:t>
      </w:r>
      <w:r w:rsidR="00D2129E" w:rsidRPr="00975C02">
        <w:rPr>
          <w:rStyle w:val="FootnoteReference"/>
          <w:rFonts w:cs="Verdana,Italic"/>
          <w:iCs/>
          <w:sz w:val="20"/>
          <w:szCs w:val="20"/>
          <w:lang w:val="es-ES" w:eastAsia="en-US"/>
        </w:rPr>
        <w:footnoteReference w:id="20"/>
      </w:r>
      <w:r w:rsidR="002926B6" w:rsidRPr="00975C02">
        <w:rPr>
          <w:rFonts w:cs="Verdana"/>
          <w:sz w:val="20"/>
          <w:szCs w:val="20"/>
          <w:lang w:val="es-ES" w:eastAsia="es-MX"/>
        </w:rPr>
        <w:t xml:space="preserve"> </w:t>
      </w:r>
      <w:r w:rsidR="00ED5B92" w:rsidRPr="00975C02">
        <w:rPr>
          <w:rFonts w:cs="Verdana"/>
          <w:sz w:val="20"/>
          <w:szCs w:val="20"/>
          <w:lang w:val="es-ES" w:eastAsia="es-MX"/>
        </w:rPr>
        <w:t xml:space="preserve">recibido </w:t>
      </w:r>
      <w:r w:rsidR="002926B6" w:rsidRPr="00975C02">
        <w:rPr>
          <w:rFonts w:cs="Verdana"/>
          <w:sz w:val="20"/>
          <w:szCs w:val="20"/>
          <w:lang w:val="es-ES" w:eastAsia="es-MX"/>
        </w:rPr>
        <w:t>el 16 de febrero de 2005</w:t>
      </w:r>
      <w:r w:rsidR="002926B6" w:rsidRPr="00975C02">
        <w:rPr>
          <w:rStyle w:val="FootnoteReference"/>
          <w:rFonts w:cs="Verdana,Italic"/>
          <w:iCs/>
          <w:sz w:val="20"/>
          <w:szCs w:val="20"/>
          <w:lang w:val="es-ES" w:eastAsia="en-US"/>
        </w:rPr>
        <w:footnoteReference w:id="21"/>
      </w:r>
      <w:r w:rsidR="00ED5B92" w:rsidRPr="00975C02">
        <w:rPr>
          <w:rFonts w:cs="Verdana"/>
          <w:sz w:val="20"/>
          <w:szCs w:val="20"/>
          <w:lang w:val="es-ES" w:eastAsia="es-MX"/>
        </w:rPr>
        <w:t>,</w:t>
      </w:r>
      <w:r w:rsidR="002926B6" w:rsidRPr="00975C02">
        <w:rPr>
          <w:rFonts w:cs="Verdana"/>
          <w:sz w:val="20"/>
          <w:szCs w:val="20"/>
          <w:lang w:val="es-ES" w:eastAsia="es-MX"/>
        </w:rPr>
        <w:t xml:space="preserve"> </w:t>
      </w:r>
      <w:r w:rsidR="00A650C8" w:rsidRPr="00975C02">
        <w:rPr>
          <w:rFonts w:cs="Verdana,Italic"/>
          <w:iCs/>
          <w:sz w:val="20"/>
          <w:szCs w:val="20"/>
          <w:lang w:val="es-ES" w:eastAsia="en-US"/>
        </w:rPr>
        <w:t xml:space="preserve">y </w:t>
      </w:r>
      <w:r w:rsidR="002926B6" w:rsidRPr="00975C02">
        <w:rPr>
          <w:rFonts w:cs="Verdana,Italic"/>
          <w:iCs/>
          <w:sz w:val="20"/>
          <w:szCs w:val="20"/>
          <w:lang w:val="es-ES" w:eastAsia="en-US"/>
        </w:rPr>
        <w:t>afirm</w:t>
      </w:r>
      <w:r w:rsidR="00A650C8" w:rsidRPr="00975C02">
        <w:rPr>
          <w:rFonts w:cs="Verdana,Italic"/>
          <w:iCs/>
          <w:sz w:val="20"/>
          <w:szCs w:val="20"/>
          <w:lang w:val="es-ES" w:eastAsia="en-US"/>
        </w:rPr>
        <w:t>ó</w:t>
      </w:r>
      <w:r w:rsidR="002926B6" w:rsidRPr="00975C02">
        <w:rPr>
          <w:rFonts w:cs="Verdana,Italic"/>
          <w:iCs/>
          <w:sz w:val="20"/>
          <w:szCs w:val="20"/>
          <w:lang w:val="es-ES" w:eastAsia="en-US"/>
        </w:rPr>
        <w:t xml:space="preserve"> que en dicho momento los mismos aún no habían sido agotados en su totalidad ya que se encontraba </w:t>
      </w:r>
      <w:r w:rsidR="00ED5B92" w:rsidRPr="00975C02">
        <w:rPr>
          <w:rFonts w:cs="Verdana,Italic"/>
          <w:iCs/>
          <w:sz w:val="20"/>
          <w:szCs w:val="20"/>
          <w:lang w:val="es-ES" w:eastAsia="en-US"/>
        </w:rPr>
        <w:t>pendiente</w:t>
      </w:r>
      <w:r w:rsidR="002926B6" w:rsidRPr="00975C02">
        <w:rPr>
          <w:rFonts w:cs="Verdana,Italic"/>
          <w:iCs/>
          <w:sz w:val="20"/>
          <w:szCs w:val="20"/>
          <w:lang w:val="es-ES" w:eastAsia="en-US"/>
        </w:rPr>
        <w:t xml:space="preserve"> de resolución la solicitud de nulidad del veredicto del Tribunal de Jurados que absolvió al acusado</w:t>
      </w:r>
      <w:r w:rsidR="002926B6" w:rsidRPr="00975C02">
        <w:rPr>
          <w:rStyle w:val="FootnoteReference"/>
          <w:rFonts w:cs="Verdana,Italic"/>
          <w:iCs/>
          <w:sz w:val="20"/>
          <w:szCs w:val="20"/>
          <w:lang w:val="es-ES" w:eastAsia="en-US"/>
        </w:rPr>
        <w:footnoteReference w:id="22"/>
      </w:r>
      <w:r w:rsidR="00A650C8" w:rsidRPr="00975C02">
        <w:rPr>
          <w:rFonts w:cs="Verdana,Italic"/>
          <w:iCs/>
          <w:sz w:val="20"/>
          <w:szCs w:val="20"/>
          <w:lang w:val="es-ES" w:eastAsia="en-US"/>
        </w:rPr>
        <w:t>. Por lo tanto</w:t>
      </w:r>
      <w:r w:rsidR="002926B6" w:rsidRPr="00975C02">
        <w:rPr>
          <w:rFonts w:cs="Verdana,Italic"/>
          <w:iCs/>
          <w:sz w:val="20"/>
          <w:szCs w:val="20"/>
          <w:lang w:val="es-ES" w:eastAsia="en-US"/>
        </w:rPr>
        <w:t xml:space="preserve">, </w:t>
      </w:r>
      <w:r w:rsidR="00BD0E79" w:rsidRPr="00975C02">
        <w:rPr>
          <w:rFonts w:cs="Verdana"/>
          <w:sz w:val="20"/>
          <w:szCs w:val="20"/>
          <w:lang w:val="es-ES" w:eastAsia="es-MX"/>
        </w:rPr>
        <w:t xml:space="preserve">la excepción fue presentada en la debida oportunidad procesal, tal como se desprende del </w:t>
      </w:r>
      <w:r w:rsidR="00ED5B92" w:rsidRPr="00975C02">
        <w:rPr>
          <w:rFonts w:cs="Verdana"/>
          <w:sz w:val="20"/>
          <w:szCs w:val="20"/>
          <w:lang w:val="es-ES" w:eastAsia="es-MX"/>
        </w:rPr>
        <w:t>I</w:t>
      </w:r>
      <w:r w:rsidR="00BD0E79" w:rsidRPr="00975C02">
        <w:rPr>
          <w:rFonts w:cs="Verdana"/>
          <w:sz w:val="20"/>
          <w:szCs w:val="20"/>
          <w:lang w:val="es-ES" w:eastAsia="es-MX"/>
        </w:rPr>
        <w:t xml:space="preserve">nforme de </w:t>
      </w:r>
      <w:r w:rsidR="00ED5B92" w:rsidRPr="00975C02">
        <w:rPr>
          <w:rFonts w:cs="Verdana"/>
          <w:sz w:val="20"/>
          <w:szCs w:val="20"/>
          <w:lang w:val="es-ES" w:eastAsia="es-MX"/>
        </w:rPr>
        <w:t>A</w:t>
      </w:r>
      <w:r w:rsidR="00BD0E79" w:rsidRPr="00975C02">
        <w:rPr>
          <w:rFonts w:cs="Verdana"/>
          <w:sz w:val="20"/>
          <w:szCs w:val="20"/>
          <w:lang w:val="es-ES" w:eastAsia="es-MX"/>
        </w:rPr>
        <w:t>dmisibilidad</w:t>
      </w:r>
      <w:r w:rsidR="00BD0E79" w:rsidRPr="00975C02">
        <w:rPr>
          <w:rStyle w:val="FootnoteReference"/>
          <w:rFonts w:cs="Verdana"/>
          <w:sz w:val="20"/>
          <w:szCs w:val="20"/>
          <w:lang w:val="es-ES" w:eastAsia="es-MX"/>
        </w:rPr>
        <w:footnoteReference w:id="23"/>
      </w:r>
      <w:r w:rsidR="00BD0E79" w:rsidRPr="00975C02">
        <w:rPr>
          <w:rFonts w:cs="Verdana"/>
          <w:sz w:val="20"/>
          <w:szCs w:val="20"/>
          <w:lang w:val="es-ES" w:eastAsia="es-MX"/>
        </w:rPr>
        <w:t>.</w:t>
      </w:r>
    </w:p>
    <w:p w14:paraId="1AE7F383" w14:textId="77777777" w:rsidR="00BD0E79" w:rsidRPr="00975C02" w:rsidRDefault="00BD0E79" w:rsidP="00BD0E79">
      <w:pPr>
        <w:tabs>
          <w:tab w:val="left" w:pos="567"/>
        </w:tabs>
        <w:spacing w:line="240" w:lineRule="auto"/>
        <w:textAlignment w:val="auto"/>
        <w:rPr>
          <w:rFonts w:cs="Arial"/>
          <w:sz w:val="20"/>
          <w:szCs w:val="20"/>
          <w:lang w:val="es-ES"/>
        </w:rPr>
      </w:pPr>
    </w:p>
    <w:p w14:paraId="4F75A8A7" w14:textId="77777777" w:rsidR="00DD00E7" w:rsidRPr="00975C02" w:rsidRDefault="00006393" w:rsidP="00C8070B">
      <w:pPr>
        <w:numPr>
          <w:ilvl w:val="0"/>
          <w:numId w:val="2"/>
        </w:numPr>
        <w:tabs>
          <w:tab w:val="left" w:pos="567"/>
        </w:tabs>
        <w:spacing w:line="240" w:lineRule="auto"/>
        <w:ind w:left="0" w:firstLine="0"/>
        <w:textAlignment w:val="auto"/>
        <w:rPr>
          <w:rFonts w:cs="Arial"/>
          <w:sz w:val="20"/>
          <w:szCs w:val="20"/>
          <w:lang w:val="es-ES"/>
        </w:rPr>
      </w:pPr>
      <w:r w:rsidRPr="00975C02">
        <w:rPr>
          <w:sz w:val="20"/>
          <w:szCs w:val="20"/>
          <w:lang w:val="es-ES"/>
        </w:rPr>
        <w:t>Ahora bien, l</w:t>
      </w:r>
      <w:r w:rsidR="00DD00E7" w:rsidRPr="00975C02">
        <w:rPr>
          <w:sz w:val="20"/>
          <w:szCs w:val="20"/>
          <w:lang w:val="es-ES"/>
        </w:rPr>
        <w:t>a Corte destaca</w:t>
      </w:r>
      <w:r w:rsidRPr="00975C02">
        <w:rPr>
          <w:sz w:val="20"/>
          <w:szCs w:val="20"/>
          <w:lang w:val="es-ES"/>
        </w:rPr>
        <w:t xml:space="preserve"> que</w:t>
      </w:r>
      <w:r w:rsidR="00DD00E7" w:rsidRPr="00975C02">
        <w:rPr>
          <w:sz w:val="20"/>
          <w:szCs w:val="20"/>
          <w:lang w:val="es-ES"/>
        </w:rPr>
        <w:t>, de conformidad con lo establecido en su jurisprudencia, la Comisión debía analizar el agotamiento de los recursos internos para el momento en que se decidió la admisibilidad de la petición y no para el momento de la presentación de la misma</w:t>
      </w:r>
      <w:r w:rsidR="00DD00E7" w:rsidRPr="00975C02">
        <w:rPr>
          <w:rStyle w:val="FootnoteReference"/>
          <w:sz w:val="20"/>
          <w:szCs w:val="20"/>
          <w:lang w:val="es-ES"/>
        </w:rPr>
        <w:footnoteReference w:id="24"/>
      </w:r>
      <w:r w:rsidR="00DD00E7" w:rsidRPr="00975C02">
        <w:rPr>
          <w:sz w:val="20"/>
          <w:szCs w:val="20"/>
          <w:lang w:val="es-ES"/>
        </w:rPr>
        <w:t xml:space="preserve">. Además, era preciso que contara con la información actualizada, necesaria y suficiente para llevar a cabo ese examen de admisibilidad, la cual debió ser remitida por </w:t>
      </w:r>
      <w:r w:rsidR="00931C0D" w:rsidRPr="00975C02">
        <w:rPr>
          <w:sz w:val="20"/>
          <w:szCs w:val="20"/>
          <w:lang w:val="es-ES"/>
        </w:rPr>
        <w:t>las partes en el procedimiento.</w:t>
      </w:r>
    </w:p>
    <w:p w14:paraId="6FD3F41E" w14:textId="77777777" w:rsidR="00DD00E7" w:rsidRPr="00975C02" w:rsidRDefault="00DD00E7" w:rsidP="00DD00E7">
      <w:pPr>
        <w:pStyle w:val="ListParagraph"/>
        <w:spacing w:line="240" w:lineRule="auto"/>
        <w:ind w:left="0"/>
        <w:textAlignment w:val="auto"/>
        <w:rPr>
          <w:sz w:val="20"/>
          <w:szCs w:val="20"/>
          <w:lang w:val="es-ES"/>
        </w:rPr>
      </w:pPr>
    </w:p>
    <w:p w14:paraId="314920DB" w14:textId="3F33F3B9" w:rsidR="002B12BC" w:rsidRPr="00975C02" w:rsidRDefault="002B12BC" w:rsidP="00C8070B">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Sobre el particular, la Corte nota que</w:t>
      </w:r>
      <w:r w:rsidR="00182DC6" w:rsidRPr="00975C02">
        <w:rPr>
          <w:sz w:val="20"/>
          <w:szCs w:val="20"/>
          <w:lang w:val="es-ES"/>
        </w:rPr>
        <w:t>,</w:t>
      </w:r>
      <w:r w:rsidRPr="00975C02">
        <w:rPr>
          <w:sz w:val="20"/>
          <w:szCs w:val="20"/>
          <w:lang w:val="es-ES"/>
        </w:rPr>
        <w:t xml:space="preserve"> al 11 de febrero de 2009, fecha en que la Comisión se pronunció sobre la admisibilidad, los datos obrantes en el expediente</w:t>
      </w:r>
      <w:r w:rsidR="00E30579" w:rsidRPr="00975C02">
        <w:rPr>
          <w:sz w:val="20"/>
          <w:szCs w:val="20"/>
          <w:lang w:val="es-ES"/>
        </w:rPr>
        <w:t xml:space="preserve"> de trámite</w:t>
      </w:r>
      <w:r w:rsidRPr="00975C02">
        <w:rPr>
          <w:sz w:val="20"/>
          <w:szCs w:val="20"/>
          <w:lang w:val="es-ES"/>
        </w:rPr>
        <w:t xml:space="preserve"> ante </w:t>
      </w:r>
      <w:r w:rsidR="00E01F12">
        <w:rPr>
          <w:sz w:val="20"/>
          <w:szCs w:val="20"/>
          <w:lang w:val="es-ES"/>
        </w:rPr>
        <w:t xml:space="preserve">ese órgano </w:t>
      </w:r>
      <w:r w:rsidRPr="00975C02">
        <w:rPr>
          <w:sz w:val="20"/>
          <w:szCs w:val="20"/>
          <w:lang w:val="es-ES"/>
        </w:rPr>
        <w:t xml:space="preserve">daban cuenta de que los recursos de apelación interpuestos </w:t>
      </w:r>
      <w:r w:rsidR="00882ED4" w:rsidRPr="00975C02">
        <w:rPr>
          <w:sz w:val="20"/>
          <w:szCs w:val="20"/>
          <w:lang w:val="es-ES"/>
        </w:rPr>
        <w:t xml:space="preserve">el 25 de agosto de 2005 </w:t>
      </w:r>
      <w:r w:rsidRPr="00975C02">
        <w:rPr>
          <w:sz w:val="20"/>
          <w:szCs w:val="20"/>
          <w:lang w:val="es-ES"/>
        </w:rPr>
        <w:t xml:space="preserve">por el </w:t>
      </w:r>
      <w:r w:rsidR="002D499C" w:rsidRPr="00975C02">
        <w:rPr>
          <w:sz w:val="20"/>
          <w:szCs w:val="20"/>
          <w:lang w:val="es-ES"/>
        </w:rPr>
        <w:t>fiscal auxiliar</w:t>
      </w:r>
      <w:r w:rsidRPr="00975C02">
        <w:rPr>
          <w:sz w:val="20"/>
          <w:szCs w:val="20"/>
          <w:lang w:val="es-ES"/>
        </w:rPr>
        <w:t xml:space="preserve"> del Ministerio Público y por la representación legal de la señora V.P.C (</w:t>
      </w:r>
      <w:r w:rsidRPr="00975C02">
        <w:rPr>
          <w:i/>
          <w:sz w:val="20"/>
          <w:szCs w:val="20"/>
          <w:lang w:val="es-ES"/>
        </w:rPr>
        <w:t>infra</w:t>
      </w:r>
      <w:r w:rsidR="00FA0912" w:rsidRPr="00975C02">
        <w:rPr>
          <w:sz w:val="20"/>
          <w:szCs w:val="20"/>
          <w:lang w:val="es-ES"/>
        </w:rPr>
        <w:t xml:space="preserve"> párr. 120</w:t>
      </w:r>
      <w:r w:rsidRPr="00975C02">
        <w:rPr>
          <w:sz w:val="20"/>
          <w:szCs w:val="20"/>
          <w:lang w:val="es-ES"/>
        </w:rPr>
        <w:t xml:space="preserve">) se encontraban pendientes de resolución y, en efecto, habían transcurrido más de seis años desde el acaecimiento de los hechos sin que el Estado hubiera emitido un pronunciamiento definitivo. No consta en el expediente de trámite ante la Comisión que </w:t>
      </w:r>
      <w:r w:rsidR="00B451A5" w:rsidRPr="00975C02">
        <w:rPr>
          <w:sz w:val="20"/>
          <w:szCs w:val="20"/>
          <w:lang w:val="es-ES"/>
        </w:rPr>
        <w:t xml:space="preserve">ésta </w:t>
      </w:r>
      <w:r w:rsidRPr="00975C02">
        <w:rPr>
          <w:sz w:val="20"/>
          <w:szCs w:val="20"/>
          <w:lang w:val="es-ES"/>
        </w:rPr>
        <w:t>hubiere tenido noticia del dictado de la Sentencia No. 45 de la Sala Penal del Tribunal de Apelaciones de la Circunscripción Norte, fechada el 24 de octubre de 2007.</w:t>
      </w:r>
    </w:p>
    <w:p w14:paraId="5D7E3212" w14:textId="77777777" w:rsidR="002B12BC" w:rsidRPr="00975C02" w:rsidRDefault="002B12BC" w:rsidP="003C63B4">
      <w:pPr>
        <w:tabs>
          <w:tab w:val="left" w:pos="567"/>
        </w:tabs>
        <w:spacing w:line="240" w:lineRule="auto"/>
        <w:rPr>
          <w:sz w:val="20"/>
          <w:szCs w:val="20"/>
          <w:lang w:val="es-ES"/>
        </w:rPr>
      </w:pPr>
    </w:p>
    <w:p w14:paraId="4D53C570" w14:textId="60AEE303" w:rsidR="00DD00E7" w:rsidRPr="00975C02" w:rsidRDefault="00DD00E7" w:rsidP="00C8070B">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De conformidad con lo anterior, y en sintonía con lo establecido previamente por esta Corte, los avances del procedimiento en la jurisdicción interna únicamente podrían haber sido tomados en cuenta por la Comisión en la medida en que las partes le hubiesen brindado esa información en el marco del proceso</w:t>
      </w:r>
      <w:r w:rsidRPr="00975C02">
        <w:rPr>
          <w:rStyle w:val="FootnoteReference"/>
          <w:sz w:val="20"/>
          <w:szCs w:val="20"/>
          <w:lang w:val="es-ES"/>
        </w:rPr>
        <w:footnoteReference w:id="25"/>
      </w:r>
      <w:r w:rsidR="00E30579" w:rsidRPr="00975C02">
        <w:rPr>
          <w:sz w:val="20"/>
          <w:szCs w:val="20"/>
          <w:lang w:val="es-ES"/>
        </w:rPr>
        <w:t>.</w:t>
      </w:r>
      <w:r w:rsidR="00F42900" w:rsidRPr="00975C02">
        <w:rPr>
          <w:rFonts w:cs="Arial"/>
          <w:sz w:val="20"/>
          <w:szCs w:val="20"/>
          <w:lang w:val="es-ES"/>
        </w:rPr>
        <w:t xml:space="preserve"> En consecuencia, el estudio de la admisibilidad realizado por la Comisión </w:t>
      </w:r>
      <w:r w:rsidR="00F42900" w:rsidRPr="00975C02">
        <w:rPr>
          <w:sz w:val="20"/>
          <w:szCs w:val="20"/>
          <w:lang w:val="es-ES"/>
        </w:rPr>
        <w:t xml:space="preserve">en el año 2009 </w:t>
      </w:r>
      <w:r w:rsidR="00F42900" w:rsidRPr="00975C02">
        <w:rPr>
          <w:rFonts w:cs="Arial"/>
          <w:sz w:val="20"/>
          <w:szCs w:val="20"/>
          <w:lang w:val="es-ES"/>
        </w:rPr>
        <w:t xml:space="preserve">se ajustó a la información que tenía disponible en aquel momento, no siéndole exigible otro análisis que no pudo ser contemplado en razón de </w:t>
      </w:r>
      <w:r w:rsidR="00252E26" w:rsidRPr="00975C02">
        <w:rPr>
          <w:rFonts w:cs="Arial"/>
          <w:sz w:val="20"/>
          <w:szCs w:val="20"/>
          <w:lang w:val="es-ES"/>
        </w:rPr>
        <w:t xml:space="preserve">que </w:t>
      </w:r>
      <w:r w:rsidR="00F42900" w:rsidRPr="00975C02">
        <w:rPr>
          <w:rFonts w:cs="Arial"/>
          <w:sz w:val="20"/>
          <w:szCs w:val="20"/>
          <w:lang w:val="es-ES"/>
        </w:rPr>
        <w:t>carec</w:t>
      </w:r>
      <w:r w:rsidR="00252E26" w:rsidRPr="00975C02">
        <w:rPr>
          <w:rFonts w:cs="Arial"/>
          <w:sz w:val="20"/>
          <w:szCs w:val="20"/>
          <w:lang w:val="es-ES"/>
        </w:rPr>
        <w:t>ía</w:t>
      </w:r>
      <w:r w:rsidR="00F42900" w:rsidRPr="00975C02">
        <w:rPr>
          <w:rFonts w:cs="Arial"/>
          <w:sz w:val="20"/>
          <w:szCs w:val="20"/>
          <w:lang w:val="es-ES"/>
        </w:rPr>
        <w:t xml:space="preserve"> de información actualizada.</w:t>
      </w:r>
    </w:p>
    <w:p w14:paraId="21CA3EEB" w14:textId="77777777" w:rsidR="00E30579" w:rsidRPr="00975C02" w:rsidRDefault="00E30579" w:rsidP="00E30579">
      <w:pPr>
        <w:tabs>
          <w:tab w:val="left" w:pos="567"/>
        </w:tabs>
        <w:spacing w:line="240" w:lineRule="auto"/>
        <w:rPr>
          <w:sz w:val="20"/>
          <w:szCs w:val="20"/>
          <w:lang w:val="es-ES"/>
        </w:rPr>
      </w:pPr>
    </w:p>
    <w:p w14:paraId="66DC800E" w14:textId="1F6B5930" w:rsidR="00DD00E7" w:rsidRPr="00975C02" w:rsidRDefault="00F42900" w:rsidP="00C8070B">
      <w:pPr>
        <w:numPr>
          <w:ilvl w:val="0"/>
          <w:numId w:val="2"/>
        </w:numPr>
        <w:tabs>
          <w:tab w:val="left" w:pos="567"/>
          <w:tab w:val="num" w:pos="12305"/>
        </w:tabs>
        <w:spacing w:line="240" w:lineRule="auto"/>
        <w:ind w:left="0" w:firstLine="0"/>
        <w:rPr>
          <w:sz w:val="20"/>
          <w:szCs w:val="20"/>
          <w:lang w:val="es-ES"/>
        </w:rPr>
      </w:pPr>
      <w:r w:rsidRPr="00975C02">
        <w:rPr>
          <w:rFonts w:cs="Arial"/>
          <w:sz w:val="20"/>
          <w:szCs w:val="20"/>
          <w:lang w:val="es-ES"/>
        </w:rPr>
        <w:t xml:space="preserve">Por otra parte, la Corte nota que, </w:t>
      </w:r>
      <w:r w:rsidR="00CF0719" w:rsidRPr="00975C02">
        <w:rPr>
          <w:rFonts w:cs="Arial"/>
          <w:sz w:val="20"/>
          <w:szCs w:val="20"/>
          <w:lang w:val="es-ES"/>
        </w:rPr>
        <w:t xml:space="preserve">incluso en el supuesto </w:t>
      </w:r>
      <w:r w:rsidRPr="00975C02">
        <w:rPr>
          <w:rFonts w:cs="Arial"/>
          <w:sz w:val="20"/>
          <w:szCs w:val="20"/>
          <w:lang w:val="es-ES"/>
        </w:rPr>
        <w:t xml:space="preserve">de haber contado con información actualizada </w:t>
      </w:r>
      <w:r w:rsidR="00CF0719" w:rsidRPr="00975C02">
        <w:rPr>
          <w:rFonts w:cs="Arial"/>
          <w:sz w:val="20"/>
          <w:szCs w:val="20"/>
          <w:lang w:val="es-ES"/>
        </w:rPr>
        <w:t xml:space="preserve">al año 2009 </w:t>
      </w:r>
      <w:r w:rsidRPr="00975C02">
        <w:rPr>
          <w:rFonts w:cs="Arial"/>
          <w:sz w:val="20"/>
          <w:szCs w:val="20"/>
          <w:lang w:val="es-ES"/>
        </w:rPr>
        <w:t xml:space="preserve">sobre el proceso interno, los recursos </w:t>
      </w:r>
      <w:r w:rsidR="00465B28" w:rsidRPr="00975C02">
        <w:rPr>
          <w:rFonts w:cs="Arial"/>
          <w:sz w:val="20"/>
          <w:szCs w:val="20"/>
          <w:lang w:val="es-ES"/>
        </w:rPr>
        <w:t>se encontraban</w:t>
      </w:r>
      <w:r w:rsidRPr="00975C02">
        <w:rPr>
          <w:rFonts w:cs="Arial"/>
          <w:sz w:val="20"/>
          <w:szCs w:val="20"/>
          <w:lang w:val="es-ES"/>
        </w:rPr>
        <w:t xml:space="preserve"> agotados, por cuanto el propio Estado aseveró</w:t>
      </w:r>
      <w:r w:rsidR="00DD00E7" w:rsidRPr="00975C02">
        <w:rPr>
          <w:rFonts w:cs="Arial"/>
          <w:sz w:val="20"/>
          <w:szCs w:val="20"/>
          <w:lang w:val="es-ES"/>
        </w:rPr>
        <w:t xml:space="preserve"> que </w:t>
      </w:r>
      <w:r w:rsidR="00A17B77" w:rsidRPr="00975C02">
        <w:rPr>
          <w:sz w:val="20"/>
          <w:szCs w:val="20"/>
          <w:lang w:val="es-ES"/>
        </w:rPr>
        <w:t>aquél</w:t>
      </w:r>
      <w:r w:rsidR="00F32EFF" w:rsidRPr="00975C02">
        <w:rPr>
          <w:sz w:val="20"/>
          <w:szCs w:val="20"/>
          <w:lang w:val="es-ES"/>
        </w:rPr>
        <w:t xml:space="preserve"> concluyó</w:t>
      </w:r>
      <w:r w:rsidR="00DD00E7" w:rsidRPr="00975C02">
        <w:rPr>
          <w:sz w:val="20"/>
          <w:szCs w:val="20"/>
          <w:lang w:val="es-ES"/>
        </w:rPr>
        <w:t xml:space="preserve"> con la </w:t>
      </w:r>
      <w:r w:rsidR="00DC7912" w:rsidRPr="00975C02">
        <w:rPr>
          <w:sz w:val="20"/>
          <w:szCs w:val="20"/>
          <w:lang w:val="es-ES"/>
        </w:rPr>
        <w:t xml:space="preserve">emisión de la </w:t>
      </w:r>
      <w:r w:rsidR="00DD00E7" w:rsidRPr="00975C02">
        <w:rPr>
          <w:sz w:val="20"/>
          <w:szCs w:val="20"/>
          <w:lang w:val="es-ES"/>
        </w:rPr>
        <w:t xml:space="preserve">Sentencia </w:t>
      </w:r>
      <w:r w:rsidR="00DC7912" w:rsidRPr="00975C02">
        <w:rPr>
          <w:sz w:val="20"/>
          <w:szCs w:val="20"/>
          <w:lang w:val="es-ES"/>
        </w:rPr>
        <w:t>No.</w:t>
      </w:r>
      <w:r w:rsidR="00DD00E7" w:rsidRPr="00975C02">
        <w:rPr>
          <w:sz w:val="20"/>
          <w:szCs w:val="20"/>
          <w:lang w:val="es-ES"/>
        </w:rPr>
        <w:t xml:space="preserve"> 45 de la Sala Penal del Tribunal de Apelaciones Circunscripción Norte dictada </w:t>
      </w:r>
      <w:r w:rsidR="00F32EFF" w:rsidRPr="00975C02">
        <w:rPr>
          <w:sz w:val="20"/>
          <w:szCs w:val="20"/>
          <w:lang w:val="es-ES"/>
        </w:rPr>
        <w:t xml:space="preserve">el </w:t>
      </w:r>
      <w:r w:rsidR="00DD00E7" w:rsidRPr="00975C02">
        <w:rPr>
          <w:sz w:val="20"/>
          <w:szCs w:val="20"/>
          <w:lang w:val="es-ES"/>
        </w:rPr>
        <w:t>24 de octubre de 2007</w:t>
      </w:r>
      <w:r w:rsidRPr="00975C02">
        <w:rPr>
          <w:sz w:val="20"/>
          <w:szCs w:val="20"/>
          <w:lang w:val="es-ES"/>
        </w:rPr>
        <w:t>. Por consiguiente,</w:t>
      </w:r>
      <w:r w:rsidR="00DD00E7" w:rsidRPr="00975C02">
        <w:rPr>
          <w:sz w:val="20"/>
          <w:szCs w:val="20"/>
          <w:lang w:val="es-ES"/>
        </w:rPr>
        <w:t xml:space="preserve"> la Corte desestima la excepción pr</w:t>
      </w:r>
      <w:r w:rsidR="00175618" w:rsidRPr="00975C02">
        <w:rPr>
          <w:sz w:val="20"/>
          <w:szCs w:val="20"/>
          <w:lang w:val="es-ES"/>
        </w:rPr>
        <w:t>eliminar opuesta por el Estado.</w:t>
      </w:r>
    </w:p>
    <w:p w14:paraId="34298C40" w14:textId="77777777" w:rsidR="00DD00E7" w:rsidRPr="00975C02" w:rsidRDefault="00DD00E7" w:rsidP="00DD00E7">
      <w:pPr>
        <w:widowControl/>
        <w:tabs>
          <w:tab w:val="left" w:pos="567"/>
        </w:tabs>
        <w:autoSpaceDE w:val="0"/>
        <w:autoSpaceDN w:val="0"/>
        <w:adjustRightInd/>
        <w:spacing w:line="240" w:lineRule="auto"/>
        <w:textAlignment w:val="auto"/>
        <w:rPr>
          <w:rFonts w:eastAsia="Batang" w:cs="Arial"/>
          <w:b/>
          <w:iCs/>
          <w:sz w:val="20"/>
          <w:szCs w:val="20"/>
          <w:lang w:val="es-ES" w:eastAsia="en-US"/>
        </w:rPr>
      </w:pPr>
    </w:p>
    <w:p w14:paraId="38F6540F" w14:textId="53BECAC3" w:rsidR="00A66DBB" w:rsidRPr="00975C02" w:rsidRDefault="00327465" w:rsidP="00327465">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Finalmente, la Corte advierte que</w:t>
      </w:r>
      <w:r w:rsidR="00A66DBB" w:rsidRPr="00975C02">
        <w:rPr>
          <w:sz w:val="20"/>
          <w:szCs w:val="20"/>
          <w:lang w:val="es-ES"/>
        </w:rPr>
        <w:t xml:space="preserve"> no </w:t>
      </w:r>
      <w:r w:rsidRPr="00975C02">
        <w:rPr>
          <w:sz w:val="20"/>
          <w:szCs w:val="20"/>
          <w:lang w:val="es-ES"/>
        </w:rPr>
        <w:t>proceder</w:t>
      </w:r>
      <w:r w:rsidR="00037335">
        <w:rPr>
          <w:sz w:val="20"/>
          <w:szCs w:val="20"/>
          <w:lang w:val="es-ES"/>
        </w:rPr>
        <w:t>á</w:t>
      </w:r>
      <w:r w:rsidR="00A66DBB" w:rsidRPr="00975C02">
        <w:rPr>
          <w:sz w:val="20"/>
          <w:szCs w:val="20"/>
          <w:lang w:val="es-ES"/>
        </w:rPr>
        <w:t xml:space="preserve"> </w:t>
      </w:r>
      <w:r w:rsidRPr="00975C02">
        <w:rPr>
          <w:sz w:val="20"/>
          <w:szCs w:val="20"/>
          <w:lang w:val="es-ES"/>
        </w:rPr>
        <w:t>a</w:t>
      </w:r>
      <w:r w:rsidR="00A66DBB" w:rsidRPr="00975C02">
        <w:rPr>
          <w:sz w:val="20"/>
          <w:szCs w:val="20"/>
          <w:lang w:val="es-ES"/>
        </w:rPr>
        <w:t xml:space="preserve">l análisis </w:t>
      </w:r>
      <w:r w:rsidR="00F32EFF" w:rsidRPr="00975C02">
        <w:rPr>
          <w:sz w:val="20"/>
          <w:szCs w:val="20"/>
          <w:lang w:val="es-ES"/>
        </w:rPr>
        <w:t>de los alegatos de</w:t>
      </w:r>
      <w:r w:rsidR="00A66DBB" w:rsidRPr="00975C02">
        <w:rPr>
          <w:sz w:val="20"/>
          <w:szCs w:val="20"/>
          <w:lang w:val="es-ES"/>
        </w:rPr>
        <w:t xml:space="preserve"> las representantes </w:t>
      </w:r>
      <w:r w:rsidRPr="00975C02">
        <w:rPr>
          <w:sz w:val="20"/>
          <w:szCs w:val="20"/>
          <w:lang w:val="es-ES"/>
        </w:rPr>
        <w:t xml:space="preserve">en cuanto a que habría operado la excepción al agotamiento de los recursos </w:t>
      </w:r>
      <w:r w:rsidRPr="00975C02">
        <w:rPr>
          <w:sz w:val="20"/>
          <w:szCs w:val="20"/>
          <w:lang w:val="es-ES"/>
        </w:rPr>
        <w:lastRenderedPageBreak/>
        <w:t xml:space="preserve">internos </w:t>
      </w:r>
      <w:r w:rsidR="003D3507" w:rsidRPr="00975C02">
        <w:rPr>
          <w:sz w:val="20"/>
          <w:szCs w:val="20"/>
          <w:lang w:val="es-ES"/>
        </w:rPr>
        <w:t>al</w:t>
      </w:r>
      <w:r w:rsidRPr="00975C02">
        <w:rPr>
          <w:sz w:val="20"/>
          <w:szCs w:val="20"/>
          <w:lang w:val="es-ES"/>
        </w:rPr>
        <w:t xml:space="preserve"> no exist</w:t>
      </w:r>
      <w:r w:rsidR="003D3507" w:rsidRPr="00975C02">
        <w:rPr>
          <w:sz w:val="20"/>
          <w:szCs w:val="20"/>
          <w:lang w:val="es-ES"/>
        </w:rPr>
        <w:t xml:space="preserve">ir supuestamente </w:t>
      </w:r>
      <w:r w:rsidRPr="00975C02">
        <w:rPr>
          <w:sz w:val="20"/>
          <w:szCs w:val="20"/>
          <w:lang w:val="es-ES"/>
        </w:rPr>
        <w:t>un debido proceso legal</w:t>
      </w:r>
      <w:r w:rsidR="003D3507" w:rsidRPr="00975C02">
        <w:rPr>
          <w:sz w:val="20"/>
          <w:szCs w:val="20"/>
          <w:lang w:val="es-ES"/>
        </w:rPr>
        <w:t>,</w:t>
      </w:r>
      <w:r w:rsidRPr="00975C02">
        <w:rPr>
          <w:sz w:val="20"/>
          <w:szCs w:val="20"/>
          <w:lang w:val="es-ES"/>
        </w:rPr>
        <w:t xml:space="preserve"> </w:t>
      </w:r>
      <w:r w:rsidR="002F0BA5" w:rsidRPr="00975C02">
        <w:rPr>
          <w:sz w:val="20"/>
          <w:szCs w:val="20"/>
          <w:lang w:val="es-ES"/>
        </w:rPr>
        <w:t>ya que</w:t>
      </w:r>
      <w:r w:rsidR="00A66DBB" w:rsidRPr="00975C02">
        <w:rPr>
          <w:sz w:val="20"/>
          <w:szCs w:val="20"/>
          <w:lang w:val="es-ES"/>
        </w:rPr>
        <w:t xml:space="preserve"> </w:t>
      </w:r>
      <w:r w:rsidRPr="00975C02">
        <w:rPr>
          <w:sz w:val="20"/>
          <w:szCs w:val="20"/>
          <w:lang w:val="es-ES"/>
        </w:rPr>
        <w:t>no corresponde a la Corte realizar</w:t>
      </w:r>
      <w:r w:rsidR="00A66DBB" w:rsidRPr="00975C02">
        <w:rPr>
          <w:sz w:val="20"/>
          <w:szCs w:val="20"/>
          <w:lang w:val="es-ES"/>
        </w:rPr>
        <w:t xml:space="preserve"> un nuevo </w:t>
      </w:r>
      <w:r w:rsidR="0016485A" w:rsidRPr="00975C02">
        <w:rPr>
          <w:sz w:val="20"/>
          <w:szCs w:val="20"/>
          <w:lang w:val="es-ES"/>
        </w:rPr>
        <w:t>estudio</w:t>
      </w:r>
      <w:r w:rsidR="00A66DBB" w:rsidRPr="00975C02">
        <w:rPr>
          <w:sz w:val="20"/>
          <w:szCs w:val="20"/>
          <w:lang w:val="es-ES"/>
        </w:rPr>
        <w:t xml:space="preserve"> de admisibilidad</w:t>
      </w:r>
      <w:r w:rsidR="003D3507" w:rsidRPr="00975C02">
        <w:rPr>
          <w:sz w:val="20"/>
          <w:szCs w:val="20"/>
          <w:lang w:val="es-ES"/>
        </w:rPr>
        <w:t>.</w:t>
      </w:r>
    </w:p>
    <w:p w14:paraId="2C5ED32A" w14:textId="77777777" w:rsidR="00D06861" w:rsidRPr="00975C02" w:rsidRDefault="00D06861" w:rsidP="00DD00E7">
      <w:pPr>
        <w:widowControl/>
        <w:tabs>
          <w:tab w:val="left" w:pos="567"/>
        </w:tabs>
        <w:autoSpaceDE w:val="0"/>
        <w:autoSpaceDN w:val="0"/>
        <w:adjustRightInd/>
        <w:spacing w:line="240" w:lineRule="auto"/>
        <w:textAlignment w:val="auto"/>
        <w:rPr>
          <w:rFonts w:eastAsia="Batang" w:cs="Arial"/>
          <w:b/>
          <w:iCs/>
          <w:sz w:val="20"/>
          <w:szCs w:val="20"/>
          <w:lang w:val="es-ES" w:eastAsia="en-US"/>
        </w:rPr>
      </w:pPr>
    </w:p>
    <w:p w14:paraId="4CD7B458" w14:textId="0908FE8A" w:rsidR="0026739F" w:rsidRPr="00975C02" w:rsidRDefault="0026739F" w:rsidP="0026739F">
      <w:pPr>
        <w:keepNext/>
        <w:keepLines/>
        <w:tabs>
          <w:tab w:val="left" w:pos="1134"/>
        </w:tabs>
        <w:spacing w:line="240" w:lineRule="auto"/>
        <w:ind w:left="567" w:firstLine="1"/>
        <w:outlineLvl w:val="1"/>
        <w:rPr>
          <w:rFonts w:eastAsia="MS Mincho"/>
          <w:b/>
          <w:bCs/>
          <w:i/>
          <w:sz w:val="20"/>
          <w:szCs w:val="20"/>
          <w:lang w:val="es-ES"/>
        </w:rPr>
      </w:pPr>
      <w:bookmarkStart w:id="54" w:name="_Toc514172596"/>
      <w:r w:rsidRPr="00975C02">
        <w:rPr>
          <w:rFonts w:eastAsia="MS Mincho"/>
          <w:b/>
          <w:bCs/>
          <w:i/>
          <w:sz w:val="20"/>
          <w:szCs w:val="20"/>
          <w:lang w:val="es-ES"/>
        </w:rPr>
        <w:t>B.</w:t>
      </w:r>
      <w:r w:rsidRPr="00975C02">
        <w:rPr>
          <w:rFonts w:eastAsia="MS Mincho"/>
          <w:b/>
          <w:bCs/>
          <w:i/>
          <w:sz w:val="20"/>
          <w:szCs w:val="20"/>
          <w:lang w:val="es-ES"/>
        </w:rPr>
        <w:tab/>
        <w:t xml:space="preserve">Excepción sobre la alegada </w:t>
      </w:r>
      <w:r w:rsidR="009334DB" w:rsidRPr="00975C02">
        <w:rPr>
          <w:rFonts w:eastAsia="MS Mincho"/>
          <w:b/>
          <w:bCs/>
          <w:i/>
          <w:sz w:val="20"/>
          <w:szCs w:val="20"/>
          <w:lang w:val="es-ES"/>
        </w:rPr>
        <w:t xml:space="preserve">falta de </w:t>
      </w:r>
      <w:r w:rsidRPr="00975C02">
        <w:rPr>
          <w:rFonts w:eastAsia="MS Mincho"/>
          <w:b/>
          <w:bCs/>
          <w:i/>
          <w:sz w:val="20"/>
          <w:szCs w:val="20"/>
          <w:lang w:val="es-ES"/>
        </w:rPr>
        <w:t>competencia ratione temporis de la Comisión y de la Corte</w:t>
      </w:r>
      <w:r w:rsidR="009334DB" w:rsidRPr="00975C02">
        <w:rPr>
          <w:rFonts w:eastAsia="MS Mincho"/>
          <w:b/>
          <w:bCs/>
          <w:i/>
          <w:sz w:val="20"/>
          <w:szCs w:val="20"/>
          <w:lang w:val="es-ES"/>
        </w:rPr>
        <w:t xml:space="preserve"> Interamericana</w:t>
      </w:r>
      <w:bookmarkEnd w:id="54"/>
    </w:p>
    <w:p w14:paraId="0A2E75C1" w14:textId="77777777" w:rsidR="0026739F" w:rsidRPr="00975C02" w:rsidRDefault="0026739F" w:rsidP="0026739F">
      <w:pPr>
        <w:tabs>
          <w:tab w:val="left" w:pos="720"/>
        </w:tabs>
        <w:spacing w:line="240" w:lineRule="auto"/>
        <w:rPr>
          <w:bCs/>
          <w:sz w:val="20"/>
          <w:szCs w:val="20"/>
          <w:lang w:val="es-ES"/>
        </w:rPr>
      </w:pPr>
    </w:p>
    <w:p w14:paraId="3368222A" w14:textId="77777777" w:rsidR="0026739F" w:rsidRPr="00975C02" w:rsidRDefault="0026739F" w:rsidP="0026739F">
      <w:pPr>
        <w:pStyle w:val="Heading2"/>
        <w:tabs>
          <w:tab w:val="left" w:pos="1843"/>
        </w:tabs>
        <w:spacing w:before="0" w:line="240" w:lineRule="auto"/>
        <w:ind w:left="1134"/>
        <w:rPr>
          <w:rFonts w:ascii="Verdana" w:hAnsi="Verdana"/>
          <w:b w:val="0"/>
          <w:i/>
          <w:color w:val="auto"/>
          <w:sz w:val="20"/>
          <w:szCs w:val="20"/>
          <w:lang w:val="es-ES"/>
        </w:rPr>
      </w:pPr>
      <w:bookmarkStart w:id="55" w:name="_Toc514172597"/>
      <w:r w:rsidRPr="00975C02">
        <w:rPr>
          <w:rFonts w:ascii="Verdana" w:hAnsi="Verdana"/>
          <w:b w:val="0"/>
          <w:i/>
          <w:color w:val="auto"/>
          <w:sz w:val="20"/>
          <w:szCs w:val="20"/>
          <w:lang w:val="es-ES"/>
        </w:rPr>
        <w:t xml:space="preserve">B.1 </w:t>
      </w:r>
      <w:r w:rsidRPr="00975C02">
        <w:rPr>
          <w:rFonts w:ascii="Verdana" w:hAnsi="Verdana"/>
          <w:b w:val="0"/>
          <w:i/>
          <w:color w:val="auto"/>
          <w:sz w:val="20"/>
          <w:szCs w:val="20"/>
          <w:lang w:val="es-ES"/>
        </w:rPr>
        <w:tab/>
        <w:t>Alegatos del Estado y observaciones de la Comisión y las representantes</w:t>
      </w:r>
      <w:bookmarkEnd w:id="55"/>
    </w:p>
    <w:p w14:paraId="3CF36FD0" w14:textId="77777777" w:rsidR="0026739F" w:rsidRPr="00975C02" w:rsidRDefault="0026739F" w:rsidP="0026739F">
      <w:pPr>
        <w:tabs>
          <w:tab w:val="left" w:pos="720"/>
        </w:tabs>
        <w:spacing w:line="240" w:lineRule="auto"/>
        <w:rPr>
          <w:bCs/>
          <w:sz w:val="20"/>
          <w:szCs w:val="20"/>
          <w:lang w:val="es-ES"/>
        </w:rPr>
      </w:pPr>
    </w:p>
    <w:p w14:paraId="62154E22" w14:textId="2134F35C" w:rsidR="0026739F" w:rsidRPr="00975C02" w:rsidRDefault="0026739F" w:rsidP="00C8070B">
      <w:pPr>
        <w:numPr>
          <w:ilvl w:val="0"/>
          <w:numId w:val="2"/>
        </w:numPr>
        <w:tabs>
          <w:tab w:val="left" w:pos="567"/>
          <w:tab w:val="num" w:pos="12305"/>
        </w:tabs>
        <w:spacing w:line="240" w:lineRule="auto"/>
        <w:ind w:left="0" w:firstLine="0"/>
        <w:rPr>
          <w:rFonts w:eastAsia="Calibri" w:cs="Arial"/>
          <w:sz w:val="20"/>
          <w:szCs w:val="20"/>
          <w:lang w:val="es-ES" w:eastAsia="en-US"/>
        </w:rPr>
      </w:pPr>
      <w:r w:rsidRPr="00975C02">
        <w:rPr>
          <w:rFonts w:cs="Verdana,Italic"/>
          <w:iCs/>
          <w:sz w:val="20"/>
          <w:lang w:val="es-ES" w:eastAsia="en-US"/>
        </w:rPr>
        <w:t xml:space="preserve">El </w:t>
      </w:r>
      <w:r w:rsidRPr="00975C02">
        <w:rPr>
          <w:rFonts w:eastAsia="Calibri" w:cs="Arial"/>
          <w:b/>
          <w:i/>
          <w:sz w:val="20"/>
          <w:szCs w:val="20"/>
          <w:lang w:val="es-ES" w:eastAsia="en-US"/>
        </w:rPr>
        <w:t>Estado</w:t>
      </w:r>
      <w:r w:rsidRPr="00975C02">
        <w:rPr>
          <w:rFonts w:eastAsia="Calibri" w:cs="Arial"/>
          <w:sz w:val="20"/>
          <w:szCs w:val="20"/>
          <w:lang w:val="es-ES" w:eastAsia="en-US"/>
        </w:rPr>
        <w:t xml:space="preserve"> aleg</w:t>
      </w:r>
      <w:r w:rsidR="00F972C7" w:rsidRPr="00975C02">
        <w:rPr>
          <w:rFonts w:eastAsia="Calibri" w:cs="Arial"/>
          <w:sz w:val="20"/>
          <w:szCs w:val="20"/>
          <w:lang w:val="es-ES" w:eastAsia="en-US"/>
        </w:rPr>
        <w:t>ó</w:t>
      </w:r>
      <w:r w:rsidRPr="00975C02">
        <w:rPr>
          <w:rFonts w:eastAsia="Calibri" w:cs="Arial"/>
          <w:sz w:val="20"/>
          <w:szCs w:val="20"/>
          <w:lang w:val="es-ES" w:eastAsia="en-US"/>
        </w:rPr>
        <w:t xml:space="preserve"> la incompetencia de la Comisión</w:t>
      </w:r>
      <w:r w:rsidR="00433E6F" w:rsidRPr="00975C02">
        <w:rPr>
          <w:rFonts w:eastAsia="Calibri" w:cs="Arial"/>
          <w:sz w:val="20"/>
          <w:szCs w:val="20"/>
          <w:lang w:val="es-ES" w:eastAsia="en-US"/>
        </w:rPr>
        <w:t>,</w:t>
      </w:r>
      <w:r w:rsidRPr="00975C02">
        <w:rPr>
          <w:rFonts w:eastAsia="Calibri" w:cs="Arial"/>
          <w:sz w:val="20"/>
          <w:szCs w:val="20"/>
          <w:lang w:val="es-ES" w:eastAsia="en-US"/>
        </w:rPr>
        <w:t xml:space="preserve"> con base en el artículo 45 de la Convención, en razón de que los hechos del caso habrían ocurrido de manera previa a su reconocimiento de la competencia de la Comisión. El Estado afirmó que el 6 de febrero de 2006 adicionó un tercer párrafo a la declaración N° 49 de 15 de enero de 1991, en el que declara el reconocimiento de la competencia de la Comisión solamente </w:t>
      </w:r>
      <w:r w:rsidR="00F670FD" w:rsidRPr="00975C02">
        <w:rPr>
          <w:rFonts w:eastAsia="Calibri" w:cs="Arial"/>
          <w:sz w:val="20"/>
          <w:szCs w:val="20"/>
          <w:lang w:val="es-ES" w:eastAsia="en-US"/>
        </w:rPr>
        <w:t>para</w:t>
      </w:r>
      <w:r w:rsidRPr="00975C02">
        <w:rPr>
          <w:rFonts w:eastAsia="Calibri" w:cs="Arial"/>
          <w:sz w:val="20"/>
          <w:szCs w:val="20"/>
          <w:lang w:val="es-ES" w:eastAsia="en-US"/>
        </w:rPr>
        <w:t xml:space="preserve"> hechos posteriores o hechos cuyos principios de ejecución sean posteriores a la fecha de depósito de su declaración. </w:t>
      </w:r>
      <w:r w:rsidR="003738D9" w:rsidRPr="00975C02">
        <w:rPr>
          <w:rFonts w:eastAsia="Calibri" w:cs="Arial"/>
          <w:sz w:val="20"/>
          <w:szCs w:val="20"/>
          <w:lang w:val="es-ES" w:eastAsia="en-US"/>
        </w:rPr>
        <w:t>S</w:t>
      </w:r>
      <w:r w:rsidRPr="00975C02">
        <w:rPr>
          <w:rFonts w:eastAsia="Calibri" w:cs="Arial"/>
          <w:sz w:val="20"/>
          <w:szCs w:val="20"/>
          <w:lang w:val="es-ES" w:eastAsia="en-US"/>
        </w:rPr>
        <w:t>ostuvo que la Comisión habría vulnerado “normas imperativas de competencia</w:t>
      </w:r>
      <w:r w:rsidR="007733FC" w:rsidRPr="00975C02">
        <w:rPr>
          <w:rFonts w:eastAsia="Calibri" w:cs="Arial"/>
          <w:sz w:val="20"/>
          <w:szCs w:val="20"/>
          <w:lang w:val="es-ES" w:eastAsia="en-US"/>
        </w:rPr>
        <w:t xml:space="preserve"> […]</w:t>
      </w:r>
      <w:r w:rsidRPr="00975C02">
        <w:rPr>
          <w:rFonts w:eastAsia="Calibri" w:cs="Arial"/>
          <w:sz w:val="20"/>
          <w:szCs w:val="20"/>
          <w:lang w:val="es-ES" w:eastAsia="en-US"/>
        </w:rPr>
        <w:t xml:space="preserve">, contraviniendo la Convención […], de lo que se deriva una nulidad absoluta que determina la incompetencia de la Comisión para conocer de estos hechos, lo que no admite convalidación alguna </w:t>
      </w:r>
      <w:r w:rsidR="001E3889" w:rsidRPr="00975C02">
        <w:rPr>
          <w:rFonts w:eastAsia="Calibri" w:cs="Arial"/>
          <w:sz w:val="20"/>
          <w:szCs w:val="20"/>
          <w:lang w:val="es-ES" w:eastAsia="en-US"/>
        </w:rPr>
        <w:t xml:space="preserve">y </w:t>
      </w:r>
      <w:r w:rsidRPr="00975C02">
        <w:rPr>
          <w:rFonts w:eastAsia="Calibri" w:cs="Arial"/>
          <w:sz w:val="20"/>
          <w:szCs w:val="20"/>
          <w:lang w:val="es-ES" w:eastAsia="en-US"/>
        </w:rPr>
        <w:t>cuyo efecto es la inadmisibilidad de la demanda”. Consecuentemente, entendió que “la Corte […] no debió admitir la demanda presentada por la Comisión a efectos de asegurar la estabilidad y confiabilidad de la tutela internacional</w:t>
      </w:r>
      <w:r w:rsidR="001E3889" w:rsidRPr="00975C02">
        <w:rPr>
          <w:rFonts w:eastAsia="Calibri" w:cs="Arial"/>
          <w:sz w:val="20"/>
          <w:szCs w:val="20"/>
          <w:lang w:val="es-ES" w:eastAsia="en-US"/>
        </w:rPr>
        <w:t xml:space="preserve"> […]</w:t>
      </w:r>
      <w:r w:rsidRPr="00975C02">
        <w:rPr>
          <w:rFonts w:eastAsia="Calibri" w:cs="Arial"/>
          <w:sz w:val="20"/>
          <w:szCs w:val="20"/>
          <w:lang w:val="es-ES" w:eastAsia="en-US"/>
        </w:rPr>
        <w:t>, ya que en el presente caso ha</w:t>
      </w:r>
      <w:r w:rsidR="001E3889" w:rsidRPr="00975C02">
        <w:rPr>
          <w:rFonts w:eastAsia="Calibri" w:cs="Arial"/>
          <w:sz w:val="20"/>
          <w:szCs w:val="20"/>
          <w:lang w:val="es-ES" w:eastAsia="en-US"/>
        </w:rPr>
        <w:t>[bría]</w:t>
      </w:r>
      <w:r w:rsidRPr="00975C02">
        <w:rPr>
          <w:rFonts w:eastAsia="Calibri" w:cs="Arial"/>
          <w:sz w:val="20"/>
          <w:szCs w:val="20"/>
          <w:lang w:val="es-ES" w:eastAsia="en-US"/>
        </w:rPr>
        <w:t xml:space="preserve"> violaciones manifiestas a las reglas procedimentales establecidas en la Convención”.</w:t>
      </w:r>
      <w:r w:rsidRPr="00975C02">
        <w:rPr>
          <w:rFonts w:eastAsia="Calibri" w:cs="Arial"/>
          <w:b/>
          <w:sz w:val="16"/>
          <w:szCs w:val="16"/>
          <w:lang w:val="es-ES" w:eastAsia="en-US"/>
        </w:rPr>
        <w:t xml:space="preserve"> </w:t>
      </w:r>
      <w:r w:rsidRPr="00975C02">
        <w:rPr>
          <w:rFonts w:eastAsia="Calibri" w:cs="Arial"/>
          <w:sz w:val="20"/>
          <w:szCs w:val="20"/>
          <w:lang w:val="es-ES" w:eastAsia="en-US"/>
        </w:rPr>
        <w:t xml:space="preserve">De acuerdo a lo expuesto, el Estado solicitó a la Corte que declarara “fundada la excepción planteada, improcedente la demanda en cuestión y </w:t>
      </w:r>
      <w:r w:rsidR="00F972C7" w:rsidRPr="00975C02">
        <w:rPr>
          <w:rFonts w:eastAsia="Calibri" w:cs="Arial"/>
          <w:sz w:val="20"/>
          <w:szCs w:val="20"/>
          <w:lang w:val="es-ES" w:eastAsia="en-US"/>
        </w:rPr>
        <w:t>disp[usiera]</w:t>
      </w:r>
      <w:r w:rsidRPr="00975C02">
        <w:rPr>
          <w:rFonts w:eastAsia="Calibri" w:cs="Arial"/>
          <w:sz w:val="20"/>
          <w:szCs w:val="20"/>
          <w:lang w:val="es-ES" w:eastAsia="en-US"/>
        </w:rPr>
        <w:t xml:space="preserve"> el archivo definitivo del presente caso”.</w:t>
      </w:r>
    </w:p>
    <w:p w14:paraId="66636ACE" w14:textId="77777777" w:rsidR="0026739F" w:rsidRPr="00975C02" w:rsidRDefault="0026739F" w:rsidP="0026739F">
      <w:pPr>
        <w:tabs>
          <w:tab w:val="left" w:pos="567"/>
        </w:tabs>
        <w:spacing w:line="240" w:lineRule="auto"/>
        <w:rPr>
          <w:rFonts w:eastAsia="Calibri" w:cs="Arial"/>
          <w:b/>
          <w:sz w:val="20"/>
          <w:szCs w:val="20"/>
          <w:lang w:val="es-ES" w:eastAsia="en-US"/>
        </w:rPr>
      </w:pPr>
    </w:p>
    <w:p w14:paraId="0F0555BA" w14:textId="0917920D" w:rsidR="0026739F" w:rsidRPr="00975C02" w:rsidRDefault="0026739F" w:rsidP="00C8070B">
      <w:pPr>
        <w:numPr>
          <w:ilvl w:val="0"/>
          <w:numId w:val="2"/>
        </w:numPr>
        <w:tabs>
          <w:tab w:val="left" w:pos="567"/>
          <w:tab w:val="num" w:pos="12305"/>
        </w:tabs>
        <w:spacing w:line="240" w:lineRule="auto"/>
        <w:ind w:left="0" w:firstLine="0"/>
        <w:rPr>
          <w:rFonts w:eastAsia="Calibri" w:cs="Arial"/>
          <w:b/>
          <w:sz w:val="16"/>
          <w:szCs w:val="16"/>
          <w:lang w:val="es-ES" w:eastAsia="en-US"/>
        </w:rPr>
      </w:pPr>
      <w:r w:rsidRPr="00975C02">
        <w:rPr>
          <w:rFonts w:eastAsia="Calibri" w:cs="Arial"/>
          <w:sz w:val="20"/>
          <w:szCs w:val="20"/>
          <w:lang w:val="es-ES" w:eastAsia="en-US"/>
        </w:rPr>
        <w:t xml:space="preserve">La </w:t>
      </w:r>
      <w:r w:rsidRPr="00975C02">
        <w:rPr>
          <w:rFonts w:eastAsia="Calibri" w:cs="Arial"/>
          <w:b/>
          <w:i/>
          <w:sz w:val="20"/>
          <w:szCs w:val="20"/>
          <w:lang w:val="es-ES" w:eastAsia="en-US"/>
        </w:rPr>
        <w:t>Comisión</w:t>
      </w:r>
      <w:r w:rsidRPr="00975C02">
        <w:rPr>
          <w:rFonts w:eastAsia="Calibri" w:cs="Arial"/>
          <w:sz w:val="20"/>
          <w:szCs w:val="20"/>
          <w:lang w:val="es-ES" w:eastAsia="en-US"/>
        </w:rPr>
        <w:t xml:space="preserve"> </w:t>
      </w:r>
      <w:r w:rsidR="000B532D" w:rsidRPr="00975C02">
        <w:rPr>
          <w:rFonts w:eastAsia="Calibri" w:cs="Arial"/>
          <w:sz w:val="20"/>
          <w:szCs w:val="20"/>
          <w:lang w:val="es-ES" w:eastAsia="en-US"/>
        </w:rPr>
        <w:t xml:space="preserve">señaló </w:t>
      </w:r>
      <w:r w:rsidRPr="00975C02">
        <w:rPr>
          <w:rFonts w:eastAsia="Calibri" w:cs="Arial"/>
          <w:sz w:val="20"/>
          <w:szCs w:val="20"/>
          <w:lang w:val="es-ES" w:eastAsia="en-US"/>
        </w:rPr>
        <w:t>que</w:t>
      </w:r>
      <w:r w:rsidR="000B532D" w:rsidRPr="00975C02">
        <w:rPr>
          <w:rFonts w:eastAsia="Calibri" w:cs="Arial"/>
          <w:sz w:val="20"/>
          <w:szCs w:val="20"/>
          <w:lang w:val="es-ES" w:eastAsia="en-US"/>
        </w:rPr>
        <w:t xml:space="preserve"> la defensa del Estado se basa en la pretensión de aplicar una reserva formulada por Nicaragua en el año 2006, en relación con</w:t>
      </w:r>
      <w:r w:rsidRPr="00975C02">
        <w:rPr>
          <w:rFonts w:eastAsia="Calibri" w:cs="Arial"/>
          <w:sz w:val="20"/>
          <w:szCs w:val="20"/>
          <w:lang w:val="es-ES" w:eastAsia="en-US"/>
        </w:rPr>
        <w:t xml:space="preserve"> el artículo 45 de la Convención Americana </w:t>
      </w:r>
      <w:r w:rsidR="000B532D" w:rsidRPr="00975C02">
        <w:rPr>
          <w:rFonts w:eastAsia="Calibri" w:cs="Arial"/>
          <w:sz w:val="20"/>
          <w:szCs w:val="20"/>
          <w:lang w:val="es-ES" w:eastAsia="en-US"/>
        </w:rPr>
        <w:t xml:space="preserve">que </w:t>
      </w:r>
      <w:r w:rsidRPr="00975C02">
        <w:rPr>
          <w:rFonts w:eastAsia="Calibri" w:cs="Arial"/>
          <w:sz w:val="20"/>
          <w:szCs w:val="20"/>
          <w:lang w:val="es-ES" w:eastAsia="en-US"/>
        </w:rPr>
        <w:t xml:space="preserve">regula lo relativo a las comunicaciones entre Estados </w:t>
      </w:r>
      <w:r w:rsidR="000B532D" w:rsidRPr="00975C02">
        <w:rPr>
          <w:rFonts w:eastAsia="Calibri" w:cs="Arial"/>
          <w:sz w:val="20"/>
          <w:szCs w:val="20"/>
          <w:lang w:val="es-ES" w:eastAsia="en-US"/>
        </w:rPr>
        <w:t>o peticiones interestatales</w:t>
      </w:r>
      <w:r w:rsidRPr="00975C02">
        <w:rPr>
          <w:rFonts w:eastAsia="Calibri" w:cs="Arial"/>
          <w:sz w:val="20"/>
          <w:szCs w:val="20"/>
          <w:lang w:val="es-ES" w:eastAsia="en-US"/>
        </w:rPr>
        <w:t xml:space="preserve">, </w:t>
      </w:r>
      <w:r w:rsidR="000B532D" w:rsidRPr="00975C02">
        <w:rPr>
          <w:rFonts w:eastAsia="Calibri" w:cs="Arial"/>
          <w:sz w:val="20"/>
          <w:szCs w:val="20"/>
          <w:lang w:val="es-ES" w:eastAsia="en-US"/>
        </w:rPr>
        <w:t>“</w:t>
      </w:r>
      <w:r w:rsidRPr="00975C02">
        <w:rPr>
          <w:rFonts w:eastAsia="Calibri" w:cs="Arial"/>
          <w:sz w:val="20"/>
          <w:szCs w:val="20"/>
          <w:lang w:val="es-ES" w:eastAsia="en-US"/>
        </w:rPr>
        <w:t>lo que no guarda relación alguna con el presente caso”. Por lo tanto, solicitó a la Corte que desechara esta excepción preliminar.</w:t>
      </w:r>
    </w:p>
    <w:p w14:paraId="5AB681D5" w14:textId="77777777" w:rsidR="0026739F" w:rsidRPr="00975C02" w:rsidRDefault="0026739F" w:rsidP="0026739F">
      <w:pPr>
        <w:tabs>
          <w:tab w:val="left" w:pos="567"/>
        </w:tabs>
        <w:spacing w:line="240" w:lineRule="auto"/>
        <w:rPr>
          <w:rFonts w:eastAsia="Calibri" w:cs="Arial"/>
          <w:sz w:val="20"/>
          <w:szCs w:val="20"/>
          <w:lang w:val="es-ES" w:eastAsia="en-US"/>
        </w:rPr>
      </w:pPr>
    </w:p>
    <w:p w14:paraId="269FAA3D" w14:textId="227B413E" w:rsidR="0026739F" w:rsidRPr="00975C02" w:rsidRDefault="0026739F" w:rsidP="00C8070B">
      <w:pPr>
        <w:numPr>
          <w:ilvl w:val="0"/>
          <w:numId w:val="2"/>
        </w:numPr>
        <w:tabs>
          <w:tab w:val="left" w:pos="567"/>
          <w:tab w:val="num" w:pos="12305"/>
        </w:tabs>
        <w:spacing w:line="240" w:lineRule="auto"/>
        <w:ind w:left="0" w:firstLine="0"/>
        <w:rPr>
          <w:rFonts w:eastAsia="Calibri" w:cs="Arial"/>
          <w:sz w:val="20"/>
          <w:szCs w:val="20"/>
          <w:lang w:val="es-ES" w:eastAsia="en-US"/>
        </w:rPr>
      </w:pPr>
      <w:r w:rsidRPr="00975C02">
        <w:rPr>
          <w:rFonts w:eastAsia="Calibri" w:cs="Arial"/>
          <w:sz w:val="20"/>
          <w:szCs w:val="20"/>
          <w:lang w:val="es-ES" w:eastAsia="en-US"/>
        </w:rPr>
        <w:t xml:space="preserve">Las </w:t>
      </w:r>
      <w:r w:rsidRPr="00975C02">
        <w:rPr>
          <w:rFonts w:eastAsia="Calibri" w:cs="Arial"/>
          <w:b/>
          <w:i/>
          <w:sz w:val="20"/>
          <w:szCs w:val="20"/>
          <w:lang w:val="es-ES" w:eastAsia="en-US"/>
        </w:rPr>
        <w:t>representantes</w:t>
      </w:r>
      <w:r w:rsidRPr="00975C02">
        <w:rPr>
          <w:rFonts w:eastAsia="Calibri" w:cs="Arial"/>
          <w:sz w:val="20"/>
          <w:szCs w:val="20"/>
          <w:lang w:val="es-ES" w:eastAsia="en-US"/>
        </w:rPr>
        <w:t xml:space="preserve"> sostuvieron que la Corte es competente para conocer del presente caso porque Nicaragua es Estado Parte de la Convención desde el 25 de septiembre de 1979, y aceptó la competencia contenciosa de la Corte el 12 de febrero de 1991. Asimismo, afirmaron que el único </w:t>
      </w:r>
      <w:r w:rsidR="00563E36" w:rsidRPr="00975C02">
        <w:rPr>
          <w:rFonts w:eastAsia="Calibri" w:cs="Arial"/>
          <w:sz w:val="20"/>
          <w:szCs w:val="20"/>
          <w:lang w:val="es-ES" w:eastAsia="en-US"/>
        </w:rPr>
        <w:t xml:space="preserve">supuesto para el </w:t>
      </w:r>
      <w:r w:rsidRPr="00975C02">
        <w:rPr>
          <w:rFonts w:eastAsia="Calibri" w:cs="Arial"/>
          <w:sz w:val="20"/>
          <w:szCs w:val="20"/>
          <w:lang w:val="es-ES" w:eastAsia="en-US"/>
        </w:rPr>
        <w:t xml:space="preserve">que se </w:t>
      </w:r>
      <w:r w:rsidR="00563E36" w:rsidRPr="00975C02">
        <w:rPr>
          <w:rFonts w:eastAsia="Calibri" w:cs="Arial"/>
          <w:sz w:val="20"/>
          <w:szCs w:val="20"/>
          <w:lang w:val="es-ES" w:eastAsia="en-US"/>
        </w:rPr>
        <w:t xml:space="preserve">requiere </w:t>
      </w:r>
      <w:r w:rsidRPr="00975C02">
        <w:rPr>
          <w:rFonts w:eastAsia="Calibri" w:cs="Arial"/>
          <w:sz w:val="20"/>
          <w:szCs w:val="20"/>
          <w:lang w:val="es-ES" w:eastAsia="en-US"/>
        </w:rPr>
        <w:t xml:space="preserve">el reconocimiento expreso de la competencia de la Comisión es el </w:t>
      </w:r>
      <w:r w:rsidR="00563E36" w:rsidRPr="00975C02">
        <w:rPr>
          <w:rFonts w:eastAsia="Calibri" w:cs="Arial"/>
          <w:sz w:val="20"/>
          <w:szCs w:val="20"/>
          <w:lang w:val="es-ES" w:eastAsia="en-US"/>
        </w:rPr>
        <w:t xml:space="preserve">previsto en el </w:t>
      </w:r>
      <w:r w:rsidRPr="00975C02">
        <w:rPr>
          <w:rFonts w:eastAsia="Calibri" w:cs="Arial"/>
          <w:sz w:val="20"/>
          <w:szCs w:val="20"/>
          <w:lang w:val="es-ES" w:eastAsia="en-US"/>
        </w:rPr>
        <w:t>artículo 45 de la Convención</w:t>
      </w:r>
      <w:r w:rsidR="007143D4" w:rsidRPr="00975C02">
        <w:rPr>
          <w:rFonts w:eastAsia="Calibri" w:cs="Arial"/>
          <w:sz w:val="20"/>
          <w:szCs w:val="20"/>
          <w:lang w:val="es-ES" w:eastAsia="en-US"/>
        </w:rPr>
        <w:t>,</w:t>
      </w:r>
      <w:r w:rsidRPr="00975C02">
        <w:rPr>
          <w:rFonts w:eastAsia="Calibri" w:cs="Arial"/>
          <w:sz w:val="20"/>
          <w:szCs w:val="20"/>
          <w:lang w:val="es-ES" w:eastAsia="en-US"/>
        </w:rPr>
        <w:t xml:space="preserve"> pero el mismo hace referencia exclusiva a recibir y examinar comunicaciones entre Estados, no entre particulares y Estado. De ese modo, las representantes concluyeron que no es aplicable al presente caso el párrafo que adicionó el Estado en febrero de 2006</w:t>
      </w:r>
      <w:r w:rsidR="00563E36" w:rsidRPr="00975C02">
        <w:rPr>
          <w:rFonts w:eastAsia="Calibri" w:cs="Arial"/>
          <w:sz w:val="20"/>
          <w:szCs w:val="20"/>
          <w:lang w:val="es-ES" w:eastAsia="en-US"/>
        </w:rPr>
        <w:t>,</w:t>
      </w:r>
      <w:r w:rsidRPr="00975C02">
        <w:rPr>
          <w:rFonts w:eastAsia="Calibri" w:cs="Arial"/>
          <w:sz w:val="20"/>
          <w:szCs w:val="20"/>
          <w:lang w:val="es-ES" w:eastAsia="en-US"/>
        </w:rPr>
        <w:t xml:space="preserve"> toda vez que no se trata de una petición interestatal. Por consiguiente, solicitaron a la Corte que desestimara la excepción de incompetencia planteada por Nicaragua.</w:t>
      </w:r>
    </w:p>
    <w:p w14:paraId="5652A22D" w14:textId="77777777" w:rsidR="0026739F" w:rsidRPr="00975C02" w:rsidRDefault="0026739F" w:rsidP="0026739F">
      <w:pPr>
        <w:tabs>
          <w:tab w:val="left" w:pos="567"/>
        </w:tabs>
        <w:spacing w:line="240" w:lineRule="auto"/>
        <w:rPr>
          <w:rFonts w:eastAsia="Calibri" w:cs="Arial"/>
          <w:sz w:val="20"/>
          <w:szCs w:val="20"/>
          <w:lang w:val="es-ES" w:eastAsia="en-US"/>
        </w:rPr>
      </w:pPr>
    </w:p>
    <w:p w14:paraId="3B248525" w14:textId="77777777" w:rsidR="0026739F" w:rsidRPr="00975C02" w:rsidRDefault="0026739F" w:rsidP="0026739F">
      <w:pPr>
        <w:pStyle w:val="Heading2"/>
        <w:tabs>
          <w:tab w:val="left" w:pos="1843"/>
        </w:tabs>
        <w:spacing w:before="0" w:line="240" w:lineRule="auto"/>
        <w:ind w:left="1134"/>
        <w:rPr>
          <w:rFonts w:ascii="Verdana" w:hAnsi="Verdana"/>
          <w:b w:val="0"/>
          <w:i/>
          <w:color w:val="auto"/>
          <w:sz w:val="20"/>
          <w:szCs w:val="20"/>
          <w:lang w:val="es-ES"/>
        </w:rPr>
      </w:pPr>
      <w:bookmarkStart w:id="56" w:name="_Toc514172598"/>
      <w:r w:rsidRPr="00975C02">
        <w:rPr>
          <w:rFonts w:ascii="Verdana" w:hAnsi="Verdana"/>
          <w:b w:val="0"/>
          <w:i/>
          <w:color w:val="auto"/>
          <w:sz w:val="20"/>
          <w:szCs w:val="20"/>
          <w:lang w:val="es-ES"/>
        </w:rPr>
        <w:t xml:space="preserve">B.2 </w:t>
      </w:r>
      <w:r w:rsidRPr="00975C02">
        <w:rPr>
          <w:rFonts w:ascii="Verdana" w:hAnsi="Verdana"/>
          <w:b w:val="0"/>
          <w:i/>
          <w:color w:val="auto"/>
          <w:sz w:val="20"/>
          <w:szCs w:val="20"/>
          <w:lang w:val="es-ES"/>
        </w:rPr>
        <w:tab/>
        <w:t>Consideraciones de la Corte</w:t>
      </w:r>
      <w:bookmarkEnd w:id="56"/>
    </w:p>
    <w:p w14:paraId="0314AC65" w14:textId="77777777" w:rsidR="0026739F" w:rsidRPr="00975C02" w:rsidRDefault="0026739F" w:rsidP="0026739F">
      <w:pPr>
        <w:tabs>
          <w:tab w:val="left" w:pos="567"/>
        </w:tabs>
        <w:spacing w:line="240" w:lineRule="auto"/>
        <w:rPr>
          <w:rFonts w:eastAsia="Calibri" w:cs="Arial"/>
          <w:sz w:val="20"/>
          <w:szCs w:val="20"/>
          <w:lang w:val="es-ES" w:eastAsia="en-US"/>
        </w:rPr>
      </w:pPr>
    </w:p>
    <w:p w14:paraId="4B264AE6" w14:textId="6D82A051" w:rsidR="0026739F" w:rsidRPr="00975C02" w:rsidRDefault="0026739F" w:rsidP="00C8070B">
      <w:pPr>
        <w:pStyle w:val="ListParagraph"/>
        <w:numPr>
          <w:ilvl w:val="0"/>
          <w:numId w:val="2"/>
        </w:numPr>
        <w:tabs>
          <w:tab w:val="left" w:pos="567"/>
        </w:tabs>
        <w:spacing w:line="240" w:lineRule="auto"/>
        <w:ind w:left="0" w:firstLine="0"/>
        <w:contextualSpacing/>
        <w:rPr>
          <w:sz w:val="20"/>
          <w:szCs w:val="20"/>
          <w:lang w:val="es-ES"/>
        </w:rPr>
      </w:pPr>
      <w:r w:rsidRPr="00975C02">
        <w:rPr>
          <w:rFonts w:eastAsia="Calibri" w:cs="Arial"/>
          <w:sz w:val="20"/>
          <w:szCs w:val="20"/>
          <w:lang w:val="es-ES" w:eastAsia="en-US"/>
        </w:rPr>
        <w:t>Considerando los argumentos estatales que sustentan la excepción preliminar</w:t>
      </w:r>
      <w:r w:rsidR="007143D4" w:rsidRPr="00975C02">
        <w:rPr>
          <w:rFonts w:eastAsia="Calibri" w:cs="Arial"/>
          <w:sz w:val="20"/>
          <w:szCs w:val="20"/>
          <w:lang w:val="es-ES" w:eastAsia="en-US"/>
        </w:rPr>
        <w:t xml:space="preserve"> bajo análisis</w:t>
      </w:r>
      <w:r w:rsidRPr="00975C02">
        <w:rPr>
          <w:rFonts w:eastAsia="Calibri" w:cs="Arial"/>
          <w:sz w:val="20"/>
          <w:szCs w:val="20"/>
          <w:lang w:val="es-ES" w:eastAsia="en-US"/>
        </w:rPr>
        <w:t xml:space="preserve">, la Corte </w:t>
      </w:r>
      <w:r w:rsidR="009E055A" w:rsidRPr="00975C02">
        <w:rPr>
          <w:rFonts w:eastAsia="Calibri" w:cs="Arial"/>
          <w:sz w:val="20"/>
          <w:szCs w:val="20"/>
          <w:lang w:val="es-ES" w:eastAsia="en-US"/>
        </w:rPr>
        <w:t>recuerda que</w:t>
      </w:r>
      <w:r w:rsidRPr="00975C02">
        <w:rPr>
          <w:sz w:val="20"/>
          <w:szCs w:val="20"/>
          <w:lang w:val="es-ES"/>
        </w:rPr>
        <w:t xml:space="preserve"> la función contenciosa puede suscitarse con motivo de dos procedimientos diferenciados de quejas o comunicaciones ante la Comisión</w:t>
      </w:r>
      <w:r w:rsidRPr="00975C02">
        <w:rPr>
          <w:rFonts w:eastAsia="Calibri" w:cs="Arial"/>
          <w:sz w:val="20"/>
          <w:szCs w:val="20"/>
          <w:lang w:val="es-ES" w:eastAsia="en-US"/>
        </w:rPr>
        <w:t xml:space="preserve">, cada uno de los cuales se rige por sus regulaciones específicas. </w:t>
      </w:r>
      <w:r w:rsidRPr="00975C02">
        <w:rPr>
          <w:sz w:val="20"/>
          <w:szCs w:val="20"/>
          <w:lang w:val="es-ES"/>
        </w:rPr>
        <w:t xml:space="preserve">Uno de ellos es </w:t>
      </w:r>
      <w:r w:rsidRPr="00975C02">
        <w:rPr>
          <w:rFonts w:eastAsia="Calibri" w:cs="Arial"/>
          <w:sz w:val="20"/>
          <w:szCs w:val="20"/>
          <w:lang w:val="es-ES" w:eastAsia="en-US"/>
        </w:rPr>
        <w:t>en el marco del sistema de peticiones individuales,</w:t>
      </w:r>
      <w:r w:rsidRPr="00975C02">
        <w:rPr>
          <w:sz w:val="20"/>
          <w:szCs w:val="20"/>
          <w:lang w:val="es-ES"/>
        </w:rPr>
        <w:t xml:space="preserve"> establecido por el artículo 44 de la Convención, conforme al cual los Estados se constituyen en la parte demandada respecto a casos contenciosos originados en peticiones individuales. En el otro</w:t>
      </w:r>
      <w:r w:rsidR="007143D4" w:rsidRPr="00975C02">
        <w:rPr>
          <w:sz w:val="20"/>
          <w:szCs w:val="20"/>
          <w:lang w:val="es-ES"/>
        </w:rPr>
        <w:t xml:space="preserve"> procedimiento</w:t>
      </w:r>
      <w:r w:rsidRPr="00975C02">
        <w:rPr>
          <w:sz w:val="20"/>
          <w:szCs w:val="20"/>
          <w:lang w:val="es-ES"/>
        </w:rPr>
        <w:t xml:space="preserve">, dispuesto en el artículo 45 de dicho tratado, los Estados se presentan como partes procesales opuestas, es decir, como demandado y demandante en casos contenciosos originados por comunicaciones interestatales. </w:t>
      </w:r>
      <w:r w:rsidRPr="00975C02">
        <w:rPr>
          <w:rStyle w:val="apple-style-span"/>
          <w:sz w:val="20"/>
          <w:szCs w:val="20"/>
          <w:lang w:val="es-ES"/>
        </w:rPr>
        <w:t xml:space="preserve">Una vez concluido </w:t>
      </w:r>
      <w:r w:rsidR="0025595E" w:rsidRPr="00975C02">
        <w:rPr>
          <w:rStyle w:val="apple-style-span"/>
          <w:sz w:val="20"/>
          <w:szCs w:val="20"/>
          <w:lang w:val="es-ES"/>
        </w:rPr>
        <w:t>dicho</w:t>
      </w:r>
      <w:r w:rsidRPr="00975C02">
        <w:rPr>
          <w:rStyle w:val="apple-style-span"/>
          <w:sz w:val="20"/>
          <w:szCs w:val="20"/>
          <w:lang w:val="es-ES"/>
        </w:rPr>
        <w:t xml:space="preserve"> trámite, las mismas pueden derivarse en el sometimiento de un caso ante la Corte, </w:t>
      </w:r>
      <w:r w:rsidRPr="00975C02">
        <w:rPr>
          <w:sz w:val="20"/>
          <w:szCs w:val="20"/>
          <w:lang w:val="es-ES"/>
        </w:rPr>
        <w:t xml:space="preserve">siempre que se reúnan los demás requisitos para que </w:t>
      </w:r>
      <w:r w:rsidRPr="00975C02">
        <w:rPr>
          <w:sz w:val="20"/>
          <w:szCs w:val="20"/>
          <w:lang w:val="es-ES"/>
        </w:rPr>
        <w:lastRenderedPageBreak/>
        <w:t>ella pueda ejercer su competencia contenciosa</w:t>
      </w:r>
      <w:r w:rsidRPr="00975C02">
        <w:rPr>
          <w:rStyle w:val="FootnoteReference"/>
          <w:sz w:val="20"/>
          <w:szCs w:val="20"/>
          <w:lang w:val="es-ES"/>
        </w:rPr>
        <w:footnoteReference w:id="26"/>
      </w:r>
      <w:r w:rsidRPr="00975C02">
        <w:rPr>
          <w:sz w:val="20"/>
          <w:szCs w:val="20"/>
          <w:lang w:val="es-ES"/>
        </w:rPr>
        <w:t>.</w:t>
      </w:r>
    </w:p>
    <w:p w14:paraId="171439D8" w14:textId="77777777" w:rsidR="0026739F" w:rsidRPr="00975C02" w:rsidRDefault="0026739F" w:rsidP="0026739F">
      <w:pPr>
        <w:pStyle w:val="ListParagraph"/>
        <w:tabs>
          <w:tab w:val="left" w:pos="567"/>
        </w:tabs>
        <w:spacing w:line="240" w:lineRule="auto"/>
        <w:ind w:left="0"/>
        <w:rPr>
          <w:sz w:val="20"/>
          <w:szCs w:val="20"/>
          <w:lang w:val="es-ES"/>
        </w:rPr>
      </w:pPr>
    </w:p>
    <w:p w14:paraId="7DFBC73E" w14:textId="2DFF60DE" w:rsidR="0026739F" w:rsidRPr="00975C02" w:rsidRDefault="0026739F" w:rsidP="00C8070B">
      <w:pPr>
        <w:pStyle w:val="ListParagraph"/>
        <w:numPr>
          <w:ilvl w:val="0"/>
          <w:numId w:val="2"/>
        </w:numPr>
        <w:tabs>
          <w:tab w:val="left" w:pos="567"/>
        </w:tabs>
        <w:spacing w:line="240" w:lineRule="auto"/>
        <w:ind w:left="0" w:firstLine="0"/>
        <w:contextualSpacing/>
        <w:rPr>
          <w:sz w:val="20"/>
          <w:szCs w:val="20"/>
          <w:lang w:val="es-ES"/>
        </w:rPr>
      </w:pPr>
      <w:r w:rsidRPr="00975C02">
        <w:rPr>
          <w:rFonts w:eastAsia="Calibri"/>
          <w:sz w:val="20"/>
          <w:szCs w:val="20"/>
          <w:lang w:val="es-ES"/>
        </w:rPr>
        <w:t xml:space="preserve">Con relación a las peticiones individuales, según lo </w:t>
      </w:r>
      <w:r w:rsidRPr="00975C02">
        <w:rPr>
          <w:sz w:val="20"/>
          <w:szCs w:val="20"/>
          <w:lang w:val="es-ES"/>
        </w:rPr>
        <w:t xml:space="preserve">indicado </w:t>
      </w:r>
      <w:r w:rsidRPr="00975C02">
        <w:rPr>
          <w:rFonts w:eastAsia="Calibri"/>
          <w:sz w:val="20"/>
          <w:szCs w:val="20"/>
          <w:lang w:val="es-ES"/>
        </w:rPr>
        <w:t>por el artículo 44 de la Convención, el artículo 19 de</w:t>
      </w:r>
      <w:r w:rsidR="00BC22DD" w:rsidRPr="00975C02">
        <w:rPr>
          <w:rFonts w:eastAsia="Calibri"/>
          <w:sz w:val="20"/>
          <w:szCs w:val="20"/>
          <w:lang w:val="es-ES"/>
        </w:rPr>
        <w:t>l</w:t>
      </w:r>
      <w:r w:rsidR="00E966BA" w:rsidRPr="00975C02">
        <w:rPr>
          <w:rFonts w:eastAsia="Calibri"/>
          <w:sz w:val="20"/>
          <w:szCs w:val="20"/>
          <w:lang w:val="es-ES"/>
        </w:rPr>
        <w:t xml:space="preserve"> </w:t>
      </w:r>
      <w:r w:rsidRPr="00975C02">
        <w:rPr>
          <w:rFonts w:eastAsia="Calibri"/>
          <w:sz w:val="20"/>
          <w:szCs w:val="20"/>
          <w:lang w:val="es-ES"/>
        </w:rPr>
        <w:t>Estatuto</w:t>
      </w:r>
      <w:r w:rsidR="00BC22DD" w:rsidRPr="00975C02">
        <w:rPr>
          <w:rFonts w:eastAsia="Calibri"/>
          <w:sz w:val="20"/>
          <w:szCs w:val="20"/>
          <w:lang w:val="es-ES"/>
        </w:rPr>
        <w:t xml:space="preserve"> de la Comisión</w:t>
      </w:r>
      <w:r w:rsidRPr="00975C02">
        <w:rPr>
          <w:rFonts w:eastAsia="Calibri"/>
          <w:sz w:val="20"/>
          <w:szCs w:val="20"/>
          <w:lang w:val="es-ES"/>
        </w:rPr>
        <w:t xml:space="preserve"> y el artículo 23 de su Reglamento, la competencia </w:t>
      </w:r>
      <w:r w:rsidR="00E966BA" w:rsidRPr="00975C02">
        <w:rPr>
          <w:rFonts w:eastAsia="Calibri"/>
          <w:sz w:val="20"/>
          <w:szCs w:val="20"/>
          <w:lang w:val="es-ES"/>
        </w:rPr>
        <w:t xml:space="preserve">de la Comisión </w:t>
      </w:r>
      <w:r w:rsidRPr="00975C02">
        <w:rPr>
          <w:rFonts w:eastAsia="Calibri"/>
          <w:sz w:val="20"/>
          <w:szCs w:val="20"/>
          <w:lang w:val="es-ES"/>
        </w:rPr>
        <w:t xml:space="preserve">queda habilitada de manera automática para conocer </w:t>
      </w:r>
      <w:r w:rsidR="00FA5549" w:rsidRPr="00975C02">
        <w:rPr>
          <w:rFonts w:eastAsia="Calibri"/>
          <w:sz w:val="20"/>
          <w:szCs w:val="20"/>
          <w:lang w:val="es-ES"/>
        </w:rPr>
        <w:t xml:space="preserve">de </w:t>
      </w:r>
      <w:r w:rsidRPr="00975C02">
        <w:rPr>
          <w:rFonts w:eastAsia="Calibri"/>
          <w:sz w:val="20"/>
          <w:szCs w:val="20"/>
          <w:lang w:val="es-ES"/>
        </w:rPr>
        <w:t>alegadas violaciones a la Convención Americana, siempre que el Estado demandado haya ratificado dicho instrumento. En cambio, respecto de las comunicaciones entre Estados, es menester que el Estado demandado, además de haber ratificado la Convención, haya declarado expresamente su voluntad de someterse a la competencia de la Comisión, con arreglo a</w:t>
      </w:r>
      <w:r w:rsidR="00C06077" w:rsidRPr="00975C02">
        <w:rPr>
          <w:rFonts w:eastAsia="Calibri"/>
          <w:sz w:val="20"/>
          <w:szCs w:val="20"/>
          <w:lang w:val="es-ES"/>
        </w:rPr>
        <w:t xml:space="preserve"> </w:t>
      </w:r>
      <w:r w:rsidRPr="00975C02">
        <w:rPr>
          <w:rFonts w:eastAsia="Calibri"/>
          <w:sz w:val="20"/>
          <w:szCs w:val="20"/>
          <w:lang w:val="es-ES"/>
        </w:rPr>
        <w:t>l</w:t>
      </w:r>
      <w:r w:rsidR="00C06077" w:rsidRPr="00975C02">
        <w:rPr>
          <w:rFonts w:eastAsia="Calibri"/>
          <w:sz w:val="20"/>
          <w:szCs w:val="20"/>
          <w:lang w:val="es-ES"/>
        </w:rPr>
        <w:t xml:space="preserve">o establecido en </w:t>
      </w:r>
      <w:r w:rsidRPr="00975C02">
        <w:rPr>
          <w:rFonts w:eastAsia="Calibri"/>
          <w:sz w:val="20"/>
          <w:szCs w:val="20"/>
          <w:lang w:val="es-ES"/>
        </w:rPr>
        <w:t>el artículo 45</w:t>
      </w:r>
      <w:r w:rsidRPr="00975C02">
        <w:rPr>
          <w:rFonts w:eastAsia="Calibri"/>
          <w:sz w:val="20"/>
          <w:szCs w:val="20"/>
          <w:vertAlign w:val="superscript"/>
          <w:lang w:val="es-ES"/>
        </w:rPr>
        <w:footnoteReference w:id="27"/>
      </w:r>
      <w:r w:rsidRPr="00975C02">
        <w:rPr>
          <w:rFonts w:eastAsia="Calibri"/>
          <w:sz w:val="20"/>
          <w:szCs w:val="20"/>
          <w:lang w:val="es-ES"/>
        </w:rPr>
        <w:t>.</w:t>
      </w:r>
    </w:p>
    <w:p w14:paraId="3F178312" w14:textId="77777777" w:rsidR="0026739F" w:rsidRPr="00975C02" w:rsidRDefault="0026739F" w:rsidP="0026739F">
      <w:pPr>
        <w:pStyle w:val="ListParagraph"/>
        <w:tabs>
          <w:tab w:val="left" w:pos="567"/>
        </w:tabs>
        <w:spacing w:line="240" w:lineRule="auto"/>
        <w:ind w:left="0"/>
        <w:rPr>
          <w:sz w:val="20"/>
          <w:szCs w:val="20"/>
          <w:lang w:val="es-ES"/>
        </w:rPr>
      </w:pPr>
    </w:p>
    <w:p w14:paraId="040C1299" w14:textId="674923F6" w:rsidR="00227ECE" w:rsidRPr="00975C02" w:rsidRDefault="0026739F" w:rsidP="00227ECE">
      <w:pPr>
        <w:pStyle w:val="ListParagraph"/>
        <w:numPr>
          <w:ilvl w:val="0"/>
          <w:numId w:val="2"/>
        </w:numPr>
        <w:tabs>
          <w:tab w:val="left" w:pos="567"/>
        </w:tabs>
        <w:spacing w:line="240" w:lineRule="auto"/>
        <w:ind w:left="0" w:firstLine="0"/>
        <w:contextualSpacing/>
        <w:rPr>
          <w:sz w:val="20"/>
          <w:szCs w:val="20"/>
          <w:lang w:val="es-ES"/>
        </w:rPr>
      </w:pPr>
      <w:r w:rsidRPr="00975C02">
        <w:rPr>
          <w:rFonts w:eastAsia="Calibri"/>
          <w:sz w:val="20"/>
          <w:szCs w:val="20"/>
          <w:lang w:val="es-ES"/>
        </w:rPr>
        <w:t>Ahora bien</w:t>
      </w:r>
      <w:r w:rsidR="00227ECE" w:rsidRPr="00975C02">
        <w:rPr>
          <w:rFonts w:eastAsia="Calibri"/>
          <w:sz w:val="20"/>
          <w:szCs w:val="20"/>
          <w:lang w:val="es-ES"/>
        </w:rPr>
        <w:t>,</w:t>
      </w:r>
      <w:r w:rsidRPr="00975C02">
        <w:rPr>
          <w:rFonts w:eastAsia="Calibri"/>
          <w:sz w:val="20"/>
          <w:szCs w:val="20"/>
          <w:lang w:val="es-ES"/>
        </w:rPr>
        <w:t xml:space="preserve"> l</w:t>
      </w:r>
      <w:r w:rsidR="00227ECE" w:rsidRPr="00975C02">
        <w:rPr>
          <w:rFonts w:eastAsia="Calibri"/>
          <w:sz w:val="20"/>
          <w:szCs w:val="20"/>
          <w:lang w:val="es-ES"/>
        </w:rPr>
        <w:t xml:space="preserve">a Corte nota que </w:t>
      </w:r>
      <w:r w:rsidRPr="00975C02">
        <w:rPr>
          <w:rFonts w:eastAsia="Calibri"/>
          <w:sz w:val="20"/>
          <w:szCs w:val="20"/>
          <w:lang w:val="es-ES"/>
        </w:rPr>
        <w:t>la</w:t>
      </w:r>
      <w:r w:rsidRPr="00975C02">
        <w:rPr>
          <w:rFonts w:eastAsia="Calibri" w:cs="Arial"/>
          <w:sz w:val="20"/>
          <w:szCs w:val="20"/>
          <w:lang w:val="es-ES" w:eastAsia="en-US"/>
        </w:rPr>
        <w:t xml:space="preserve"> </w:t>
      </w:r>
      <w:r w:rsidRPr="00975C02">
        <w:rPr>
          <w:rFonts w:eastAsia="Calibri"/>
          <w:sz w:val="20"/>
          <w:szCs w:val="20"/>
          <w:lang w:val="es-ES"/>
        </w:rPr>
        <w:t>declaración</w:t>
      </w:r>
      <w:r w:rsidRPr="00975C02">
        <w:rPr>
          <w:rFonts w:eastAsia="Calibri" w:cs="Arial"/>
          <w:sz w:val="20"/>
          <w:szCs w:val="20"/>
          <w:lang w:val="es-ES" w:eastAsia="en-US"/>
        </w:rPr>
        <w:t xml:space="preserve"> </w:t>
      </w:r>
      <w:r w:rsidR="00FF0691" w:rsidRPr="00975C02">
        <w:rPr>
          <w:rFonts w:eastAsia="Calibri" w:cs="Arial"/>
          <w:sz w:val="20"/>
          <w:szCs w:val="20"/>
          <w:lang w:val="es-ES" w:eastAsia="en-US"/>
        </w:rPr>
        <w:t>de reconocimiento de competencia</w:t>
      </w:r>
      <w:r w:rsidR="003B6A9D" w:rsidRPr="00975C02">
        <w:rPr>
          <w:rFonts w:eastAsia="Calibri" w:cs="Arial"/>
          <w:sz w:val="20"/>
          <w:szCs w:val="20"/>
          <w:lang w:val="es-ES" w:eastAsia="en-US"/>
        </w:rPr>
        <w:t xml:space="preserve"> </w:t>
      </w:r>
      <w:r w:rsidR="000563B3" w:rsidRPr="00975C02">
        <w:rPr>
          <w:rFonts w:eastAsia="Calibri" w:cs="Arial"/>
          <w:sz w:val="20"/>
          <w:szCs w:val="20"/>
          <w:lang w:val="es-ES" w:eastAsia="en-US"/>
        </w:rPr>
        <w:t xml:space="preserve">señalada </w:t>
      </w:r>
      <w:r w:rsidR="00227ECE" w:rsidRPr="00975C02">
        <w:rPr>
          <w:rFonts w:eastAsia="Calibri" w:cs="Arial"/>
          <w:sz w:val="20"/>
          <w:szCs w:val="20"/>
          <w:lang w:val="es-ES" w:eastAsia="en-US"/>
        </w:rPr>
        <w:t>por el Estado</w:t>
      </w:r>
      <w:r w:rsidRPr="00975C02">
        <w:rPr>
          <w:rFonts w:eastAsia="Calibri" w:cs="Arial"/>
          <w:sz w:val="20"/>
          <w:szCs w:val="20"/>
          <w:lang w:val="es-ES" w:eastAsia="en-US"/>
        </w:rPr>
        <w:t xml:space="preserve"> </w:t>
      </w:r>
      <w:r w:rsidR="00227ECE" w:rsidRPr="00975C02">
        <w:rPr>
          <w:rFonts w:eastAsia="Calibri"/>
          <w:sz w:val="20"/>
          <w:szCs w:val="20"/>
          <w:lang w:val="es-ES"/>
        </w:rPr>
        <w:t>de Nicaragua</w:t>
      </w:r>
      <w:r w:rsidR="00024EFF" w:rsidRPr="00975C02">
        <w:rPr>
          <w:rFonts w:eastAsia="Calibri"/>
          <w:sz w:val="20"/>
          <w:szCs w:val="20"/>
          <w:lang w:val="es-ES"/>
        </w:rPr>
        <w:t xml:space="preserve"> del año 2006</w:t>
      </w:r>
      <w:r w:rsidR="00227ECE" w:rsidRPr="00975C02">
        <w:rPr>
          <w:rFonts w:eastAsia="Calibri" w:cs="Arial"/>
          <w:sz w:val="20"/>
          <w:szCs w:val="20"/>
          <w:lang w:val="es-ES" w:eastAsia="en-US"/>
        </w:rPr>
        <w:t xml:space="preserve"> se </w:t>
      </w:r>
      <w:r w:rsidR="00FA5549" w:rsidRPr="00975C02">
        <w:rPr>
          <w:rFonts w:eastAsia="Calibri" w:cs="Arial"/>
          <w:sz w:val="20"/>
          <w:szCs w:val="20"/>
          <w:lang w:val="es-ES" w:eastAsia="en-US"/>
        </w:rPr>
        <w:t>refiere a</w:t>
      </w:r>
      <w:r w:rsidR="00227ECE" w:rsidRPr="00975C02">
        <w:rPr>
          <w:rFonts w:eastAsia="Calibri" w:cs="Arial"/>
          <w:sz w:val="20"/>
          <w:szCs w:val="20"/>
          <w:lang w:val="es-ES" w:eastAsia="en-US"/>
        </w:rPr>
        <w:t xml:space="preserve">l </w:t>
      </w:r>
      <w:r w:rsidRPr="00975C02">
        <w:rPr>
          <w:rFonts w:eastAsia="Calibri" w:cs="Arial"/>
          <w:sz w:val="20"/>
          <w:szCs w:val="20"/>
          <w:lang w:val="es-ES" w:eastAsia="en-US"/>
        </w:rPr>
        <w:t>artículo 45 que, como ya se expresó, rige la competencia de la Comisión para conocer de demandas interestatales.</w:t>
      </w:r>
      <w:r w:rsidR="00227ECE" w:rsidRPr="00975C02">
        <w:rPr>
          <w:rFonts w:eastAsia="Calibri" w:cs="Arial"/>
          <w:sz w:val="20"/>
          <w:szCs w:val="20"/>
          <w:lang w:val="es-ES" w:eastAsia="en-US"/>
        </w:rPr>
        <w:t xml:space="preserve"> </w:t>
      </w:r>
      <w:r w:rsidRPr="00975C02">
        <w:rPr>
          <w:rFonts w:eastAsia="Calibri"/>
          <w:sz w:val="20"/>
          <w:szCs w:val="20"/>
          <w:lang w:val="es-ES"/>
        </w:rPr>
        <w:t xml:space="preserve">Por consiguiente, considerando que el presente caso no se inscribe en la hipótesis de una comunicación interestatal, sino que se trata de una petición individual, </w:t>
      </w:r>
      <w:r w:rsidRPr="00975C02">
        <w:rPr>
          <w:sz w:val="20"/>
          <w:szCs w:val="20"/>
          <w:lang w:val="es-ES"/>
        </w:rPr>
        <w:t>no es aplicable</w:t>
      </w:r>
      <w:r w:rsidR="00963AF3" w:rsidRPr="00975C02">
        <w:rPr>
          <w:sz w:val="20"/>
          <w:szCs w:val="20"/>
          <w:lang w:val="es-ES"/>
        </w:rPr>
        <w:t xml:space="preserve"> </w:t>
      </w:r>
      <w:r w:rsidR="00FA5549" w:rsidRPr="00975C02">
        <w:rPr>
          <w:sz w:val="20"/>
          <w:szCs w:val="20"/>
          <w:lang w:val="es-ES"/>
        </w:rPr>
        <w:t>lo dispuesto en</w:t>
      </w:r>
      <w:r w:rsidRPr="00975C02">
        <w:rPr>
          <w:sz w:val="20"/>
          <w:szCs w:val="20"/>
          <w:lang w:val="es-ES"/>
        </w:rPr>
        <w:t xml:space="preserve"> el artículo 45.</w:t>
      </w:r>
    </w:p>
    <w:p w14:paraId="5E322EE1" w14:textId="77777777" w:rsidR="0026739F" w:rsidRPr="00975C02" w:rsidRDefault="0026739F" w:rsidP="0026739F">
      <w:pPr>
        <w:pStyle w:val="ListParagraph"/>
        <w:tabs>
          <w:tab w:val="left" w:pos="567"/>
        </w:tabs>
        <w:spacing w:line="240" w:lineRule="auto"/>
        <w:ind w:left="0"/>
        <w:rPr>
          <w:sz w:val="20"/>
          <w:szCs w:val="20"/>
          <w:lang w:val="es-ES"/>
        </w:rPr>
      </w:pPr>
    </w:p>
    <w:p w14:paraId="463D4986" w14:textId="77777777" w:rsidR="0026739F" w:rsidRPr="00975C02" w:rsidRDefault="0026739F" w:rsidP="00C8070B">
      <w:pPr>
        <w:numPr>
          <w:ilvl w:val="0"/>
          <w:numId w:val="2"/>
        </w:numPr>
        <w:tabs>
          <w:tab w:val="left" w:pos="567"/>
        </w:tabs>
        <w:spacing w:line="240" w:lineRule="auto"/>
        <w:ind w:left="1109" w:hanging="1109"/>
        <w:rPr>
          <w:bCs/>
          <w:sz w:val="20"/>
          <w:szCs w:val="20"/>
          <w:lang w:val="es-ES"/>
        </w:rPr>
      </w:pPr>
      <w:r w:rsidRPr="00975C02">
        <w:rPr>
          <w:rFonts w:eastAsia="Calibri" w:cs="Arial"/>
          <w:sz w:val="20"/>
          <w:szCs w:val="20"/>
          <w:lang w:val="es-ES" w:eastAsia="en-US"/>
        </w:rPr>
        <w:t>En virtud de lo expuesto, corresponde desestimar la excepción opuesta.</w:t>
      </w:r>
    </w:p>
    <w:p w14:paraId="383A8713" w14:textId="77777777" w:rsidR="0026739F" w:rsidRPr="00975C02" w:rsidRDefault="0026739F" w:rsidP="00420246">
      <w:pPr>
        <w:pStyle w:val="ListParagraph"/>
        <w:tabs>
          <w:tab w:val="left" w:pos="567"/>
        </w:tabs>
        <w:spacing w:line="240" w:lineRule="auto"/>
        <w:ind w:left="0"/>
        <w:rPr>
          <w:sz w:val="20"/>
          <w:szCs w:val="20"/>
          <w:lang w:val="es-ES"/>
        </w:rPr>
      </w:pPr>
    </w:p>
    <w:p w14:paraId="385CC53C" w14:textId="2BA6D156" w:rsidR="00DD00E7" w:rsidRPr="00975C02" w:rsidRDefault="00DD00E7" w:rsidP="00DD00E7">
      <w:pPr>
        <w:keepNext/>
        <w:keepLines/>
        <w:tabs>
          <w:tab w:val="left" w:pos="1134"/>
        </w:tabs>
        <w:spacing w:line="240" w:lineRule="auto"/>
        <w:ind w:left="567" w:firstLine="1"/>
        <w:outlineLvl w:val="1"/>
        <w:rPr>
          <w:rFonts w:eastAsia="MS Mincho"/>
          <w:b/>
          <w:bCs/>
          <w:i/>
          <w:sz w:val="20"/>
          <w:szCs w:val="20"/>
          <w:lang w:val="es-ES"/>
        </w:rPr>
      </w:pPr>
      <w:bookmarkStart w:id="57" w:name="_Toc514172599"/>
      <w:r w:rsidRPr="00975C02">
        <w:rPr>
          <w:rFonts w:eastAsia="MS Mincho"/>
          <w:b/>
          <w:bCs/>
          <w:i/>
          <w:sz w:val="20"/>
          <w:szCs w:val="20"/>
          <w:lang w:val="es-ES"/>
        </w:rPr>
        <w:t>C.</w:t>
      </w:r>
      <w:r w:rsidRPr="00975C02">
        <w:rPr>
          <w:rFonts w:eastAsia="MS Mincho"/>
          <w:b/>
          <w:bCs/>
          <w:i/>
          <w:sz w:val="20"/>
          <w:szCs w:val="20"/>
          <w:lang w:val="es-ES"/>
        </w:rPr>
        <w:tab/>
        <w:t xml:space="preserve">Excepción sobre la alegada </w:t>
      </w:r>
      <w:r w:rsidR="009334DB" w:rsidRPr="00975C02">
        <w:rPr>
          <w:rFonts w:eastAsia="MS Mincho"/>
          <w:b/>
          <w:bCs/>
          <w:i/>
          <w:sz w:val="20"/>
          <w:szCs w:val="20"/>
          <w:lang w:val="es-ES"/>
        </w:rPr>
        <w:t xml:space="preserve">falta de </w:t>
      </w:r>
      <w:r w:rsidRPr="00975C02">
        <w:rPr>
          <w:rFonts w:eastAsia="MS Mincho"/>
          <w:b/>
          <w:bCs/>
          <w:i/>
          <w:sz w:val="20"/>
          <w:szCs w:val="20"/>
          <w:lang w:val="es-ES"/>
        </w:rPr>
        <w:t xml:space="preserve">competencia ratione materiae de la Corte </w:t>
      </w:r>
      <w:r w:rsidR="00FA5549" w:rsidRPr="00975C02">
        <w:rPr>
          <w:rFonts w:eastAsia="MS Mincho"/>
          <w:b/>
          <w:bCs/>
          <w:i/>
          <w:sz w:val="20"/>
          <w:szCs w:val="20"/>
          <w:lang w:val="es-ES"/>
        </w:rPr>
        <w:t xml:space="preserve">en </w:t>
      </w:r>
      <w:r w:rsidRPr="00975C02">
        <w:rPr>
          <w:rFonts w:eastAsia="MS Mincho"/>
          <w:b/>
          <w:bCs/>
          <w:i/>
          <w:sz w:val="20"/>
          <w:szCs w:val="20"/>
          <w:lang w:val="es-ES"/>
        </w:rPr>
        <w:t xml:space="preserve">relación </w:t>
      </w:r>
      <w:r w:rsidR="00FA5549" w:rsidRPr="00975C02">
        <w:rPr>
          <w:rFonts w:eastAsia="MS Mincho"/>
          <w:b/>
          <w:bCs/>
          <w:i/>
          <w:sz w:val="20"/>
          <w:szCs w:val="20"/>
          <w:lang w:val="es-ES"/>
        </w:rPr>
        <w:t>con</w:t>
      </w:r>
      <w:r w:rsidRPr="00975C02">
        <w:rPr>
          <w:rFonts w:eastAsia="MS Mincho"/>
          <w:b/>
          <w:bCs/>
          <w:i/>
          <w:sz w:val="20"/>
          <w:szCs w:val="20"/>
          <w:lang w:val="es-ES"/>
        </w:rPr>
        <w:t xml:space="preserve"> la presunta violación de artículos de la Convención sobre los Derechos del Niño</w:t>
      </w:r>
      <w:bookmarkEnd w:id="57"/>
    </w:p>
    <w:p w14:paraId="5A0766C3" w14:textId="77777777" w:rsidR="00DD00E7" w:rsidRPr="00975C02" w:rsidRDefault="00DD00E7" w:rsidP="00DD00E7">
      <w:pPr>
        <w:tabs>
          <w:tab w:val="left" w:pos="720"/>
        </w:tabs>
        <w:spacing w:line="240" w:lineRule="auto"/>
        <w:rPr>
          <w:bCs/>
          <w:sz w:val="20"/>
          <w:szCs w:val="20"/>
          <w:lang w:val="es-ES"/>
        </w:rPr>
      </w:pPr>
    </w:p>
    <w:p w14:paraId="68FE2A1E" w14:textId="77777777" w:rsidR="00DD00E7" w:rsidRPr="00975C02" w:rsidRDefault="00DD00E7" w:rsidP="00C607DD">
      <w:pPr>
        <w:pStyle w:val="Heading2"/>
        <w:tabs>
          <w:tab w:val="left" w:pos="1843"/>
        </w:tabs>
        <w:spacing w:before="0" w:line="240" w:lineRule="auto"/>
        <w:ind w:left="1134"/>
        <w:rPr>
          <w:rFonts w:ascii="Verdana" w:hAnsi="Verdana"/>
          <w:b w:val="0"/>
          <w:i/>
          <w:color w:val="auto"/>
          <w:sz w:val="20"/>
          <w:szCs w:val="20"/>
          <w:lang w:val="es-ES"/>
        </w:rPr>
      </w:pPr>
      <w:bookmarkStart w:id="58" w:name="_Toc514172600"/>
      <w:r w:rsidRPr="00975C02">
        <w:rPr>
          <w:rFonts w:ascii="Verdana" w:hAnsi="Verdana"/>
          <w:b w:val="0"/>
          <w:i/>
          <w:color w:val="auto"/>
          <w:sz w:val="20"/>
          <w:szCs w:val="20"/>
          <w:lang w:val="es-ES"/>
        </w:rPr>
        <w:t xml:space="preserve">C.1 </w:t>
      </w:r>
      <w:r w:rsidR="007A37EF" w:rsidRPr="00975C02">
        <w:rPr>
          <w:rFonts w:ascii="Verdana" w:hAnsi="Verdana"/>
          <w:b w:val="0"/>
          <w:i/>
          <w:color w:val="auto"/>
          <w:sz w:val="20"/>
          <w:szCs w:val="20"/>
          <w:lang w:val="es-ES"/>
        </w:rPr>
        <w:tab/>
      </w:r>
      <w:r w:rsidRPr="00975C02">
        <w:rPr>
          <w:rFonts w:ascii="Verdana" w:hAnsi="Verdana"/>
          <w:b w:val="0"/>
          <w:i/>
          <w:color w:val="auto"/>
          <w:sz w:val="20"/>
          <w:szCs w:val="20"/>
          <w:lang w:val="es-ES"/>
        </w:rPr>
        <w:t>Alegatos del Estado y observaciones de la Comisión y las representantes</w:t>
      </w:r>
      <w:bookmarkEnd w:id="58"/>
    </w:p>
    <w:p w14:paraId="79A2B496" w14:textId="77777777" w:rsidR="00DD00E7" w:rsidRPr="00975C02" w:rsidRDefault="00DD00E7" w:rsidP="00DD00E7">
      <w:pPr>
        <w:tabs>
          <w:tab w:val="left" w:pos="720"/>
        </w:tabs>
        <w:spacing w:line="240" w:lineRule="auto"/>
        <w:rPr>
          <w:bCs/>
          <w:sz w:val="20"/>
          <w:szCs w:val="20"/>
          <w:lang w:val="es-ES"/>
        </w:rPr>
      </w:pPr>
    </w:p>
    <w:p w14:paraId="71F6C9B6" w14:textId="66FB557D" w:rsidR="00DD00E7" w:rsidRPr="00975C02" w:rsidRDefault="00DD00E7" w:rsidP="00C8070B">
      <w:pPr>
        <w:numPr>
          <w:ilvl w:val="0"/>
          <w:numId w:val="2"/>
        </w:numPr>
        <w:tabs>
          <w:tab w:val="left" w:pos="567"/>
          <w:tab w:val="num" w:pos="12305"/>
        </w:tabs>
        <w:spacing w:line="240" w:lineRule="auto"/>
        <w:ind w:left="0" w:firstLine="0"/>
        <w:rPr>
          <w:lang w:val="es-ES"/>
        </w:rPr>
      </w:pPr>
      <w:r w:rsidRPr="00975C02">
        <w:rPr>
          <w:rFonts w:cs="Arial"/>
          <w:sz w:val="20"/>
          <w:szCs w:val="20"/>
          <w:lang w:val="es-ES"/>
        </w:rPr>
        <w:t>El</w:t>
      </w:r>
      <w:r w:rsidRPr="00975C02">
        <w:rPr>
          <w:rFonts w:cs="Verdana,Italic"/>
          <w:iCs/>
          <w:sz w:val="20"/>
          <w:lang w:val="es-ES" w:eastAsia="en-US"/>
        </w:rPr>
        <w:t xml:space="preserve"> </w:t>
      </w:r>
      <w:r w:rsidRPr="00975C02">
        <w:rPr>
          <w:rFonts w:eastAsia="Calibri" w:cs="Arial"/>
          <w:b/>
          <w:i/>
          <w:sz w:val="20"/>
          <w:szCs w:val="20"/>
          <w:lang w:val="es-ES" w:eastAsia="en-US"/>
        </w:rPr>
        <w:t>Estado</w:t>
      </w:r>
      <w:r w:rsidRPr="00975C02">
        <w:rPr>
          <w:rFonts w:eastAsia="Calibri" w:cs="Arial"/>
          <w:sz w:val="20"/>
          <w:szCs w:val="20"/>
          <w:lang w:val="es-ES" w:eastAsia="en-US"/>
        </w:rPr>
        <w:t xml:space="preserve"> interpuso una excepción preliminar </w:t>
      </w:r>
      <w:r w:rsidR="00607A41" w:rsidRPr="00975C02">
        <w:rPr>
          <w:rFonts w:eastAsia="Calibri" w:cs="Arial"/>
          <w:sz w:val="20"/>
          <w:szCs w:val="20"/>
          <w:lang w:val="es-ES" w:eastAsia="en-US"/>
        </w:rPr>
        <w:t xml:space="preserve">alegando </w:t>
      </w:r>
      <w:r w:rsidRPr="00975C02">
        <w:rPr>
          <w:rFonts w:eastAsia="Calibri" w:cs="Arial"/>
          <w:sz w:val="20"/>
          <w:szCs w:val="20"/>
          <w:lang w:val="es-ES" w:eastAsia="en-US"/>
        </w:rPr>
        <w:t xml:space="preserve">la incompetencia </w:t>
      </w:r>
      <w:r w:rsidRPr="00975C02">
        <w:rPr>
          <w:rFonts w:eastAsia="Calibri" w:cs="Arial"/>
          <w:i/>
          <w:sz w:val="20"/>
          <w:szCs w:val="20"/>
          <w:lang w:val="es-ES" w:eastAsia="en-US"/>
        </w:rPr>
        <w:t>ratione materiae</w:t>
      </w:r>
      <w:r w:rsidRPr="00975C02">
        <w:rPr>
          <w:rFonts w:eastAsia="Calibri" w:cs="Arial"/>
          <w:sz w:val="20"/>
          <w:szCs w:val="20"/>
          <w:lang w:val="es-ES" w:eastAsia="en-US"/>
        </w:rPr>
        <w:t xml:space="preserve"> de la Corte en razón de la pretensión de las representantes de someter al conocimiento y valoración de este Tribunal los artículos 2.1, 3.1 y 2, 4, 16, 24.1 y 2 de la Convención sobre los </w:t>
      </w:r>
      <w:r w:rsidR="002D2EDF" w:rsidRPr="00975C02">
        <w:rPr>
          <w:rFonts w:eastAsia="Calibri" w:cs="Arial"/>
          <w:sz w:val="20"/>
          <w:szCs w:val="20"/>
          <w:lang w:val="es-ES" w:eastAsia="en-US"/>
        </w:rPr>
        <w:t>D</w:t>
      </w:r>
      <w:r w:rsidRPr="00975C02">
        <w:rPr>
          <w:rFonts w:eastAsia="Calibri" w:cs="Arial"/>
          <w:sz w:val="20"/>
          <w:szCs w:val="20"/>
          <w:lang w:val="es-ES" w:eastAsia="en-US"/>
        </w:rPr>
        <w:t xml:space="preserve">erechos del </w:t>
      </w:r>
      <w:r w:rsidR="002D2EDF" w:rsidRPr="00975C02">
        <w:rPr>
          <w:rFonts w:eastAsia="Calibri" w:cs="Arial"/>
          <w:sz w:val="20"/>
          <w:szCs w:val="20"/>
          <w:lang w:val="es-ES" w:eastAsia="en-US"/>
        </w:rPr>
        <w:t>N</w:t>
      </w:r>
      <w:r w:rsidRPr="00975C02">
        <w:rPr>
          <w:rFonts w:eastAsia="Calibri" w:cs="Arial"/>
          <w:sz w:val="20"/>
          <w:szCs w:val="20"/>
          <w:lang w:val="es-ES" w:eastAsia="en-US"/>
        </w:rPr>
        <w:t xml:space="preserve">iño, </w:t>
      </w:r>
      <w:r w:rsidR="003723E3" w:rsidRPr="00975C02">
        <w:rPr>
          <w:rFonts w:eastAsia="Calibri" w:cs="Arial"/>
          <w:sz w:val="20"/>
          <w:szCs w:val="20"/>
          <w:lang w:val="es-ES" w:eastAsia="en-US"/>
        </w:rPr>
        <w:t>con</w:t>
      </w:r>
      <w:r w:rsidRPr="00975C02">
        <w:rPr>
          <w:rFonts w:eastAsia="Calibri" w:cs="Arial"/>
          <w:sz w:val="20"/>
          <w:szCs w:val="20"/>
          <w:lang w:val="es-ES" w:eastAsia="en-US"/>
        </w:rPr>
        <w:t xml:space="preserve"> relación a la presunta víctima V.R.P. Al respecto, sostuvo que</w:t>
      </w:r>
      <w:r w:rsidR="003723E3" w:rsidRPr="00975C02">
        <w:rPr>
          <w:rFonts w:eastAsia="Calibri" w:cs="Arial"/>
          <w:sz w:val="20"/>
          <w:szCs w:val="20"/>
          <w:lang w:val="es-ES" w:eastAsia="en-US"/>
        </w:rPr>
        <w:t>,</w:t>
      </w:r>
      <w:r w:rsidRPr="00975C02">
        <w:rPr>
          <w:rFonts w:eastAsia="Calibri" w:cs="Arial"/>
          <w:sz w:val="20"/>
          <w:szCs w:val="20"/>
          <w:lang w:val="es-ES" w:eastAsia="en-US"/>
        </w:rPr>
        <w:t xml:space="preserve"> de acuerdo con el artículo 62 de la Convención, las controversias sometidas al conocimiento de la Corte s</w:t>
      </w:r>
      <w:r w:rsidR="00B561AB" w:rsidRPr="00975C02">
        <w:rPr>
          <w:rFonts w:eastAsia="Calibri" w:cs="Arial"/>
          <w:sz w:val="20"/>
          <w:szCs w:val="20"/>
          <w:lang w:val="es-ES" w:eastAsia="en-US"/>
        </w:rPr>
        <w:t>ó</w:t>
      </w:r>
      <w:r w:rsidRPr="00975C02">
        <w:rPr>
          <w:rFonts w:eastAsia="Calibri" w:cs="Arial"/>
          <w:sz w:val="20"/>
          <w:szCs w:val="20"/>
          <w:lang w:val="es-ES" w:eastAsia="en-US"/>
        </w:rPr>
        <w:t>lo pueden referirse a la interpretación y aplicación de las disposiciones de la Convención Americana</w:t>
      </w:r>
      <w:r w:rsidR="00B561AB" w:rsidRPr="00975C02">
        <w:rPr>
          <w:rFonts w:eastAsia="Calibri" w:cs="Arial"/>
          <w:sz w:val="20"/>
          <w:szCs w:val="20"/>
          <w:lang w:val="es-ES" w:eastAsia="en-US"/>
        </w:rPr>
        <w:t xml:space="preserve"> y sus</w:t>
      </w:r>
      <w:r w:rsidRPr="00975C02">
        <w:rPr>
          <w:rFonts w:eastAsia="Calibri" w:cs="Arial"/>
          <w:sz w:val="20"/>
          <w:szCs w:val="20"/>
          <w:lang w:val="es-ES" w:eastAsia="en-US"/>
        </w:rPr>
        <w:t xml:space="preserve"> dos Protocolos</w:t>
      </w:r>
      <w:r w:rsidR="00B561AB" w:rsidRPr="00975C02">
        <w:rPr>
          <w:rFonts w:eastAsia="Calibri" w:cs="Arial"/>
          <w:sz w:val="20"/>
          <w:szCs w:val="20"/>
          <w:lang w:val="es-ES" w:eastAsia="en-US"/>
        </w:rPr>
        <w:t xml:space="preserve"> complementarios</w:t>
      </w:r>
      <w:r w:rsidRPr="00975C02">
        <w:rPr>
          <w:rFonts w:eastAsia="Calibri" w:cs="Arial"/>
          <w:sz w:val="20"/>
          <w:szCs w:val="20"/>
          <w:lang w:val="es-ES" w:eastAsia="en-US"/>
        </w:rPr>
        <w:t xml:space="preserve">. Asimismo, el Estado indicó que el artículo 1 del Estatuto de la Corte define claramente que tiene como objetivo la aplicación e interpretación de la Convención Americana, </w:t>
      </w:r>
      <w:r w:rsidR="00B561AB" w:rsidRPr="00975C02">
        <w:rPr>
          <w:rFonts w:eastAsia="Calibri" w:cs="Arial"/>
          <w:sz w:val="20"/>
          <w:szCs w:val="20"/>
          <w:lang w:val="es-ES" w:eastAsia="en-US"/>
        </w:rPr>
        <w:t xml:space="preserve">por lo que </w:t>
      </w:r>
      <w:r w:rsidRPr="00975C02">
        <w:rPr>
          <w:rFonts w:eastAsia="Calibri" w:cs="Arial"/>
          <w:sz w:val="20"/>
          <w:szCs w:val="20"/>
          <w:lang w:val="es-ES" w:eastAsia="en-US"/>
        </w:rPr>
        <w:t xml:space="preserve">otros tratados internacionales </w:t>
      </w:r>
      <w:r w:rsidR="00B561AB" w:rsidRPr="00975C02">
        <w:rPr>
          <w:rFonts w:eastAsia="Calibri" w:cs="Arial"/>
          <w:sz w:val="20"/>
          <w:szCs w:val="20"/>
          <w:lang w:val="es-ES" w:eastAsia="en-US"/>
        </w:rPr>
        <w:t>ajenos</w:t>
      </w:r>
      <w:r w:rsidRPr="00975C02">
        <w:rPr>
          <w:rFonts w:eastAsia="Calibri" w:cs="Arial"/>
          <w:sz w:val="20"/>
          <w:szCs w:val="20"/>
          <w:lang w:val="es-ES" w:eastAsia="en-US"/>
        </w:rPr>
        <w:t xml:space="preserve"> al sistema interamericano estarían fuera de la competencia de la Corte.</w:t>
      </w:r>
      <w:r w:rsidR="00E630D7" w:rsidRPr="00975C02">
        <w:rPr>
          <w:rFonts w:eastAsia="Calibri" w:cs="Arial"/>
          <w:sz w:val="20"/>
          <w:szCs w:val="20"/>
          <w:lang w:val="es-ES" w:eastAsia="en-US"/>
        </w:rPr>
        <w:t xml:space="preserve"> </w:t>
      </w:r>
      <w:r w:rsidRPr="00975C02">
        <w:rPr>
          <w:rFonts w:eastAsia="Calibri" w:cs="Arial"/>
          <w:sz w:val="20"/>
          <w:szCs w:val="20"/>
          <w:lang w:val="es-ES" w:eastAsia="en-US"/>
        </w:rPr>
        <w:t>En consecuencia, según el Estado, la Corte no ten</w:t>
      </w:r>
      <w:r w:rsidR="003723E3" w:rsidRPr="00975C02">
        <w:rPr>
          <w:rFonts w:eastAsia="Calibri" w:cs="Arial"/>
          <w:sz w:val="20"/>
          <w:szCs w:val="20"/>
          <w:lang w:val="es-ES" w:eastAsia="en-US"/>
        </w:rPr>
        <w:t>dría</w:t>
      </w:r>
      <w:r w:rsidRPr="00975C02">
        <w:rPr>
          <w:rFonts w:eastAsia="Calibri" w:cs="Arial"/>
          <w:sz w:val="20"/>
          <w:szCs w:val="20"/>
          <w:lang w:val="es-ES" w:eastAsia="en-US"/>
        </w:rPr>
        <w:t xml:space="preserve"> competencia para decidir sobre el cumplimiento de obligaciones que surjan de instrumentos que no derivan del sistema interamericano, como la Convención sobre los </w:t>
      </w:r>
      <w:r w:rsidR="003723E3" w:rsidRPr="00975C02">
        <w:rPr>
          <w:rFonts w:eastAsia="Calibri" w:cs="Arial"/>
          <w:sz w:val="20"/>
          <w:szCs w:val="20"/>
          <w:lang w:val="es-ES" w:eastAsia="en-US"/>
        </w:rPr>
        <w:t>D</w:t>
      </w:r>
      <w:r w:rsidRPr="00975C02">
        <w:rPr>
          <w:rFonts w:eastAsia="Calibri" w:cs="Arial"/>
          <w:sz w:val="20"/>
          <w:szCs w:val="20"/>
          <w:lang w:val="es-ES" w:eastAsia="en-US"/>
        </w:rPr>
        <w:t xml:space="preserve">erechos del </w:t>
      </w:r>
      <w:r w:rsidR="003723E3" w:rsidRPr="00975C02">
        <w:rPr>
          <w:rFonts w:eastAsia="Calibri" w:cs="Arial"/>
          <w:sz w:val="20"/>
          <w:szCs w:val="20"/>
          <w:lang w:val="es-ES" w:eastAsia="en-US"/>
        </w:rPr>
        <w:t>N</w:t>
      </w:r>
      <w:r w:rsidRPr="00975C02">
        <w:rPr>
          <w:rFonts w:eastAsia="Calibri" w:cs="Arial"/>
          <w:sz w:val="20"/>
          <w:szCs w:val="20"/>
          <w:lang w:val="es-ES" w:eastAsia="en-US"/>
        </w:rPr>
        <w:t>iño</w:t>
      </w:r>
      <w:r w:rsidR="00B561AB" w:rsidRPr="00975C02">
        <w:rPr>
          <w:rFonts w:eastAsia="Calibri" w:cs="Arial"/>
          <w:sz w:val="20"/>
          <w:szCs w:val="20"/>
          <w:lang w:val="es-ES" w:eastAsia="en-US"/>
        </w:rPr>
        <w:t>, la cual</w:t>
      </w:r>
      <w:r w:rsidRPr="00975C02">
        <w:rPr>
          <w:rFonts w:eastAsia="Calibri" w:cs="Arial"/>
          <w:sz w:val="20"/>
          <w:szCs w:val="20"/>
          <w:lang w:val="es-ES" w:eastAsia="en-US"/>
        </w:rPr>
        <w:t xml:space="preserve"> dispone de</w:t>
      </w:r>
      <w:r w:rsidR="00B561AB" w:rsidRPr="00975C02">
        <w:rPr>
          <w:rFonts w:eastAsia="Calibri" w:cs="Arial"/>
          <w:sz w:val="20"/>
          <w:szCs w:val="20"/>
          <w:lang w:val="es-ES" w:eastAsia="en-US"/>
        </w:rPr>
        <w:t>l Comité de los Derechos del Niño</w:t>
      </w:r>
      <w:r w:rsidRPr="00975C02">
        <w:rPr>
          <w:rFonts w:eastAsia="Calibri" w:cs="Arial"/>
          <w:sz w:val="20"/>
          <w:szCs w:val="20"/>
          <w:lang w:val="es-ES" w:eastAsia="en-US"/>
        </w:rPr>
        <w:t xml:space="preserve"> </w:t>
      </w:r>
      <w:r w:rsidR="00B561AB" w:rsidRPr="00975C02">
        <w:rPr>
          <w:rFonts w:eastAsia="Calibri" w:cs="Arial"/>
          <w:sz w:val="20"/>
          <w:szCs w:val="20"/>
          <w:lang w:val="es-ES" w:eastAsia="en-US"/>
        </w:rPr>
        <w:t>como</w:t>
      </w:r>
      <w:r w:rsidRPr="00975C02">
        <w:rPr>
          <w:rFonts w:eastAsia="Calibri" w:cs="Arial"/>
          <w:sz w:val="20"/>
          <w:szCs w:val="20"/>
          <w:lang w:val="es-ES" w:eastAsia="en-US"/>
        </w:rPr>
        <w:t xml:space="preserve"> órgano especializado propio. Por lo expuesto, el Estado solicitó a la Corte que</w:t>
      </w:r>
      <w:r w:rsidR="00FA0912" w:rsidRPr="00975C02">
        <w:rPr>
          <w:rFonts w:eastAsia="Calibri" w:cs="Arial"/>
          <w:sz w:val="20"/>
          <w:szCs w:val="20"/>
          <w:lang w:val="es-ES" w:eastAsia="en-US"/>
        </w:rPr>
        <w:t xml:space="preserve"> </w:t>
      </w:r>
      <w:r w:rsidRPr="00975C02">
        <w:rPr>
          <w:rFonts w:eastAsia="Calibri" w:cs="Arial"/>
          <w:sz w:val="20"/>
          <w:szCs w:val="20"/>
          <w:lang w:val="es-ES" w:eastAsia="en-US"/>
        </w:rPr>
        <w:t xml:space="preserve">excluya en su valoración la aplicación de los artículos 2.1, 3.1 y 2, 4, 16, 24.1 </w:t>
      </w:r>
      <w:r w:rsidR="003723E3" w:rsidRPr="00975C02">
        <w:rPr>
          <w:rFonts w:eastAsia="Calibri" w:cs="Arial"/>
          <w:sz w:val="20"/>
          <w:szCs w:val="20"/>
          <w:lang w:val="es-ES" w:eastAsia="en-US"/>
        </w:rPr>
        <w:t>y 2 de la Convención sobre los D</w:t>
      </w:r>
      <w:r w:rsidRPr="00975C02">
        <w:rPr>
          <w:rFonts w:eastAsia="Calibri" w:cs="Arial"/>
          <w:sz w:val="20"/>
          <w:szCs w:val="20"/>
          <w:lang w:val="es-ES" w:eastAsia="en-US"/>
        </w:rPr>
        <w:t xml:space="preserve">erechos del </w:t>
      </w:r>
      <w:r w:rsidR="003723E3" w:rsidRPr="00975C02">
        <w:rPr>
          <w:rFonts w:eastAsia="Calibri" w:cs="Arial"/>
          <w:sz w:val="20"/>
          <w:szCs w:val="20"/>
          <w:lang w:val="es-ES" w:eastAsia="en-US"/>
        </w:rPr>
        <w:t>N</w:t>
      </w:r>
      <w:r w:rsidRPr="00975C02">
        <w:rPr>
          <w:rFonts w:eastAsia="Calibri" w:cs="Arial"/>
          <w:sz w:val="20"/>
          <w:szCs w:val="20"/>
          <w:lang w:val="es-ES" w:eastAsia="en-US"/>
        </w:rPr>
        <w:t>iño.</w:t>
      </w:r>
    </w:p>
    <w:p w14:paraId="23A548A0" w14:textId="77777777" w:rsidR="00DD00E7" w:rsidRPr="00975C02" w:rsidRDefault="00DD00E7" w:rsidP="00DD00E7">
      <w:pPr>
        <w:spacing w:line="240" w:lineRule="auto"/>
        <w:contextualSpacing/>
        <w:rPr>
          <w:sz w:val="20"/>
          <w:szCs w:val="20"/>
          <w:lang w:val="es-ES"/>
        </w:rPr>
      </w:pPr>
    </w:p>
    <w:p w14:paraId="16DFDF32" w14:textId="0224F565" w:rsidR="00DD00E7" w:rsidRPr="00975C02" w:rsidRDefault="00DD00E7" w:rsidP="00C8070B">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 xml:space="preserve">La </w:t>
      </w:r>
      <w:r w:rsidRPr="00975C02">
        <w:rPr>
          <w:b/>
          <w:i/>
          <w:sz w:val="20"/>
          <w:szCs w:val="20"/>
          <w:lang w:val="es-ES"/>
        </w:rPr>
        <w:t>Comisión</w:t>
      </w:r>
      <w:r w:rsidRPr="00975C02">
        <w:rPr>
          <w:sz w:val="20"/>
          <w:szCs w:val="20"/>
          <w:lang w:val="es-ES"/>
        </w:rPr>
        <w:t xml:space="preserve"> observó que la presente excepción se relaciona con los argumentos planteados por las representantes en su escrito de solicitudes, argumentos y pruebas</w:t>
      </w:r>
      <w:r w:rsidR="00446DDA" w:rsidRPr="00975C02">
        <w:rPr>
          <w:sz w:val="20"/>
          <w:szCs w:val="20"/>
          <w:lang w:val="es-ES"/>
        </w:rPr>
        <w:t xml:space="preserve">, </w:t>
      </w:r>
      <w:r w:rsidR="00494E8E" w:rsidRPr="00975C02">
        <w:rPr>
          <w:sz w:val="20"/>
          <w:szCs w:val="20"/>
          <w:lang w:val="es-ES"/>
        </w:rPr>
        <w:t>quienes</w:t>
      </w:r>
      <w:r w:rsidR="00446DDA" w:rsidRPr="00975C02">
        <w:rPr>
          <w:sz w:val="20"/>
          <w:szCs w:val="20"/>
          <w:lang w:val="es-ES"/>
        </w:rPr>
        <w:t xml:space="preserve"> están facultadas para presentar alegatos de derecho adicionales ante el Tribunal</w:t>
      </w:r>
      <w:r w:rsidRPr="00975C02">
        <w:rPr>
          <w:sz w:val="20"/>
          <w:szCs w:val="20"/>
          <w:lang w:val="es-ES"/>
        </w:rPr>
        <w:t>.</w:t>
      </w:r>
      <w:r w:rsidR="00446DDA" w:rsidRPr="00975C02">
        <w:rPr>
          <w:sz w:val="20"/>
          <w:szCs w:val="20"/>
          <w:lang w:val="es-ES"/>
        </w:rPr>
        <w:t xml:space="preserve"> </w:t>
      </w:r>
      <w:r w:rsidRPr="00975C02">
        <w:rPr>
          <w:sz w:val="20"/>
          <w:szCs w:val="20"/>
          <w:lang w:val="es-ES"/>
        </w:rPr>
        <w:t xml:space="preserve">Sin perjuicio de ello, la Comisión destacó que en su </w:t>
      </w:r>
      <w:r w:rsidR="00D566C9" w:rsidRPr="00975C02">
        <w:rPr>
          <w:rFonts w:eastAsia="Verdana" w:cs="Verdana"/>
          <w:sz w:val="20"/>
          <w:szCs w:val="20"/>
          <w:lang w:val="es-ES"/>
        </w:rPr>
        <w:t>Informe No. 4/16</w:t>
      </w:r>
      <w:r w:rsidRPr="00975C02">
        <w:rPr>
          <w:sz w:val="20"/>
          <w:szCs w:val="20"/>
          <w:lang w:val="es-ES"/>
        </w:rPr>
        <w:t xml:space="preserve"> no estableció violaciones de la Convención </w:t>
      </w:r>
      <w:r w:rsidR="00DF395C" w:rsidRPr="00975C02">
        <w:rPr>
          <w:sz w:val="20"/>
          <w:szCs w:val="20"/>
          <w:lang w:val="es-ES"/>
        </w:rPr>
        <w:t>sobre</w:t>
      </w:r>
      <w:r w:rsidRPr="00975C02">
        <w:rPr>
          <w:sz w:val="20"/>
          <w:szCs w:val="20"/>
          <w:lang w:val="es-ES"/>
        </w:rPr>
        <w:t xml:space="preserve"> los Derechos del Niño</w:t>
      </w:r>
      <w:r w:rsidR="00DF395C" w:rsidRPr="00975C02">
        <w:rPr>
          <w:sz w:val="20"/>
          <w:szCs w:val="20"/>
          <w:lang w:val="es-ES"/>
        </w:rPr>
        <w:t>,</w:t>
      </w:r>
      <w:r w:rsidRPr="00975C02">
        <w:rPr>
          <w:sz w:val="20"/>
          <w:szCs w:val="20"/>
          <w:lang w:val="es-ES"/>
        </w:rPr>
        <w:t xml:space="preserve"> sino que utilizó dicho instrumento como parte del </w:t>
      </w:r>
      <w:r w:rsidR="0089592D" w:rsidRPr="00975C02">
        <w:rPr>
          <w:i/>
          <w:sz w:val="20"/>
          <w:szCs w:val="20"/>
          <w:lang w:val="es-ES"/>
        </w:rPr>
        <w:t>corpus j</w:t>
      </w:r>
      <w:r w:rsidRPr="00975C02">
        <w:rPr>
          <w:i/>
          <w:sz w:val="20"/>
          <w:szCs w:val="20"/>
          <w:lang w:val="es-ES"/>
        </w:rPr>
        <w:t>uris</w:t>
      </w:r>
      <w:r w:rsidRPr="00975C02">
        <w:rPr>
          <w:sz w:val="20"/>
          <w:szCs w:val="20"/>
          <w:lang w:val="es-ES"/>
        </w:rPr>
        <w:t xml:space="preserve"> internacional en la materia, a fin de dar alcance a las disposiciones de la Convención Americana, lo que resulta </w:t>
      </w:r>
      <w:r w:rsidRPr="00975C02">
        <w:rPr>
          <w:sz w:val="20"/>
          <w:szCs w:val="20"/>
          <w:lang w:val="es-ES"/>
        </w:rPr>
        <w:lastRenderedPageBreak/>
        <w:t>consistente con la práctica tanto de la Comisión como de la Corte.</w:t>
      </w:r>
    </w:p>
    <w:p w14:paraId="25823611" w14:textId="77777777" w:rsidR="00DD00E7" w:rsidRPr="00975C02" w:rsidRDefault="00DD00E7" w:rsidP="00DD00E7">
      <w:pPr>
        <w:spacing w:line="240" w:lineRule="auto"/>
        <w:contextualSpacing/>
        <w:rPr>
          <w:sz w:val="20"/>
          <w:szCs w:val="20"/>
          <w:lang w:val="es-ES"/>
        </w:rPr>
      </w:pPr>
    </w:p>
    <w:p w14:paraId="0F60E6CC" w14:textId="6E881A76" w:rsidR="00DD00E7" w:rsidRPr="00975C02" w:rsidRDefault="00DD00E7" w:rsidP="00C8070B">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 xml:space="preserve">Las </w:t>
      </w:r>
      <w:r w:rsidRPr="00975C02">
        <w:rPr>
          <w:b/>
          <w:i/>
          <w:sz w:val="20"/>
          <w:szCs w:val="20"/>
          <w:lang w:val="es-ES"/>
        </w:rPr>
        <w:t xml:space="preserve">representantes </w:t>
      </w:r>
      <w:r w:rsidR="00F75CA4" w:rsidRPr="00975C02">
        <w:rPr>
          <w:sz w:val="20"/>
          <w:szCs w:val="20"/>
          <w:lang w:val="es-ES"/>
        </w:rPr>
        <w:t>adujeron que</w:t>
      </w:r>
      <w:r w:rsidR="00494E8E" w:rsidRPr="00975C02">
        <w:rPr>
          <w:sz w:val="20"/>
          <w:szCs w:val="20"/>
          <w:lang w:val="es-ES"/>
        </w:rPr>
        <w:t>,</w:t>
      </w:r>
      <w:r w:rsidR="00F75CA4" w:rsidRPr="00975C02">
        <w:rPr>
          <w:sz w:val="20"/>
          <w:szCs w:val="20"/>
          <w:lang w:val="es-ES"/>
        </w:rPr>
        <w:t xml:space="preserve"> siendo la Convención sobre los Derechos del Niño parte del </w:t>
      </w:r>
      <w:r w:rsidR="00F75CA4" w:rsidRPr="00975C02">
        <w:rPr>
          <w:i/>
          <w:sz w:val="20"/>
          <w:szCs w:val="20"/>
          <w:lang w:val="es-ES"/>
        </w:rPr>
        <w:t>corpus</w:t>
      </w:r>
      <w:r w:rsidR="00F75CA4" w:rsidRPr="00975C02">
        <w:rPr>
          <w:sz w:val="20"/>
          <w:szCs w:val="20"/>
          <w:lang w:val="es-ES"/>
        </w:rPr>
        <w:t xml:space="preserve"> </w:t>
      </w:r>
      <w:r w:rsidR="00F75CA4" w:rsidRPr="00975C02">
        <w:rPr>
          <w:i/>
          <w:sz w:val="20"/>
          <w:szCs w:val="20"/>
          <w:lang w:val="es-ES"/>
        </w:rPr>
        <w:t>juris</w:t>
      </w:r>
      <w:r w:rsidR="00F75CA4" w:rsidRPr="00975C02">
        <w:rPr>
          <w:sz w:val="20"/>
          <w:szCs w:val="20"/>
          <w:lang w:val="es-ES"/>
        </w:rPr>
        <w:t xml:space="preserve"> internacional de protección de </w:t>
      </w:r>
      <w:r w:rsidR="00494E8E" w:rsidRPr="00975C02">
        <w:rPr>
          <w:sz w:val="20"/>
          <w:szCs w:val="20"/>
          <w:lang w:val="es-ES"/>
        </w:rPr>
        <w:t xml:space="preserve">niñas y </w:t>
      </w:r>
      <w:r w:rsidR="00F75CA4" w:rsidRPr="00975C02">
        <w:rPr>
          <w:sz w:val="20"/>
          <w:szCs w:val="20"/>
          <w:lang w:val="es-ES"/>
        </w:rPr>
        <w:t>niños, “[hicieron] uso de [sus] disposiciones […] para analizar el caso que nos ocupa”</w:t>
      </w:r>
      <w:r w:rsidR="002C5273" w:rsidRPr="00975C02">
        <w:rPr>
          <w:sz w:val="20"/>
          <w:szCs w:val="20"/>
          <w:lang w:val="es-ES"/>
        </w:rPr>
        <w:t>.</w:t>
      </w:r>
      <w:r w:rsidR="00F75CA4" w:rsidRPr="00975C02">
        <w:rPr>
          <w:sz w:val="20"/>
          <w:szCs w:val="20"/>
          <w:lang w:val="es-ES"/>
        </w:rPr>
        <w:t xml:space="preserve"> Con base en ello e invocando el </w:t>
      </w:r>
      <w:r w:rsidR="006C1836" w:rsidRPr="00975C02">
        <w:rPr>
          <w:sz w:val="20"/>
          <w:szCs w:val="20"/>
          <w:lang w:val="es-ES"/>
        </w:rPr>
        <w:t>interés superior de la niña</w:t>
      </w:r>
      <w:r w:rsidR="00D345DA" w:rsidRPr="00975C02">
        <w:rPr>
          <w:sz w:val="20"/>
          <w:szCs w:val="20"/>
          <w:lang w:val="es-ES"/>
        </w:rPr>
        <w:t>,</w:t>
      </w:r>
      <w:r w:rsidR="008A4CF8" w:rsidRPr="00975C02">
        <w:rPr>
          <w:sz w:val="20"/>
          <w:szCs w:val="20"/>
          <w:lang w:val="es-ES"/>
        </w:rPr>
        <w:t xml:space="preserve"> </w:t>
      </w:r>
      <w:r w:rsidR="001E002F" w:rsidRPr="00975C02">
        <w:rPr>
          <w:rFonts w:eastAsia="Calibri" w:cs="Arial"/>
          <w:sz w:val="20"/>
          <w:szCs w:val="20"/>
          <w:lang w:val="es-ES" w:eastAsia="en-US"/>
        </w:rPr>
        <w:t>sostuvieron</w:t>
      </w:r>
      <w:r w:rsidRPr="00975C02">
        <w:rPr>
          <w:rFonts w:eastAsia="Calibri" w:cs="Arial"/>
          <w:sz w:val="20"/>
          <w:szCs w:val="20"/>
          <w:lang w:val="es-ES" w:eastAsia="en-US"/>
        </w:rPr>
        <w:t xml:space="preserve"> que fue por tal motivo que hicieron referencia a </w:t>
      </w:r>
      <w:r w:rsidR="003A4333" w:rsidRPr="00975C02">
        <w:rPr>
          <w:rFonts w:eastAsia="Calibri" w:cs="Arial"/>
          <w:sz w:val="20"/>
          <w:szCs w:val="20"/>
          <w:lang w:val="es-ES" w:eastAsia="en-US"/>
        </w:rPr>
        <w:t xml:space="preserve">la </w:t>
      </w:r>
      <w:r w:rsidRPr="00975C02">
        <w:rPr>
          <w:rFonts w:eastAsia="Calibri" w:cs="Arial"/>
          <w:sz w:val="20"/>
          <w:szCs w:val="20"/>
          <w:lang w:val="es-ES" w:eastAsia="en-US"/>
        </w:rPr>
        <w:t>normativa</w:t>
      </w:r>
      <w:r w:rsidR="003A4333" w:rsidRPr="00975C02">
        <w:rPr>
          <w:sz w:val="20"/>
          <w:szCs w:val="20"/>
          <w:lang w:val="es-ES"/>
        </w:rPr>
        <w:t xml:space="preserve"> de la Convención sobre los Derechos del Niño</w:t>
      </w:r>
      <w:r w:rsidRPr="00975C02">
        <w:rPr>
          <w:rFonts w:eastAsia="Calibri" w:cs="Arial"/>
          <w:sz w:val="20"/>
          <w:szCs w:val="20"/>
          <w:lang w:val="es-ES" w:eastAsia="en-US"/>
        </w:rPr>
        <w:t>, en relación con los artículos 1.1 y 19 de la Convención. En consecuencia, las representantes solicitaron a la Corte que la excepción sea desestimada.</w:t>
      </w:r>
    </w:p>
    <w:p w14:paraId="1382D191" w14:textId="77777777" w:rsidR="00DD00E7" w:rsidRPr="00975C02" w:rsidRDefault="00DD00E7" w:rsidP="00F75CA4">
      <w:pPr>
        <w:spacing w:line="240" w:lineRule="auto"/>
        <w:rPr>
          <w:sz w:val="20"/>
          <w:szCs w:val="20"/>
          <w:lang w:val="es-ES"/>
        </w:rPr>
      </w:pPr>
    </w:p>
    <w:p w14:paraId="1CAE56A9" w14:textId="77777777" w:rsidR="00DD00E7" w:rsidRPr="00975C02" w:rsidRDefault="00DD00E7" w:rsidP="00F75CA4">
      <w:pPr>
        <w:pStyle w:val="Heading2"/>
        <w:tabs>
          <w:tab w:val="left" w:pos="1843"/>
        </w:tabs>
        <w:spacing w:before="0" w:line="240" w:lineRule="auto"/>
        <w:ind w:left="1134"/>
        <w:rPr>
          <w:rFonts w:ascii="Verdana" w:hAnsi="Verdana"/>
          <w:b w:val="0"/>
          <w:i/>
          <w:color w:val="auto"/>
          <w:sz w:val="20"/>
          <w:szCs w:val="20"/>
          <w:lang w:val="es-ES"/>
        </w:rPr>
      </w:pPr>
      <w:bookmarkStart w:id="59" w:name="_Toc514172601"/>
      <w:r w:rsidRPr="00975C02">
        <w:rPr>
          <w:rFonts w:ascii="Verdana" w:hAnsi="Verdana"/>
          <w:b w:val="0"/>
          <w:i/>
          <w:color w:val="auto"/>
          <w:sz w:val="20"/>
          <w:szCs w:val="20"/>
          <w:lang w:val="es-ES"/>
        </w:rPr>
        <w:t xml:space="preserve">C.2 </w:t>
      </w:r>
      <w:r w:rsidR="00C607DD" w:rsidRPr="00975C02">
        <w:rPr>
          <w:rFonts w:ascii="Verdana" w:hAnsi="Verdana"/>
          <w:b w:val="0"/>
          <w:i/>
          <w:color w:val="auto"/>
          <w:sz w:val="20"/>
          <w:szCs w:val="20"/>
          <w:lang w:val="es-ES"/>
        </w:rPr>
        <w:tab/>
      </w:r>
      <w:r w:rsidRPr="00975C02">
        <w:rPr>
          <w:rFonts w:ascii="Verdana" w:hAnsi="Verdana"/>
          <w:b w:val="0"/>
          <w:i/>
          <w:color w:val="auto"/>
          <w:sz w:val="20"/>
          <w:szCs w:val="20"/>
          <w:lang w:val="es-ES"/>
        </w:rPr>
        <w:t>Consideraciones de la Corte</w:t>
      </w:r>
      <w:bookmarkEnd w:id="59"/>
    </w:p>
    <w:p w14:paraId="673F4099" w14:textId="77777777" w:rsidR="00DD00E7" w:rsidRPr="00975C02" w:rsidRDefault="00DD00E7" w:rsidP="00F75CA4">
      <w:pPr>
        <w:spacing w:line="240" w:lineRule="auto"/>
        <w:rPr>
          <w:sz w:val="20"/>
          <w:szCs w:val="20"/>
          <w:lang w:val="es-ES"/>
        </w:rPr>
      </w:pPr>
    </w:p>
    <w:p w14:paraId="009E180F" w14:textId="74FC27B1" w:rsidR="00A53FD8" w:rsidRPr="00975C02" w:rsidRDefault="00275C57" w:rsidP="003813B9">
      <w:pPr>
        <w:numPr>
          <w:ilvl w:val="0"/>
          <w:numId w:val="2"/>
        </w:numPr>
        <w:tabs>
          <w:tab w:val="left" w:pos="567"/>
          <w:tab w:val="num" w:pos="12305"/>
        </w:tabs>
        <w:spacing w:line="240" w:lineRule="auto"/>
        <w:ind w:left="0" w:firstLine="0"/>
        <w:rPr>
          <w:rFonts w:eastAsia="Calibri" w:cs="Verdana"/>
          <w:sz w:val="20"/>
          <w:szCs w:val="20"/>
          <w:lang w:val="es-ES" w:eastAsia="en-US"/>
        </w:rPr>
      </w:pPr>
      <w:r w:rsidRPr="00975C02">
        <w:rPr>
          <w:sz w:val="20"/>
          <w:szCs w:val="20"/>
          <w:lang w:val="es-ES"/>
        </w:rPr>
        <w:t>L</w:t>
      </w:r>
      <w:r w:rsidR="00DD00E7" w:rsidRPr="00975C02">
        <w:rPr>
          <w:sz w:val="20"/>
          <w:szCs w:val="20"/>
          <w:lang w:val="es-ES"/>
        </w:rPr>
        <w:t xml:space="preserve">a Corte </w:t>
      </w:r>
      <w:r w:rsidR="002D2EDF" w:rsidRPr="00975C02">
        <w:rPr>
          <w:sz w:val="20"/>
          <w:szCs w:val="20"/>
          <w:lang w:val="es-ES"/>
        </w:rPr>
        <w:t xml:space="preserve">nota que </w:t>
      </w:r>
      <w:r w:rsidR="0087468D" w:rsidRPr="00975C02">
        <w:rPr>
          <w:sz w:val="20"/>
          <w:szCs w:val="20"/>
          <w:lang w:val="es-ES"/>
        </w:rPr>
        <w:t xml:space="preserve">las representantes </w:t>
      </w:r>
      <w:r w:rsidR="00AA3F07" w:rsidRPr="00975C02">
        <w:rPr>
          <w:sz w:val="20"/>
          <w:szCs w:val="20"/>
          <w:lang w:val="es-ES"/>
        </w:rPr>
        <w:t>presentaron sus alegatos en torno a</w:t>
      </w:r>
      <w:r w:rsidR="002D2EDF" w:rsidRPr="00975C02">
        <w:rPr>
          <w:sz w:val="20"/>
          <w:szCs w:val="20"/>
          <w:lang w:val="es-ES"/>
        </w:rPr>
        <w:t xml:space="preserve"> </w:t>
      </w:r>
      <w:r w:rsidR="003813B9" w:rsidRPr="00975C02">
        <w:rPr>
          <w:sz w:val="20"/>
          <w:szCs w:val="20"/>
          <w:lang w:val="es-ES"/>
        </w:rPr>
        <w:t>las disposiciones de la Convención sobre los Derechos de Niño</w:t>
      </w:r>
      <w:r w:rsidR="00E723B8" w:rsidRPr="00975C02">
        <w:rPr>
          <w:sz w:val="20"/>
          <w:szCs w:val="20"/>
          <w:lang w:val="es-ES"/>
        </w:rPr>
        <w:t xml:space="preserve"> de forma </w:t>
      </w:r>
      <w:r w:rsidR="0087468D" w:rsidRPr="00975C02">
        <w:rPr>
          <w:sz w:val="20"/>
          <w:szCs w:val="20"/>
          <w:lang w:val="es-ES"/>
        </w:rPr>
        <w:t>imprecisa</w:t>
      </w:r>
      <w:r w:rsidR="003813B9" w:rsidRPr="00975C02">
        <w:rPr>
          <w:sz w:val="20"/>
          <w:szCs w:val="20"/>
          <w:lang w:val="es-ES"/>
        </w:rPr>
        <w:t xml:space="preserve">. No obstante, la Corte </w:t>
      </w:r>
      <w:r w:rsidR="00DD00E7" w:rsidRPr="00975C02">
        <w:rPr>
          <w:sz w:val="20"/>
          <w:szCs w:val="20"/>
          <w:lang w:val="es-ES"/>
        </w:rPr>
        <w:t>entiende que las representantes no solicitaron que se declar</w:t>
      </w:r>
      <w:r w:rsidR="003278AA" w:rsidRPr="00975C02">
        <w:rPr>
          <w:sz w:val="20"/>
          <w:szCs w:val="20"/>
          <w:lang w:val="es-ES"/>
        </w:rPr>
        <w:t>ara</w:t>
      </w:r>
      <w:r w:rsidR="00DD00E7" w:rsidRPr="00975C02">
        <w:rPr>
          <w:sz w:val="20"/>
          <w:szCs w:val="20"/>
          <w:lang w:val="es-ES"/>
        </w:rPr>
        <w:t xml:space="preserve"> la responsabilidad internacional del Estado</w:t>
      </w:r>
      <w:r w:rsidR="002A54B6" w:rsidRPr="00975C02">
        <w:rPr>
          <w:sz w:val="20"/>
          <w:szCs w:val="20"/>
          <w:lang w:val="es-ES"/>
        </w:rPr>
        <w:t xml:space="preserve"> sobre dichas</w:t>
      </w:r>
      <w:r w:rsidR="00DD00E7" w:rsidRPr="00975C02">
        <w:rPr>
          <w:sz w:val="20"/>
          <w:szCs w:val="20"/>
          <w:lang w:val="es-ES"/>
        </w:rPr>
        <w:t xml:space="preserve"> disposiciones, para lo cual </w:t>
      </w:r>
      <w:r w:rsidR="00F67453" w:rsidRPr="00975C02">
        <w:rPr>
          <w:sz w:val="20"/>
          <w:szCs w:val="20"/>
          <w:lang w:val="es-ES"/>
        </w:rPr>
        <w:t xml:space="preserve">este Tribunal </w:t>
      </w:r>
      <w:r w:rsidR="00DD00E7" w:rsidRPr="00975C02">
        <w:rPr>
          <w:sz w:val="20"/>
          <w:szCs w:val="20"/>
          <w:lang w:val="es-ES"/>
        </w:rPr>
        <w:t xml:space="preserve">no resulta competente, sino que las invocaron como normas </w:t>
      </w:r>
      <w:r w:rsidR="003813B9" w:rsidRPr="00975C02">
        <w:rPr>
          <w:sz w:val="20"/>
          <w:szCs w:val="20"/>
          <w:lang w:val="es-ES"/>
        </w:rPr>
        <w:t>que dotan de</w:t>
      </w:r>
      <w:r w:rsidR="00DD00E7" w:rsidRPr="00975C02">
        <w:rPr>
          <w:sz w:val="20"/>
          <w:szCs w:val="20"/>
          <w:lang w:val="es-ES"/>
        </w:rPr>
        <w:t xml:space="preserve"> contenido </w:t>
      </w:r>
      <w:r w:rsidRPr="00975C02">
        <w:rPr>
          <w:sz w:val="20"/>
          <w:szCs w:val="20"/>
          <w:lang w:val="es-ES"/>
        </w:rPr>
        <w:t>el alcance de</w:t>
      </w:r>
      <w:r w:rsidR="003813B9" w:rsidRPr="00975C02">
        <w:rPr>
          <w:sz w:val="20"/>
          <w:szCs w:val="20"/>
          <w:lang w:val="es-ES"/>
        </w:rPr>
        <w:t xml:space="preserve"> </w:t>
      </w:r>
      <w:r w:rsidR="00DD00E7" w:rsidRPr="00975C02">
        <w:rPr>
          <w:sz w:val="20"/>
          <w:szCs w:val="20"/>
          <w:lang w:val="es-ES"/>
        </w:rPr>
        <w:t>l</w:t>
      </w:r>
      <w:r w:rsidR="003813B9" w:rsidRPr="00975C02">
        <w:rPr>
          <w:sz w:val="20"/>
          <w:szCs w:val="20"/>
          <w:lang w:val="es-ES"/>
        </w:rPr>
        <w:t>as medidas especiales de protección previstas en el</w:t>
      </w:r>
      <w:r w:rsidR="00DD00E7" w:rsidRPr="00975C02">
        <w:rPr>
          <w:sz w:val="20"/>
          <w:szCs w:val="20"/>
          <w:lang w:val="es-ES"/>
        </w:rPr>
        <w:t xml:space="preserve"> artículo 19 de la Convención Americana, para cuya interpretación y aplicación la Corte sí tiene competencia. </w:t>
      </w:r>
      <w:r w:rsidR="003813B9" w:rsidRPr="00975C02">
        <w:rPr>
          <w:sz w:val="20"/>
          <w:szCs w:val="20"/>
          <w:lang w:val="es-ES"/>
        </w:rPr>
        <w:t>En efecto, la Corte ha señalado que “</w:t>
      </w:r>
      <w:r w:rsidR="00820552" w:rsidRPr="00975C02">
        <w:rPr>
          <w:spacing w:val="-2"/>
          <w:sz w:val="20"/>
          <w:szCs w:val="20"/>
          <w:lang w:val="es-ES"/>
        </w:rPr>
        <w:t>al examinar la compatibilidad de las conductas o normas estatales con la Convención, la Corte puede interpretar a la luz de otros tratados las obligaciones y los derechos contenidos en dicho instrumento</w:t>
      </w:r>
      <w:r w:rsidR="003813B9" w:rsidRPr="00975C02">
        <w:rPr>
          <w:sz w:val="20"/>
          <w:szCs w:val="20"/>
          <w:lang w:val="es-ES"/>
        </w:rPr>
        <w:t>”</w:t>
      </w:r>
      <w:r w:rsidR="003813B9" w:rsidRPr="00975C02">
        <w:rPr>
          <w:sz w:val="20"/>
          <w:szCs w:val="20"/>
          <w:vertAlign w:val="superscript"/>
          <w:lang w:val="es-ES"/>
        </w:rPr>
        <w:footnoteReference w:id="28"/>
      </w:r>
      <w:r w:rsidR="003813B9" w:rsidRPr="00975C02">
        <w:rPr>
          <w:sz w:val="20"/>
          <w:szCs w:val="20"/>
          <w:lang w:val="es-ES"/>
        </w:rPr>
        <w:t xml:space="preserve">. </w:t>
      </w:r>
      <w:r w:rsidR="00A53FD8" w:rsidRPr="00975C02">
        <w:rPr>
          <w:sz w:val="20"/>
          <w:szCs w:val="20"/>
          <w:lang w:val="es-ES"/>
        </w:rPr>
        <w:t xml:space="preserve">Ello se deriva de la cláusula expresa del artículo 29.b) </w:t>
      </w:r>
      <w:r w:rsidR="00333E18" w:rsidRPr="00975C02">
        <w:rPr>
          <w:sz w:val="20"/>
          <w:szCs w:val="20"/>
          <w:lang w:val="es-ES"/>
        </w:rPr>
        <w:t xml:space="preserve">de la Convención Americana </w:t>
      </w:r>
      <w:r w:rsidR="002A13B1" w:rsidRPr="00975C02">
        <w:rPr>
          <w:sz w:val="20"/>
          <w:szCs w:val="20"/>
          <w:lang w:val="es-ES"/>
        </w:rPr>
        <w:t>que</w:t>
      </w:r>
      <w:r w:rsidR="00A53FD8" w:rsidRPr="00975C02">
        <w:rPr>
          <w:sz w:val="20"/>
          <w:szCs w:val="20"/>
          <w:lang w:val="es-ES"/>
        </w:rPr>
        <w:t xml:space="preserve"> alu</w:t>
      </w:r>
      <w:r w:rsidR="002A13B1" w:rsidRPr="00975C02">
        <w:rPr>
          <w:sz w:val="20"/>
          <w:szCs w:val="20"/>
          <w:lang w:val="es-ES"/>
        </w:rPr>
        <w:t>de</w:t>
      </w:r>
      <w:r w:rsidR="00A53FD8" w:rsidRPr="00975C02">
        <w:rPr>
          <w:sz w:val="20"/>
          <w:szCs w:val="20"/>
          <w:lang w:val="es-ES"/>
        </w:rPr>
        <w:t xml:space="preserve"> a las reglas de interpretación de </w:t>
      </w:r>
      <w:r w:rsidR="00333E18" w:rsidRPr="00975C02">
        <w:rPr>
          <w:sz w:val="20"/>
          <w:szCs w:val="20"/>
          <w:lang w:val="es-ES"/>
        </w:rPr>
        <w:t xml:space="preserve">su </w:t>
      </w:r>
      <w:r w:rsidR="00A53FD8" w:rsidRPr="00975C02">
        <w:rPr>
          <w:sz w:val="20"/>
          <w:szCs w:val="20"/>
          <w:lang w:val="es-ES"/>
        </w:rPr>
        <w:t xml:space="preserve">propia </w:t>
      </w:r>
      <w:r w:rsidR="00333E18" w:rsidRPr="00975C02">
        <w:rPr>
          <w:sz w:val="20"/>
          <w:szCs w:val="20"/>
          <w:lang w:val="es-ES"/>
        </w:rPr>
        <w:t xml:space="preserve">normativa </w:t>
      </w:r>
      <w:r w:rsidR="00A53FD8" w:rsidRPr="00975C02">
        <w:rPr>
          <w:sz w:val="20"/>
          <w:szCs w:val="20"/>
          <w:lang w:val="es-ES"/>
        </w:rPr>
        <w:t>en función de “otra convención en que sea parte uno de dichos Estados”.</w:t>
      </w:r>
      <w:r w:rsidR="00F16499" w:rsidRPr="00975C02">
        <w:rPr>
          <w:rFonts w:eastAsia="Calibri" w:cs="Verdana"/>
          <w:sz w:val="20"/>
          <w:szCs w:val="20"/>
          <w:lang w:val="es-ES" w:eastAsia="en-US"/>
        </w:rPr>
        <w:t xml:space="preserve"> Se advierte, así, en la Convención Americana una tendencia a integrar el sistema regional y el sistema universal de protección de los derechos humanos</w:t>
      </w:r>
      <w:r w:rsidR="00F16499" w:rsidRPr="00975C02">
        <w:rPr>
          <w:rStyle w:val="FootnoteReference"/>
          <w:rFonts w:eastAsia="Calibri" w:cs="Verdana"/>
          <w:sz w:val="20"/>
          <w:szCs w:val="20"/>
          <w:lang w:val="es-ES" w:eastAsia="en-US"/>
        </w:rPr>
        <w:footnoteReference w:id="29"/>
      </w:r>
      <w:r w:rsidR="00F16499" w:rsidRPr="00975C02">
        <w:rPr>
          <w:rFonts w:eastAsia="Calibri" w:cs="Verdana"/>
          <w:sz w:val="20"/>
          <w:szCs w:val="20"/>
          <w:lang w:val="es-ES" w:eastAsia="en-US"/>
        </w:rPr>
        <w:t>.</w:t>
      </w:r>
    </w:p>
    <w:p w14:paraId="4C0DAF32" w14:textId="77777777" w:rsidR="00A53FD8" w:rsidRPr="00975C02" w:rsidRDefault="00A53FD8" w:rsidP="00A53FD8">
      <w:pPr>
        <w:tabs>
          <w:tab w:val="left" w:pos="567"/>
        </w:tabs>
        <w:spacing w:line="240" w:lineRule="auto"/>
        <w:rPr>
          <w:rFonts w:eastAsia="Calibri" w:cs="Verdana"/>
          <w:sz w:val="20"/>
          <w:szCs w:val="20"/>
          <w:lang w:val="es-ES" w:eastAsia="en-US"/>
        </w:rPr>
      </w:pPr>
    </w:p>
    <w:p w14:paraId="4406F066" w14:textId="4806367F" w:rsidR="00AB4843" w:rsidRPr="00975C02" w:rsidRDefault="00804459" w:rsidP="004E03EF">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Teniendo en cuenta que</w:t>
      </w:r>
      <w:r w:rsidR="003813B9" w:rsidRPr="00975C02">
        <w:rPr>
          <w:sz w:val="20"/>
          <w:szCs w:val="20"/>
          <w:lang w:val="es-ES"/>
        </w:rPr>
        <w:t xml:space="preserve"> </w:t>
      </w:r>
      <w:r w:rsidR="00DC3CEA" w:rsidRPr="00975C02">
        <w:rPr>
          <w:sz w:val="20"/>
          <w:szCs w:val="20"/>
          <w:lang w:val="es-ES"/>
        </w:rPr>
        <w:t>la persona</w:t>
      </w:r>
      <w:r w:rsidR="003813B9" w:rsidRPr="00975C02">
        <w:rPr>
          <w:sz w:val="20"/>
          <w:szCs w:val="20"/>
          <w:lang w:val="es-ES"/>
        </w:rPr>
        <w:t xml:space="preserve"> </w:t>
      </w:r>
      <w:r w:rsidR="008304EF" w:rsidRPr="00975C02">
        <w:rPr>
          <w:sz w:val="20"/>
          <w:szCs w:val="20"/>
          <w:lang w:val="es-ES"/>
        </w:rPr>
        <w:t xml:space="preserve">titular </w:t>
      </w:r>
      <w:r w:rsidR="003813B9" w:rsidRPr="00975C02">
        <w:rPr>
          <w:sz w:val="20"/>
          <w:szCs w:val="20"/>
          <w:lang w:val="es-ES"/>
        </w:rPr>
        <w:t xml:space="preserve">de derechos </w:t>
      </w:r>
      <w:r w:rsidRPr="00975C02">
        <w:rPr>
          <w:sz w:val="20"/>
          <w:szCs w:val="20"/>
          <w:lang w:val="es-ES"/>
        </w:rPr>
        <w:t xml:space="preserve">y presunta víctima principal en este caso </w:t>
      </w:r>
      <w:r w:rsidR="00333E18" w:rsidRPr="00975C02">
        <w:rPr>
          <w:sz w:val="20"/>
          <w:szCs w:val="20"/>
          <w:lang w:val="es-ES"/>
        </w:rPr>
        <w:t>tenía menos</w:t>
      </w:r>
      <w:r w:rsidR="003813B9" w:rsidRPr="00975C02">
        <w:rPr>
          <w:sz w:val="20"/>
          <w:szCs w:val="20"/>
          <w:lang w:val="es-ES"/>
        </w:rPr>
        <w:t xml:space="preserve"> de 18 años</w:t>
      </w:r>
      <w:r w:rsidR="00333E18" w:rsidRPr="00975C02">
        <w:rPr>
          <w:sz w:val="20"/>
          <w:szCs w:val="20"/>
          <w:lang w:val="es-ES"/>
        </w:rPr>
        <w:t xml:space="preserve"> de edad al momento de los hechos</w:t>
      </w:r>
      <w:r w:rsidR="003813B9" w:rsidRPr="00975C02">
        <w:rPr>
          <w:sz w:val="20"/>
          <w:szCs w:val="20"/>
          <w:lang w:val="es-ES"/>
        </w:rPr>
        <w:t>,</w:t>
      </w:r>
      <w:r w:rsidRPr="00975C02">
        <w:rPr>
          <w:sz w:val="20"/>
          <w:szCs w:val="20"/>
          <w:lang w:val="es-ES"/>
        </w:rPr>
        <w:t xml:space="preserve"> la Corte considera útil y apropiado recurrir a la </w:t>
      </w:r>
      <w:r w:rsidRPr="00975C02">
        <w:rPr>
          <w:rFonts w:eastAsia="Calibri" w:cs="Verdana"/>
          <w:sz w:val="20"/>
          <w:szCs w:val="20"/>
          <w:lang w:val="es-ES" w:eastAsia="en-US"/>
        </w:rPr>
        <w:t>Convención sobre los Derechos del Niño</w:t>
      </w:r>
      <w:r w:rsidRPr="00975C02">
        <w:rPr>
          <w:sz w:val="20"/>
          <w:szCs w:val="20"/>
          <w:lang w:val="es-ES"/>
        </w:rPr>
        <w:t xml:space="preserve"> que contiene diversas disposiciones </w:t>
      </w:r>
      <w:r w:rsidR="00743666" w:rsidRPr="00975C02">
        <w:rPr>
          <w:sz w:val="20"/>
          <w:szCs w:val="20"/>
          <w:lang w:val="es-ES"/>
        </w:rPr>
        <w:t>específicas y más desarrolladas en torno a la participación, acceso a la justicia y rehabilitación de niñas</w:t>
      </w:r>
      <w:r w:rsidR="00862941" w:rsidRPr="00975C02">
        <w:rPr>
          <w:sz w:val="20"/>
          <w:szCs w:val="20"/>
          <w:lang w:val="es-ES"/>
        </w:rPr>
        <w:t>,</w:t>
      </w:r>
      <w:r w:rsidR="00743666" w:rsidRPr="00975C02">
        <w:rPr>
          <w:sz w:val="20"/>
          <w:szCs w:val="20"/>
          <w:lang w:val="es-ES"/>
        </w:rPr>
        <w:t xml:space="preserve"> niños</w:t>
      </w:r>
      <w:r w:rsidR="00862941" w:rsidRPr="00975C02">
        <w:rPr>
          <w:sz w:val="20"/>
          <w:szCs w:val="20"/>
          <w:lang w:val="es-ES"/>
        </w:rPr>
        <w:t xml:space="preserve"> y adolescentes</w:t>
      </w:r>
      <w:r w:rsidR="00743666" w:rsidRPr="00975C02">
        <w:rPr>
          <w:sz w:val="20"/>
          <w:szCs w:val="20"/>
          <w:lang w:val="es-ES"/>
        </w:rPr>
        <w:t xml:space="preserve"> víctimas de delitos</w:t>
      </w:r>
      <w:r w:rsidR="00862941" w:rsidRPr="00975C02">
        <w:rPr>
          <w:sz w:val="20"/>
          <w:szCs w:val="20"/>
          <w:lang w:val="es-ES"/>
        </w:rPr>
        <w:t>. Tales</w:t>
      </w:r>
      <w:r w:rsidRPr="00975C02">
        <w:rPr>
          <w:sz w:val="20"/>
          <w:szCs w:val="20"/>
          <w:lang w:val="es-ES"/>
        </w:rPr>
        <w:t xml:space="preserve"> disposiciones pueden ilustrar sobre el contenido y alcance de las medidas de protección especial que deben ser precisadas </w:t>
      </w:r>
      <w:r w:rsidR="00862941" w:rsidRPr="00975C02">
        <w:rPr>
          <w:sz w:val="20"/>
          <w:szCs w:val="20"/>
          <w:lang w:val="es-ES"/>
        </w:rPr>
        <w:t>en e</w:t>
      </w:r>
      <w:r w:rsidRPr="00975C02">
        <w:rPr>
          <w:sz w:val="20"/>
          <w:szCs w:val="20"/>
          <w:lang w:val="es-ES"/>
        </w:rPr>
        <w:t>l caso examinado a la luz del artículo 19 de la Convención.</w:t>
      </w:r>
      <w:r w:rsidR="004E03EF" w:rsidRPr="00975C02">
        <w:rPr>
          <w:sz w:val="20"/>
          <w:szCs w:val="20"/>
          <w:lang w:val="es-ES"/>
        </w:rPr>
        <w:t xml:space="preserve"> </w:t>
      </w:r>
      <w:r w:rsidR="008304EF" w:rsidRPr="00975C02">
        <w:rPr>
          <w:sz w:val="20"/>
          <w:szCs w:val="20"/>
          <w:lang w:val="es-ES"/>
        </w:rPr>
        <w:t>La Corte considera la aplicabilidad de dicho instrumento</w:t>
      </w:r>
      <w:r w:rsidR="00451534" w:rsidRPr="00975C02">
        <w:rPr>
          <w:sz w:val="20"/>
          <w:szCs w:val="20"/>
          <w:lang w:val="es-ES"/>
        </w:rPr>
        <w:t xml:space="preserve"> al presente caso</w:t>
      </w:r>
      <w:r w:rsidR="008304EF" w:rsidRPr="00975C02">
        <w:rPr>
          <w:sz w:val="20"/>
          <w:szCs w:val="20"/>
          <w:lang w:val="es-ES"/>
        </w:rPr>
        <w:t xml:space="preserve"> </w:t>
      </w:r>
      <w:r w:rsidR="00862941" w:rsidRPr="00975C02">
        <w:rPr>
          <w:sz w:val="20"/>
          <w:szCs w:val="20"/>
          <w:lang w:val="es-ES"/>
        </w:rPr>
        <w:t xml:space="preserve">en los términos indicados, </w:t>
      </w:r>
      <w:r w:rsidR="008304EF" w:rsidRPr="00975C02">
        <w:rPr>
          <w:sz w:val="20"/>
          <w:szCs w:val="20"/>
          <w:lang w:val="es-ES"/>
        </w:rPr>
        <w:t>en tanto Nicaragua es parte de ese tratado internacional</w:t>
      </w:r>
      <w:r w:rsidR="00FA0912" w:rsidRPr="00975C02">
        <w:rPr>
          <w:rStyle w:val="FootnoteReference"/>
          <w:sz w:val="20"/>
          <w:szCs w:val="20"/>
          <w:lang w:val="es-ES"/>
        </w:rPr>
        <w:footnoteReference w:id="30"/>
      </w:r>
      <w:r w:rsidR="008304EF" w:rsidRPr="00975C02">
        <w:rPr>
          <w:sz w:val="20"/>
          <w:szCs w:val="20"/>
          <w:lang w:val="es-ES"/>
        </w:rPr>
        <w:t xml:space="preserve"> </w:t>
      </w:r>
      <w:r w:rsidR="00AB4843" w:rsidRPr="00975C02">
        <w:rPr>
          <w:sz w:val="20"/>
          <w:szCs w:val="20"/>
          <w:lang w:val="es-ES"/>
        </w:rPr>
        <w:t>y ha reconocido</w:t>
      </w:r>
      <w:r w:rsidR="00862941" w:rsidRPr="00975C02">
        <w:rPr>
          <w:sz w:val="20"/>
          <w:szCs w:val="20"/>
          <w:lang w:val="es-ES"/>
        </w:rPr>
        <w:t>,</w:t>
      </w:r>
      <w:r w:rsidR="00AB4843" w:rsidRPr="00975C02">
        <w:rPr>
          <w:sz w:val="20"/>
          <w:szCs w:val="20"/>
          <w:lang w:val="es-ES"/>
        </w:rPr>
        <w:t xml:space="preserve"> por lo tanto</w:t>
      </w:r>
      <w:r w:rsidR="00862941" w:rsidRPr="00975C02">
        <w:rPr>
          <w:sz w:val="20"/>
          <w:szCs w:val="20"/>
          <w:lang w:val="es-ES"/>
        </w:rPr>
        <w:t>,</w:t>
      </w:r>
      <w:r w:rsidR="00AB4843" w:rsidRPr="00975C02">
        <w:rPr>
          <w:sz w:val="20"/>
          <w:szCs w:val="20"/>
          <w:lang w:val="es-ES"/>
        </w:rPr>
        <w:t xml:space="preserve"> las reglas establecidas allí expresamente como fuente de derecho. P</w:t>
      </w:r>
      <w:r w:rsidR="008304EF" w:rsidRPr="00975C02">
        <w:rPr>
          <w:sz w:val="20"/>
          <w:szCs w:val="20"/>
          <w:lang w:val="es-ES"/>
        </w:rPr>
        <w:t>ero</w:t>
      </w:r>
      <w:r w:rsidR="00AB4843" w:rsidRPr="00975C02">
        <w:rPr>
          <w:sz w:val="20"/>
          <w:szCs w:val="20"/>
          <w:lang w:val="es-ES"/>
        </w:rPr>
        <w:t>,</w:t>
      </w:r>
      <w:r w:rsidR="008304EF" w:rsidRPr="00975C02">
        <w:rPr>
          <w:sz w:val="20"/>
          <w:szCs w:val="20"/>
          <w:lang w:val="es-ES"/>
        </w:rPr>
        <w:t xml:space="preserve"> además</w:t>
      </w:r>
      <w:r w:rsidR="00451534" w:rsidRPr="00975C02">
        <w:rPr>
          <w:sz w:val="20"/>
          <w:szCs w:val="20"/>
          <w:lang w:val="es-ES"/>
        </w:rPr>
        <w:t>,</w:t>
      </w:r>
      <w:r w:rsidR="008304EF" w:rsidRPr="00975C02">
        <w:rPr>
          <w:sz w:val="20"/>
          <w:szCs w:val="20"/>
          <w:lang w:val="es-ES"/>
        </w:rPr>
        <w:t xml:space="preserve"> </w:t>
      </w:r>
      <w:r w:rsidR="00AB4843" w:rsidRPr="00975C02">
        <w:rPr>
          <w:sz w:val="20"/>
          <w:szCs w:val="20"/>
          <w:lang w:val="es-ES"/>
        </w:rPr>
        <w:t xml:space="preserve">es necesario recordar, como </w:t>
      </w:r>
      <w:r w:rsidR="008304EF" w:rsidRPr="00975C02">
        <w:rPr>
          <w:sz w:val="20"/>
          <w:szCs w:val="20"/>
          <w:lang w:val="es-ES"/>
        </w:rPr>
        <w:t xml:space="preserve">ya ha </w:t>
      </w:r>
      <w:r w:rsidR="00AB4843" w:rsidRPr="00975C02">
        <w:rPr>
          <w:sz w:val="20"/>
          <w:szCs w:val="20"/>
          <w:lang w:val="es-ES"/>
        </w:rPr>
        <w:t xml:space="preserve">sido </w:t>
      </w:r>
      <w:r w:rsidR="008304EF" w:rsidRPr="00975C02">
        <w:rPr>
          <w:sz w:val="20"/>
          <w:szCs w:val="20"/>
          <w:lang w:val="es-ES"/>
        </w:rPr>
        <w:t>resaltado</w:t>
      </w:r>
      <w:r w:rsidR="00AB4843" w:rsidRPr="00975C02">
        <w:rPr>
          <w:sz w:val="20"/>
          <w:szCs w:val="20"/>
          <w:lang w:val="es-ES"/>
        </w:rPr>
        <w:t xml:space="preserve"> en reiteradas oportunidades</w:t>
      </w:r>
      <w:r w:rsidR="00451534" w:rsidRPr="00975C02">
        <w:rPr>
          <w:sz w:val="20"/>
          <w:szCs w:val="20"/>
          <w:lang w:val="es-ES"/>
        </w:rPr>
        <w:t>,</w:t>
      </w:r>
      <w:r w:rsidR="008304EF" w:rsidRPr="00975C02">
        <w:rPr>
          <w:sz w:val="20"/>
          <w:szCs w:val="20"/>
          <w:lang w:val="es-ES"/>
        </w:rPr>
        <w:t xml:space="preserve"> </w:t>
      </w:r>
      <w:r w:rsidR="00451534" w:rsidRPr="00975C02">
        <w:rPr>
          <w:sz w:val="20"/>
          <w:szCs w:val="20"/>
          <w:lang w:val="es-ES"/>
        </w:rPr>
        <w:t>que</w:t>
      </w:r>
      <w:r w:rsidR="008304EF" w:rsidRPr="00975C02">
        <w:rPr>
          <w:sz w:val="20"/>
          <w:szCs w:val="20"/>
          <w:lang w:val="es-ES"/>
        </w:rPr>
        <w:t xml:space="preserve"> la Convención sobre los Derechos del Niño es el tratado internacional que posee mayor vocación de universalidad, lo cual “pone de manifiesto un amplio consenso internacional (</w:t>
      </w:r>
      <w:r w:rsidR="008304EF" w:rsidRPr="00975C02">
        <w:rPr>
          <w:i/>
          <w:sz w:val="20"/>
          <w:szCs w:val="20"/>
          <w:lang w:val="es-ES"/>
        </w:rPr>
        <w:t>opinio iuris comunis</w:t>
      </w:r>
      <w:r w:rsidR="008304EF" w:rsidRPr="00975C02">
        <w:rPr>
          <w:sz w:val="20"/>
          <w:szCs w:val="20"/>
          <w:lang w:val="es-ES"/>
        </w:rPr>
        <w:t>) favorable a los principios e instituciones acogidos por dicho instrumento, que refleja el desarrollo actual de esta materia”</w:t>
      </w:r>
      <w:r w:rsidR="008304EF" w:rsidRPr="00975C02">
        <w:rPr>
          <w:sz w:val="20"/>
          <w:szCs w:val="20"/>
          <w:vertAlign w:val="superscript"/>
          <w:lang w:val="es-ES"/>
        </w:rPr>
        <w:footnoteReference w:id="31"/>
      </w:r>
      <w:r w:rsidR="00AB4843" w:rsidRPr="00975C02">
        <w:rPr>
          <w:sz w:val="20"/>
          <w:szCs w:val="20"/>
          <w:lang w:val="es-ES"/>
        </w:rPr>
        <w:t>.</w:t>
      </w:r>
    </w:p>
    <w:p w14:paraId="59415930" w14:textId="77777777" w:rsidR="00AB4843" w:rsidRPr="00975C02" w:rsidRDefault="00AB4843" w:rsidP="00AB4843">
      <w:pPr>
        <w:tabs>
          <w:tab w:val="left" w:pos="567"/>
        </w:tabs>
        <w:spacing w:line="240" w:lineRule="auto"/>
        <w:rPr>
          <w:sz w:val="20"/>
          <w:szCs w:val="20"/>
          <w:lang w:val="es-ES"/>
        </w:rPr>
      </w:pPr>
    </w:p>
    <w:p w14:paraId="3B076200" w14:textId="42855014" w:rsidR="00DD00E7" w:rsidRPr="00975C02" w:rsidRDefault="008304EF" w:rsidP="00A25E39">
      <w:pPr>
        <w:numPr>
          <w:ilvl w:val="0"/>
          <w:numId w:val="2"/>
        </w:numPr>
        <w:tabs>
          <w:tab w:val="left" w:pos="567"/>
          <w:tab w:val="num" w:pos="12305"/>
        </w:tabs>
        <w:spacing w:line="240" w:lineRule="auto"/>
        <w:ind w:left="0" w:firstLine="0"/>
        <w:rPr>
          <w:rFonts w:eastAsia="Calibri" w:cs="Verdana"/>
          <w:sz w:val="20"/>
          <w:szCs w:val="20"/>
          <w:lang w:val="es-ES" w:eastAsia="en-US"/>
        </w:rPr>
      </w:pPr>
      <w:r w:rsidRPr="00975C02">
        <w:rPr>
          <w:sz w:val="20"/>
          <w:szCs w:val="20"/>
          <w:lang w:val="es-ES"/>
        </w:rPr>
        <w:t>En suma</w:t>
      </w:r>
      <w:r w:rsidR="00804459" w:rsidRPr="00975C02">
        <w:rPr>
          <w:sz w:val="20"/>
          <w:szCs w:val="20"/>
          <w:lang w:val="es-ES"/>
        </w:rPr>
        <w:t>,</w:t>
      </w:r>
      <w:r w:rsidR="003813B9" w:rsidRPr="00975C02">
        <w:rPr>
          <w:sz w:val="20"/>
          <w:szCs w:val="20"/>
          <w:lang w:val="es-ES"/>
        </w:rPr>
        <w:t xml:space="preserve"> </w:t>
      </w:r>
      <w:r w:rsidR="00DD00E7" w:rsidRPr="00975C02">
        <w:rPr>
          <w:rFonts w:eastAsia="Calibri" w:cs="Verdana"/>
          <w:sz w:val="20"/>
          <w:szCs w:val="20"/>
          <w:lang w:val="es-ES" w:eastAsia="en-US"/>
        </w:rPr>
        <w:t>este Tribunal ha establecido en reiterada jurisprudencia que</w:t>
      </w:r>
      <w:r w:rsidR="003813B9" w:rsidRPr="00975C02">
        <w:rPr>
          <w:rFonts w:eastAsia="Calibri" w:cs="Verdana"/>
          <w:sz w:val="20"/>
          <w:szCs w:val="20"/>
          <w:lang w:val="es-ES" w:eastAsia="en-US"/>
        </w:rPr>
        <w:t>,</w:t>
      </w:r>
      <w:r w:rsidR="00DD00E7" w:rsidRPr="00975C02">
        <w:rPr>
          <w:rFonts w:eastAsia="Calibri" w:cs="Verdana"/>
          <w:sz w:val="20"/>
          <w:szCs w:val="20"/>
          <w:lang w:val="es-ES" w:eastAsia="en-US"/>
        </w:rPr>
        <w:t xml:space="preserve"> tanto la Convención Americana como la Convención sobre los Derechos del Niño</w:t>
      </w:r>
      <w:r w:rsidR="00B0256C" w:rsidRPr="00975C02">
        <w:rPr>
          <w:rFonts w:eastAsia="Calibri" w:cs="Verdana"/>
          <w:sz w:val="20"/>
          <w:szCs w:val="20"/>
          <w:lang w:val="es-ES" w:eastAsia="en-US"/>
        </w:rPr>
        <w:t>, así como</w:t>
      </w:r>
      <w:r w:rsidR="00077564" w:rsidRPr="00975C02">
        <w:rPr>
          <w:rFonts w:eastAsia="Calibri" w:cs="Verdana"/>
          <w:sz w:val="20"/>
          <w:szCs w:val="20"/>
          <w:lang w:val="es-ES" w:eastAsia="en-US"/>
        </w:rPr>
        <w:t xml:space="preserve"> otros instrumentos internacionales de contenido y efectos jurídicos variados</w:t>
      </w:r>
      <w:r w:rsidR="00A25E39" w:rsidRPr="00975C02">
        <w:rPr>
          <w:rFonts w:eastAsia="Calibri" w:cs="Verdana"/>
          <w:sz w:val="20"/>
          <w:szCs w:val="20"/>
          <w:lang w:val="es-ES" w:eastAsia="en-US"/>
        </w:rPr>
        <w:t xml:space="preserve"> que sirven como guía de </w:t>
      </w:r>
      <w:r w:rsidR="00A25E39" w:rsidRPr="00975C02">
        <w:rPr>
          <w:sz w:val="20"/>
          <w:szCs w:val="20"/>
          <w:lang w:val="es-ES"/>
        </w:rPr>
        <w:t>interpretación</w:t>
      </w:r>
      <w:r w:rsidR="00A71D2A" w:rsidRPr="00975C02">
        <w:rPr>
          <w:rStyle w:val="FootnoteReference"/>
          <w:sz w:val="20"/>
          <w:szCs w:val="20"/>
          <w:lang w:val="es-ES"/>
        </w:rPr>
        <w:footnoteReference w:id="32"/>
      </w:r>
      <w:r w:rsidR="003813B9" w:rsidRPr="00975C02">
        <w:rPr>
          <w:rFonts w:eastAsia="Calibri" w:cs="Verdana"/>
          <w:sz w:val="20"/>
          <w:szCs w:val="20"/>
          <w:lang w:val="es-ES" w:eastAsia="en-US"/>
        </w:rPr>
        <w:t>,</w:t>
      </w:r>
      <w:r w:rsidR="00DD00E7" w:rsidRPr="00975C02">
        <w:rPr>
          <w:rFonts w:eastAsia="Calibri" w:cs="Verdana"/>
          <w:sz w:val="20"/>
          <w:szCs w:val="20"/>
          <w:lang w:val="es-ES" w:eastAsia="en-US"/>
        </w:rPr>
        <w:t xml:space="preserve"> </w:t>
      </w:r>
      <w:r w:rsidR="00DD00E7" w:rsidRPr="00975C02">
        <w:rPr>
          <w:rFonts w:eastAsia="Calibri" w:cs="Verdana"/>
          <w:sz w:val="20"/>
          <w:szCs w:val="20"/>
          <w:lang w:val="es-ES" w:eastAsia="en-US"/>
        </w:rPr>
        <w:lastRenderedPageBreak/>
        <w:t xml:space="preserve">forman parte de un muy comprensivo </w:t>
      </w:r>
      <w:r w:rsidR="00DD00E7" w:rsidRPr="00975C02">
        <w:rPr>
          <w:rFonts w:eastAsia="Calibri" w:cs="Verdana"/>
          <w:i/>
          <w:iCs/>
          <w:sz w:val="20"/>
          <w:szCs w:val="20"/>
          <w:lang w:val="es-ES" w:eastAsia="en-US"/>
        </w:rPr>
        <w:t xml:space="preserve">corpus juris </w:t>
      </w:r>
      <w:r w:rsidR="00DD00E7" w:rsidRPr="00975C02">
        <w:rPr>
          <w:rFonts w:eastAsia="Calibri" w:cs="Verdana"/>
          <w:sz w:val="20"/>
          <w:szCs w:val="20"/>
          <w:lang w:val="es-ES" w:eastAsia="en-US"/>
        </w:rPr>
        <w:t>internacional de protección de niñ</w:t>
      </w:r>
      <w:r w:rsidR="00644CC3" w:rsidRPr="00975C02">
        <w:rPr>
          <w:rFonts w:eastAsia="Calibri" w:cs="Verdana"/>
          <w:sz w:val="20"/>
          <w:szCs w:val="20"/>
          <w:lang w:val="es-ES" w:eastAsia="en-US"/>
        </w:rPr>
        <w:t>a</w:t>
      </w:r>
      <w:r w:rsidR="00DD00E7" w:rsidRPr="00975C02">
        <w:rPr>
          <w:rFonts w:eastAsia="Calibri" w:cs="Verdana"/>
          <w:sz w:val="20"/>
          <w:szCs w:val="20"/>
          <w:lang w:val="es-ES" w:eastAsia="en-US"/>
        </w:rPr>
        <w:t>s</w:t>
      </w:r>
      <w:r w:rsidR="00644CC3" w:rsidRPr="00975C02">
        <w:rPr>
          <w:rFonts w:eastAsia="Calibri" w:cs="Verdana"/>
          <w:sz w:val="20"/>
          <w:szCs w:val="20"/>
          <w:lang w:val="es-ES" w:eastAsia="en-US"/>
        </w:rPr>
        <w:t>, niños y adolescentes</w:t>
      </w:r>
      <w:r w:rsidR="005F4359" w:rsidRPr="00975C02">
        <w:rPr>
          <w:rFonts w:eastAsia="Calibri" w:cs="Verdana"/>
          <w:sz w:val="20"/>
          <w:szCs w:val="20"/>
          <w:lang w:val="es-ES" w:eastAsia="en-US"/>
        </w:rPr>
        <w:t>. Éste</w:t>
      </w:r>
      <w:r w:rsidR="00604FED" w:rsidRPr="00975C02">
        <w:rPr>
          <w:rFonts w:eastAsia="Calibri" w:cs="Verdana"/>
          <w:sz w:val="20"/>
          <w:szCs w:val="20"/>
          <w:lang w:val="es-ES" w:eastAsia="en-US"/>
        </w:rPr>
        <w:t xml:space="preserve"> </w:t>
      </w:r>
      <w:r w:rsidR="00DD00E7" w:rsidRPr="00975C02">
        <w:rPr>
          <w:rFonts w:eastAsia="Calibri" w:cs="Verdana"/>
          <w:sz w:val="20"/>
          <w:szCs w:val="20"/>
          <w:lang w:val="es-ES" w:eastAsia="en-US"/>
        </w:rPr>
        <w:t xml:space="preserve">debe servir para </w:t>
      </w:r>
      <w:r w:rsidR="0055045C" w:rsidRPr="00975C02">
        <w:rPr>
          <w:rFonts w:eastAsia="Calibri" w:cs="Verdana"/>
          <w:sz w:val="20"/>
          <w:szCs w:val="20"/>
          <w:lang w:val="es-ES" w:eastAsia="en-US"/>
        </w:rPr>
        <w:t xml:space="preserve">fijar </w:t>
      </w:r>
      <w:r w:rsidR="00DD00E7" w:rsidRPr="00975C02">
        <w:rPr>
          <w:rFonts w:eastAsia="Calibri" w:cs="Verdana"/>
          <w:sz w:val="20"/>
          <w:szCs w:val="20"/>
          <w:lang w:val="es-ES" w:eastAsia="en-US"/>
        </w:rPr>
        <w:t>el contenido</w:t>
      </w:r>
      <w:r w:rsidR="0055045C" w:rsidRPr="00975C02">
        <w:rPr>
          <w:rFonts w:eastAsia="Calibri" w:cs="Verdana"/>
          <w:sz w:val="20"/>
          <w:szCs w:val="20"/>
          <w:lang w:val="es-ES" w:eastAsia="en-US"/>
        </w:rPr>
        <w:t xml:space="preserve"> y alcance de</w:t>
      </w:r>
      <w:r w:rsidR="00DD00E7" w:rsidRPr="00975C02">
        <w:rPr>
          <w:rFonts w:eastAsia="Calibri" w:cs="Verdana"/>
          <w:sz w:val="20"/>
          <w:szCs w:val="20"/>
          <w:lang w:val="es-ES" w:eastAsia="en-US"/>
        </w:rPr>
        <w:t xml:space="preserve"> la disposición general definida en el artículo 19</w:t>
      </w:r>
      <w:r w:rsidR="00CF71D7" w:rsidRPr="00975C02">
        <w:rPr>
          <w:rFonts w:eastAsia="Calibri" w:cs="Verdana"/>
          <w:sz w:val="20"/>
          <w:szCs w:val="20"/>
          <w:lang w:val="es-ES" w:eastAsia="en-US"/>
        </w:rPr>
        <w:t xml:space="preserve"> de la Convención Americana</w:t>
      </w:r>
      <w:r w:rsidR="00604FED" w:rsidRPr="00975C02">
        <w:rPr>
          <w:rFonts w:eastAsia="Calibri" w:cs="Verdana"/>
          <w:sz w:val="20"/>
          <w:szCs w:val="20"/>
          <w:lang w:val="es-ES" w:eastAsia="en-US"/>
        </w:rPr>
        <w:t>,</w:t>
      </w:r>
      <w:r w:rsidR="00DD00E7" w:rsidRPr="00975C02">
        <w:rPr>
          <w:rFonts w:eastAsia="Calibri" w:cs="Verdana"/>
          <w:sz w:val="20"/>
          <w:szCs w:val="20"/>
          <w:lang w:val="es-ES" w:eastAsia="en-US"/>
        </w:rPr>
        <w:t xml:space="preserve"> </w:t>
      </w:r>
      <w:r w:rsidR="0055045C" w:rsidRPr="00975C02">
        <w:rPr>
          <w:rFonts w:eastAsia="Calibri" w:cs="Verdana"/>
          <w:sz w:val="20"/>
          <w:szCs w:val="20"/>
          <w:lang w:val="es-ES" w:eastAsia="en-US"/>
        </w:rPr>
        <w:t xml:space="preserve">en relación con </w:t>
      </w:r>
      <w:r w:rsidR="00644CC3" w:rsidRPr="00975C02">
        <w:rPr>
          <w:rFonts w:eastAsia="Calibri" w:cs="Verdana"/>
          <w:sz w:val="20"/>
          <w:szCs w:val="20"/>
          <w:lang w:val="es-ES" w:eastAsia="en-US"/>
        </w:rPr>
        <w:t>los</w:t>
      </w:r>
      <w:r w:rsidR="0055045C" w:rsidRPr="00975C02">
        <w:rPr>
          <w:rFonts w:eastAsia="Calibri" w:cs="Verdana"/>
          <w:sz w:val="20"/>
          <w:szCs w:val="20"/>
          <w:lang w:val="es-ES" w:eastAsia="en-US"/>
        </w:rPr>
        <w:t xml:space="preserve"> demás</w:t>
      </w:r>
      <w:r w:rsidR="00644CC3" w:rsidRPr="00975C02">
        <w:rPr>
          <w:rFonts w:eastAsia="Calibri" w:cs="Verdana"/>
          <w:sz w:val="20"/>
          <w:szCs w:val="20"/>
          <w:lang w:val="es-ES" w:eastAsia="en-US"/>
        </w:rPr>
        <w:t xml:space="preserve"> derechos contenidos </w:t>
      </w:r>
      <w:r w:rsidR="00DD00E7" w:rsidRPr="00975C02">
        <w:rPr>
          <w:rFonts w:eastAsia="Calibri" w:cs="Verdana"/>
          <w:sz w:val="20"/>
          <w:szCs w:val="20"/>
          <w:lang w:val="es-ES" w:eastAsia="en-US"/>
        </w:rPr>
        <w:t>e</w:t>
      </w:r>
      <w:r w:rsidR="00644CC3" w:rsidRPr="00975C02">
        <w:rPr>
          <w:rFonts w:eastAsia="Calibri" w:cs="Verdana"/>
          <w:sz w:val="20"/>
          <w:szCs w:val="20"/>
          <w:lang w:val="es-ES" w:eastAsia="en-US"/>
        </w:rPr>
        <w:t>n</w:t>
      </w:r>
      <w:r w:rsidR="00CF71D7" w:rsidRPr="00975C02">
        <w:rPr>
          <w:rFonts w:eastAsia="Calibri" w:cs="Verdana"/>
          <w:sz w:val="20"/>
          <w:szCs w:val="20"/>
          <w:lang w:val="es-ES" w:eastAsia="en-US"/>
        </w:rPr>
        <w:t xml:space="preserve"> dicho instrumento</w:t>
      </w:r>
      <w:r w:rsidR="0055045C" w:rsidRPr="00975C02">
        <w:rPr>
          <w:rFonts w:eastAsia="Calibri" w:cs="Verdana"/>
          <w:sz w:val="20"/>
          <w:szCs w:val="20"/>
          <w:lang w:val="es-ES" w:eastAsia="en-US"/>
        </w:rPr>
        <w:t>, cuando el sujeto titular de derechos es una persona menor de 18 años de edad</w:t>
      </w:r>
      <w:r w:rsidR="00DD00E7" w:rsidRPr="00975C02">
        <w:rPr>
          <w:rFonts w:eastAsia="Calibri" w:cs="Verdana"/>
          <w:sz w:val="20"/>
          <w:szCs w:val="20"/>
          <w:vertAlign w:val="superscript"/>
          <w:lang w:val="es-ES" w:eastAsia="en-US"/>
        </w:rPr>
        <w:footnoteReference w:id="33"/>
      </w:r>
      <w:r w:rsidR="00DD00E7" w:rsidRPr="00975C02">
        <w:rPr>
          <w:rFonts w:eastAsia="Calibri" w:cs="Verdana"/>
          <w:sz w:val="20"/>
          <w:szCs w:val="20"/>
          <w:lang w:val="es-ES" w:eastAsia="en-US"/>
        </w:rPr>
        <w:t>.</w:t>
      </w:r>
      <w:r w:rsidR="00AB4843" w:rsidRPr="00975C02">
        <w:rPr>
          <w:sz w:val="20"/>
          <w:szCs w:val="20"/>
          <w:lang w:val="es-ES"/>
        </w:rPr>
        <w:t xml:space="preserve"> </w:t>
      </w:r>
      <w:r w:rsidR="005851F6" w:rsidRPr="00975C02">
        <w:rPr>
          <w:sz w:val="20"/>
          <w:szCs w:val="20"/>
          <w:lang w:val="es-ES"/>
        </w:rPr>
        <w:t>Por lo tanto, e</w:t>
      </w:r>
      <w:r w:rsidR="00D803D4" w:rsidRPr="00975C02">
        <w:rPr>
          <w:sz w:val="20"/>
          <w:szCs w:val="20"/>
          <w:lang w:val="es-ES"/>
        </w:rPr>
        <w:t>n los términos de</w:t>
      </w:r>
      <w:r w:rsidR="00DD00E7" w:rsidRPr="00975C02">
        <w:rPr>
          <w:sz w:val="20"/>
          <w:szCs w:val="20"/>
          <w:lang w:val="es-ES"/>
        </w:rPr>
        <w:t xml:space="preserve"> </w:t>
      </w:r>
      <w:r w:rsidR="00B10FFA" w:rsidRPr="00975C02">
        <w:rPr>
          <w:sz w:val="20"/>
          <w:szCs w:val="20"/>
          <w:lang w:val="es-ES"/>
        </w:rPr>
        <w:t>las</w:t>
      </w:r>
      <w:r w:rsidR="00DD00E7" w:rsidRPr="00975C02">
        <w:rPr>
          <w:sz w:val="20"/>
          <w:szCs w:val="20"/>
          <w:lang w:val="es-ES"/>
        </w:rPr>
        <w:t xml:space="preserve"> consideraciones</w:t>
      </w:r>
      <w:r w:rsidR="00B10FFA" w:rsidRPr="00975C02">
        <w:rPr>
          <w:sz w:val="20"/>
          <w:szCs w:val="20"/>
          <w:lang w:val="es-ES"/>
        </w:rPr>
        <w:t xml:space="preserve"> precedentes</w:t>
      </w:r>
      <w:r w:rsidR="00DD00E7" w:rsidRPr="00975C02">
        <w:rPr>
          <w:sz w:val="20"/>
          <w:szCs w:val="20"/>
          <w:lang w:val="es-ES"/>
        </w:rPr>
        <w:t xml:space="preserve">, </w:t>
      </w:r>
      <w:r w:rsidR="00B30A4C" w:rsidRPr="00975C02">
        <w:rPr>
          <w:rFonts w:eastAsia="Calibri" w:cs="Arial"/>
          <w:sz w:val="20"/>
          <w:szCs w:val="20"/>
          <w:lang w:val="es-ES" w:eastAsia="en-US"/>
        </w:rPr>
        <w:t>corresponde desestimar la excepción opuesta</w:t>
      </w:r>
      <w:r w:rsidR="00DD00E7" w:rsidRPr="00975C02">
        <w:rPr>
          <w:sz w:val="20"/>
          <w:szCs w:val="20"/>
          <w:lang w:val="es-ES"/>
        </w:rPr>
        <w:t>.</w:t>
      </w:r>
    </w:p>
    <w:p w14:paraId="2547727E" w14:textId="77777777" w:rsidR="00C607DD" w:rsidRPr="00975C02" w:rsidRDefault="00C607DD" w:rsidP="00F75CA4">
      <w:pPr>
        <w:tabs>
          <w:tab w:val="left" w:pos="567"/>
        </w:tabs>
        <w:spacing w:line="240" w:lineRule="auto"/>
        <w:rPr>
          <w:sz w:val="20"/>
          <w:szCs w:val="20"/>
          <w:lang w:val="es-ES"/>
        </w:rPr>
      </w:pPr>
    </w:p>
    <w:p w14:paraId="4100131B" w14:textId="77777777" w:rsidR="00270756" w:rsidRPr="00975C02" w:rsidRDefault="00270756" w:rsidP="00C607DD">
      <w:pPr>
        <w:keepNext/>
        <w:keepLines/>
        <w:tabs>
          <w:tab w:val="left" w:pos="851"/>
        </w:tabs>
        <w:spacing w:line="240" w:lineRule="auto"/>
        <w:jc w:val="center"/>
        <w:outlineLvl w:val="0"/>
        <w:rPr>
          <w:rFonts w:cs="Verdana"/>
          <w:b/>
          <w:bCs/>
          <w:caps/>
          <w:snapToGrid w:val="0"/>
          <w:sz w:val="20"/>
          <w:szCs w:val="20"/>
          <w:lang w:val="es-ES"/>
        </w:rPr>
      </w:pPr>
      <w:bookmarkStart w:id="60" w:name="_Toc470180042"/>
      <w:bookmarkStart w:id="61" w:name="_Toc514172602"/>
      <w:r w:rsidRPr="00975C02">
        <w:rPr>
          <w:rFonts w:cs="Verdana"/>
          <w:b/>
          <w:bCs/>
          <w:caps/>
          <w:snapToGrid w:val="0"/>
          <w:sz w:val="20"/>
          <w:szCs w:val="20"/>
          <w:lang w:val="es-ES"/>
        </w:rPr>
        <w:t>V</w:t>
      </w:r>
      <w:r w:rsidRPr="00975C02">
        <w:rPr>
          <w:rFonts w:cs="Verdana"/>
          <w:b/>
          <w:bCs/>
          <w:caps/>
          <w:snapToGrid w:val="0"/>
          <w:sz w:val="20"/>
          <w:szCs w:val="20"/>
          <w:lang w:val="es-ES"/>
        </w:rPr>
        <w:br/>
        <w:t>CONSIDERACIONES PREVIAS</w:t>
      </w:r>
      <w:bookmarkEnd w:id="60"/>
      <w:bookmarkEnd w:id="61"/>
    </w:p>
    <w:p w14:paraId="3AE9C9A7" w14:textId="77777777" w:rsidR="00270756" w:rsidRPr="00975C02" w:rsidRDefault="00270756" w:rsidP="00681AE9">
      <w:pPr>
        <w:widowControl/>
        <w:adjustRightInd/>
        <w:spacing w:line="240" w:lineRule="auto"/>
        <w:jc w:val="left"/>
        <w:textAlignment w:val="auto"/>
        <w:rPr>
          <w:rFonts w:eastAsiaTheme="minorHAnsi" w:cstheme="minorBidi"/>
          <w:bCs/>
          <w:sz w:val="20"/>
          <w:szCs w:val="20"/>
          <w:lang w:val="es-ES" w:eastAsia="en-US"/>
        </w:rPr>
      </w:pPr>
    </w:p>
    <w:p w14:paraId="35E9D327" w14:textId="1031DAC0" w:rsidR="00270756" w:rsidRPr="00975C02" w:rsidRDefault="00270756" w:rsidP="00C8070B">
      <w:pPr>
        <w:numPr>
          <w:ilvl w:val="0"/>
          <w:numId w:val="2"/>
        </w:numPr>
        <w:tabs>
          <w:tab w:val="left" w:pos="567"/>
          <w:tab w:val="num" w:pos="12305"/>
        </w:tabs>
        <w:spacing w:line="240" w:lineRule="auto"/>
        <w:ind w:left="0" w:firstLine="0"/>
        <w:rPr>
          <w:rFonts w:cstheme="minorBidi"/>
          <w:sz w:val="20"/>
          <w:szCs w:val="20"/>
          <w:lang w:val="es-ES" w:eastAsia="en-US"/>
        </w:rPr>
      </w:pPr>
      <w:r w:rsidRPr="00975C02">
        <w:rPr>
          <w:rFonts w:cstheme="minorBidi"/>
          <w:sz w:val="20"/>
          <w:szCs w:val="20"/>
          <w:lang w:val="es-ES" w:eastAsia="en-US"/>
        </w:rPr>
        <w:t xml:space="preserve">Antes de examinar los hechos pertinentes y la aplicación de las normas de la Convención </w:t>
      </w:r>
      <w:r w:rsidRPr="00975C02">
        <w:rPr>
          <w:sz w:val="20"/>
          <w:szCs w:val="20"/>
          <w:lang w:val="es-ES"/>
        </w:rPr>
        <w:t>Americana</w:t>
      </w:r>
      <w:r w:rsidRPr="00975C02">
        <w:rPr>
          <w:rFonts w:cstheme="minorBidi"/>
          <w:sz w:val="20"/>
          <w:szCs w:val="20"/>
          <w:lang w:val="es-ES" w:eastAsia="en-US"/>
        </w:rPr>
        <w:t xml:space="preserve"> a los mismos, es necesario realizar algunas consideraciones previas sobre la </w:t>
      </w:r>
      <w:r w:rsidRPr="00975C02">
        <w:rPr>
          <w:rFonts w:eastAsia="Batang"/>
          <w:sz w:val="20"/>
          <w:szCs w:val="20"/>
          <w:lang w:val="es-ES" w:eastAsia="es-MX"/>
        </w:rPr>
        <w:t>determinación</w:t>
      </w:r>
      <w:r w:rsidRPr="00975C02">
        <w:rPr>
          <w:rFonts w:cstheme="minorBidi"/>
          <w:sz w:val="20"/>
          <w:szCs w:val="20"/>
          <w:lang w:val="es-ES" w:eastAsia="en-US"/>
        </w:rPr>
        <w:t xml:space="preserve"> de las presuntas víctimas y las presuntas violaciones de derechos alegadas por las </w:t>
      </w:r>
      <w:r w:rsidRPr="00975C02">
        <w:rPr>
          <w:sz w:val="20"/>
          <w:szCs w:val="20"/>
          <w:lang w:val="es-ES"/>
        </w:rPr>
        <w:t>representantes</w:t>
      </w:r>
      <w:r w:rsidR="00BB3AF0" w:rsidRPr="00975C02">
        <w:rPr>
          <w:sz w:val="20"/>
          <w:szCs w:val="20"/>
          <w:lang w:val="es-ES"/>
        </w:rPr>
        <w:t xml:space="preserve">, en razón de lo </w:t>
      </w:r>
      <w:r w:rsidR="003E4770" w:rsidRPr="00975C02">
        <w:rPr>
          <w:sz w:val="20"/>
          <w:szCs w:val="20"/>
          <w:lang w:val="es-ES"/>
        </w:rPr>
        <w:t xml:space="preserve">argumentado </w:t>
      </w:r>
      <w:r w:rsidR="00BB3AF0" w:rsidRPr="00975C02">
        <w:rPr>
          <w:sz w:val="20"/>
          <w:szCs w:val="20"/>
          <w:lang w:val="es-ES"/>
        </w:rPr>
        <w:t>por el Estado</w:t>
      </w:r>
      <w:r w:rsidRPr="00975C02">
        <w:rPr>
          <w:rFonts w:cstheme="minorBidi"/>
          <w:sz w:val="20"/>
          <w:szCs w:val="20"/>
          <w:lang w:val="es-ES" w:eastAsia="en-US"/>
        </w:rPr>
        <w:t>.</w:t>
      </w:r>
      <w:r w:rsidR="00A2086D" w:rsidRPr="00975C02">
        <w:rPr>
          <w:rFonts w:cstheme="minorBidi"/>
          <w:sz w:val="20"/>
          <w:szCs w:val="20"/>
          <w:lang w:val="es-ES" w:eastAsia="en-US"/>
        </w:rPr>
        <w:t xml:space="preserve"> En lo que se refiere a los argumentos del Estado </w:t>
      </w:r>
      <w:r w:rsidR="003E4770" w:rsidRPr="00975C02">
        <w:rPr>
          <w:rFonts w:cstheme="minorBidi"/>
          <w:sz w:val="20"/>
          <w:szCs w:val="20"/>
          <w:lang w:val="es-ES" w:eastAsia="en-US"/>
        </w:rPr>
        <w:t>sobre</w:t>
      </w:r>
      <w:r w:rsidR="00A2086D" w:rsidRPr="00975C02">
        <w:rPr>
          <w:rFonts w:cstheme="minorBidi"/>
          <w:sz w:val="20"/>
          <w:szCs w:val="20"/>
          <w:lang w:val="es-ES" w:eastAsia="en-US"/>
        </w:rPr>
        <w:t xml:space="preserve"> la supuesta extemporaneidad de</w:t>
      </w:r>
      <w:r w:rsidR="003E4770" w:rsidRPr="00975C02">
        <w:rPr>
          <w:rFonts w:cstheme="minorBidi"/>
          <w:sz w:val="20"/>
          <w:szCs w:val="20"/>
          <w:lang w:val="es-ES" w:eastAsia="en-US"/>
        </w:rPr>
        <w:t xml:space="preserve"> la presentación de</w:t>
      </w:r>
      <w:r w:rsidR="00A2086D" w:rsidRPr="00975C02">
        <w:rPr>
          <w:rFonts w:cstheme="minorBidi"/>
          <w:sz w:val="20"/>
          <w:szCs w:val="20"/>
          <w:lang w:val="es-ES" w:eastAsia="en-US"/>
        </w:rPr>
        <w:t xml:space="preserve"> algunos anexos al escrito de solicitudes y argumentos por</w:t>
      </w:r>
      <w:r w:rsidR="003E4770" w:rsidRPr="00975C02">
        <w:rPr>
          <w:rFonts w:cstheme="minorBidi"/>
          <w:sz w:val="20"/>
          <w:szCs w:val="20"/>
          <w:lang w:val="es-ES" w:eastAsia="en-US"/>
        </w:rPr>
        <w:t xml:space="preserve"> parte de</w:t>
      </w:r>
      <w:r w:rsidR="00A2086D" w:rsidRPr="00975C02">
        <w:rPr>
          <w:rFonts w:cstheme="minorBidi"/>
          <w:sz w:val="20"/>
          <w:szCs w:val="20"/>
          <w:lang w:val="es-ES" w:eastAsia="en-US"/>
        </w:rPr>
        <w:t xml:space="preserve"> las representantes, la Corte resolverá lo pertinente en el apartado correspondiente a la prueba (</w:t>
      </w:r>
      <w:r w:rsidR="00A2086D" w:rsidRPr="00975C02">
        <w:rPr>
          <w:rFonts w:cstheme="minorBidi"/>
          <w:i/>
          <w:sz w:val="20"/>
          <w:szCs w:val="20"/>
          <w:lang w:val="es-ES" w:eastAsia="en-US"/>
        </w:rPr>
        <w:t>infra</w:t>
      </w:r>
      <w:r w:rsidR="00DA704D" w:rsidRPr="00975C02">
        <w:rPr>
          <w:rFonts w:cstheme="minorBidi"/>
          <w:sz w:val="20"/>
          <w:szCs w:val="20"/>
          <w:lang w:val="es-ES" w:eastAsia="en-US"/>
        </w:rPr>
        <w:t xml:space="preserve"> párr. 60</w:t>
      </w:r>
      <w:r w:rsidR="00A2086D" w:rsidRPr="00975C02">
        <w:rPr>
          <w:rFonts w:cstheme="minorBidi"/>
          <w:sz w:val="20"/>
          <w:szCs w:val="20"/>
          <w:lang w:val="es-ES" w:eastAsia="en-US"/>
        </w:rPr>
        <w:t>).</w:t>
      </w:r>
    </w:p>
    <w:p w14:paraId="66563D95" w14:textId="77777777" w:rsidR="00270756" w:rsidRPr="00975C02" w:rsidRDefault="00270756" w:rsidP="00270756">
      <w:pPr>
        <w:widowControl/>
        <w:tabs>
          <w:tab w:val="left" w:pos="567"/>
        </w:tabs>
        <w:adjustRightInd/>
        <w:spacing w:line="240" w:lineRule="auto"/>
        <w:textAlignment w:val="auto"/>
        <w:rPr>
          <w:rFonts w:cstheme="minorBidi"/>
          <w:sz w:val="20"/>
          <w:szCs w:val="20"/>
          <w:lang w:val="es-ES" w:eastAsia="en-US"/>
        </w:rPr>
      </w:pPr>
    </w:p>
    <w:p w14:paraId="158562BC" w14:textId="77777777" w:rsidR="00270756" w:rsidRPr="00975C02" w:rsidRDefault="00270756" w:rsidP="003B445C">
      <w:pPr>
        <w:keepNext/>
        <w:keepLines/>
        <w:tabs>
          <w:tab w:val="left" w:pos="1134"/>
        </w:tabs>
        <w:spacing w:line="240" w:lineRule="auto"/>
        <w:ind w:left="567" w:firstLine="1"/>
        <w:outlineLvl w:val="1"/>
        <w:rPr>
          <w:rFonts w:eastAsia="MS Mincho"/>
          <w:b/>
          <w:bCs/>
          <w:i/>
          <w:sz w:val="20"/>
          <w:szCs w:val="20"/>
          <w:lang w:val="es-ES"/>
        </w:rPr>
      </w:pPr>
      <w:bookmarkStart w:id="62" w:name="_Toc470180043"/>
      <w:bookmarkStart w:id="63" w:name="_Toc514172603"/>
      <w:r w:rsidRPr="00975C02">
        <w:rPr>
          <w:rFonts w:eastAsia="MS Mincho"/>
          <w:b/>
          <w:bCs/>
          <w:i/>
          <w:sz w:val="20"/>
          <w:szCs w:val="20"/>
          <w:lang w:val="es-ES"/>
        </w:rPr>
        <w:t>A.</w:t>
      </w:r>
      <w:r w:rsidRPr="00975C02">
        <w:rPr>
          <w:rFonts w:eastAsia="MS Mincho"/>
          <w:b/>
          <w:bCs/>
          <w:i/>
          <w:sz w:val="20"/>
          <w:szCs w:val="20"/>
          <w:lang w:val="es-ES"/>
        </w:rPr>
        <w:tab/>
        <w:t>Determinación de las presuntas víctimas</w:t>
      </w:r>
      <w:bookmarkEnd w:id="62"/>
      <w:bookmarkEnd w:id="63"/>
    </w:p>
    <w:p w14:paraId="39298576" w14:textId="77777777" w:rsidR="00270756" w:rsidRPr="00975C02" w:rsidRDefault="00270756" w:rsidP="00270756">
      <w:pPr>
        <w:widowControl/>
        <w:adjustRightInd/>
        <w:spacing w:line="240" w:lineRule="auto"/>
        <w:textAlignment w:val="auto"/>
        <w:rPr>
          <w:rFonts w:eastAsiaTheme="minorHAnsi" w:cstheme="minorBidi"/>
          <w:b/>
          <w:bCs/>
          <w:i/>
          <w:sz w:val="20"/>
          <w:szCs w:val="20"/>
          <w:lang w:val="es-ES" w:eastAsia="en-US"/>
        </w:rPr>
      </w:pPr>
    </w:p>
    <w:p w14:paraId="08F1DE6E" w14:textId="77777777" w:rsidR="007A37EF" w:rsidRPr="00975C02" w:rsidRDefault="007A37EF" w:rsidP="007A37EF">
      <w:pPr>
        <w:pStyle w:val="Heading2"/>
        <w:tabs>
          <w:tab w:val="left" w:pos="1843"/>
        </w:tabs>
        <w:spacing w:before="0" w:line="240" w:lineRule="auto"/>
        <w:ind w:left="1134"/>
        <w:rPr>
          <w:rFonts w:ascii="Verdana" w:hAnsi="Verdana"/>
          <w:b w:val="0"/>
          <w:i/>
          <w:color w:val="auto"/>
          <w:sz w:val="20"/>
          <w:szCs w:val="20"/>
          <w:lang w:val="es-ES"/>
        </w:rPr>
      </w:pPr>
      <w:bookmarkStart w:id="64" w:name="_Toc514172604"/>
      <w:r w:rsidRPr="00975C02">
        <w:rPr>
          <w:rFonts w:ascii="Verdana" w:hAnsi="Verdana"/>
          <w:b w:val="0"/>
          <w:i/>
          <w:color w:val="auto"/>
          <w:sz w:val="20"/>
          <w:szCs w:val="20"/>
          <w:lang w:val="es-ES"/>
        </w:rPr>
        <w:t xml:space="preserve">A.1 </w:t>
      </w:r>
      <w:r w:rsidRPr="00975C02">
        <w:rPr>
          <w:rFonts w:ascii="Verdana" w:hAnsi="Verdana"/>
          <w:b w:val="0"/>
          <w:i/>
          <w:color w:val="auto"/>
          <w:sz w:val="20"/>
          <w:szCs w:val="20"/>
          <w:lang w:val="es-ES"/>
        </w:rPr>
        <w:tab/>
        <w:t>Alegatos del Estado y observaciones de la Comisión y las representantes</w:t>
      </w:r>
      <w:bookmarkEnd w:id="64"/>
    </w:p>
    <w:p w14:paraId="41EEDE47" w14:textId="77777777" w:rsidR="007A37EF" w:rsidRPr="00975C02" w:rsidRDefault="007A37EF" w:rsidP="00270756">
      <w:pPr>
        <w:widowControl/>
        <w:adjustRightInd/>
        <w:spacing w:line="240" w:lineRule="auto"/>
        <w:textAlignment w:val="auto"/>
        <w:rPr>
          <w:rFonts w:eastAsiaTheme="minorHAnsi" w:cstheme="minorBidi"/>
          <w:b/>
          <w:bCs/>
          <w:i/>
          <w:sz w:val="20"/>
          <w:szCs w:val="20"/>
          <w:lang w:val="es-ES" w:eastAsia="en-US"/>
        </w:rPr>
      </w:pPr>
    </w:p>
    <w:p w14:paraId="03D22C1A" w14:textId="6E21CC73" w:rsidR="00270756" w:rsidRPr="00975C02" w:rsidRDefault="00270756" w:rsidP="00C8070B">
      <w:pPr>
        <w:numPr>
          <w:ilvl w:val="0"/>
          <w:numId w:val="2"/>
        </w:numPr>
        <w:tabs>
          <w:tab w:val="left" w:pos="567"/>
          <w:tab w:val="num" w:pos="12305"/>
        </w:tabs>
        <w:spacing w:line="240" w:lineRule="auto"/>
        <w:ind w:left="0" w:firstLine="0"/>
        <w:rPr>
          <w:rFonts w:cstheme="minorBidi"/>
          <w:b/>
          <w:i/>
          <w:sz w:val="20"/>
          <w:szCs w:val="20"/>
          <w:lang w:val="es-ES" w:eastAsia="en-US"/>
        </w:rPr>
      </w:pPr>
      <w:r w:rsidRPr="00975C02">
        <w:rPr>
          <w:rFonts w:cstheme="minorBidi"/>
          <w:sz w:val="20"/>
          <w:szCs w:val="20"/>
          <w:lang w:val="es-ES" w:eastAsia="en-US"/>
        </w:rPr>
        <w:t xml:space="preserve">El </w:t>
      </w:r>
      <w:r w:rsidRPr="00975C02">
        <w:rPr>
          <w:rFonts w:cstheme="minorBidi"/>
          <w:b/>
          <w:i/>
          <w:sz w:val="20"/>
          <w:szCs w:val="20"/>
          <w:lang w:val="es-ES" w:eastAsia="en-US"/>
        </w:rPr>
        <w:t>Estado</w:t>
      </w:r>
      <w:r w:rsidRPr="00975C02">
        <w:rPr>
          <w:rFonts w:cstheme="minorBidi"/>
          <w:sz w:val="20"/>
          <w:szCs w:val="20"/>
          <w:lang w:val="es-ES" w:eastAsia="en-US"/>
        </w:rPr>
        <w:t xml:space="preserve"> sostuvo que la Corte </w:t>
      </w:r>
      <w:r w:rsidR="003874B5" w:rsidRPr="00975C02">
        <w:rPr>
          <w:rFonts w:cstheme="minorBidi"/>
          <w:sz w:val="20"/>
          <w:szCs w:val="20"/>
          <w:lang w:val="es-ES" w:eastAsia="en-US"/>
        </w:rPr>
        <w:t xml:space="preserve">sería </w:t>
      </w:r>
      <w:r w:rsidRPr="00975C02">
        <w:rPr>
          <w:rFonts w:cstheme="minorBidi"/>
          <w:sz w:val="20"/>
          <w:szCs w:val="20"/>
          <w:lang w:val="es-ES" w:eastAsia="en-US"/>
        </w:rPr>
        <w:t xml:space="preserve">incompetente para conocer sobre las </w:t>
      </w:r>
      <w:r w:rsidR="003874B5" w:rsidRPr="00975C02">
        <w:rPr>
          <w:rFonts w:cstheme="minorBidi"/>
          <w:sz w:val="20"/>
          <w:szCs w:val="20"/>
          <w:lang w:val="es-ES" w:eastAsia="en-US"/>
        </w:rPr>
        <w:t xml:space="preserve">vulneraciones </w:t>
      </w:r>
      <w:r w:rsidRPr="00975C02">
        <w:rPr>
          <w:rFonts w:cstheme="minorBidi"/>
          <w:sz w:val="20"/>
          <w:szCs w:val="20"/>
          <w:lang w:val="es-ES" w:eastAsia="en-US"/>
        </w:rPr>
        <w:t xml:space="preserve">alegadas a </w:t>
      </w:r>
      <w:r w:rsidR="003874B5" w:rsidRPr="00975C02">
        <w:rPr>
          <w:rFonts w:cstheme="minorBidi"/>
          <w:sz w:val="20"/>
          <w:szCs w:val="20"/>
          <w:lang w:val="es-ES" w:eastAsia="en-US"/>
        </w:rPr>
        <w:t xml:space="preserve">los derechos </w:t>
      </w:r>
      <w:r w:rsidRPr="00975C02">
        <w:rPr>
          <w:rFonts w:cstheme="minorBidi"/>
          <w:sz w:val="20"/>
          <w:szCs w:val="20"/>
          <w:lang w:val="es-ES" w:eastAsia="en-US"/>
        </w:rPr>
        <w:t xml:space="preserve">de </w:t>
      </w:r>
      <w:r w:rsidR="00762232" w:rsidRPr="00975C02">
        <w:rPr>
          <w:rFonts w:cstheme="minorBidi"/>
          <w:sz w:val="20"/>
          <w:szCs w:val="20"/>
          <w:lang w:val="es-ES" w:eastAsia="en-US"/>
        </w:rPr>
        <w:t xml:space="preserve">N.R.P., </w:t>
      </w:r>
      <w:r w:rsidRPr="00975C02">
        <w:rPr>
          <w:rFonts w:cstheme="minorBidi"/>
          <w:sz w:val="20"/>
          <w:szCs w:val="20"/>
          <w:lang w:val="es-ES" w:eastAsia="en-US"/>
        </w:rPr>
        <w:t>H.J.R.P. y V.A.R.P., debido a que la Comisión no los habría incluido como presuntas víctimas</w:t>
      </w:r>
      <w:r w:rsidR="003874B5" w:rsidRPr="00975C02">
        <w:rPr>
          <w:rFonts w:cstheme="minorBidi"/>
          <w:sz w:val="20"/>
          <w:szCs w:val="20"/>
          <w:lang w:val="es-ES" w:eastAsia="en-US"/>
        </w:rPr>
        <w:t xml:space="preserve"> en su Informe de Fondo</w:t>
      </w:r>
      <w:r w:rsidRPr="00975C02">
        <w:rPr>
          <w:rFonts w:cstheme="minorBidi"/>
          <w:sz w:val="20"/>
          <w:szCs w:val="20"/>
          <w:lang w:val="es-ES" w:eastAsia="en-US"/>
        </w:rPr>
        <w:t xml:space="preserve">. Al respecto, el Estado afirmó que la Comisión </w:t>
      </w:r>
      <w:r w:rsidR="00A513AB" w:rsidRPr="00975C02">
        <w:rPr>
          <w:rFonts w:cstheme="minorBidi"/>
          <w:sz w:val="20"/>
          <w:szCs w:val="20"/>
          <w:lang w:val="es-ES" w:eastAsia="en-US"/>
        </w:rPr>
        <w:t>en su</w:t>
      </w:r>
      <w:r w:rsidRPr="00975C02">
        <w:rPr>
          <w:rFonts w:cstheme="minorBidi"/>
          <w:sz w:val="20"/>
          <w:szCs w:val="20"/>
          <w:lang w:val="es-ES" w:eastAsia="en-US"/>
        </w:rPr>
        <w:t xml:space="preserve"> </w:t>
      </w:r>
      <w:r w:rsidR="00ED5B92" w:rsidRPr="00975C02">
        <w:rPr>
          <w:rFonts w:cstheme="minorBidi"/>
          <w:sz w:val="20"/>
          <w:szCs w:val="20"/>
          <w:lang w:val="es-ES" w:eastAsia="en-US"/>
        </w:rPr>
        <w:t>I</w:t>
      </w:r>
      <w:r w:rsidRPr="00975C02">
        <w:rPr>
          <w:rFonts w:cstheme="minorBidi"/>
          <w:sz w:val="20"/>
          <w:szCs w:val="20"/>
          <w:lang w:val="es-ES" w:eastAsia="en-US"/>
        </w:rPr>
        <w:t xml:space="preserve">nforme de </w:t>
      </w:r>
      <w:r w:rsidR="00ED5B92" w:rsidRPr="00975C02">
        <w:rPr>
          <w:rFonts w:cstheme="minorBidi"/>
          <w:sz w:val="20"/>
          <w:szCs w:val="20"/>
          <w:lang w:val="es-ES" w:eastAsia="en-US"/>
        </w:rPr>
        <w:t>A</w:t>
      </w:r>
      <w:r w:rsidRPr="00975C02">
        <w:rPr>
          <w:rFonts w:cstheme="minorBidi"/>
          <w:sz w:val="20"/>
          <w:szCs w:val="20"/>
          <w:lang w:val="es-ES" w:eastAsia="en-US"/>
        </w:rPr>
        <w:t xml:space="preserve">dmisibilidad </w:t>
      </w:r>
      <w:r w:rsidR="00A513AB" w:rsidRPr="00975C02">
        <w:rPr>
          <w:rFonts w:cstheme="minorBidi"/>
          <w:sz w:val="20"/>
          <w:szCs w:val="20"/>
          <w:lang w:val="es-ES" w:eastAsia="en-US"/>
        </w:rPr>
        <w:t xml:space="preserve">No. </w:t>
      </w:r>
      <w:r w:rsidRPr="00975C02">
        <w:rPr>
          <w:rFonts w:cstheme="minorBidi"/>
          <w:sz w:val="20"/>
          <w:szCs w:val="20"/>
          <w:lang w:val="es-ES" w:eastAsia="en-US"/>
        </w:rPr>
        <w:t xml:space="preserve">3/09 </w:t>
      </w:r>
      <w:r w:rsidR="00717F4B" w:rsidRPr="00975C02">
        <w:rPr>
          <w:rFonts w:cstheme="minorBidi"/>
          <w:sz w:val="20"/>
          <w:szCs w:val="20"/>
          <w:lang w:val="es-ES" w:eastAsia="en-US"/>
        </w:rPr>
        <w:t xml:space="preserve">habría fijado </w:t>
      </w:r>
      <w:r w:rsidRPr="00975C02">
        <w:rPr>
          <w:rFonts w:cstheme="minorBidi"/>
          <w:sz w:val="20"/>
          <w:szCs w:val="20"/>
          <w:lang w:val="es-ES" w:eastAsia="en-US"/>
        </w:rPr>
        <w:t xml:space="preserve">el límite respecto de quiénes eran las presuntas víctimas en el presente asunto. Asimismo, mediante el </w:t>
      </w:r>
      <w:r w:rsidR="00D566C9" w:rsidRPr="00975C02">
        <w:rPr>
          <w:rFonts w:eastAsia="Verdana" w:cs="Verdana"/>
          <w:sz w:val="20"/>
          <w:szCs w:val="20"/>
          <w:lang w:val="es-ES"/>
        </w:rPr>
        <w:t>Informe No. 4/16</w:t>
      </w:r>
      <w:r w:rsidRPr="00975C02">
        <w:rPr>
          <w:rFonts w:cstheme="minorBidi"/>
          <w:sz w:val="20"/>
          <w:szCs w:val="20"/>
          <w:lang w:val="es-ES" w:eastAsia="en-US"/>
        </w:rPr>
        <w:t xml:space="preserve"> </w:t>
      </w:r>
      <w:r w:rsidR="00B800C4" w:rsidRPr="00975C02">
        <w:rPr>
          <w:rFonts w:cstheme="minorBidi"/>
          <w:sz w:val="20"/>
          <w:szCs w:val="20"/>
          <w:lang w:val="es-ES" w:eastAsia="en-US"/>
        </w:rPr>
        <w:t xml:space="preserve">habría </w:t>
      </w:r>
      <w:r w:rsidRPr="00975C02">
        <w:rPr>
          <w:rFonts w:cstheme="minorBidi"/>
          <w:sz w:val="20"/>
          <w:szCs w:val="20"/>
          <w:lang w:val="es-ES" w:eastAsia="en-US"/>
        </w:rPr>
        <w:t>determin</w:t>
      </w:r>
      <w:r w:rsidR="00B800C4" w:rsidRPr="00975C02">
        <w:rPr>
          <w:rFonts w:cstheme="minorBidi"/>
          <w:sz w:val="20"/>
          <w:szCs w:val="20"/>
          <w:lang w:val="es-ES" w:eastAsia="en-US"/>
        </w:rPr>
        <w:t>ado</w:t>
      </w:r>
      <w:r w:rsidRPr="00975C02">
        <w:rPr>
          <w:rFonts w:cstheme="minorBidi"/>
          <w:sz w:val="20"/>
          <w:szCs w:val="20"/>
          <w:lang w:val="es-ES" w:eastAsia="en-US"/>
        </w:rPr>
        <w:t xml:space="preserve"> que las víctimas en el presente caso s</w:t>
      </w:r>
      <w:r w:rsidR="00B800C4" w:rsidRPr="00975C02">
        <w:rPr>
          <w:rFonts w:cstheme="minorBidi"/>
          <w:sz w:val="20"/>
          <w:szCs w:val="20"/>
          <w:lang w:val="es-ES" w:eastAsia="en-US"/>
        </w:rPr>
        <w:t>ería</w:t>
      </w:r>
      <w:r w:rsidRPr="00975C02">
        <w:rPr>
          <w:rFonts w:cstheme="minorBidi"/>
          <w:sz w:val="20"/>
          <w:szCs w:val="20"/>
          <w:lang w:val="es-ES" w:eastAsia="en-US"/>
        </w:rPr>
        <w:t xml:space="preserve">n V.R.P. y V.P.C. Sin embargo, las representantes en el apartado </w:t>
      </w:r>
      <w:r w:rsidR="00A513AB" w:rsidRPr="00975C02">
        <w:rPr>
          <w:rFonts w:cstheme="minorBidi"/>
          <w:sz w:val="20"/>
          <w:szCs w:val="20"/>
          <w:lang w:val="es-ES" w:eastAsia="en-US"/>
        </w:rPr>
        <w:t xml:space="preserve">de su escrito de solicitudes y argumentos </w:t>
      </w:r>
      <w:r w:rsidRPr="00975C02">
        <w:rPr>
          <w:rFonts w:cstheme="minorBidi"/>
          <w:sz w:val="20"/>
          <w:szCs w:val="20"/>
          <w:lang w:val="es-ES" w:eastAsia="en-US"/>
        </w:rPr>
        <w:t>referido a las reparaciones incorporaron una solicitud a la Corte para que recono</w:t>
      </w:r>
      <w:r w:rsidR="00B800C4" w:rsidRPr="00975C02">
        <w:rPr>
          <w:rFonts w:cstheme="minorBidi"/>
          <w:sz w:val="20"/>
          <w:szCs w:val="20"/>
          <w:lang w:val="es-ES" w:eastAsia="en-US"/>
        </w:rPr>
        <w:t>ciera</w:t>
      </w:r>
      <w:r w:rsidRPr="00975C02">
        <w:rPr>
          <w:rFonts w:cstheme="minorBidi"/>
          <w:sz w:val="20"/>
          <w:szCs w:val="20"/>
          <w:lang w:val="es-ES" w:eastAsia="en-US"/>
        </w:rPr>
        <w:t xml:space="preserve"> como acreedores a los otros hijos de la peticionaria. </w:t>
      </w:r>
      <w:r w:rsidR="00A513AB" w:rsidRPr="00975C02">
        <w:rPr>
          <w:rFonts w:cstheme="minorBidi"/>
          <w:sz w:val="20"/>
          <w:szCs w:val="20"/>
          <w:lang w:val="es-ES" w:eastAsia="en-US"/>
        </w:rPr>
        <w:t>Por lo tanto</w:t>
      </w:r>
      <w:r w:rsidRPr="00975C02">
        <w:rPr>
          <w:rFonts w:cstheme="minorBidi"/>
          <w:sz w:val="20"/>
          <w:szCs w:val="20"/>
          <w:lang w:val="es-ES" w:eastAsia="en-US"/>
        </w:rPr>
        <w:t>, el Estado solicitó a la Corte que declar</w:t>
      </w:r>
      <w:r w:rsidR="000275B4" w:rsidRPr="00975C02">
        <w:rPr>
          <w:rFonts w:cstheme="minorBidi"/>
          <w:sz w:val="20"/>
          <w:szCs w:val="20"/>
          <w:lang w:val="es-ES" w:eastAsia="en-US"/>
        </w:rPr>
        <w:t>a</w:t>
      </w:r>
      <w:r w:rsidR="00A513AB" w:rsidRPr="00975C02">
        <w:rPr>
          <w:rFonts w:cstheme="minorBidi"/>
          <w:sz w:val="20"/>
          <w:szCs w:val="20"/>
          <w:lang w:val="es-ES" w:eastAsia="en-US"/>
        </w:rPr>
        <w:t>se</w:t>
      </w:r>
      <w:r w:rsidRPr="00975C02">
        <w:rPr>
          <w:rFonts w:cstheme="minorBidi"/>
          <w:sz w:val="20"/>
          <w:szCs w:val="20"/>
          <w:lang w:val="es-ES" w:eastAsia="en-US"/>
        </w:rPr>
        <w:t xml:space="preserve"> su incompetencia para conocer sobre las reparaciones alegadas a favor de </w:t>
      </w:r>
      <w:r w:rsidR="00762232" w:rsidRPr="00975C02">
        <w:rPr>
          <w:rFonts w:cstheme="minorBidi"/>
          <w:sz w:val="20"/>
          <w:szCs w:val="20"/>
          <w:lang w:val="es-ES" w:eastAsia="en-US"/>
        </w:rPr>
        <w:t xml:space="preserve">N.R.P., </w:t>
      </w:r>
      <w:r w:rsidRPr="00975C02">
        <w:rPr>
          <w:rFonts w:cstheme="minorBidi"/>
          <w:sz w:val="20"/>
          <w:szCs w:val="20"/>
          <w:lang w:val="es-ES" w:eastAsia="en-US"/>
        </w:rPr>
        <w:t xml:space="preserve">H.J.R.P. y V.A.R.P., en razón de que la declaración de quienes serían las víctimas y beneficiarios de una eventual reparación no podrían ser otras personas que las determinadas por la Comisión en su informe de fondo. </w:t>
      </w:r>
      <w:r w:rsidR="00F92515" w:rsidRPr="00975C02">
        <w:rPr>
          <w:rFonts w:cstheme="minorBidi"/>
          <w:sz w:val="20"/>
          <w:szCs w:val="20"/>
          <w:lang w:val="es-ES" w:eastAsia="en-US"/>
        </w:rPr>
        <w:t>En sus alegatos finales, el Estado sostuvo que en ninguna parte de</w:t>
      </w:r>
      <w:r w:rsidR="00D566C9" w:rsidRPr="00975C02">
        <w:rPr>
          <w:rFonts w:cstheme="minorBidi"/>
          <w:sz w:val="20"/>
          <w:szCs w:val="20"/>
          <w:lang w:val="es-ES" w:eastAsia="en-US"/>
        </w:rPr>
        <w:t xml:space="preserve"> dicho</w:t>
      </w:r>
      <w:r w:rsidR="00F92515" w:rsidRPr="00975C02">
        <w:rPr>
          <w:rFonts w:cstheme="minorBidi"/>
          <w:sz w:val="20"/>
          <w:szCs w:val="20"/>
          <w:lang w:val="es-ES" w:eastAsia="en-US"/>
        </w:rPr>
        <w:t xml:space="preserve"> informe, incluido el párrafo 153, </w:t>
      </w:r>
      <w:r w:rsidR="004932BF" w:rsidRPr="00975C02">
        <w:rPr>
          <w:rFonts w:cstheme="minorBidi"/>
          <w:sz w:val="20"/>
          <w:szCs w:val="20"/>
          <w:lang w:val="es-ES" w:eastAsia="en-US"/>
        </w:rPr>
        <w:t xml:space="preserve">ni de la carta de sometimiento del caso a la Corte, </w:t>
      </w:r>
      <w:r w:rsidR="00F92515" w:rsidRPr="00975C02">
        <w:rPr>
          <w:rFonts w:cstheme="minorBidi"/>
          <w:sz w:val="20"/>
          <w:szCs w:val="20"/>
          <w:lang w:val="es-ES" w:eastAsia="en-US"/>
        </w:rPr>
        <w:t>la Comisión se refirió a los artículos de la Convención que fueron supuestamente violentados en cada caso para los hijos de V.P.C.</w:t>
      </w:r>
    </w:p>
    <w:p w14:paraId="30F2A0E9" w14:textId="77777777" w:rsidR="00270756" w:rsidRPr="00975C02" w:rsidRDefault="00270756" w:rsidP="001C7E37">
      <w:pPr>
        <w:widowControl/>
        <w:tabs>
          <w:tab w:val="left" w:pos="567"/>
        </w:tabs>
        <w:adjustRightInd/>
        <w:spacing w:line="240" w:lineRule="auto"/>
        <w:textAlignment w:val="auto"/>
        <w:rPr>
          <w:rFonts w:cstheme="minorBidi"/>
          <w:b/>
          <w:i/>
          <w:sz w:val="20"/>
          <w:szCs w:val="20"/>
          <w:lang w:val="es-ES" w:eastAsia="en-US"/>
        </w:rPr>
      </w:pPr>
    </w:p>
    <w:p w14:paraId="6713DEB6" w14:textId="26F3C948" w:rsidR="00270756" w:rsidRPr="00975C02" w:rsidRDefault="00270756" w:rsidP="00C8070B">
      <w:pPr>
        <w:numPr>
          <w:ilvl w:val="0"/>
          <w:numId w:val="2"/>
        </w:numPr>
        <w:tabs>
          <w:tab w:val="left" w:pos="567"/>
          <w:tab w:val="num" w:pos="12305"/>
        </w:tabs>
        <w:spacing w:line="240" w:lineRule="auto"/>
        <w:ind w:left="0" w:firstLine="0"/>
        <w:rPr>
          <w:rFonts w:cstheme="minorBidi"/>
          <w:b/>
          <w:i/>
          <w:sz w:val="20"/>
          <w:szCs w:val="20"/>
          <w:lang w:val="es-ES" w:eastAsia="en-US"/>
        </w:rPr>
      </w:pPr>
      <w:r w:rsidRPr="00975C02">
        <w:rPr>
          <w:rFonts w:cstheme="minorBidi"/>
          <w:sz w:val="20"/>
          <w:szCs w:val="20"/>
          <w:lang w:val="es-ES" w:eastAsia="en-US"/>
        </w:rPr>
        <w:t xml:space="preserve">Las </w:t>
      </w:r>
      <w:r w:rsidRPr="00975C02">
        <w:rPr>
          <w:rFonts w:cstheme="minorBidi"/>
          <w:b/>
          <w:i/>
          <w:sz w:val="20"/>
          <w:szCs w:val="20"/>
          <w:lang w:val="es-ES" w:eastAsia="en-US"/>
        </w:rPr>
        <w:t xml:space="preserve">representantes </w:t>
      </w:r>
      <w:r w:rsidRPr="00975C02">
        <w:rPr>
          <w:rFonts w:cstheme="minorBidi"/>
          <w:sz w:val="20"/>
          <w:szCs w:val="20"/>
          <w:lang w:val="es-ES" w:eastAsia="en-US"/>
        </w:rPr>
        <w:t>sostuvieron que</w:t>
      </w:r>
      <w:r w:rsidR="00233525" w:rsidRPr="00975C02">
        <w:rPr>
          <w:rFonts w:cstheme="minorBidi"/>
          <w:sz w:val="20"/>
          <w:szCs w:val="20"/>
          <w:lang w:val="es-ES" w:eastAsia="en-US"/>
        </w:rPr>
        <w:t>,</w:t>
      </w:r>
      <w:r w:rsidRPr="00975C02">
        <w:rPr>
          <w:rFonts w:cstheme="minorBidi"/>
          <w:sz w:val="20"/>
          <w:szCs w:val="20"/>
          <w:lang w:val="es-ES" w:eastAsia="en-US"/>
        </w:rPr>
        <w:t xml:space="preserve"> si bien corresponde a la Comisión determinar las presuntas víctimas, constituye un hecho controvertible que los hermanos de la niña V.R.P</w:t>
      </w:r>
      <w:r w:rsidR="00233525" w:rsidRPr="00975C02">
        <w:rPr>
          <w:rFonts w:cstheme="minorBidi"/>
          <w:sz w:val="20"/>
          <w:szCs w:val="20"/>
          <w:lang w:val="es-ES" w:eastAsia="en-US"/>
        </w:rPr>
        <w:t>.</w:t>
      </w:r>
      <w:r w:rsidRPr="00975C02">
        <w:rPr>
          <w:rFonts w:cstheme="minorBidi"/>
          <w:sz w:val="20"/>
          <w:szCs w:val="20"/>
          <w:lang w:val="es-ES" w:eastAsia="en-US"/>
        </w:rPr>
        <w:t xml:space="preserve"> no hayan sido referidos por la Comisión como víctimas en el presente caso</w:t>
      </w:r>
      <w:r w:rsidR="003B4210" w:rsidRPr="00975C02">
        <w:rPr>
          <w:rFonts w:cstheme="minorBidi"/>
          <w:sz w:val="20"/>
          <w:szCs w:val="20"/>
          <w:lang w:val="es-ES" w:eastAsia="en-US"/>
        </w:rPr>
        <w:t xml:space="preserve">, </w:t>
      </w:r>
      <w:r w:rsidR="000275B4" w:rsidRPr="00975C02">
        <w:rPr>
          <w:rFonts w:cstheme="minorBidi"/>
          <w:sz w:val="20"/>
          <w:szCs w:val="20"/>
          <w:lang w:val="es-ES" w:eastAsia="en-US"/>
        </w:rPr>
        <w:t xml:space="preserve">según lo que </w:t>
      </w:r>
      <w:r w:rsidR="003C7E7A" w:rsidRPr="00975C02">
        <w:rPr>
          <w:rFonts w:cstheme="minorBidi"/>
          <w:sz w:val="20"/>
          <w:szCs w:val="20"/>
          <w:lang w:val="es-ES" w:eastAsia="en-US"/>
        </w:rPr>
        <w:t>se desprendería</w:t>
      </w:r>
      <w:r w:rsidR="003B4210" w:rsidRPr="00975C02">
        <w:rPr>
          <w:rFonts w:cstheme="minorBidi"/>
          <w:sz w:val="20"/>
          <w:szCs w:val="20"/>
          <w:lang w:val="es-ES" w:eastAsia="en-US"/>
        </w:rPr>
        <w:t xml:space="preserve"> de los párrafos 1</w:t>
      </w:r>
      <w:r w:rsidRPr="00975C02">
        <w:rPr>
          <w:rFonts w:cstheme="minorBidi"/>
          <w:sz w:val="20"/>
          <w:szCs w:val="20"/>
          <w:lang w:val="es-ES" w:eastAsia="en-US"/>
        </w:rPr>
        <w:t xml:space="preserve">53 </w:t>
      </w:r>
      <w:r w:rsidR="003B4210" w:rsidRPr="00975C02">
        <w:rPr>
          <w:rFonts w:cstheme="minorBidi"/>
          <w:sz w:val="20"/>
          <w:szCs w:val="20"/>
          <w:lang w:val="es-ES" w:eastAsia="en-US"/>
        </w:rPr>
        <w:t xml:space="preserve">y 154 </w:t>
      </w:r>
      <w:r w:rsidRPr="00975C02">
        <w:rPr>
          <w:rFonts w:cstheme="minorBidi"/>
          <w:sz w:val="20"/>
          <w:szCs w:val="20"/>
          <w:lang w:val="es-ES" w:eastAsia="en-US"/>
        </w:rPr>
        <w:t>del Informe de Fondo de la Comisión</w:t>
      </w:r>
      <w:r w:rsidR="003B4210" w:rsidRPr="00975C02">
        <w:rPr>
          <w:rFonts w:cstheme="minorBidi"/>
          <w:sz w:val="20"/>
          <w:szCs w:val="20"/>
          <w:lang w:val="es-ES" w:eastAsia="en-US"/>
        </w:rPr>
        <w:t xml:space="preserve">. </w:t>
      </w:r>
      <w:r w:rsidRPr="00975C02">
        <w:rPr>
          <w:rFonts w:cstheme="minorBidi"/>
          <w:sz w:val="20"/>
          <w:szCs w:val="20"/>
          <w:lang w:val="es-ES" w:eastAsia="en-US"/>
        </w:rPr>
        <w:t>Por tal raz</w:t>
      </w:r>
      <w:r w:rsidR="003B4210" w:rsidRPr="00975C02">
        <w:rPr>
          <w:rFonts w:cstheme="minorBidi"/>
          <w:sz w:val="20"/>
          <w:szCs w:val="20"/>
          <w:lang w:val="es-ES" w:eastAsia="en-US"/>
        </w:rPr>
        <w:t>ó</w:t>
      </w:r>
      <w:r w:rsidRPr="00975C02">
        <w:rPr>
          <w:rFonts w:cstheme="minorBidi"/>
          <w:sz w:val="20"/>
          <w:szCs w:val="20"/>
          <w:lang w:val="es-ES" w:eastAsia="en-US"/>
        </w:rPr>
        <w:t xml:space="preserve">n, las representantes solicitaron a la Corte </w:t>
      </w:r>
      <w:r w:rsidR="00D97C6A" w:rsidRPr="00975C02">
        <w:rPr>
          <w:rFonts w:cstheme="minorBidi"/>
          <w:sz w:val="20"/>
          <w:szCs w:val="20"/>
          <w:lang w:val="es-ES" w:eastAsia="en-US"/>
        </w:rPr>
        <w:t>que</w:t>
      </w:r>
      <w:r w:rsidRPr="00975C02">
        <w:rPr>
          <w:rFonts w:cstheme="minorBidi"/>
          <w:sz w:val="20"/>
          <w:szCs w:val="20"/>
          <w:lang w:val="es-ES" w:eastAsia="en-US"/>
        </w:rPr>
        <w:t xml:space="preserve"> declar</w:t>
      </w:r>
      <w:r w:rsidR="000275B4" w:rsidRPr="00975C02">
        <w:rPr>
          <w:rFonts w:cstheme="minorBidi"/>
          <w:sz w:val="20"/>
          <w:szCs w:val="20"/>
          <w:lang w:val="es-ES" w:eastAsia="en-US"/>
        </w:rPr>
        <w:t>as</w:t>
      </w:r>
      <w:r w:rsidR="00D97C6A" w:rsidRPr="00975C02">
        <w:rPr>
          <w:rFonts w:cstheme="minorBidi"/>
          <w:sz w:val="20"/>
          <w:szCs w:val="20"/>
          <w:lang w:val="es-ES" w:eastAsia="en-US"/>
        </w:rPr>
        <w:t>e</w:t>
      </w:r>
      <w:r w:rsidRPr="00975C02">
        <w:rPr>
          <w:rFonts w:cstheme="minorBidi"/>
          <w:sz w:val="20"/>
          <w:szCs w:val="20"/>
          <w:lang w:val="es-ES" w:eastAsia="en-US"/>
        </w:rPr>
        <w:t xml:space="preserve"> como presuntas víctimas a </w:t>
      </w:r>
      <w:r w:rsidR="002E1EE5" w:rsidRPr="00975C02">
        <w:rPr>
          <w:rFonts w:cstheme="minorBidi"/>
          <w:sz w:val="20"/>
          <w:szCs w:val="20"/>
          <w:lang w:val="es-ES" w:eastAsia="en-US"/>
        </w:rPr>
        <w:t xml:space="preserve">N.R.P., </w:t>
      </w:r>
      <w:r w:rsidRPr="00975C02">
        <w:rPr>
          <w:rFonts w:cstheme="minorBidi"/>
          <w:sz w:val="20"/>
          <w:szCs w:val="20"/>
          <w:lang w:val="es-ES" w:eastAsia="en-US"/>
        </w:rPr>
        <w:t>H.</w:t>
      </w:r>
      <w:r w:rsidR="00343716" w:rsidRPr="00975C02">
        <w:rPr>
          <w:rFonts w:cstheme="minorBidi"/>
          <w:sz w:val="20"/>
          <w:szCs w:val="20"/>
          <w:lang w:val="es-ES" w:eastAsia="en-US"/>
        </w:rPr>
        <w:t>J.</w:t>
      </w:r>
      <w:r w:rsidRPr="00975C02">
        <w:rPr>
          <w:rFonts w:cstheme="minorBidi"/>
          <w:sz w:val="20"/>
          <w:szCs w:val="20"/>
          <w:lang w:val="es-ES" w:eastAsia="en-US"/>
        </w:rPr>
        <w:t>R.P</w:t>
      </w:r>
      <w:r w:rsidR="003B4210" w:rsidRPr="00975C02">
        <w:rPr>
          <w:rFonts w:cstheme="minorBidi"/>
          <w:sz w:val="20"/>
          <w:szCs w:val="20"/>
          <w:lang w:val="es-ES" w:eastAsia="en-US"/>
        </w:rPr>
        <w:t>.</w:t>
      </w:r>
      <w:r w:rsidRPr="00975C02">
        <w:rPr>
          <w:rFonts w:cstheme="minorBidi"/>
          <w:sz w:val="20"/>
          <w:szCs w:val="20"/>
          <w:lang w:val="es-ES" w:eastAsia="en-US"/>
        </w:rPr>
        <w:t>, V.</w:t>
      </w:r>
      <w:r w:rsidR="00343716" w:rsidRPr="00975C02">
        <w:rPr>
          <w:rFonts w:cstheme="minorBidi"/>
          <w:sz w:val="20"/>
          <w:szCs w:val="20"/>
          <w:lang w:val="es-ES" w:eastAsia="en-US"/>
        </w:rPr>
        <w:t>A.</w:t>
      </w:r>
      <w:r w:rsidRPr="00975C02">
        <w:rPr>
          <w:rFonts w:cstheme="minorBidi"/>
          <w:sz w:val="20"/>
          <w:szCs w:val="20"/>
          <w:lang w:val="es-ES" w:eastAsia="en-US"/>
        </w:rPr>
        <w:t>R.P</w:t>
      </w:r>
      <w:r w:rsidR="00343716" w:rsidRPr="00975C02">
        <w:rPr>
          <w:rFonts w:cstheme="minorBidi"/>
          <w:sz w:val="20"/>
          <w:szCs w:val="20"/>
          <w:lang w:val="es-ES" w:eastAsia="en-US"/>
        </w:rPr>
        <w:t>.</w:t>
      </w:r>
      <w:r w:rsidRPr="00975C02">
        <w:rPr>
          <w:rFonts w:cstheme="minorBidi"/>
          <w:sz w:val="20"/>
          <w:szCs w:val="20"/>
          <w:lang w:val="es-ES" w:eastAsia="en-US"/>
        </w:rPr>
        <w:t xml:space="preserve"> y, hermanos de la presunta víctima V.R.P</w:t>
      </w:r>
      <w:r w:rsidR="00343716" w:rsidRPr="00975C02">
        <w:rPr>
          <w:rFonts w:cstheme="minorBidi"/>
          <w:sz w:val="20"/>
          <w:szCs w:val="20"/>
          <w:lang w:val="es-ES" w:eastAsia="en-US"/>
        </w:rPr>
        <w:t>.</w:t>
      </w:r>
      <w:r w:rsidRPr="00975C02">
        <w:rPr>
          <w:rFonts w:cstheme="minorBidi"/>
          <w:sz w:val="20"/>
          <w:szCs w:val="20"/>
          <w:lang w:val="es-ES" w:eastAsia="en-US"/>
        </w:rPr>
        <w:t xml:space="preserve"> e hijos de la peticionaria y presunta víctima V.P.C.</w:t>
      </w:r>
    </w:p>
    <w:p w14:paraId="0053E4AE" w14:textId="77777777" w:rsidR="00270756" w:rsidRPr="00975C02" w:rsidRDefault="00270756" w:rsidP="001C7E37">
      <w:pPr>
        <w:widowControl/>
        <w:tabs>
          <w:tab w:val="left" w:pos="567"/>
        </w:tabs>
        <w:adjustRightInd/>
        <w:spacing w:line="240" w:lineRule="auto"/>
        <w:textAlignment w:val="auto"/>
        <w:rPr>
          <w:rFonts w:cstheme="minorBidi"/>
          <w:b/>
          <w:i/>
          <w:sz w:val="20"/>
          <w:szCs w:val="20"/>
          <w:lang w:val="es-ES" w:eastAsia="en-US"/>
        </w:rPr>
      </w:pPr>
    </w:p>
    <w:p w14:paraId="2D78A4A7" w14:textId="1B6205C9" w:rsidR="00270756" w:rsidRPr="00975C02" w:rsidRDefault="00270756" w:rsidP="00C8070B">
      <w:pPr>
        <w:numPr>
          <w:ilvl w:val="0"/>
          <w:numId w:val="2"/>
        </w:numPr>
        <w:tabs>
          <w:tab w:val="left" w:pos="567"/>
          <w:tab w:val="num" w:pos="12305"/>
        </w:tabs>
        <w:spacing w:line="240" w:lineRule="auto"/>
        <w:ind w:left="0" w:firstLine="0"/>
        <w:rPr>
          <w:rFonts w:cstheme="minorBidi"/>
          <w:b/>
          <w:i/>
          <w:sz w:val="20"/>
          <w:szCs w:val="20"/>
          <w:lang w:val="es-ES" w:eastAsia="en-US"/>
        </w:rPr>
      </w:pPr>
      <w:r w:rsidRPr="00975C02">
        <w:rPr>
          <w:rFonts w:cstheme="minorBidi"/>
          <w:sz w:val="20"/>
          <w:szCs w:val="20"/>
          <w:lang w:val="es-ES" w:eastAsia="en-US"/>
        </w:rPr>
        <w:t xml:space="preserve">La </w:t>
      </w:r>
      <w:r w:rsidRPr="00975C02">
        <w:rPr>
          <w:rFonts w:cstheme="minorBidi"/>
          <w:b/>
          <w:i/>
          <w:sz w:val="20"/>
          <w:szCs w:val="20"/>
          <w:lang w:val="es-ES" w:eastAsia="en-US"/>
        </w:rPr>
        <w:t>Comisión</w:t>
      </w:r>
      <w:r w:rsidRPr="00975C02">
        <w:rPr>
          <w:rFonts w:cstheme="minorBidi"/>
          <w:sz w:val="20"/>
          <w:szCs w:val="20"/>
          <w:lang w:val="es-ES" w:eastAsia="en-US"/>
        </w:rPr>
        <w:t xml:space="preserve"> </w:t>
      </w:r>
      <w:r w:rsidR="00446DDA" w:rsidRPr="00975C02">
        <w:rPr>
          <w:rFonts w:cstheme="minorBidi"/>
          <w:sz w:val="20"/>
          <w:szCs w:val="20"/>
          <w:lang w:val="es-ES" w:eastAsia="en-US"/>
        </w:rPr>
        <w:t xml:space="preserve">indicó que en el párrafo 154 del </w:t>
      </w:r>
      <w:r w:rsidR="00D0178F" w:rsidRPr="00975C02">
        <w:rPr>
          <w:rFonts w:cstheme="minorBidi"/>
          <w:sz w:val="20"/>
          <w:szCs w:val="20"/>
          <w:lang w:val="es-ES" w:eastAsia="en-US"/>
        </w:rPr>
        <w:t>I</w:t>
      </w:r>
      <w:r w:rsidR="00446DDA" w:rsidRPr="00975C02">
        <w:rPr>
          <w:rFonts w:cstheme="minorBidi"/>
          <w:sz w:val="20"/>
          <w:szCs w:val="20"/>
          <w:lang w:val="es-ES" w:eastAsia="en-US"/>
        </w:rPr>
        <w:t xml:space="preserve">nforme de </w:t>
      </w:r>
      <w:r w:rsidR="00D0178F" w:rsidRPr="00975C02">
        <w:rPr>
          <w:rFonts w:cstheme="minorBidi"/>
          <w:sz w:val="20"/>
          <w:szCs w:val="20"/>
          <w:lang w:val="es-ES" w:eastAsia="en-US"/>
        </w:rPr>
        <w:t>F</w:t>
      </w:r>
      <w:r w:rsidR="00446DDA" w:rsidRPr="00975C02">
        <w:rPr>
          <w:rFonts w:cstheme="minorBidi"/>
          <w:sz w:val="20"/>
          <w:szCs w:val="20"/>
          <w:lang w:val="es-ES" w:eastAsia="en-US"/>
        </w:rPr>
        <w:t xml:space="preserve">ondo estableció violaciones </w:t>
      </w:r>
      <w:r w:rsidR="002325E4" w:rsidRPr="00975C02">
        <w:rPr>
          <w:rFonts w:cstheme="minorBidi"/>
          <w:sz w:val="20"/>
          <w:szCs w:val="20"/>
          <w:lang w:val="es-ES" w:eastAsia="en-US"/>
        </w:rPr>
        <w:t xml:space="preserve">respecto de </w:t>
      </w:r>
      <w:r w:rsidR="00446DDA" w:rsidRPr="00975C02">
        <w:rPr>
          <w:rFonts w:cstheme="minorBidi"/>
          <w:sz w:val="20"/>
          <w:szCs w:val="20"/>
          <w:lang w:val="es-ES" w:eastAsia="en-US"/>
        </w:rPr>
        <w:t xml:space="preserve">todo el núcleo familiar de V.R.P. Precisó al respecto que la omisión del párrafo 4 del </w:t>
      </w:r>
      <w:r w:rsidR="00D566C9" w:rsidRPr="00975C02">
        <w:rPr>
          <w:rFonts w:cstheme="minorBidi"/>
          <w:sz w:val="20"/>
          <w:szCs w:val="20"/>
          <w:lang w:val="es-ES" w:eastAsia="en-US"/>
        </w:rPr>
        <w:lastRenderedPageBreak/>
        <w:t>I</w:t>
      </w:r>
      <w:r w:rsidR="00446DDA" w:rsidRPr="00975C02">
        <w:rPr>
          <w:rFonts w:cstheme="minorBidi"/>
          <w:sz w:val="20"/>
          <w:szCs w:val="20"/>
          <w:lang w:val="es-ES" w:eastAsia="en-US"/>
        </w:rPr>
        <w:t xml:space="preserve">nforme de </w:t>
      </w:r>
      <w:r w:rsidR="00D566C9" w:rsidRPr="00975C02">
        <w:rPr>
          <w:rFonts w:cstheme="minorBidi"/>
          <w:sz w:val="20"/>
          <w:szCs w:val="20"/>
          <w:lang w:val="es-ES" w:eastAsia="en-US"/>
        </w:rPr>
        <w:t>F</w:t>
      </w:r>
      <w:r w:rsidR="00446DDA" w:rsidRPr="00975C02">
        <w:rPr>
          <w:rFonts w:cstheme="minorBidi"/>
          <w:sz w:val="20"/>
          <w:szCs w:val="20"/>
          <w:lang w:val="es-ES" w:eastAsia="en-US"/>
        </w:rPr>
        <w:t>ondo “se trata de un error material involuntario que no invalida dicha determinación”.</w:t>
      </w:r>
    </w:p>
    <w:p w14:paraId="0851726A" w14:textId="77777777" w:rsidR="00270756" w:rsidRPr="00975C02" w:rsidRDefault="00270756" w:rsidP="001C7E37">
      <w:pPr>
        <w:widowControl/>
        <w:tabs>
          <w:tab w:val="left" w:pos="567"/>
        </w:tabs>
        <w:adjustRightInd/>
        <w:spacing w:line="240" w:lineRule="auto"/>
        <w:textAlignment w:val="auto"/>
        <w:rPr>
          <w:rFonts w:cstheme="minorBidi"/>
          <w:b/>
          <w:i/>
          <w:sz w:val="20"/>
          <w:szCs w:val="20"/>
          <w:lang w:val="es-ES" w:eastAsia="en-US"/>
        </w:rPr>
      </w:pPr>
    </w:p>
    <w:p w14:paraId="379F02E8" w14:textId="77777777" w:rsidR="007A37EF" w:rsidRPr="00975C02" w:rsidRDefault="007A37EF" w:rsidP="007A37EF">
      <w:pPr>
        <w:pStyle w:val="Heading2"/>
        <w:tabs>
          <w:tab w:val="left" w:pos="1843"/>
        </w:tabs>
        <w:spacing w:before="0" w:line="240" w:lineRule="auto"/>
        <w:ind w:left="1134"/>
        <w:rPr>
          <w:rFonts w:ascii="Verdana" w:hAnsi="Verdana"/>
          <w:b w:val="0"/>
          <w:i/>
          <w:color w:val="auto"/>
          <w:sz w:val="20"/>
          <w:szCs w:val="20"/>
          <w:lang w:val="es-ES"/>
        </w:rPr>
      </w:pPr>
      <w:bookmarkStart w:id="65" w:name="_Toc514172605"/>
      <w:r w:rsidRPr="00975C02">
        <w:rPr>
          <w:rFonts w:ascii="Verdana" w:hAnsi="Verdana"/>
          <w:b w:val="0"/>
          <w:i/>
          <w:color w:val="auto"/>
          <w:sz w:val="20"/>
          <w:szCs w:val="20"/>
          <w:lang w:val="es-ES"/>
        </w:rPr>
        <w:t xml:space="preserve">A.2 </w:t>
      </w:r>
      <w:r w:rsidRPr="00975C02">
        <w:rPr>
          <w:rFonts w:ascii="Verdana" w:hAnsi="Verdana"/>
          <w:b w:val="0"/>
          <w:i/>
          <w:color w:val="auto"/>
          <w:sz w:val="20"/>
          <w:szCs w:val="20"/>
          <w:lang w:val="es-ES"/>
        </w:rPr>
        <w:tab/>
        <w:t>Consideraciones de la Corte</w:t>
      </w:r>
      <w:bookmarkEnd w:id="65"/>
    </w:p>
    <w:p w14:paraId="6A3F532C" w14:textId="77777777" w:rsidR="007A37EF" w:rsidRPr="00975C02" w:rsidRDefault="007A37EF" w:rsidP="001C7E37">
      <w:pPr>
        <w:widowControl/>
        <w:tabs>
          <w:tab w:val="left" w:pos="567"/>
        </w:tabs>
        <w:adjustRightInd/>
        <w:spacing w:line="240" w:lineRule="auto"/>
        <w:textAlignment w:val="auto"/>
        <w:rPr>
          <w:rFonts w:cstheme="minorBidi"/>
          <w:b/>
          <w:i/>
          <w:sz w:val="20"/>
          <w:szCs w:val="20"/>
          <w:lang w:val="es-ES" w:eastAsia="en-US"/>
        </w:rPr>
      </w:pPr>
    </w:p>
    <w:p w14:paraId="1A66B779" w14:textId="4C2BFAED" w:rsidR="00270756" w:rsidRPr="00975C02" w:rsidRDefault="00270756" w:rsidP="00C8070B">
      <w:pPr>
        <w:numPr>
          <w:ilvl w:val="0"/>
          <w:numId w:val="2"/>
        </w:numPr>
        <w:tabs>
          <w:tab w:val="left" w:pos="567"/>
          <w:tab w:val="num" w:pos="12305"/>
        </w:tabs>
        <w:spacing w:line="240" w:lineRule="auto"/>
        <w:ind w:left="0" w:firstLine="0"/>
        <w:rPr>
          <w:rFonts w:eastAsia="Batang"/>
          <w:sz w:val="20"/>
          <w:szCs w:val="20"/>
          <w:lang w:val="es-ES" w:eastAsia="es-MX"/>
        </w:rPr>
      </w:pPr>
      <w:r w:rsidRPr="00975C02">
        <w:rPr>
          <w:rFonts w:eastAsia="Batang"/>
          <w:sz w:val="20"/>
          <w:szCs w:val="20"/>
          <w:lang w:val="es-ES" w:eastAsia="es-MX"/>
        </w:rPr>
        <w:t xml:space="preserve">Esta Corte recuerda que las presuntas víctimas deben estar señaladas en el Informe de Fondo de la </w:t>
      </w:r>
      <w:r w:rsidRPr="00975C02">
        <w:rPr>
          <w:rFonts w:cstheme="minorBidi"/>
          <w:sz w:val="20"/>
          <w:szCs w:val="20"/>
          <w:lang w:val="es-ES" w:eastAsia="en-US"/>
        </w:rPr>
        <w:t>Comisión</w:t>
      </w:r>
      <w:r w:rsidRPr="00975C02">
        <w:rPr>
          <w:rFonts w:eastAsia="Batang"/>
          <w:sz w:val="20"/>
          <w:szCs w:val="20"/>
          <w:lang w:val="es-ES" w:eastAsia="es-MX"/>
        </w:rPr>
        <w:t>, emitido según el artículo 50 de la Convención. El artículo 35.1 del Reglamento de este Tribunal dispone que el caso será sometido a la Corte mediante la presentación de dicho Informe, el cual deberá contener “la identificación de las presuntas víctimas”. De conformidad con dicha norma, corresponde a la Comisión y no a este Tribunal, identificar con precisión y en la debida oportunidad procesal a las presuntas víctimas en un caso ante la Corte</w:t>
      </w:r>
      <w:r w:rsidRPr="00975C02">
        <w:rPr>
          <w:rFonts w:eastAsia="Batang"/>
          <w:sz w:val="20"/>
          <w:szCs w:val="20"/>
          <w:vertAlign w:val="superscript"/>
          <w:lang w:val="es-ES" w:eastAsia="es-MX"/>
        </w:rPr>
        <w:footnoteReference w:id="34"/>
      </w:r>
      <w:r w:rsidRPr="00975C02">
        <w:rPr>
          <w:rFonts w:eastAsia="Batang"/>
          <w:sz w:val="20"/>
          <w:szCs w:val="20"/>
          <w:lang w:val="es-ES" w:eastAsia="es-MX"/>
        </w:rPr>
        <w:t xml:space="preserve">. La seguridad jurídica exige, como regla general, que todas las presuntas víctimas estén debidamente identificadas en el Informe de Fondo, no siendo posible añadir nuevas presuntas víctimas </w:t>
      </w:r>
      <w:r w:rsidR="000A3F33" w:rsidRPr="00975C02">
        <w:rPr>
          <w:rFonts w:eastAsia="Batang"/>
          <w:sz w:val="20"/>
          <w:szCs w:val="20"/>
          <w:lang w:val="es-ES" w:eastAsia="es-MX"/>
        </w:rPr>
        <w:t>con posterioridad</w:t>
      </w:r>
      <w:r w:rsidRPr="00975C02">
        <w:rPr>
          <w:rFonts w:eastAsia="Batang"/>
          <w:sz w:val="20"/>
          <w:szCs w:val="20"/>
          <w:lang w:val="es-ES" w:eastAsia="es-MX"/>
        </w:rPr>
        <w:t>, salvo en la circunstancia excepcional contemplada en el artículo 35.2 del Reglamento de la Corte, la cual</w:t>
      </w:r>
      <w:r w:rsidR="003B4210" w:rsidRPr="00975C02">
        <w:rPr>
          <w:rFonts w:eastAsia="Batang"/>
          <w:sz w:val="20"/>
          <w:szCs w:val="20"/>
          <w:lang w:val="es-ES" w:eastAsia="es-MX"/>
        </w:rPr>
        <w:t xml:space="preserve"> no aplica en el presente caso.</w:t>
      </w:r>
    </w:p>
    <w:p w14:paraId="7199536D" w14:textId="77777777" w:rsidR="00270756" w:rsidRPr="00975C02" w:rsidRDefault="00270756" w:rsidP="001C7E37">
      <w:pPr>
        <w:widowControl/>
        <w:tabs>
          <w:tab w:val="left" w:pos="567"/>
        </w:tabs>
        <w:adjustRightInd/>
        <w:spacing w:line="240" w:lineRule="auto"/>
        <w:textAlignment w:val="auto"/>
        <w:rPr>
          <w:rFonts w:eastAsia="Batang"/>
          <w:sz w:val="20"/>
          <w:szCs w:val="20"/>
          <w:lang w:val="es-ES" w:eastAsia="es-MX"/>
        </w:rPr>
      </w:pPr>
    </w:p>
    <w:p w14:paraId="22227ED3" w14:textId="29167007" w:rsidR="00270756" w:rsidRPr="00975C02" w:rsidRDefault="009A5889" w:rsidP="00C8070B">
      <w:pPr>
        <w:numPr>
          <w:ilvl w:val="0"/>
          <w:numId w:val="2"/>
        </w:numPr>
        <w:tabs>
          <w:tab w:val="left" w:pos="567"/>
          <w:tab w:val="num" w:pos="12305"/>
        </w:tabs>
        <w:spacing w:line="240" w:lineRule="auto"/>
        <w:ind w:left="0" w:firstLine="0"/>
        <w:rPr>
          <w:rFonts w:cstheme="minorBidi"/>
          <w:b/>
          <w:i/>
          <w:sz w:val="20"/>
          <w:szCs w:val="20"/>
          <w:lang w:val="es-ES" w:eastAsia="en-US"/>
        </w:rPr>
      </w:pPr>
      <w:r w:rsidRPr="00975C02">
        <w:rPr>
          <w:rFonts w:cstheme="minorBidi"/>
          <w:sz w:val="20"/>
          <w:szCs w:val="20"/>
          <w:lang w:val="es-ES" w:eastAsia="en-US"/>
        </w:rPr>
        <w:t>L</w:t>
      </w:r>
      <w:r w:rsidR="003A58AF" w:rsidRPr="00975C02">
        <w:rPr>
          <w:rFonts w:cstheme="minorBidi"/>
          <w:sz w:val="20"/>
          <w:szCs w:val="20"/>
          <w:lang w:val="es-ES" w:eastAsia="en-US"/>
        </w:rPr>
        <w:t xml:space="preserve">a Corte </w:t>
      </w:r>
      <w:r w:rsidR="003B4210" w:rsidRPr="00975C02">
        <w:rPr>
          <w:rFonts w:cstheme="minorBidi"/>
          <w:sz w:val="20"/>
          <w:szCs w:val="20"/>
          <w:lang w:val="es-ES" w:eastAsia="en-US"/>
        </w:rPr>
        <w:t>constata que</w:t>
      </w:r>
      <w:r w:rsidR="000A3F33" w:rsidRPr="00975C02">
        <w:rPr>
          <w:rFonts w:cstheme="minorBidi"/>
          <w:sz w:val="20"/>
          <w:szCs w:val="20"/>
          <w:lang w:val="es-ES" w:eastAsia="en-US"/>
        </w:rPr>
        <w:t xml:space="preserve"> la Comisión no incluyó</w:t>
      </w:r>
      <w:r w:rsidRPr="00975C02">
        <w:rPr>
          <w:rFonts w:cstheme="minorBidi"/>
          <w:sz w:val="20"/>
          <w:szCs w:val="20"/>
          <w:lang w:val="es-ES" w:eastAsia="en-US"/>
        </w:rPr>
        <w:t>,</w:t>
      </w:r>
      <w:r w:rsidR="00270756" w:rsidRPr="00975C02">
        <w:rPr>
          <w:rFonts w:cstheme="minorBidi"/>
          <w:sz w:val="20"/>
          <w:szCs w:val="20"/>
          <w:lang w:val="es-ES" w:eastAsia="en-US"/>
        </w:rPr>
        <w:t xml:space="preserve"> en su Informe de Fondo </w:t>
      </w:r>
      <w:r w:rsidR="003B4210" w:rsidRPr="00975C02">
        <w:rPr>
          <w:rFonts w:cstheme="minorBidi"/>
          <w:sz w:val="20"/>
          <w:szCs w:val="20"/>
          <w:lang w:val="es-ES" w:eastAsia="en-US"/>
        </w:rPr>
        <w:t>No. 4/16</w:t>
      </w:r>
      <w:r w:rsidRPr="00975C02">
        <w:rPr>
          <w:rFonts w:cstheme="minorBidi"/>
          <w:sz w:val="20"/>
          <w:szCs w:val="20"/>
          <w:lang w:val="es-ES" w:eastAsia="en-US"/>
        </w:rPr>
        <w:t>,</w:t>
      </w:r>
      <w:r w:rsidR="00A55B91" w:rsidRPr="00975C02">
        <w:rPr>
          <w:rFonts w:cstheme="minorBidi"/>
          <w:sz w:val="20"/>
          <w:szCs w:val="20"/>
          <w:lang w:val="es-ES" w:eastAsia="en-US"/>
        </w:rPr>
        <w:t xml:space="preserve"> un párrafo específico que listara a las presuntas víctimas en este caso. No obstante ello, decidió </w:t>
      </w:r>
      <w:r w:rsidR="00270756" w:rsidRPr="00975C02">
        <w:rPr>
          <w:rFonts w:cstheme="minorBidi"/>
          <w:sz w:val="20"/>
          <w:szCs w:val="20"/>
          <w:lang w:val="es-ES" w:eastAsia="en-US"/>
        </w:rPr>
        <w:t>que “existen suficientes elementos para concluir que la violación sexual sufrida por la niña V.R.P</w:t>
      </w:r>
      <w:r w:rsidR="00AE5370" w:rsidRPr="00975C02">
        <w:rPr>
          <w:rFonts w:cstheme="minorBidi"/>
          <w:sz w:val="20"/>
          <w:szCs w:val="20"/>
          <w:lang w:val="es-ES" w:eastAsia="en-US"/>
        </w:rPr>
        <w:t>.</w:t>
      </w:r>
      <w:r w:rsidR="00270756" w:rsidRPr="00975C02">
        <w:rPr>
          <w:rFonts w:cstheme="minorBidi"/>
          <w:sz w:val="20"/>
          <w:szCs w:val="20"/>
          <w:lang w:val="es-ES" w:eastAsia="en-US"/>
        </w:rPr>
        <w:t>, las consecuencias de la misma y la impunidad en que se mantiene el caso atribuible al Estado, provocaron una afectación emocional a su madre V.P.C</w:t>
      </w:r>
      <w:r w:rsidR="009F7C9B" w:rsidRPr="00975C02">
        <w:rPr>
          <w:rFonts w:cstheme="minorBidi"/>
          <w:sz w:val="20"/>
          <w:szCs w:val="20"/>
          <w:lang w:val="es-ES" w:eastAsia="en-US"/>
        </w:rPr>
        <w:t>.</w:t>
      </w:r>
      <w:r w:rsidR="00270756" w:rsidRPr="00975C02">
        <w:rPr>
          <w:rFonts w:cstheme="minorBidi"/>
          <w:sz w:val="20"/>
          <w:szCs w:val="20"/>
          <w:lang w:val="es-ES" w:eastAsia="en-US"/>
        </w:rPr>
        <w:t xml:space="preserve"> y sus hijos e hija H.</w:t>
      </w:r>
      <w:r w:rsidR="00AE5370" w:rsidRPr="00975C02">
        <w:rPr>
          <w:rFonts w:cstheme="minorBidi"/>
          <w:sz w:val="20"/>
          <w:szCs w:val="20"/>
          <w:lang w:val="es-ES" w:eastAsia="en-US"/>
        </w:rPr>
        <w:t>J.</w:t>
      </w:r>
      <w:r w:rsidR="00270756" w:rsidRPr="00975C02">
        <w:rPr>
          <w:rFonts w:cstheme="minorBidi"/>
          <w:sz w:val="20"/>
          <w:szCs w:val="20"/>
          <w:lang w:val="es-ES" w:eastAsia="en-US"/>
        </w:rPr>
        <w:t>R.P</w:t>
      </w:r>
      <w:r w:rsidR="00AE5370" w:rsidRPr="00975C02">
        <w:rPr>
          <w:rFonts w:cstheme="minorBidi"/>
          <w:sz w:val="20"/>
          <w:szCs w:val="20"/>
          <w:lang w:val="es-ES" w:eastAsia="en-US"/>
        </w:rPr>
        <w:t>.</w:t>
      </w:r>
      <w:r w:rsidR="00270756" w:rsidRPr="00975C02">
        <w:rPr>
          <w:rFonts w:cstheme="minorBidi"/>
          <w:sz w:val="20"/>
          <w:szCs w:val="20"/>
          <w:lang w:val="es-ES" w:eastAsia="en-US"/>
        </w:rPr>
        <w:t xml:space="preserve">, </w:t>
      </w:r>
      <w:r w:rsidR="00AE5370" w:rsidRPr="00975C02">
        <w:rPr>
          <w:rFonts w:cstheme="minorBidi"/>
          <w:sz w:val="20"/>
          <w:szCs w:val="20"/>
          <w:lang w:val="es-ES" w:eastAsia="en-US"/>
        </w:rPr>
        <w:t>[V.A]</w:t>
      </w:r>
      <w:r w:rsidR="00270756" w:rsidRPr="00975C02">
        <w:rPr>
          <w:rFonts w:cstheme="minorBidi"/>
          <w:sz w:val="20"/>
          <w:szCs w:val="20"/>
          <w:lang w:val="es-ES" w:eastAsia="en-US"/>
        </w:rPr>
        <w:t>.R.P</w:t>
      </w:r>
      <w:r w:rsidR="00AE5370" w:rsidRPr="00975C02">
        <w:rPr>
          <w:rFonts w:cstheme="minorBidi"/>
          <w:sz w:val="20"/>
          <w:szCs w:val="20"/>
          <w:lang w:val="es-ES" w:eastAsia="en-US"/>
        </w:rPr>
        <w:t>.</w:t>
      </w:r>
      <w:r w:rsidR="00270756" w:rsidRPr="00975C02">
        <w:rPr>
          <w:rFonts w:cstheme="minorBidi"/>
          <w:sz w:val="20"/>
          <w:szCs w:val="20"/>
          <w:lang w:val="es-ES" w:eastAsia="en-US"/>
        </w:rPr>
        <w:t xml:space="preserve"> y N.R.P</w:t>
      </w:r>
      <w:r w:rsidR="00AE5370" w:rsidRPr="00975C02">
        <w:rPr>
          <w:rFonts w:cstheme="minorBidi"/>
          <w:sz w:val="20"/>
          <w:szCs w:val="20"/>
          <w:lang w:val="es-ES" w:eastAsia="en-US"/>
        </w:rPr>
        <w:t>.</w:t>
      </w:r>
      <w:r w:rsidR="00270756" w:rsidRPr="00975C02">
        <w:rPr>
          <w:rFonts w:cstheme="minorBidi"/>
          <w:sz w:val="20"/>
          <w:szCs w:val="20"/>
          <w:lang w:val="es-ES" w:eastAsia="en-US"/>
        </w:rPr>
        <w:t>, en contravención del derecho reconocido en el artículo 5.1 de la Convención Americana, en relación con el artículo 1.1 de dicho instrumento”</w:t>
      </w:r>
      <w:r w:rsidR="00270756" w:rsidRPr="00975C02">
        <w:rPr>
          <w:rFonts w:cstheme="minorBidi"/>
          <w:sz w:val="20"/>
          <w:szCs w:val="20"/>
          <w:vertAlign w:val="superscript"/>
          <w:lang w:val="es-ES" w:eastAsia="en-US"/>
        </w:rPr>
        <w:footnoteReference w:id="35"/>
      </w:r>
      <w:r w:rsidR="00270756" w:rsidRPr="00975C02">
        <w:rPr>
          <w:rFonts w:cstheme="minorBidi"/>
          <w:sz w:val="20"/>
          <w:szCs w:val="20"/>
          <w:lang w:val="es-ES" w:eastAsia="en-US"/>
        </w:rPr>
        <w:t>.</w:t>
      </w:r>
      <w:r w:rsidR="000A3F33" w:rsidRPr="00975C02">
        <w:rPr>
          <w:rFonts w:cstheme="minorBidi"/>
          <w:b/>
          <w:sz w:val="16"/>
          <w:szCs w:val="16"/>
          <w:lang w:val="es-ES" w:eastAsia="en-US"/>
        </w:rPr>
        <w:t xml:space="preserve"> </w:t>
      </w:r>
      <w:r w:rsidR="00270756" w:rsidRPr="00975C02">
        <w:rPr>
          <w:rFonts w:cstheme="minorBidi"/>
          <w:sz w:val="20"/>
          <w:szCs w:val="20"/>
          <w:lang w:val="es-ES" w:eastAsia="en-US"/>
        </w:rPr>
        <w:t>Además, en las conclusiones contenidas en el párrafo 154 indicó que las violaciones de los derechos de la Convención se establec</w:t>
      </w:r>
      <w:r w:rsidR="009F7C9B" w:rsidRPr="00975C02">
        <w:rPr>
          <w:rFonts w:cstheme="minorBidi"/>
          <w:sz w:val="20"/>
          <w:szCs w:val="20"/>
          <w:lang w:val="es-ES" w:eastAsia="en-US"/>
        </w:rPr>
        <w:t>i</w:t>
      </w:r>
      <w:r w:rsidR="00270756" w:rsidRPr="00975C02">
        <w:rPr>
          <w:rFonts w:cstheme="minorBidi"/>
          <w:sz w:val="20"/>
          <w:szCs w:val="20"/>
          <w:lang w:val="es-ES" w:eastAsia="en-US"/>
        </w:rPr>
        <w:t>e</w:t>
      </w:r>
      <w:r w:rsidR="009F7C9B" w:rsidRPr="00975C02">
        <w:rPr>
          <w:rFonts w:cstheme="minorBidi"/>
          <w:sz w:val="20"/>
          <w:szCs w:val="20"/>
          <w:lang w:val="es-ES" w:eastAsia="en-US"/>
        </w:rPr>
        <w:t>ro</w:t>
      </w:r>
      <w:r w:rsidR="00270756" w:rsidRPr="00975C02">
        <w:rPr>
          <w:rFonts w:cstheme="minorBidi"/>
          <w:sz w:val="20"/>
          <w:szCs w:val="20"/>
          <w:lang w:val="es-ES" w:eastAsia="en-US"/>
        </w:rPr>
        <w:t xml:space="preserve">n “en perjuicio de las personas que se indican en cada una de las secciones del </w:t>
      </w:r>
      <w:r w:rsidR="009F7C9B" w:rsidRPr="00975C02">
        <w:rPr>
          <w:rFonts w:cstheme="minorBidi"/>
          <w:sz w:val="20"/>
          <w:szCs w:val="20"/>
          <w:lang w:val="es-ES" w:eastAsia="en-US"/>
        </w:rPr>
        <w:t>[referido]</w:t>
      </w:r>
      <w:r w:rsidR="00270756" w:rsidRPr="00975C02">
        <w:rPr>
          <w:rFonts w:cstheme="minorBidi"/>
          <w:sz w:val="20"/>
          <w:szCs w:val="20"/>
          <w:lang w:val="es-ES" w:eastAsia="en-US"/>
        </w:rPr>
        <w:t xml:space="preserve"> informe”</w:t>
      </w:r>
      <w:r w:rsidR="00270756" w:rsidRPr="00975C02">
        <w:rPr>
          <w:rFonts w:cstheme="minorBidi"/>
          <w:sz w:val="20"/>
          <w:szCs w:val="20"/>
          <w:vertAlign w:val="superscript"/>
          <w:lang w:val="es-ES" w:eastAsia="en-US"/>
        </w:rPr>
        <w:footnoteReference w:id="36"/>
      </w:r>
      <w:r w:rsidR="00270756" w:rsidRPr="00975C02">
        <w:rPr>
          <w:rFonts w:cstheme="minorBidi"/>
          <w:sz w:val="20"/>
          <w:szCs w:val="20"/>
          <w:lang w:val="es-ES" w:eastAsia="en-US"/>
        </w:rPr>
        <w:t xml:space="preserve">. </w:t>
      </w:r>
      <w:r w:rsidR="003A58AF" w:rsidRPr="00975C02">
        <w:rPr>
          <w:rFonts w:cstheme="minorBidi"/>
          <w:sz w:val="20"/>
          <w:szCs w:val="20"/>
          <w:lang w:val="es-ES" w:eastAsia="en-US"/>
        </w:rPr>
        <w:t xml:space="preserve">Por </w:t>
      </w:r>
      <w:r w:rsidR="008610E9" w:rsidRPr="00975C02">
        <w:rPr>
          <w:rFonts w:cstheme="minorBidi"/>
          <w:sz w:val="20"/>
          <w:szCs w:val="20"/>
          <w:lang w:val="es-ES" w:eastAsia="en-US"/>
        </w:rPr>
        <w:t>otra parte</w:t>
      </w:r>
      <w:r w:rsidR="003A58AF" w:rsidRPr="00975C02">
        <w:rPr>
          <w:rFonts w:cstheme="minorBidi"/>
          <w:sz w:val="20"/>
          <w:szCs w:val="20"/>
          <w:lang w:val="es-ES" w:eastAsia="en-US"/>
        </w:rPr>
        <w:t>,</w:t>
      </w:r>
      <w:r w:rsidR="008610E9" w:rsidRPr="00975C02">
        <w:rPr>
          <w:rFonts w:cstheme="minorBidi"/>
          <w:sz w:val="20"/>
          <w:szCs w:val="20"/>
          <w:lang w:val="es-ES" w:eastAsia="en-US"/>
        </w:rPr>
        <w:t xml:space="preserve"> es cierto que</w:t>
      </w:r>
      <w:r w:rsidR="003A58AF" w:rsidRPr="00975C02">
        <w:rPr>
          <w:rFonts w:cstheme="minorBidi"/>
          <w:sz w:val="20"/>
          <w:szCs w:val="20"/>
          <w:lang w:val="es-ES" w:eastAsia="en-US"/>
        </w:rPr>
        <w:t xml:space="preserve"> en el párrafo 4 del </w:t>
      </w:r>
      <w:r w:rsidR="00A84F03" w:rsidRPr="00975C02">
        <w:rPr>
          <w:rFonts w:cstheme="minorBidi"/>
          <w:sz w:val="20"/>
          <w:szCs w:val="20"/>
          <w:lang w:val="es-ES" w:eastAsia="en-US"/>
        </w:rPr>
        <w:t>I</w:t>
      </w:r>
      <w:r w:rsidR="003A58AF" w:rsidRPr="00975C02">
        <w:rPr>
          <w:rFonts w:cstheme="minorBidi"/>
          <w:sz w:val="20"/>
          <w:szCs w:val="20"/>
          <w:lang w:val="es-ES" w:eastAsia="en-US"/>
        </w:rPr>
        <w:t xml:space="preserve">nforme de </w:t>
      </w:r>
      <w:r w:rsidR="00A84F03" w:rsidRPr="00975C02">
        <w:rPr>
          <w:rFonts w:cstheme="minorBidi"/>
          <w:sz w:val="20"/>
          <w:szCs w:val="20"/>
          <w:lang w:val="es-ES" w:eastAsia="en-US"/>
        </w:rPr>
        <w:t>F</w:t>
      </w:r>
      <w:r w:rsidR="003A58AF" w:rsidRPr="00975C02">
        <w:rPr>
          <w:rFonts w:cstheme="minorBidi"/>
          <w:sz w:val="20"/>
          <w:szCs w:val="20"/>
          <w:lang w:val="es-ES" w:eastAsia="en-US"/>
        </w:rPr>
        <w:t xml:space="preserve">ondo, así como en la nota de sometimiento del caso, </w:t>
      </w:r>
      <w:r w:rsidR="008610E9" w:rsidRPr="00975C02">
        <w:rPr>
          <w:rFonts w:cstheme="minorBidi"/>
          <w:sz w:val="20"/>
          <w:szCs w:val="20"/>
          <w:lang w:val="es-ES" w:eastAsia="en-US"/>
        </w:rPr>
        <w:t>la Comisión</w:t>
      </w:r>
      <w:r w:rsidR="003A58AF" w:rsidRPr="00975C02">
        <w:rPr>
          <w:rFonts w:cstheme="minorBidi"/>
          <w:sz w:val="20"/>
          <w:szCs w:val="20"/>
          <w:lang w:val="es-ES" w:eastAsia="en-US"/>
        </w:rPr>
        <w:t xml:space="preserve"> omiti</w:t>
      </w:r>
      <w:r w:rsidR="008610E9" w:rsidRPr="00975C02">
        <w:rPr>
          <w:rFonts w:cstheme="minorBidi"/>
          <w:sz w:val="20"/>
          <w:szCs w:val="20"/>
          <w:lang w:val="es-ES" w:eastAsia="en-US"/>
        </w:rPr>
        <w:t>ó incluir</w:t>
      </w:r>
      <w:r w:rsidR="003A58AF" w:rsidRPr="00975C02">
        <w:rPr>
          <w:rFonts w:cstheme="minorBidi"/>
          <w:sz w:val="20"/>
          <w:szCs w:val="20"/>
          <w:lang w:val="es-ES" w:eastAsia="en-US"/>
        </w:rPr>
        <w:t xml:space="preserve"> la conclusión referente al análisis realizado respecto de la violación al artículo 5</w:t>
      </w:r>
      <w:r w:rsidR="00FB1B5A" w:rsidRPr="00975C02">
        <w:rPr>
          <w:rFonts w:cstheme="minorBidi"/>
          <w:sz w:val="20"/>
          <w:szCs w:val="20"/>
          <w:lang w:val="es-ES" w:eastAsia="en-US"/>
        </w:rPr>
        <w:t>.1 de la Convención</w:t>
      </w:r>
      <w:r w:rsidR="003A58AF" w:rsidRPr="00975C02">
        <w:rPr>
          <w:rFonts w:cstheme="minorBidi"/>
          <w:sz w:val="20"/>
          <w:szCs w:val="20"/>
          <w:lang w:val="es-ES" w:eastAsia="en-US"/>
        </w:rPr>
        <w:t xml:space="preserve"> en perjuicio de los hermanos de V.R.P.</w:t>
      </w:r>
      <w:r w:rsidR="008610E9" w:rsidRPr="00975C02">
        <w:rPr>
          <w:rFonts w:cstheme="minorBidi"/>
          <w:sz w:val="20"/>
          <w:szCs w:val="20"/>
          <w:lang w:val="es-ES" w:eastAsia="en-US"/>
        </w:rPr>
        <w:t xml:space="preserve"> Para la Corte, esta falta de precisión</w:t>
      </w:r>
      <w:r w:rsidR="003A58AF" w:rsidRPr="00975C02">
        <w:rPr>
          <w:rFonts w:cstheme="minorBidi"/>
          <w:sz w:val="20"/>
          <w:szCs w:val="20"/>
          <w:lang w:val="es-ES" w:eastAsia="en-US"/>
        </w:rPr>
        <w:t xml:space="preserve"> no puede ser entendida en detrimento del examen realizado en el apartado correspondiente y la conclusión expresa contenida en los párrafos 153 y 154</w:t>
      </w:r>
      <w:r w:rsidR="008610E9" w:rsidRPr="00975C02">
        <w:rPr>
          <w:rFonts w:cstheme="minorBidi"/>
          <w:sz w:val="20"/>
          <w:szCs w:val="20"/>
          <w:lang w:val="es-ES" w:eastAsia="en-US"/>
        </w:rPr>
        <w:t xml:space="preserve">, toda vez </w:t>
      </w:r>
      <w:r w:rsidR="00185D43" w:rsidRPr="00975C02">
        <w:rPr>
          <w:rFonts w:cstheme="minorBidi"/>
          <w:sz w:val="20"/>
          <w:szCs w:val="20"/>
          <w:lang w:val="es-ES" w:eastAsia="en-US"/>
        </w:rPr>
        <w:t xml:space="preserve">que el escrito de sometimiento así como el informe de fondo deben ser leídos y entendidos de manera integral. </w:t>
      </w:r>
      <w:r w:rsidR="00270756" w:rsidRPr="00975C02">
        <w:rPr>
          <w:rFonts w:cstheme="minorBidi"/>
          <w:sz w:val="20"/>
          <w:szCs w:val="20"/>
          <w:lang w:val="es-ES" w:eastAsia="en-US"/>
        </w:rPr>
        <w:t>De es</w:t>
      </w:r>
      <w:r w:rsidR="003F3A48" w:rsidRPr="00975C02">
        <w:rPr>
          <w:rFonts w:cstheme="minorBidi"/>
          <w:sz w:val="20"/>
          <w:szCs w:val="20"/>
          <w:lang w:val="es-ES" w:eastAsia="en-US"/>
        </w:rPr>
        <w:t>t</w:t>
      </w:r>
      <w:r w:rsidR="00270756" w:rsidRPr="00975C02">
        <w:rPr>
          <w:rFonts w:cstheme="minorBidi"/>
          <w:sz w:val="20"/>
          <w:szCs w:val="20"/>
          <w:lang w:val="es-ES" w:eastAsia="en-US"/>
        </w:rPr>
        <w:t xml:space="preserve">e modo, </w:t>
      </w:r>
      <w:r w:rsidR="006543DF" w:rsidRPr="00975C02">
        <w:rPr>
          <w:rFonts w:cstheme="minorBidi"/>
          <w:sz w:val="20"/>
          <w:szCs w:val="20"/>
          <w:lang w:val="es-ES" w:eastAsia="en-US"/>
        </w:rPr>
        <w:t>la Corte concluye que</w:t>
      </w:r>
      <w:r w:rsidR="00D116A8" w:rsidRPr="00975C02">
        <w:rPr>
          <w:rFonts w:cstheme="minorBidi"/>
          <w:sz w:val="20"/>
          <w:szCs w:val="20"/>
          <w:lang w:val="es-ES" w:eastAsia="en-US"/>
        </w:rPr>
        <w:t>, en las circunstancias de este caso,</w:t>
      </w:r>
      <w:r w:rsidR="006543DF" w:rsidRPr="00975C02">
        <w:rPr>
          <w:rFonts w:cstheme="minorBidi"/>
          <w:sz w:val="20"/>
          <w:szCs w:val="20"/>
          <w:lang w:val="es-ES" w:eastAsia="en-US"/>
        </w:rPr>
        <w:t xml:space="preserve"> </w:t>
      </w:r>
      <w:r w:rsidR="00270756" w:rsidRPr="00975C02">
        <w:rPr>
          <w:rFonts w:cstheme="minorBidi"/>
          <w:sz w:val="20"/>
          <w:szCs w:val="20"/>
          <w:lang w:val="es-ES" w:eastAsia="en-US"/>
        </w:rPr>
        <w:t xml:space="preserve">el Informe de Fondo </w:t>
      </w:r>
      <w:r w:rsidR="00A84F03" w:rsidRPr="00975C02">
        <w:rPr>
          <w:rFonts w:eastAsia="Verdana" w:cs="Verdana"/>
          <w:sz w:val="20"/>
          <w:szCs w:val="20"/>
          <w:lang w:val="es-ES"/>
        </w:rPr>
        <w:t xml:space="preserve">No. 4/16 </w:t>
      </w:r>
      <w:r w:rsidR="00154484" w:rsidRPr="00975C02">
        <w:rPr>
          <w:rFonts w:cstheme="minorBidi"/>
          <w:sz w:val="20"/>
          <w:szCs w:val="20"/>
          <w:lang w:val="es-ES" w:eastAsia="en-US"/>
        </w:rPr>
        <w:t>individualizó de forma suficiente</w:t>
      </w:r>
      <w:r w:rsidR="0014352D" w:rsidRPr="00975C02">
        <w:rPr>
          <w:rFonts w:cstheme="minorBidi"/>
          <w:sz w:val="20"/>
          <w:szCs w:val="20"/>
          <w:lang w:val="es-ES" w:eastAsia="en-US"/>
        </w:rPr>
        <w:t xml:space="preserve">mente precisa </w:t>
      </w:r>
      <w:r w:rsidR="00270756" w:rsidRPr="00975C02">
        <w:rPr>
          <w:rFonts w:cstheme="minorBidi"/>
          <w:sz w:val="20"/>
          <w:szCs w:val="20"/>
          <w:lang w:val="es-ES" w:eastAsia="en-US"/>
        </w:rPr>
        <w:t xml:space="preserve">como presuntas víctimas </w:t>
      </w:r>
      <w:r w:rsidR="00B230DF" w:rsidRPr="00975C02">
        <w:rPr>
          <w:rFonts w:cstheme="minorBidi"/>
          <w:sz w:val="20"/>
          <w:szCs w:val="20"/>
          <w:lang w:val="es-ES" w:eastAsia="en-US"/>
        </w:rPr>
        <w:t>a</w:t>
      </w:r>
      <w:r w:rsidR="00270756" w:rsidRPr="00975C02">
        <w:rPr>
          <w:rFonts w:cstheme="minorBidi"/>
          <w:sz w:val="20"/>
          <w:szCs w:val="20"/>
          <w:lang w:val="es-ES" w:eastAsia="en-US"/>
        </w:rPr>
        <w:t xml:space="preserve"> </w:t>
      </w:r>
      <w:r w:rsidR="002E1EE5" w:rsidRPr="00975C02">
        <w:rPr>
          <w:rFonts w:cstheme="minorBidi"/>
          <w:sz w:val="20"/>
          <w:szCs w:val="20"/>
          <w:lang w:val="es-ES" w:eastAsia="en-US"/>
        </w:rPr>
        <w:t xml:space="preserve">N.R.P., </w:t>
      </w:r>
      <w:r w:rsidR="00270756" w:rsidRPr="00975C02">
        <w:rPr>
          <w:rFonts w:cstheme="minorBidi"/>
          <w:sz w:val="20"/>
          <w:szCs w:val="20"/>
          <w:lang w:val="es-ES" w:eastAsia="en-US"/>
        </w:rPr>
        <w:t>H.</w:t>
      </w:r>
      <w:r w:rsidR="00AE5370" w:rsidRPr="00975C02">
        <w:rPr>
          <w:rFonts w:cstheme="minorBidi"/>
          <w:sz w:val="20"/>
          <w:szCs w:val="20"/>
          <w:lang w:val="es-ES" w:eastAsia="en-US"/>
        </w:rPr>
        <w:t>J.</w:t>
      </w:r>
      <w:r w:rsidR="00270756" w:rsidRPr="00975C02">
        <w:rPr>
          <w:rFonts w:cstheme="minorBidi"/>
          <w:sz w:val="20"/>
          <w:szCs w:val="20"/>
          <w:lang w:val="es-ES" w:eastAsia="en-US"/>
        </w:rPr>
        <w:t>R.P</w:t>
      </w:r>
      <w:r w:rsidR="00AE5370" w:rsidRPr="00975C02">
        <w:rPr>
          <w:rFonts w:cstheme="minorBidi"/>
          <w:sz w:val="20"/>
          <w:szCs w:val="20"/>
          <w:lang w:val="es-ES" w:eastAsia="en-US"/>
        </w:rPr>
        <w:t>.</w:t>
      </w:r>
      <w:r w:rsidR="002E1EE5" w:rsidRPr="00975C02">
        <w:rPr>
          <w:rFonts w:cstheme="minorBidi"/>
          <w:sz w:val="20"/>
          <w:szCs w:val="20"/>
          <w:lang w:val="es-ES" w:eastAsia="en-US"/>
        </w:rPr>
        <w:t xml:space="preserve"> y</w:t>
      </w:r>
      <w:r w:rsidR="00270756" w:rsidRPr="00975C02">
        <w:rPr>
          <w:rFonts w:cstheme="minorBidi"/>
          <w:sz w:val="20"/>
          <w:szCs w:val="20"/>
          <w:lang w:val="es-ES" w:eastAsia="en-US"/>
        </w:rPr>
        <w:t xml:space="preserve"> V.</w:t>
      </w:r>
      <w:r w:rsidR="00AE5370" w:rsidRPr="00975C02">
        <w:rPr>
          <w:rFonts w:cstheme="minorBidi"/>
          <w:sz w:val="20"/>
          <w:szCs w:val="20"/>
          <w:lang w:val="es-ES" w:eastAsia="en-US"/>
        </w:rPr>
        <w:t>A.</w:t>
      </w:r>
      <w:r w:rsidR="00270756" w:rsidRPr="00975C02">
        <w:rPr>
          <w:rFonts w:cstheme="minorBidi"/>
          <w:sz w:val="20"/>
          <w:szCs w:val="20"/>
          <w:lang w:val="es-ES" w:eastAsia="en-US"/>
        </w:rPr>
        <w:t>R.P</w:t>
      </w:r>
      <w:r w:rsidR="00D52FE3" w:rsidRPr="00975C02">
        <w:rPr>
          <w:rFonts w:cstheme="minorBidi"/>
          <w:sz w:val="20"/>
          <w:szCs w:val="20"/>
          <w:lang w:val="es-ES" w:eastAsia="en-US"/>
        </w:rPr>
        <w:t>.</w:t>
      </w:r>
      <w:r w:rsidR="00270756" w:rsidRPr="00975C02">
        <w:rPr>
          <w:rFonts w:cstheme="minorBidi"/>
          <w:sz w:val="20"/>
          <w:szCs w:val="20"/>
          <w:lang w:val="es-ES" w:eastAsia="en-US"/>
        </w:rPr>
        <w:t>, alegándose respecto de ellos la presunta violación d</w:t>
      </w:r>
      <w:r w:rsidR="00736402" w:rsidRPr="00975C02">
        <w:rPr>
          <w:rFonts w:cstheme="minorBidi"/>
          <w:sz w:val="20"/>
          <w:szCs w:val="20"/>
          <w:lang w:val="es-ES" w:eastAsia="en-US"/>
        </w:rPr>
        <w:t>el artículo 5</w:t>
      </w:r>
      <w:r w:rsidR="00FB1B5A" w:rsidRPr="00975C02">
        <w:rPr>
          <w:rFonts w:cstheme="minorBidi"/>
          <w:sz w:val="20"/>
          <w:szCs w:val="20"/>
          <w:lang w:val="es-ES" w:eastAsia="en-US"/>
        </w:rPr>
        <w:t>.1</w:t>
      </w:r>
      <w:r w:rsidR="00736402" w:rsidRPr="00975C02">
        <w:rPr>
          <w:rFonts w:cstheme="minorBidi"/>
          <w:sz w:val="20"/>
          <w:szCs w:val="20"/>
          <w:lang w:val="es-ES" w:eastAsia="en-US"/>
        </w:rPr>
        <w:t xml:space="preserve"> de la Convención.</w:t>
      </w:r>
    </w:p>
    <w:p w14:paraId="206832CE" w14:textId="77777777" w:rsidR="00270756" w:rsidRPr="00975C02" w:rsidRDefault="00270756" w:rsidP="001C7E37">
      <w:pPr>
        <w:widowControl/>
        <w:tabs>
          <w:tab w:val="left" w:pos="567"/>
        </w:tabs>
        <w:adjustRightInd/>
        <w:spacing w:line="240" w:lineRule="auto"/>
        <w:textAlignment w:val="auto"/>
        <w:rPr>
          <w:rFonts w:cstheme="minorBidi"/>
          <w:b/>
          <w:i/>
          <w:sz w:val="20"/>
          <w:szCs w:val="20"/>
          <w:lang w:val="es-ES" w:eastAsia="en-US"/>
        </w:rPr>
      </w:pPr>
    </w:p>
    <w:p w14:paraId="5871CD9E" w14:textId="10D7CBF6" w:rsidR="00270756" w:rsidRPr="00975C02" w:rsidRDefault="00270756" w:rsidP="00C8070B">
      <w:pPr>
        <w:numPr>
          <w:ilvl w:val="0"/>
          <w:numId w:val="2"/>
        </w:numPr>
        <w:tabs>
          <w:tab w:val="left" w:pos="567"/>
          <w:tab w:val="num" w:pos="12305"/>
        </w:tabs>
        <w:spacing w:line="240" w:lineRule="auto"/>
        <w:ind w:left="0" w:firstLine="0"/>
        <w:rPr>
          <w:rFonts w:cstheme="minorBidi"/>
          <w:b/>
          <w:i/>
          <w:sz w:val="20"/>
          <w:szCs w:val="20"/>
          <w:lang w:val="es-ES" w:eastAsia="en-US"/>
        </w:rPr>
      </w:pPr>
      <w:r w:rsidRPr="00975C02">
        <w:rPr>
          <w:rFonts w:cstheme="minorBidi"/>
          <w:sz w:val="20"/>
          <w:szCs w:val="20"/>
          <w:lang w:val="es-ES" w:eastAsia="en-US"/>
        </w:rPr>
        <w:t xml:space="preserve">Por lo expuesto, la Corte </w:t>
      </w:r>
      <w:r w:rsidR="00D37922" w:rsidRPr="00975C02">
        <w:rPr>
          <w:sz w:val="20"/>
          <w:szCs w:val="20"/>
          <w:lang w:val="es-ES"/>
        </w:rPr>
        <w:t>considerará como presuntas víctimas en el presente caso a aquellas personas identificadas e individualizadas por la Comisión, esto es, a</w:t>
      </w:r>
      <w:r w:rsidR="00D37922" w:rsidRPr="00975C02">
        <w:rPr>
          <w:rFonts w:cstheme="minorBidi"/>
          <w:sz w:val="20"/>
          <w:szCs w:val="20"/>
          <w:lang w:val="es-ES" w:eastAsia="en-US"/>
        </w:rPr>
        <w:t xml:space="preserve"> </w:t>
      </w:r>
      <w:r w:rsidRPr="00975C02">
        <w:rPr>
          <w:rFonts w:cstheme="minorBidi"/>
          <w:sz w:val="20"/>
          <w:szCs w:val="20"/>
          <w:lang w:val="es-ES" w:eastAsia="en-US"/>
        </w:rPr>
        <w:t>V.R.P</w:t>
      </w:r>
      <w:r w:rsidR="00AE5370" w:rsidRPr="00975C02">
        <w:rPr>
          <w:rFonts w:cstheme="minorBidi"/>
          <w:sz w:val="20"/>
          <w:szCs w:val="20"/>
          <w:lang w:val="es-ES" w:eastAsia="en-US"/>
        </w:rPr>
        <w:t>.</w:t>
      </w:r>
      <w:r w:rsidRPr="00975C02">
        <w:rPr>
          <w:rFonts w:cstheme="minorBidi"/>
          <w:sz w:val="20"/>
          <w:szCs w:val="20"/>
          <w:lang w:val="es-ES" w:eastAsia="en-US"/>
        </w:rPr>
        <w:t xml:space="preserve"> y V.P.C</w:t>
      </w:r>
      <w:r w:rsidR="00AE5370" w:rsidRPr="00975C02">
        <w:rPr>
          <w:rFonts w:cstheme="minorBidi"/>
          <w:sz w:val="20"/>
          <w:szCs w:val="20"/>
          <w:lang w:val="es-ES" w:eastAsia="en-US"/>
        </w:rPr>
        <w:t>.</w:t>
      </w:r>
      <w:r w:rsidRPr="00975C02">
        <w:rPr>
          <w:rFonts w:cstheme="minorBidi"/>
          <w:sz w:val="20"/>
          <w:szCs w:val="20"/>
          <w:lang w:val="es-ES" w:eastAsia="en-US"/>
        </w:rPr>
        <w:t xml:space="preserve">, así </w:t>
      </w:r>
      <w:r w:rsidR="003C418D" w:rsidRPr="00975C02">
        <w:rPr>
          <w:rFonts w:cstheme="minorBidi"/>
          <w:sz w:val="20"/>
          <w:szCs w:val="20"/>
          <w:lang w:val="es-ES" w:eastAsia="en-US"/>
        </w:rPr>
        <w:t xml:space="preserve">como </w:t>
      </w:r>
      <w:r w:rsidR="00D37922" w:rsidRPr="00975C02">
        <w:rPr>
          <w:rFonts w:cstheme="minorBidi"/>
          <w:sz w:val="20"/>
          <w:szCs w:val="20"/>
          <w:lang w:val="es-ES" w:eastAsia="en-US"/>
        </w:rPr>
        <w:t>a</w:t>
      </w:r>
      <w:r w:rsidRPr="00975C02">
        <w:rPr>
          <w:rFonts w:cstheme="minorBidi"/>
          <w:sz w:val="20"/>
          <w:szCs w:val="20"/>
          <w:lang w:val="es-ES" w:eastAsia="en-US"/>
        </w:rPr>
        <w:t xml:space="preserve"> </w:t>
      </w:r>
      <w:r w:rsidR="002E1EE5" w:rsidRPr="00975C02">
        <w:rPr>
          <w:rFonts w:cstheme="minorBidi"/>
          <w:sz w:val="20"/>
          <w:szCs w:val="20"/>
          <w:lang w:val="es-ES" w:eastAsia="en-US"/>
        </w:rPr>
        <w:t xml:space="preserve">N.R.P., </w:t>
      </w:r>
      <w:r w:rsidRPr="00975C02">
        <w:rPr>
          <w:rFonts w:cstheme="minorBidi"/>
          <w:sz w:val="20"/>
          <w:szCs w:val="20"/>
          <w:lang w:val="es-ES" w:eastAsia="en-US"/>
        </w:rPr>
        <w:t>H.</w:t>
      </w:r>
      <w:r w:rsidR="00AE5370" w:rsidRPr="00975C02">
        <w:rPr>
          <w:rFonts w:cstheme="minorBidi"/>
          <w:sz w:val="20"/>
          <w:szCs w:val="20"/>
          <w:lang w:val="es-ES" w:eastAsia="en-US"/>
        </w:rPr>
        <w:t>J.</w:t>
      </w:r>
      <w:r w:rsidRPr="00975C02">
        <w:rPr>
          <w:rFonts w:cstheme="minorBidi"/>
          <w:sz w:val="20"/>
          <w:szCs w:val="20"/>
          <w:lang w:val="es-ES" w:eastAsia="en-US"/>
        </w:rPr>
        <w:t>R.P</w:t>
      </w:r>
      <w:r w:rsidR="00AE5370" w:rsidRPr="00975C02">
        <w:rPr>
          <w:rFonts w:cstheme="minorBidi"/>
          <w:sz w:val="20"/>
          <w:szCs w:val="20"/>
          <w:lang w:val="es-ES" w:eastAsia="en-US"/>
        </w:rPr>
        <w:t>.</w:t>
      </w:r>
      <w:r w:rsidR="002E1EE5" w:rsidRPr="00975C02">
        <w:rPr>
          <w:rFonts w:cstheme="minorBidi"/>
          <w:sz w:val="20"/>
          <w:szCs w:val="20"/>
          <w:lang w:val="es-ES" w:eastAsia="en-US"/>
        </w:rPr>
        <w:t xml:space="preserve"> y</w:t>
      </w:r>
      <w:r w:rsidRPr="00975C02">
        <w:rPr>
          <w:rFonts w:cstheme="minorBidi"/>
          <w:sz w:val="20"/>
          <w:szCs w:val="20"/>
          <w:lang w:val="es-ES" w:eastAsia="en-US"/>
        </w:rPr>
        <w:t xml:space="preserve"> V.</w:t>
      </w:r>
      <w:r w:rsidR="00AE5370" w:rsidRPr="00975C02">
        <w:rPr>
          <w:rFonts w:cstheme="minorBidi"/>
          <w:sz w:val="20"/>
          <w:szCs w:val="20"/>
          <w:lang w:val="es-ES" w:eastAsia="en-US"/>
        </w:rPr>
        <w:t>A.</w:t>
      </w:r>
      <w:r w:rsidRPr="00975C02">
        <w:rPr>
          <w:rFonts w:cstheme="minorBidi"/>
          <w:sz w:val="20"/>
          <w:szCs w:val="20"/>
          <w:lang w:val="es-ES" w:eastAsia="en-US"/>
        </w:rPr>
        <w:t>R.P</w:t>
      </w:r>
      <w:r w:rsidR="00AE5370" w:rsidRPr="00975C02">
        <w:rPr>
          <w:rFonts w:cstheme="minorBidi"/>
          <w:sz w:val="20"/>
          <w:szCs w:val="20"/>
          <w:lang w:val="es-ES" w:eastAsia="en-US"/>
        </w:rPr>
        <w:t>.</w:t>
      </w:r>
    </w:p>
    <w:p w14:paraId="20EA1CDD" w14:textId="77777777" w:rsidR="00270756" w:rsidRPr="00975C02" w:rsidRDefault="00270756" w:rsidP="001C7E37">
      <w:pPr>
        <w:widowControl/>
        <w:tabs>
          <w:tab w:val="left" w:pos="567"/>
        </w:tabs>
        <w:adjustRightInd/>
        <w:spacing w:line="240" w:lineRule="auto"/>
        <w:textAlignment w:val="auto"/>
        <w:rPr>
          <w:rFonts w:cstheme="minorBidi"/>
          <w:b/>
          <w:i/>
          <w:sz w:val="20"/>
          <w:szCs w:val="20"/>
          <w:lang w:val="es-ES" w:eastAsia="en-US"/>
        </w:rPr>
      </w:pPr>
    </w:p>
    <w:p w14:paraId="5062046E" w14:textId="77777777" w:rsidR="00270756" w:rsidRPr="00975C02" w:rsidRDefault="00270756" w:rsidP="003B445C">
      <w:pPr>
        <w:keepNext/>
        <w:keepLines/>
        <w:tabs>
          <w:tab w:val="left" w:pos="1134"/>
        </w:tabs>
        <w:spacing w:line="240" w:lineRule="auto"/>
        <w:ind w:left="567" w:firstLine="1"/>
        <w:outlineLvl w:val="1"/>
        <w:rPr>
          <w:rFonts w:eastAsia="MS Mincho"/>
          <w:b/>
          <w:bCs/>
          <w:i/>
          <w:sz w:val="20"/>
          <w:szCs w:val="20"/>
          <w:lang w:val="es-ES"/>
        </w:rPr>
      </w:pPr>
      <w:bookmarkStart w:id="66" w:name="_Toc514172606"/>
      <w:r w:rsidRPr="00975C02">
        <w:rPr>
          <w:rFonts w:eastAsia="MS Mincho"/>
          <w:b/>
          <w:bCs/>
          <w:i/>
          <w:sz w:val="20"/>
          <w:szCs w:val="20"/>
          <w:lang w:val="es-ES"/>
        </w:rPr>
        <w:t>B.</w:t>
      </w:r>
      <w:r w:rsidRPr="00975C02">
        <w:rPr>
          <w:rFonts w:eastAsia="MS Mincho"/>
          <w:b/>
          <w:bCs/>
          <w:i/>
          <w:sz w:val="20"/>
          <w:szCs w:val="20"/>
          <w:lang w:val="es-ES"/>
        </w:rPr>
        <w:tab/>
        <w:t>Otras violaciones de derechos humanos alegadas por la</w:t>
      </w:r>
      <w:r w:rsidR="003B445C" w:rsidRPr="00975C02">
        <w:rPr>
          <w:rFonts w:eastAsia="MS Mincho"/>
          <w:b/>
          <w:bCs/>
          <w:i/>
          <w:sz w:val="20"/>
          <w:szCs w:val="20"/>
          <w:lang w:val="es-ES"/>
        </w:rPr>
        <w:t>s</w:t>
      </w:r>
      <w:r w:rsidRPr="00975C02">
        <w:rPr>
          <w:rFonts w:eastAsia="MS Mincho"/>
          <w:b/>
          <w:bCs/>
          <w:i/>
          <w:sz w:val="20"/>
          <w:szCs w:val="20"/>
          <w:lang w:val="es-ES"/>
        </w:rPr>
        <w:t xml:space="preserve"> representante</w:t>
      </w:r>
      <w:r w:rsidR="003B445C" w:rsidRPr="00975C02">
        <w:rPr>
          <w:rFonts w:eastAsia="MS Mincho"/>
          <w:b/>
          <w:bCs/>
          <w:i/>
          <w:sz w:val="20"/>
          <w:szCs w:val="20"/>
          <w:lang w:val="es-ES"/>
        </w:rPr>
        <w:t>s</w:t>
      </w:r>
      <w:bookmarkEnd w:id="66"/>
    </w:p>
    <w:p w14:paraId="5B50C800" w14:textId="77777777" w:rsidR="00397EF6" w:rsidRPr="00975C02" w:rsidRDefault="00397EF6" w:rsidP="001C7E37">
      <w:pPr>
        <w:widowControl/>
        <w:adjustRightInd/>
        <w:spacing w:line="240" w:lineRule="auto"/>
        <w:textAlignment w:val="auto"/>
        <w:rPr>
          <w:rFonts w:eastAsiaTheme="minorHAnsi" w:cstheme="minorBidi"/>
          <w:sz w:val="20"/>
          <w:szCs w:val="20"/>
          <w:lang w:val="es-ES" w:eastAsia="en-US"/>
        </w:rPr>
      </w:pPr>
    </w:p>
    <w:p w14:paraId="45159240" w14:textId="77777777" w:rsidR="007A37EF" w:rsidRPr="00975C02" w:rsidRDefault="007A37EF" w:rsidP="007A37EF">
      <w:pPr>
        <w:pStyle w:val="Heading2"/>
        <w:tabs>
          <w:tab w:val="left" w:pos="1843"/>
        </w:tabs>
        <w:spacing w:before="0" w:line="240" w:lineRule="auto"/>
        <w:ind w:left="1134"/>
        <w:rPr>
          <w:rFonts w:ascii="Verdana" w:hAnsi="Verdana"/>
          <w:b w:val="0"/>
          <w:i/>
          <w:color w:val="auto"/>
          <w:sz w:val="20"/>
          <w:szCs w:val="20"/>
          <w:lang w:val="es-ES"/>
        </w:rPr>
      </w:pPr>
      <w:bookmarkStart w:id="67" w:name="_Toc514172607"/>
      <w:r w:rsidRPr="00975C02">
        <w:rPr>
          <w:rFonts w:ascii="Verdana" w:hAnsi="Verdana"/>
          <w:b w:val="0"/>
          <w:i/>
          <w:color w:val="auto"/>
          <w:sz w:val="20"/>
          <w:szCs w:val="20"/>
          <w:lang w:val="es-ES"/>
        </w:rPr>
        <w:t xml:space="preserve">B.1 </w:t>
      </w:r>
      <w:r w:rsidRPr="00975C02">
        <w:rPr>
          <w:rFonts w:ascii="Verdana" w:hAnsi="Verdana"/>
          <w:b w:val="0"/>
          <w:i/>
          <w:color w:val="auto"/>
          <w:sz w:val="20"/>
          <w:szCs w:val="20"/>
          <w:lang w:val="es-ES"/>
        </w:rPr>
        <w:tab/>
        <w:t>Alegatos del Estado y observaciones de la Comisión y las representantes</w:t>
      </w:r>
      <w:bookmarkEnd w:id="67"/>
    </w:p>
    <w:p w14:paraId="67986A74" w14:textId="77777777" w:rsidR="007A37EF" w:rsidRPr="00975C02" w:rsidRDefault="007A37EF" w:rsidP="001C7E37">
      <w:pPr>
        <w:widowControl/>
        <w:adjustRightInd/>
        <w:spacing w:line="240" w:lineRule="auto"/>
        <w:textAlignment w:val="auto"/>
        <w:rPr>
          <w:rFonts w:eastAsiaTheme="minorHAnsi" w:cstheme="minorBidi"/>
          <w:sz w:val="20"/>
          <w:szCs w:val="20"/>
          <w:lang w:val="es-ES" w:eastAsia="en-US"/>
        </w:rPr>
      </w:pPr>
    </w:p>
    <w:p w14:paraId="5D38CFBC" w14:textId="658B0F1E" w:rsidR="00270756" w:rsidRPr="00975C02" w:rsidRDefault="00270756" w:rsidP="00C8070B">
      <w:pPr>
        <w:numPr>
          <w:ilvl w:val="0"/>
          <w:numId w:val="2"/>
        </w:numPr>
        <w:tabs>
          <w:tab w:val="left" w:pos="567"/>
          <w:tab w:val="num" w:pos="12305"/>
        </w:tabs>
        <w:spacing w:line="240" w:lineRule="auto"/>
        <w:ind w:left="0" w:firstLine="0"/>
        <w:rPr>
          <w:rFonts w:cstheme="minorBidi"/>
          <w:sz w:val="20"/>
          <w:szCs w:val="20"/>
          <w:lang w:val="es-ES" w:eastAsia="en-US"/>
        </w:rPr>
      </w:pPr>
      <w:r w:rsidRPr="00975C02">
        <w:rPr>
          <w:rFonts w:cstheme="minorBidi"/>
          <w:sz w:val="20"/>
          <w:szCs w:val="20"/>
          <w:lang w:val="es-ES" w:eastAsia="en-US"/>
        </w:rPr>
        <w:t xml:space="preserve">El </w:t>
      </w:r>
      <w:r w:rsidRPr="00975C02">
        <w:rPr>
          <w:rFonts w:cstheme="minorBidi"/>
          <w:b/>
          <w:i/>
          <w:sz w:val="20"/>
          <w:szCs w:val="20"/>
          <w:lang w:val="es-ES" w:eastAsia="en-US"/>
        </w:rPr>
        <w:t>Estado</w:t>
      </w:r>
      <w:r w:rsidRPr="00975C02">
        <w:rPr>
          <w:rFonts w:cstheme="minorBidi"/>
          <w:sz w:val="20"/>
          <w:szCs w:val="20"/>
          <w:lang w:val="es-ES" w:eastAsia="en-US"/>
        </w:rPr>
        <w:t xml:space="preserve"> discrep</w:t>
      </w:r>
      <w:r w:rsidR="00E9481C" w:rsidRPr="00975C02">
        <w:rPr>
          <w:rFonts w:cstheme="minorBidi"/>
          <w:sz w:val="20"/>
          <w:szCs w:val="20"/>
          <w:lang w:val="es-ES" w:eastAsia="en-US"/>
        </w:rPr>
        <w:t>ó</w:t>
      </w:r>
      <w:r w:rsidRPr="00975C02">
        <w:rPr>
          <w:rFonts w:cstheme="minorBidi"/>
          <w:sz w:val="20"/>
          <w:szCs w:val="20"/>
          <w:lang w:val="es-ES" w:eastAsia="en-US"/>
        </w:rPr>
        <w:t xml:space="preserve"> con lo planteado por las representantes</w:t>
      </w:r>
      <w:r w:rsidR="00E9481C" w:rsidRPr="00975C02">
        <w:rPr>
          <w:rFonts w:cstheme="minorBidi"/>
          <w:sz w:val="20"/>
          <w:szCs w:val="20"/>
          <w:lang w:val="es-ES" w:eastAsia="en-US"/>
        </w:rPr>
        <w:t xml:space="preserve"> sobre</w:t>
      </w:r>
      <w:r w:rsidRPr="00975C02">
        <w:rPr>
          <w:rFonts w:cstheme="minorBidi"/>
          <w:sz w:val="20"/>
          <w:szCs w:val="20"/>
          <w:lang w:val="es-ES" w:eastAsia="en-US"/>
        </w:rPr>
        <w:t xml:space="preserve"> la violación de derechos humanos no presentados por la Comisión. </w:t>
      </w:r>
      <w:r w:rsidR="00E9481C" w:rsidRPr="00975C02">
        <w:rPr>
          <w:rFonts w:cstheme="minorBidi"/>
          <w:sz w:val="20"/>
          <w:szCs w:val="20"/>
          <w:lang w:val="es-ES" w:eastAsia="en-US"/>
        </w:rPr>
        <w:t>S</w:t>
      </w:r>
      <w:r w:rsidRPr="00975C02">
        <w:rPr>
          <w:rFonts w:cstheme="minorBidi"/>
          <w:sz w:val="20"/>
          <w:szCs w:val="20"/>
          <w:lang w:val="es-ES" w:eastAsia="en-US"/>
        </w:rPr>
        <w:t xml:space="preserve">ostuvo que </w:t>
      </w:r>
      <w:r w:rsidR="005A1724" w:rsidRPr="00975C02">
        <w:rPr>
          <w:rFonts w:cstheme="minorBidi"/>
          <w:sz w:val="20"/>
          <w:szCs w:val="20"/>
          <w:lang w:val="es-ES" w:eastAsia="en-US"/>
        </w:rPr>
        <w:t>se</w:t>
      </w:r>
      <w:r w:rsidRPr="00975C02">
        <w:rPr>
          <w:rFonts w:cstheme="minorBidi"/>
          <w:sz w:val="20"/>
          <w:szCs w:val="20"/>
          <w:lang w:val="es-ES" w:eastAsia="en-US"/>
        </w:rPr>
        <w:t xml:space="preserve"> vulner</w:t>
      </w:r>
      <w:r w:rsidR="00E9481C" w:rsidRPr="00975C02">
        <w:rPr>
          <w:rFonts w:cstheme="minorBidi"/>
          <w:sz w:val="20"/>
          <w:szCs w:val="20"/>
          <w:lang w:val="es-ES" w:eastAsia="en-US"/>
        </w:rPr>
        <w:t>ó</w:t>
      </w:r>
      <w:r w:rsidRPr="00975C02">
        <w:rPr>
          <w:rFonts w:cstheme="minorBidi"/>
          <w:sz w:val="20"/>
          <w:szCs w:val="20"/>
          <w:lang w:val="es-ES" w:eastAsia="en-US"/>
        </w:rPr>
        <w:t xml:space="preserve"> el principio de buena fe procesal al haberse alegado </w:t>
      </w:r>
      <w:r w:rsidR="00E9481C" w:rsidRPr="00975C02">
        <w:rPr>
          <w:rFonts w:cstheme="minorBidi"/>
          <w:sz w:val="20"/>
          <w:szCs w:val="20"/>
          <w:lang w:val="es-ES" w:eastAsia="en-US"/>
        </w:rPr>
        <w:t xml:space="preserve">en relación con la presunta víctima V.R.P. </w:t>
      </w:r>
      <w:r w:rsidRPr="00975C02">
        <w:rPr>
          <w:rFonts w:cstheme="minorBidi"/>
          <w:sz w:val="20"/>
          <w:szCs w:val="20"/>
          <w:lang w:val="es-ES" w:eastAsia="en-US"/>
        </w:rPr>
        <w:t>violaciones de los artículos 1.1, 8.1, 17.1, 22.1 y 25.1 de la Convención Americana; de los artículos 1, 2, 4.b</w:t>
      </w:r>
      <w:r w:rsidR="00E9481C" w:rsidRPr="00975C02">
        <w:rPr>
          <w:rFonts w:cstheme="minorBidi"/>
          <w:sz w:val="20"/>
          <w:szCs w:val="20"/>
          <w:lang w:val="es-ES" w:eastAsia="en-US"/>
        </w:rPr>
        <w:t xml:space="preserve"> y</w:t>
      </w:r>
      <w:r w:rsidRPr="00975C02">
        <w:rPr>
          <w:rFonts w:cstheme="minorBidi"/>
          <w:sz w:val="20"/>
          <w:szCs w:val="20"/>
          <w:lang w:val="es-ES" w:eastAsia="en-US"/>
        </w:rPr>
        <w:t xml:space="preserve"> 4.g de la Convención de </w:t>
      </w:r>
      <w:r w:rsidRPr="00975C02">
        <w:rPr>
          <w:rFonts w:cstheme="minorBidi"/>
          <w:sz w:val="20"/>
          <w:szCs w:val="20"/>
          <w:lang w:val="es-ES" w:eastAsia="en-US"/>
        </w:rPr>
        <w:lastRenderedPageBreak/>
        <w:t>Belé</w:t>
      </w:r>
      <w:r w:rsidR="005A1724" w:rsidRPr="00975C02">
        <w:rPr>
          <w:rFonts w:cstheme="minorBidi"/>
          <w:sz w:val="20"/>
          <w:szCs w:val="20"/>
          <w:lang w:val="es-ES" w:eastAsia="en-US"/>
        </w:rPr>
        <w:t>m</w:t>
      </w:r>
      <w:r w:rsidRPr="00975C02">
        <w:rPr>
          <w:rFonts w:cstheme="minorBidi"/>
          <w:sz w:val="20"/>
          <w:szCs w:val="20"/>
          <w:lang w:val="es-ES" w:eastAsia="en-US"/>
        </w:rPr>
        <w:t xml:space="preserve"> do Pará</w:t>
      </w:r>
      <w:r w:rsidR="00E9481C" w:rsidRPr="00975C02">
        <w:rPr>
          <w:rFonts w:cstheme="minorBidi"/>
          <w:sz w:val="20"/>
          <w:szCs w:val="20"/>
          <w:lang w:val="es-ES" w:eastAsia="en-US"/>
        </w:rPr>
        <w:t>, así como</w:t>
      </w:r>
      <w:r w:rsidRPr="00975C02">
        <w:rPr>
          <w:rFonts w:cstheme="minorBidi"/>
          <w:sz w:val="20"/>
          <w:szCs w:val="20"/>
          <w:lang w:val="es-ES" w:eastAsia="en-US"/>
        </w:rPr>
        <w:t xml:space="preserve"> de los artículos 2.1, 3.1. y 2, 4, 16, 24.1 y 2 de la Convención sobre los </w:t>
      </w:r>
      <w:r w:rsidR="005A1724" w:rsidRPr="00975C02">
        <w:rPr>
          <w:rFonts w:cstheme="minorBidi"/>
          <w:sz w:val="20"/>
          <w:szCs w:val="20"/>
          <w:lang w:val="es-ES" w:eastAsia="en-US"/>
        </w:rPr>
        <w:t>D</w:t>
      </w:r>
      <w:r w:rsidRPr="00975C02">
        <w:rPr>
          <w:rFonts w:cstheme="minorBidi"/>
          <w:sz w:val="20"/>
          <w:szCs w:val="20"/>
          <w:lang w:val="es-ES" w:eastAsia="en-US"/>
        </w:rPr>
        <w:t xml:space="preserve">erechos del </w:t>
      </w:r>
      <w:r w:rsidR="005A1724" w:rsidRPr="00975C02">
        <w:rPr>
          <w:rFonts w:cstheme="minorBidi"/>
          <w:sz w:val="20"/>
          <w:szCs w:val="20"/>
          <w:lang w:val="es-ES" w:eastAsia="en-US"/>
        </w:rPr>
        <w:t>N</w:t>
      </w:r>
      <w:r w:rsidRPr="00975C02">
        <w:rPr>
          <w:rFonts w:cstheme="minorBidi"/>
          <w:sz w:val="20"/>
          <w:szCs w:val="20"/>
          <w:lang w:val="es-ES" w:eastAsia="en-US"/>
        </w:rPr>
        <w:t>iño</w:t>
      </w:r>
      <w:r w:rsidR="00E9481C" w:rsidRPr="00975C02">
        <w:rPr>
          <w:rFonts w:cstheme="minorBidi"/>
          <w:sz w:val="20"/>
          <w:szCs w:val="20"/>
          <w:lang w:val="es-ES" w:eastAsia="en-US"/>
        </w:rPr>
        <w:t>.</w:t>
      </w:r>
      <w:r w:rsidRPr="00975C02">
        <w:rPr>
          <w:rFonts w:cstheme="minorBidi"/>
          <w:sz w:val="20"/>
          <w:szCs w:val="20"/>
          <w:lang w:val="es-ES" w:eastAsia="en-US"/>
        </w:rPr>
        <w:t xml:space="preserve"> </w:t>
      </w:r>
      <w:r w:rsidR="00E9481C" w:rsidRPr="00975C02">
        <w:rPr>
          <w:rFonts w:cstheme="minorBidi"/>
          <w:sz w:val="20"/>
          <w:szCs w:val="20"/>
          <w:lang w:val="es-ES" w:eastAsia="en-US"/>
        </w:rPr>
        <w:t xml:space="preserve">Señaló </w:t>
      </w:r>
      <w:r w:rsidR="00BA5087" w:rsidRPr="00975C02">
        <w:rPr>
          <w:rFonts w:cstheme="minorBidi"/>
          <w:sz w:val="20"/>
          <w:szCs w:val="20"/>
          <w:lang w:val="es-ES" w:eastAsia="en-US"/>
        </w:rPr>
        <w:t xml:space="preserve">lo mismo </w:t>
      </w:r>
      <w:r w:rsidR="00E9481C" w:rsidRPr="00975C02">
        <w:rPr>
          <w:rFonts w:cstheme="minorBidi"/>
          <w:sz w:val="20"/>
          <w:szCs w:val="20"/>
          <w:lang w:val="es-ES" w:eastAsia="en-US"/>
        </w:rPr>
        <w:t xml:space="preserve">en relación con V.P.C. </w:t>
      </w:r>
      <w:r w:rsidR="00BA5087" w:rsidRPr="00975C02">
        <w:rPr>
          <w:rFonts w:cstheme="minorBidi"/>
          <w:sz w:val="20"/>
          <w:szCs w:val="20"/>
          <w:lang w:val="es-ES" w:eastAsia="en-US"/>
        </w:rPr>
        <w:t>respecto de</w:t>
      </w:r>
      <w:r w:rsidRPr="00975C02">
        <w:rPr>
          <w:rFonts w:cstheme="minorBidi"/>
          <w:sz w:val="20"/>
          <w:szCs w:val="20"/>
          <w:lang w:val="es-ES" w:eastAsia="en-US"/>
        </w:rPr>
        <w:t xml:space="preserve"> la </w:t>
      </w:r>
      <w:r w:rsidR="00BA5087" w:rsidRPr="00975C02">
        <w:rPr>
          <w:rFonts w:cstheme="minorBidi"/>
          <w:sz w:val="20"/>
          <w:szCs w:val="20"/>
          <w:lang w:val="es-ES" w:eastAsia="en-US"/>
        </w:rPr>
        <w:t xml:space="preserve">alegada </w:t>
      </w:r>
      <w:r w:rsidRPr="00975C02">
        <w:rPr>
          <w:rFonts w:cstheme="minorBidi"/>
          <w:sz w:val="20"/>
          <w:szCs w:val="20"/>
          <w:lang w:val="es-ES" w:eastAsia="en-US"/>
        </w:rPr>
        <w:t>violación de los artículos 5.1, 8, 11,</w:t>
      </w:r>
      <w:r w:rsidR="00E9481C" w:rsidRPr="00975C02">
        <w:rPr>
          <w:rFonts w:cstheme="minorBidi"/>
          <w:sz w:val="20"/>
          <w:szCs w:val="20"/>
          <w:lang w:val="es-ES" w:eastAsia="en-US"/>
        </w:rPr>
        <w:t xml:space="preserve"> 12.1,</w:t>
      </w:r>
      <w:r w:rsidRPr="00975C02">
        <w:rPr>
          <w:rFonts w:cstheme="minorBidi"/>
          <w:sz w:val="20"/>
          <w:szCs w:val="20"/>
          <w:lang w:val="es-ES" w:eastAsia="en-US"/>
        </w:rPr>
        <w:t xml:space="preserve"> 24 y 25 de la Convención Americana en relación con el artículo 1.1 de la misma, y </w:t>
      </w:r>
      <w:r w:rsidR="00E9481C" w:rsidRPr="00975C02">
        <w:rPr>
          <w:rFonts w:cstheme="minorBidi"/>
          <w:sz w:val="20"/>
          <w:szCs w:val="20"/>
          <w:lang w:val="es-ES" w:eastAsia="en-US"/>
        </w:rPr>
        <w:t xml:space="preserve">de </w:t>
      </w:r>
      <w:r w:rsidRPr="00975C02">
        <w:rPr>
          <w:rFonts w:cstheme="minorBidi"/>
          <w:sz w:val="20"/>
          <w:szCs w:val="20"/>
          <w:lang w:val="es-ES" w:eastAsia="en-US"/>
        </w:rPr>
        <w:t>los artículos 4</w:t>
      </w:r>
      <w:r w:rsidR="00BA5087" w:rsidRPr="00975C02">
        <w:rPr>
          <w:rFonts w:cstheme="minorBidi"/>
          <w:sz w:val="20"/>
          <w:szCs w:val="20"/>
          <w:lang w:val="es-ES" w:eastAsia="en-US"/>
        </w:rPr>
        <w:t>.g</w:t>
      </w:r>
      <w:r w:rsidR="001B7AE0" w:rsidRPr="00975C02">
        <w:rPr>
          <w:rFonts w:cstheme="minorBidi"/>
          <w:sz w:val="20"/>
          <w:szCs w:val="20"/>
          <w:lang w:val="es-ES" w:eastAsia="en-US"/>
        </w:rPr>
        <w:t>)</w:t>
      </w:r>
      <w:r w:rsidRPr="00975C02">
        <w:rPr>
          <w:rFonts w:cstheme="minorBidi"/>
          <w:sz w:val="20"/>
          <w:szCs w:val="20"/>
          <w:lang w:val="es-ES" w:eastAsia="en-US"/>
        </w:rPr>
        <w:t xml:space="preserve"> y </w:t>
      </w:r>
      <w:r w:rsidR="00BA5087" w:rsidRPr="00975C02">
        <w:rPr>
          <w:rFonts w:cstheme="minorBidi"/>
          <w:sz w:val="20"/>
          <w:szCs w:val="20"/>
          <w:lang w:val="es-ES" w:eastAsia="en-US"/>
        </w:rPr>
        <w:t>7.b</w:t>
      </w:r>
      <w:r w:rsidR="001B7AE0" w:rsidRPr="00975C02">
        <w:rPr>
          <w:rFonts w:cstheme="minorBidi"/>
          <w:sz w:val="20"/>
          <w:szCs w:val="20"/>
          <w:lang w:val="es-ES" w:eastAsia="en-US"/>
        </w:rPr>
        <w:t>)</w:t>
      </w:r>
      <w:r w:rsidRPr="00975C02">
        <w:rPr>
          <w:rFonts w:cstheme="minorBidi"/>
          <w:sz w:val="20"/>
          <w:szCs w:val="20"/>
          <w:lang w:val="es-ES" w:eastAsia="en-US"/>
        </w:rPr>
        <w:t xml:space="preserve"> de la Convención de Belém do Pará;</w:t>
      </w:r>
      <w:r w:rsidR="00E9481C" w:rsidRPr="00975C02">
        <w:rPr>
          <w:rFonts w:cstheme="minorBidi"/>
          <w:sz w:val="20"/>
          <w:szCs w:val="20"/>
          <w:lang w:val="es-ES" w:eastAsia="en-US"/>
        </w:rPr>
        <w:t xml:space="preserve"> así como también</w:t>
      </w:r>
      <w:r w:rsidRPr="00975C02">
        <w:rPr>
          <w:rFonts w:cstheme="minorBidi"/>
          <w:sz w:val="20"/>
          <w:szCs w:val="20"/>
          <w:lang w:val="es-ES" w:eastAsia="en-US"/>
        </w:rPr>
        <w:t xml:space="preserve"> </w:t>
      </w:r>
      <w:r w:rsidR="006C3FC8" w:rsidRPr="00975C02">
        <w:rPr>
          <w:rFonts w:cstheme="minorBidi"/>
          <w:sz w:val="20"/>
          <w:szCs w:val="20"/>
          <w:lang w:val="es-ES" w:eastAsia="en-US"/>
        </w:rPr>
        <w:t xml:space="preserve">con respecto a los hermanos de la presunta víctima, </w:t>
      </w:r>
      <w:r w:rsidRPr="00975C02">
        <w:rPr>
          <w:rFonts w:cstheme="minorBidi"/>
          <w:sz w:val="20"/>
          <w:szCs w:val="20"/>
          <w:lang w:val="es-ES" w:eastAsia="en-US"/>
        </w:rPr>
        <w:t xml:space="preserve">la violación de los artículos 5.1 y 11 de la Convención Americana en relación </w:t>
      </w:r>
      <w:r w:rsidR="00E9481C" w:rsidRPr="00975C02">
        <w:rPr>
          <w:rFonts w:cstheme="minorBidi"/>
          <w:sz w:val="20"/>
          <w:szCs w:val="20"/>
          <w:lang w:val="es-ES" w:eastAsia="en-US"/>
        </w:rPr>
        <w:t>con e</w:t>
      </w:r>
      <w:r w:rsidRPr="00975C02">
        <w:rPr>
          <w:rFonts w:cstheme="minorBidi"/>
          <w:sz w:val="20"/>
          <w:szCs w:val="20"/>
          <w:lang w:val="es-ES" w:eastAsia="en-US"/>
        </w:rPr>
        <w:t xml:space="preserve">l artículo 1.1 de la misma, </w:t>
      </w:r>
      <w:r w:rsidR="00BA5087" w:rsidRPr="00975C02">
        <w:rPr>
          <w:rFonts w:cstheme="minorBidi"/>
          <w:sz w:val="20"/>
          <w:szCs w:val="20"/>
          <w:lang w:val="es-ES" w:eastAsia="en-US"/>
        </w:rPr>
        <w:t>todos los cuales no habrían sido alegados</w:t>
      </w:r>
      <w:r w:rsidRPr="00975C02">
        <w:rPr>
          <w:rFonts w:cstheme="minorBidi"/>
          <w:sz w:val="20"/>
          <w:szCs w:val="20"/>
          <w:lang w:val="es-ES" w:eastAsia="en-US"/>
        </w:rPr>
        <w:t xml:space="preserve"> durante el trámite del caso, ni ante la Comisión ni </w:t>
      </w:r>
      <w:r w:rsidR="00BA5087" w:rsidRPr="00975C02">
        <w:rPr>
          <w:rFonts w:cstheme="minorBidi"/>
          <w:sz w:val="20"/>
          <w:szCs w:val="20"/>
          <w:lang w:val="es-ES" w:eastAsia="en-US"/>
        </w:rPr>
        <w:t>ante la Corte</w:t>
      </w:r>
      <w:r w:rsidRPr="00975C02">
        <w:rPr>
          <w:rFonts w:cstheme="minorBidi"/>
          <w:sz w:val="20"/>
          <w:szCs w:val="20"/>
          <w:lang w:val="es-ES" w:eastAsia="en-US"/>
        </w:rPr>
        <w:t>.</w:t>
      </w:r>
      <w:r w:rsidR="00FB0046" w:rsidRPr="00975C02">
        <w:rPr>
          <w:rFonts w:cstheme="minorBidi"/>
          <w:sz w:val="20"/>
          <w:szCs w:val="20"/>
          <w:lang w:val="es-ES" w:eastAsia="en-US"/>
        </w:rPr>
        <w:t xml:space="preserve"> </w:t>
      </w:r>
      <w:r w:rsidR="006C3FC8" w:rsidRPr="00975C02">
        <w:rPr>
          <w:rFonts w:cstheme="minorBidi"/>
          <w:sz w:val="20"/>
          <w:szCs w:val="20"/>
          <w:lang w:val="es-ES" w:eastAsia="en-US"/>
        </w:rPr>
        <w:t>E</w:t>
      </w:r>
      <w:r w:rsidRPr="00975C02">
        <w:rPr>
          <w:rFonts w:cstheme="minorBidi"/>
          <w:sz w:val="20"/>
          <w:szCs w:val="20"/>
          <w:lang w:val="es-ES" w:eastAsia="en-US"/>
        </w:rPr>
        <w:t>l Estado sostuvo que esas invocaciones de nuevas presuntas violaciones constituyen un cambio evidente de la postura original de la peticionaria y sus representantes respecto del Informe de Fondo de la Comisión, lo que</w:t>
      </w:r>
      <w:r w:rsidR="006C3FC8" w:rsidRPr="00975C02">
        <w:rPr>
          <w:rFonts w:cstheme="minorBidi"/>
          <w:sz w:val="20"/>
          <w:szCs w:val="20"/>
          <w:lang w:val="es-ES" w:eastAsia="en-US"/>
        </w:rPr>
        <w:t xml:space="preserve"> a su criterio</w:t>
      </w:r>
      <w:r w:rsidRPr="00975C02">
        <w:rPr>
          <w:rFonts w:cstheme="minorBidi"/>
          <w:sz w:val="20"/>
          <w:szCs w:val="20"/>
          <w:lang w:val="es-ES" w:eastAsia="en-US"/>
        </w:rPr>
        <w:t xml:space="preserve"> “constituye una afectación directa al proceso en el </w:t>
      </w:r>
      <w:r w:rsidR="006C3FC8" w:rsidRPr="00975C02">
        <w:rPr>
          <w:rFonts w:cstheme="minorBidi"/>
          <w:sz w:val="20"/>
          <w:szCs w:val="20"/>
          <w:lang w:val="es-ES" w:eastAsia="en-US"/>
        </w:rPr>
        <w:t>[</w:t>
      </w:r>
      <w:r w:rsidRPr="00975C02">
        <w:rPr>
          <w:rFonts w:cstheme="minorBidi"/>
          <w:sz w:val="20"/>
          <w:szCs w:val="20"/>
          <w:lang w:val="es-ES" w:eastAsia="en-US"/>
        </w:rPr>
        <w:t>s</w:t>
      </w:r>
      <w:r w:rsidR="006C3FC8" w:rsidRPr="00975C02">
        <w:rPr>
          <w:rFonts w:cstheme="minorBidi"/>
          <w:sz w:val="20"/>
          <w:szCs w:val="20"/>
          <w:lang w:val="es-ES" w:eastAsia="en-US"/>
        </w:rPr>
        <w:t>]</w:t>
      </w:r>
      <w:r w:rsidRPr="00975C02">
        <w:rPr>
          <w:rFonts w:cstheme="minorBidi"/>
          <w:sz w:val="20"/>
          <w:szCs w:val="20"/>
          <w:lang w:val="es-ES" w:eastAsia="en-US"/>
        </w:rPr>
        <w:t xml:space="preserve">istema </w:t>
      </w:r>
      <w:r w:rsidR="006C3FC8" w:rsidRPr="00975C02">
        <w:rPr>
          <w:rFonts w:cstheme="minorBidi"/>
          <w:sz w:val="20"/>
          <w:szCs w:val="20"/>
          <w:lang w:val="es-ES" w:eastAsia="en-US"/>
        </w:rPr>
        <w:t>[</w:t>
      </w:r>
      <w:r w:rsidRPr="00975C02">
        <w:rPr>
          <w:rFonts w:cstheme="minorBidi"/>
          <w:sz w:val="20"/>
          <w:szCs w:val="20"/>
          <w:lang w:val="es-ES" w:eastAsia="en-US"/>
        </w:rPr>
        <w:t>i</w:t>
      </w:r>
      <w:r w:rsidR="006C3FC8" w:rsidRPr="00975C02">
        <w:rPr>
          <w:rFonts w:cstheme="minorBidi"/>
          <w:sz w:val="20"/>
          <w:szCs w:val="20"/>
          <w:lang w:val="es-ES" w:eastAsia="en-US"/>
        </w:rPr>
        <w:t>]</w:t>
      </w:r>
      <w:r w:rsidRPr="00975C02">
        <w:rPr>
          <w:rFonts w:cstheme="minorBidi"/>
          <w:sz w:val="20"/>
          <w:szCs w:val="20"/>
          <w:lang w:val="es-ES" w:eastAsia="en-US"/>
        </w:rPr>
        <w:t>nteramericano, una violación al derecho defensa y una violación a la seguridad jurídica”. Por ello, el Estado solicit</w:t>
      </w:r>
      <w:r w:rsidR="00BA5087" w:rsidRPr="00975C02">
        <w:rPr>
          <w:rFonts w:cstheme="minorBidi"/>
          <w:sz w:val="20"/>
          <w:szCs w:val="20"/>
          <w:lang w:val="es-ES" w:eastAsia="en-US"/>
        </w:rPr>
        <w:t xml:space="preserve">ó a la Corte que no admitiera </w:t>
      </w:r>
      <w:r w:rsidR="006C3FC8" w:rsidRPr="00975C02">
        <w:rPr>
          <w:rFonts w:cstheme="minorBidi"/>
          <w:sz w:val="20"/>
          <w:szCs w:val="20"/>
          <w:lang w:val="es-ES" w:eastAsia="en-US"/>
        </w:rPr>
        <w:t xml:space="preserve">el análisis de </w:t>
      </w:r>
      <w:r w:rsidR="00BA5087" w:rsidRPr="00975C02">
        <w:rPr>
          <w:rFonts w:cstheme="minorBidi"/>
          <w:sz w:val="20"/>
          <w:szCs w:val="20"/>
          <w:lang w:val="es-ES" w:eastAsia="en-US"/>
        </w:rPr>
        <w:t>dichas disposiciones</w:t>
      </w:r>
      <w:r w:rsidR="00C61410" w:rsidRPr="00975C02">
        <w:rPr>
          <w:rFonts w:cstheme="minorBidi"/>
          <w:sz w:val="20"/>
          <w:szCs w:val="20"/>
          <w:lang w:val="es-ES" w:eastAsia="en-US"/>
        </w:rPr>
        <w:t xml:space="preserve"> en el caso</w:t>
      </w:r>
      <w:r w:rsidRPr="00975C02">
        <w:rPr>
          <w:rFonts w:cstheme="minorBidi"/>
          <w:sz w:val="20"/>
          <w:szCs w:val="20"/>
          <w:lang w:val="es-ES" w:eastAsia="en-US"/>
        </w:rPr>
        <w:t>.</w:t>
      </w:r>
    </w:p>
    <w:p w14:paraId="67865934" w14:textId="77777777" w:rsidR="00270756" w:rsidRPr="00975C02" w:rsidRDefault="00270756" w:rsidP="001C7E37">
      <w:pPr>
        <w:widowControl/>
        <w:tabs>
          <w:tab w:val="left" w:pos="0"/>
          <w:tab w:val="left" w:pos="567"/>
        </w:tabs>
        <w:adjustRightInd/>
        <w:spacing w:line="240" w:lineRule="auto"/>
        <w:textAlignment w:val="auto"/>
        <w:rPr>
          <w:rFonts w:cstheme="minorBidi"/>
          <w:sz w:val="20"/>
          <w:szCs w:val="20"/>
          <w:lang w:val="es-ES" w:eastAsia="en-US"/>
        </w:rPr>
      </w:pPr>
    </w:p>
    <w:p w14:paraId="28190E09" w14:textId="1A93A0A5" w:rsidR="00270756" w:rsidRPr="00975C02" w:rsidRDefault="00270756" w:rsidP="00C8070B">
      <w:pPr>
        <w:numPr>
          <w:ilvl w:val="0"/>
          <w:numId w:val="2"/>
        </w:numPr>
        <w:tabs>
          <w:tab w:val="left" w:pos="567"/>
          <w:tab w:val="num" w:pos="12305"/>
        </w:tabs>
        <w:spacing w:line="240" w:lineRule="auto"/>
        <w:ind w:left="0" w:firstLine="0"/>
        <w:rPr>
          <w:rFonts w:cstheme="minorBidi"/>
          <w:sz w:val="20"/>
          <w:szCs w:val="20"/>
          <w:lang w:val="es-ES" w:eastAsia="en-US"/>
        </w:rPr>
      </w:pPr>
      <w:r w:rsidRPr="00975C02">
        <w:rPr>
          <w:rFonts w:cstheme="minorBidi"/>
          <w:sz w:val="20"/>
          <w:szCs w:val="20"/>
          <w:lang w:val="es-ES" w:eastAsia="en-US"/>
        </w:rPr>
        <w:t xml:space="preserve">Las </w:t>
      </w:r>
      <w:r w:rsidRPr="00975C02">
        <w:rPr>
          <w:rFonts w:cstheme="minorBidi"/>
          <w:b/>
          <w:i/>
          <w:sz w:val="20"/>
          <w:szCs w:val="20"/>
          <w:lang w:val="es-ES" w:eastAsia="en-US"/>
        </w:rPr>
        <w:t>representantes</w:t>
      </w:r>
      <w:r w:rsidRPr="00975C02">
        <w:rPr>
          <w:rFonts w:cstheme="minorBidi"/>
          <w:sz w:val="20"/>
          <w:szCs w:val="20"/>
          <w:lang w:val="es-ES" w:eastAsia="en-US"/>
        </w:rPr>
        <w:t xml:space="preserve"> afirmaron que, con base en el artículo 40 del Reglamento de la Corte, el escrito de solicitudes, argumentos y pruebas constituye un escrito autónomo e independiente de las alegaciones del </w:t>
      </w:r>
      <w:r w:rsidR="000F2E4C" w:rsidRPr="00975C02">
        <w:rPr>
          <w:rFonts w:cstheme="minorBidi"/>
          <w:sz w:val="20"/>
          <w:szCs w:val="20"/>
          <w:lang w:val="es-ES" w:eastAsia="en-US"/>
        </w:rPr>
        <w:t>informe de fondo</w:t>
      </w:r>
      <w:r w:rsidRPr="00975C02">
        <w:rPr>
          <w:rFonts w:cstheme="minorBidi"/>
          <w:sz w:val="20"/>
          <w:szCs w:val="20"/>
          <w:lang w:val="es-ES" w:eastAsia="en-US"/>
        </w:rPr>
        <w:t xml:space="preserve"> presentado por la Comisión, por medio del cual se pueden incorporar nuevas violaciones a derechos siempre y cuando estén contemplados dentro del marco fáctico fijado por la Comisión. </w:t>
      </w:r>
      <w:r w:rsidR="000C506F" w:rsidRPr="00975C02">
        <w:rPr>
          <w:rFonts w:cstheme="minorBidi"/>
          <w:sz w:val="20"/>
          <w:szCs w:val="20"/>
          <w:lang w:val="es-ES" w:eastAsia="en-US"/>
        </w:rPr>
        <w:t>A</w:t>
      </w:r>
      <w:r w:rsidRPr="00975C02">
        <w:rPr>
          <w:rFonts w:cstheme="minorBidi"/>
          <w:sz w:val="20"/>
          <w:szCs w:val="20"/>
          <w:lang w:val="es-ES" w:eastAsia="en-US"/>
        </w:rPr>
        <w:t>gregaron</w:t>
      </w:r>
      <w:r w:rsidR="000C506F" w:rsidRPr="00975C02">
        <w:rPr>
          <w:rFonts w:cstheme="minorBidi"/>
          <w:sz w:val="20"/>
          <w:szCs w:val="20"/>
          <w:lang w:val="es-ES" w:eastAsia="en-US"/>
        </w:rPr>
        <w:t xml:space="preserve"> que, en el presente caso, </w:t>
      </w:r>
      <w:r w:rsidRPr="00975C02">
        <w:rPr>
          <w:rFonts w:cstheme="minorBidi"/>
          <w:sz w:val="20"/>
          <w:szCs w:val="20"/>
          <w:lang w:val="es-ES" w:eastAsia="en-US"/>
        </w:rPr>
        <w:t xml:space="preserve">todas las violaciones descriptas se encuentran contempladas dentro del marco fáctico. </w:t>
      </w:r>
      <w:r w:rsidR="000C506F" w:rsidRPr="00975C02">
        <w:rPr>
          <w:rFonts w:cstheme="minorBidi"/>
          <w:sz w:val="20"/>
          <w:szCs w:val="20"/>
          <w:lang w:val="es-ES" w:eastAsia="en-US"/>
        </w:rPr>
        <w:t>Entendieron que, p</w:t>
      </w:r>
      <w:r w:rsidRPr="00975C02">
        <w:rPr>
          <w:rFonts w:cstheme="minorBidi"/>
          <w:sz w:val="20"/>
          <w:szCs w:val="20"/>
          <w:lang w:val="es-ES" w:eastAsia="en-US"/>
        </w:rPr>
        <w:t xml:space="preserve">or ese motivo, sí es posible la inclusión de derechos no contemplados en el </w:t>
      </w:r>
      <w:r w:rsidR="000C506F" w:rsidRPr="00975C02">
        <w:rPr>
          <w:rFonts w:cstheme="minorBidi"/>
          <w:sz w:val="20"/>
          <w:szCs w:val="20"/>
          <w:lang w:val="es-ES" w:eastAsia="en-US"/>
        </w:rPr>
        <w:t>I</w:t>
      </w:r>
      <w:r w:rsidRPr="00975C02">
        <w:rPr>
          <w:rFonts w:cstheme="minorBidi"/>
          <w:sz w:val="20"/>
          <w:szCs w:val="20"/>
          <w:lang w:val="es-ES" w:eastAsia="en-US"/>
        </w:rPr>
        <w:t xml:space="preserve">nforme de </w:t>
      </w:r>
      <w:r w:rsidR="000C506F" w:rsidRPr="00975C02">
        <w:rPr>
          <w:rFonts w:cstheme="minorBidi"/>
          <w:sz w:val="20"/>
          <w:szCs w:val="20"/>
          <w:lang w:val="es-ES" w:eastAsia="en-US"/>
        </w:rPr>
        <w:t>F</w:t>
      </w:r>
      <w:r w:rsidRPr="00975C02">
        <w:rPr>
          <w:rFonts w:cstheme="minorBidi"/>
          <w:sz w:val="20"/>
          <w:szCs w:val="20"/>
          <w:lang w:val="es-ES" w:eastAsia="en-US"/>
        </w:rPr>
        <w:t>ondo en virtud de que las violaciones y vejámenes sufridos por V.P.C</w:t>
      </w:r>
      <w:r w:rsidR="00FB0046" w:rsidRPr="00975C02">
        <w:rPr>
          <w:rFonts w:cstheme="minorBidi"/>
          <w:sz w:val="20"/>
          <w:szCs w:val="20"/>
          <w:lang w:val="es-ES" w:eastAsia="en-US"/>
        </w:rPr>
        <w:t>.</w:t>
      </w:r>
      <w:r w:rsidRPr="00975C02">
        <w:rPr>
          <w:rFonts w:cstheme="minorBidi"/>
          <w:sz w:val="20"/>
          <w:szCs w:val="20"/>
          <w:lang w:val="es-ES" w:eastAsia="en-US"/>
        </w:rPr>
        <w:t xml:space="preserve"> y V.R.P</w:t>
      </w:r>
      <w:r w:rsidR="00FB0046" w:rsidRPr="00975C02">
        <w:rPr>
          <w:rFonts w:cstheme="minorBidi"/>
          <w:sz w:val="20"/>
          <w:szCs w:val="20"/>
          <w:lang w:val="es-ES" w:eastAsia="en-US"/>
        </w:rPr>
        <w:t>.</w:t>
      </w:r>
      <w:r w:rsidRPr="00975C02">
        <w:rPr>
          <w:rFonts w:cstheme="minorBidi"/>
          <w:sz w:val="20"/>
          <w:szCs w:val="20"/>
          <w:lang w:val="es-ES" w:eastAsia="en-US"/>
        </w:rPr>
        <w:t xml:space="preserve">, </w:t>
      </w:r>
      <w:r w:rsidR="000C506F" w:rsidRPr="00975C02">
        <w:rPr>
          <w:rFonts w:cstheme="minorBidi"/>
          <w:sz w:val="20"/>
          <w:szCs w:val="20"/>
          <w:lang w:val="es-ES" w:eastAsia="en-US"/>
        </w:rPr>
        <w:t xml:space="preserve">los cuales fueron </w:t>
      </w:r>
      <w:r w:rsidRPr="00975C02">
        <w:rPr>
          <w:rFonts w:cstheme="minorBidi"/>
          <w:sz w:val="20"/>
          <w:szCs w:val="20"/>
          <w:lang w:val="es-ES" w:eastAsia="en-US"/>
        </w:rPr>
        <w:t xml:space="preserve">descritos en el marco fáctico del </w:t>
      </w:r>
      <w:r w:rsidR="000F2E4C" w:rsidRPr="00975C02">
        <w:rPr>
          <w:rFonts w:cstheme="minorBidi"/>
          <w:sz w:val="20"/>
          <w:szCs w:val="20"/>
          <w:lang w:val="es-ES" w:eastAsia="en-US"/>
        </w:rPr>
        <w:t>caso</w:t>
      </w:r>
      <w:r w:rsidR="000C506F" w:rsidRPr="00975C02">
        <w:rPr>
          <w:rFonts w:cstheme="minorBidi"/>
          <w:sz w:val="20"/>
          <w:szCs w:val="20"/>
          <w:lang w:val="es-ES" w:eastAsia="en-US"/>
        </w:rPr>
        <w:t>,</w:t>
      </w:r>
      <w:r w:rsidRPr="00975C02">
        <w:rPr>
          <w:rFonts w:cstheme="minorBidi"/>
          <w:sz w:val="20"/>
          <w:szCs w:val="20"/>
          <w:lang w:val="es-ES" w:eastAsia="en-US"/>
        </w:rPr>
        <w:t xml:space="preserve"> tuvieron consecuencias ulteriores. En efecto, las representantes concluyeron que en el presente caso “han planteado algunas vulneraciones a derechos de las presuntas víctimas, pero siempre en el marco de los hechos indicados por la Comisión”</w:t>
      </w:r>
      <w:r w:rsidR="00241E31" w:rsidRPr="00975C02">
        <w:rPr>
          <w:rFonts w:cstheme="minorBidi"/>
          <w:sz w:val="20"/>
          <w:szCs w:val="20"/>
          <w:lang w:val="es-ES" w:eastAsia="en-US"/>
        </w:rPr>
        <w:t>.</w:t>
      </w:r>
    </w:p>
    <w:p w14:paraId="643C498E" w14:textId="77777777" w:rsidR="00270756" w:rsidRPr="00975C02" w:rsidRDefault="00270756" w:rsidP="001C7E37">
      <w:pPr>
        <w:widowControl/>
        <w:tabs>
          <w:tab w:val="left" w:pos="0"/>
          <w:tab w:val="left" w:pos="567"/>
        </w:tabs>
        <w:adjustRightInd/>
        <w:spacing w:line="240" w:lineRule="auto"/>
        <w:textAlignment w:val="auto"/>
        <w:rPr>
          <w:rFonts w:cstheme="minorBidi"/>
          <w:sz w:val="20"/>
          <w:szCs w:val="20"/>
          <w:lang w:val="es-ES" w:eastAsia="en-US"/>
        </w:rPr>
      </w:pPr>
    </w:p>
    <w:p w14:paraId="77DEC811" w14:textId="77777777" w:rsidR="00270756" w:rsidRPr="00975C02" w:rsidRDefault="00270756" w:rsidP="00C8070B">
      <w:pPr>
        <w:numPr>
          <w:ilvl w:val="0"/>
          <w:numId w:val="2"/>
        </w:numPr>
        <w:tabs>
          <w:tab w:val="left" w:pos="567"/>
          <w:tab w:val="num" w:pos="12305"/>
        </w:tabs>
        <w:spacing w:line="240" w:lineRule="auto"/>
        <w:ind w:left="0" w:firstLine="0"/>
        <w:rPr>
          <w:rFonts w:cstheme="minorBidi"/>
          <w:sz w:val="20"/>
          <w:szCs w:val="20"/>
          <w:lang w:val="es-ES" w:eastAsia="en-US"/>
        </w:rPr>
      </w:pPr>
      <w:r w:rsidRPr="00975C02">
        <w:rPr>
          <w:rFonts w:cstheme="minorBidi"/>
          <w:sz w:val="20"/>
          <w:szCs w:val="20"/>
          <w:lang w:val="es-ES" w:eastAsia="en-US"/>
        </w:rPr>
        <w:t xml:space="preserve">La </w:t>
      </w:r>
      <w:r w:rsidRPr="00975C02">
        <w:rPr>
          <w:rFonts w:cstheme="minorBidi"/>
          <w:b/>
          <w:i/>
          <w:sz w:val="20"/>
          <w:szCs w:val="20"/>
          <w:lang w:val="es-ES" w:eastAsia="en-US"/>
        </w:rPr>
        <w:t>Comisión</w:t>
      </w:r>
      <w:r w:rsidRPr="00975C02">
        <w:rPr>
          <w:rFonts w:cstheme="minorBidi"/>
          <w:sz w:val="20"/>
          <w:szCs w:val="20"/>
          <w:lang w:val="es-ES" w:eastAsia="en-US"/>
        </w:rPr>
        <w:t xml:space="preserve"> no se </w:t>
      </w:r>
      <w:r w:rsidR="00280724" w:rsidRPr="00975C02">
        <w:rPr>
          <w:rFonts w:cstheme="minorBidi"/>
          <w:sz w:val="20"/>
          <w:szCs w:val="20"/>
          <w:lang w:val="es-ES" w:eastAsia="en-US"/>
        </w:rPr>
        <w:t>pronunció</w:t>
      </w:r>
      <w:r w:rsidRPr="00975C02">
        <w:rPr>
          <w:rFonts w:cstheme="minorBidi"/>
          <w:sz w:val="20"/>
          <w:szCs w:val="20"/>
          <w:lang w:val="es-ES" w:eastAsia="en-US"/>
        </w:rPr>
        <w:t xml:space="preserve"> al respecto.</w:t>
      </w:r>
    </w:p>
    <w:p w14:paraId="38AE1B34" w14:textId="77777777" w:rsidR="00270756" w:rsidRPr="00975C02" w:rsidRDefault="00270756" w:rsidP="001C7E37">
      <w:pPr>
        <w:widowControl/>
        <w:tabs>
          <w:tab w:val="left" w:pos="0"/>
          <w:tab w:val="left" w:pos="567"/>
        </w:tabs>
        <w:adjustRightInd/>
        <w:spacing w:line="240" w:lineRule="auto"/>
        <w:textAlignment w:val="auto"/>
        <w:rPr>
          <w:rFonts w:cstheme="minorBidi"/>
          <w:sz w:val="20"/>
          <w:szCs w:val="20"/>
          <w:lang w:val="es-ES" w:eastAsia="en-US"/>
        </w:rPr>
      </w:pPr>
    </w:p>
    <w:p w14:paraId="0A566A71" w14:textId="77777777" w:rsidR="007A37EF" w:rsidRPr="00975C02" w:rsidRDefault="007A37EF" w:rsidP="007A37EF">
      <w:pPr>
        <w:pStyle w:val="Heading2"/>
        <w:tabs>
          <w:tab w:val="left" w:pos="1843"/>
        </w:tabs>
        <w:spacing w:before="0" w:line="240" w:lineRule="auto"/>
        <w:ind w:left="1134"/>
        <w:rPr>
          <w:rFonts w:ascii="Verdana" w:hAnsi="Verdana"/>
          <w:b w:val="0"/>
          <w:i/>
          <w:color w:val="auto"/>
          <w:sz w:val="20"/>
          <w:szCs w:val="20"/>
          <w:lang w:val="es-ES"/>
        </w:rPr>
      </w:pPr>
      <w:bookmarkStart w:id="68" w:name="_Toc514172608"/>
      <w:r w:rsidRPr="00975C02">
        <w:rPr>
          <w:rFonts w:ascii="Verdana" w:hAnsi="Verdana"/>
          <w:b w:val="0"/>
          <w:i/>
          <w:color w:val="auto"/>
          <w:sz w:val="20"/>
          <w:szCs w:val="20"/>
          <w:lang w:val="es-ES"/>
        </w:rPr>
        <w:t xml:space="preserve">B.2 </w:t>
      </w:r>
      <w:r w:rsidRPr="00975C02">
        <w:rPr>
          <w:rFonts w:ascii="Verdana" w:hAnsi="Verdana"/>
          <w:b w:val="0"/>
          <w:i/>
          <w:color w:val="auto"/>
          <w:sz w:val="20"/>
          <w:szCs w:val="20"/>
          <w:lang w:val="es-ES"/>
        </w:rPr>
        <w:tab/>
        <w:t>Consideraciones de la Corte</w:t>
      </w:r>
      <w:bookmarkEnd w:id="68"/>
    </w:p>
    <w:p w14:paraId="303E2EA5" w14:textId="77777777" w:rsidR="007A37EF" w:rsidRPr="00975C02" w:rsidRDefault="007A37EF" w:rsidP="001C7E37">
      <w:pPr>
        <w:widowControl/>
        <w:tabs>
          <w:tab w:val="left" w:pos="0"/>
          <w:tab w:val="left" w:pos="567"/>
        </w:tabs>
        <w:adjustRightInd/>
        <w:spacing w:line="240" w:lineRule="auto"/>
        <w:textAlignment w:val="auto"/>
        <w:rPr>
          <w:rFonts w:cstheme="minorBidi"/>
          <w:sz w:val="20"/>
          <w:szCs w:val="20"/>
          <w:lang w:val="es-ES" w:eastAsia="en-US"/>
        </w:rPr>
      </w:pPr>
    </w:p>
    <w:p w14:paraId="5C902F41" w14:textId="43F7107F" w:rsidR="00270756" w:rsidRPr="00975C02" w:rsidRDefault="00274135" w:rsidP="00C8070B">
      <w:pPr>
        <w:numPr>
          <w:ilvl w:val="0"/>
          <w:numId w:val="2"/>
        </w:numPr>
        <w:tabs>
          <w:tab w:val="left" w:pos="567"/>
          <w:tab w:val="num" w:pos="12305"/>
        </w:tabs>
        <w:spacing w:line="240" w:lineRule="auto"/>
        <w:ind w:left="0" w:firstLine="0"/>
        <w:rPr>
          <w:rFonts w:cstheme="minorBidi"/>
          <w:sz w:val="20"/>
          <w:szCs w:val="20"/>
          <w:lang w:val="es-ES" w:eastAsia="en-US"/>
        </w:rPr>
      </w:pPr>
      <w:r w:rsidRPr="00975C02">
        <w:rPr>
          <w:rFonts w:cstheme="minorBidi"/>
          <w:sz w:val="20"/>
          <w:szCs w:val="20"/>
          <w:lang w:val="es-ES" w:eastAsia="en-US"/>
        </w:rPr>
        <w:t>Es</w:t>
      </w:r>
      <w:r w:rsidR="00270756" w:rsidRPr="00975C02">
        <w:rPr>
          <w:rFonts w:cstheme="minorBidi"/>
          <w:sz w:val="20"/>
          <w:szCs w:val="20"/>
          <w:lang w:val="es-ES" w:eastAsia="en-US"/>
        </w:rPr>
        <w:t xml:space="preserve"> preciso recordar </w:t>
      </w:r>
      <w:r w:rsidRPr="00975C02">
        <w:rPr>
          <w:rFonts w:cstheme="minorBidi"/>
          <w:sz w:val="20"/>
          <w:szCs w:val="20"/>
          <w:lang w:val="es-ES" w:eastAsia="en-US"/>
        </w:rPr>
        <w:t xml:space="preserve">la jurisprudencia constante </w:t>
      </w:r>
      <w:r w:rsidR="000C506F" w:rsidRPr="00975C02">
        <w:rPr>
          <w:rFonts w:cstheme="minorBidi"/>
          <w:sz w:val="20"/>
          <w:szCs w:val="20"/>
          <w:lang w:val="es-ES" w:eastAsia="en-US"/>
        </w:rPr>
        <w:t xml:space="preserve">de esta Corte según la cual </w:t>
      </w:r>
      <w:r w:rsidR="00270756" w:rsidRPr="00975C02">
        <w:rPr>
          <w:rFonts w:cstheme="minorBidi"/>
          <w:sz w:val="20"/>
          <w:szCs w:val="20"/>
          <w:lang w:val="es-ES" w:eastAsia="en-US"/>
        </w:rPr>
        <w:t>las presuntas víctimas y sus representantes pueden invocar la violación de otros derechos distintos a los comprendidos en el Informe de Fondo, siempre y cuando se atengan a los hechos contenidos en dicho documento, en tanto son las presuntas víctimas las titulares de todos los derechos consagrados en la Convención</w:t>
      </w:r>
      <w:r w:rsidR="00270756" w:rsidRPr="00975C02">
        <w:rPr>
          <w:rFonts w:cstheme="minorBidi"/>
          <w:sz w:val="20"/>
          <w:szCs w:val="20"/>
          <w:vertAlign w:val="superscript"/>
          <w:lang w:val="es-ES" w:eastAsia="en-US"/>
        </w:rPr>
        <w:footnoteReference w:id="37"/>
      </w:r>
      <w:r w:rsidR="00270756" w:rsidRPr="00975C02">
        <w:rPr>
          <w:rFonts w:cstheme="minorBidi"/>
          <w:sz w:val="20"/>
          <w:szCs w:val="20"/>
          <w:lang w:val="es-ES" w:eastAsia="en-US"/>
        </w:rPr>
        <w:t>.</w:t>
      </w:r>
    </w:p>
    <w:p w14:paraId="2271BD1D" w14:textId="77777777" w:rsidR="00270756" w:rsidRPr="00975C02" w:rsidRDefault="00270756" w:rsidP="001C7E37">
      <w:pPr>
        <w:widowControl/>
        <w:tabs>
          <w:tab w:val="left" w:pos="0"/>
          <w:tab w:val="left" w:pos="567"/>
        </w:tabs>
        <w:adjustRightInd/>
        <w:spacing w:line="240" w:lineRule="auto"/>
        <w:textAlignment w:val="auto"/>
        <w:rPr>
          <w:rFonts w:cstheme="minorBidi"/>
          <w:sz w:val="20"/>
          <w:szCs w:val="20"/>
          <w:lang w:val="es-ES" w:eastAsia="en-US"/>
        </w:rPr>
      </w:pPr>
    </w:p>
    <w:p w14:paraId="0070B59D" w14:textId="64437DA3" w:rsidR="00270756" w:rsidRPr="00975C02" w:rsidRDefault="00270756" w:rsidP="00C8070B">
      <w:pPr>
        <w:numPr>
          <w:ilvl w:val="0"/>
          <w:numId w:val="2"/>
        </w:numPr>
        <w:tabs>
          <w:tab w:val="left" w:pos="567"/>
          <w:tab w:val="num" w:pos="12305"/>
        </w:tabs>
        <w:spacing w:line="240" w:lineRule="auto"/>
        <w:ind w:left="0" w:firstLine="0"/>
        <w:rPr>
          <w:rFonts w:cstheme="minorBidi"/>
          <w:sz w:val="20"/>
          <w:szCs w:val="20"/>
          <w:lang w:val="es-ES" w:eastAsia="en-US"/>
        </w:rPr>
      </w:pPr>
      <w:r w:rsidRPr="00975C02">
        <w:rPr>
          <w:rFonts w:cstheme="minorBidi"/>
          <w:sz w:val="20"/>
          <w:szCs w:val="20"/>
          <w:lang w:val="es-ES" w:eastAsia="en-US"/>
        </w:rPr>
        <w:t>En virtud de ello, la Corte advierte que en el Informe de Fondo</w:t>
      </w:r>
      <w:r w:rsidR="000F2E4C" w:rsidRPr="00975C02">
        <w:rPr>
          <w:rFonts w:cstheme="minorBidi"/>
          <w:sz w:val="20"/>
          <w:szCs w:val="20"/>
          <w:lang w:val="es-ES" w:eastAsia="en-US"/>
        </w:rPr>
        <w:t xml:space="preserve"> </w:t>
      </w:r>
      <w:r w:rsidR="000F2E4C" w:rsidRPr="00975C02">
        <w:rPr>
          <w:rFonts w:eastAsia="Verdana" w:cs="Verdana"/>
          <w:sz w:val="20"/>
          <w:szCs w:val="20"/>
          <w:lang w:val="es-ES"/>
        </w:rPr>
        <w:t>No. 4/16</w:t>
      </w:r>
      <w:r w:rsidRPr="00975C02">
        <w:rPr>
          <w:rFonts w:cstheme="minorBidi"/>
          <w:sz w:val="20"/>
          <w:szCs w:val="20"/>
          <w:lang w:val="es-ES" w:eastAsia="en-US"/>
        </w:rPr>
        <w:t xml:space="preserve">, a diferencia de lo </w:t>
      </w:r>
      <w:r w:rsidR="00D51C27" w:rsidRPr="00975C02">
        <w:rPr>
          <w:rFonts w:cstheme="minorBidi"/>
          <w:sz w:val="20"/>
          <w:szCs w:val="20"/>
          <w:lang w:val="es-ES" w:eastAsia="en-US"/>
        </w:rPr>
        <w:t>indicado</w:t>
      </w:r>
      <w:r w:rsidRPr="00975C02">
        <w:rPr>
          <w:rFonts w:cstheme="minorBidi"/>
          <w:sz w:val="20"/>
          <w:szCs w:val="20"/>
          <w:lang w:val="es-ES" w:eastAsia="en-US"/>
        </w:rPr>
        <w:t xml:space="preserve"> por el Estado, la Comisión concluyó la violación de los derechos contenidos en los artículos 5, 8, 11, 19, 24 y 25 de la Convención Americana, en relación con el artículo 1.1 del mismo instrumento; y del artículo 7.b) de la Convención de Belém do Pará. Las representantes, en adición a lo establecido por la Comisión, solicitaron a la Corte que declar</w:t>
      </w:r>
      <w:r w:rsidR="00D51C27" w:rsidRPr="00975C02">
        <w:rPr>
          <w:rFonts w:cstheme="minorBidi"/>
          <w:sz w:val="20"/>
          <w:szCs w:val="20"/>
          <w:lang w:val="es-ES" w:eastAsia="en-US"/>
        </w:rPr>
        <w:t>as</w:t>
      </w:r>
      <w:r w:rsidRPr="00975C02">
        <w:rPr>
          <w:rFonts w:cstheme="minorBidi"/>
          <w:sz w:val="20"/>
          <w:szCs w:val="20"/>
          <w:lang w:val="es-ES" w:eastAsia="en-US"/>
        </w:rPr>
        <w:t>e la violación de los derechos contenidos en los artículos 12</w:t>
      </w:r>
      <w:r w:rsidR="00061DF9" w:rsidRPr="00975C02">
        <w:rPr>
          <w:rFonts w:cstheme="minorBidi"/>
          <w:sz w:val="20"/>
          <w:szCs w:val="20"/>
          <w:lang w:val="es-ES" w:eastAsia="en-US"/>
        </w:rPr>
        <w:t>.1</w:t>
      </w:r>
      <w:r w:rsidRPr="00975C02">
        <w:rPr>
          <w:rFonts w:cstheme="minorBidi"/>
          <w:sz w:val="20"/>
          <w:szCs w:val="20"/>
          <w:lang w:val="es-ES" w:eastAsia="en-US"/>
        </w:rPr>
        <w:t>, 17</w:t>
      </w:r>
      <w:r w:rsidR="00061DF9" w:rsidRPr="00975C02">
        <w:rPr>
          <w:rFonts w:cstheme="minorBidi"/>
          <w:sz w:val="20"/>
          <w:szCs w:val="20"/>
          <w:lang w:val="es-ES" w:eastAsia="en-US"/>
        </w:rPr>
        <w:t>.1</w:t>
      </w:r>
      <w:r w:rsidRPr="00975C02">
        <w:rPr>
          <w:rFonts w:cstheme="minorBidi"/>
          <w:sz w:val="20"/>
          <w:szCs w:val="20"/>
          <w:lang w:val="es-ES" w:eastAsia="en-US"/>
        </w:rPr>
        <w:t xml:space="preserve"> y 22</w:t>
      </w:r>
      <w:r w:rsidR="00061DF9" w:rsidRPr="00975C02">
        <w:rPr>
          <w:rFonts w:cstheme="minorBidi"/>
          <w:sz w:val="20"/>
          <w:szCs w:val="20"/>
          <w:lang w:val="es-ES" w:eastAsia="en-US"/>
        </w:rPr>
        <w:t>.1</w:t>
      </w:r>
      <w:r w:rsidRPr="00975C02">
        <w:rPr>
          <w:rFonts w:cstheme="minorBidi"/>
          <w:sz w:val="20"/>
          <w:szCs w:val="20"/>
          <w:lang w:val="es-ES" w:eastAsia="en-US"/>
        </w:rPr>
        <w:t xml:space="preserve"> de la Convención Americana</w:t>
      </w:r>
      <w:r w:rsidR="00061DF9" w:rsidRPr="00975C02">
        <w:rPr>
          <w:rFonts w:cstheme="minorBidi"/>
          <w:sz w:val="20"/>
          <w:szCs w:val="20"/>
          <w:lang w:val="es-ES" w:eastAsia="en-US"/>
        </w:rPr>
        <w:t xml:space="preserve"> en relación con el artículo 1.1 de dicho instrumento,</w:t>
      </w:r>
      <w:r w:rsidR="00D51C27" w:rsidRPr="00975C02">
        <w:rPr>
          <w:rFonts w:cstheme="minorBidi"/>
          <w:sz w:val="20"/>
          <w:szCs w:val="20"/>
          <w:lang w:val="es-ES" w:eastAsia="en-US"/>
        </w:rPr>
        <w:t xml:space="preserve"> y</w:t>
      </w:r>
      <w:r w:rsidRPr="00975C02">
        <w:rPr>
          <w:rFonts w:cstheme="minorBidi"/>
          <w:sz w:val="20"/>
          <w:szCs w:val="20"/>
          <w:lang w:val="es-ES" w:eastAsia="en-US"/>
        </w:rPr>
        <w:t xml:space="preserve"> </w:t>
      </w:r>
      <w:r w:rsidR="00061DF9" w:rsidRPr="00975C02">
        <w:rPr>
          <w:rFonts w:cstheme="minorBidi"/>
          <w:sz w:val="20"/>
          <w:szCs w:val="20"/>
          <w:lang w:val="es-ES" w:eastAsia="en-US"/>
        </w:rPr>
        <w:t xml:space="preserve">de </w:t>
      </w:r>
      <w:r w:rsidRPr="00975C02">
        <w:rPr>
          <w:rFonts w:cstheme="minorBidi"/>
          <w:sz w:val="20"/>
          <w:szCs w:val="20"/>
          <w:lang w:val="es-ES" w:eastAsia="en-US"/>
        </w:rPr>
        <w:t>los artículos 1.1, 2, 4.b) y 4.g) de la Convención de Belém do Pará</w:t>
      </w:r>
      <w:r w:rsidR="00D51C27" w:rsidRPr="00975C02">
        <w:rPr>
          <w:rFonts w:cstheme="minorBidi"/>
          <w:sz w:val="20"/>
          <w:szCs w:val="20"/>
          <w:lang w:val="es-ES" w:eastAsia="en-US"/>
        </w:rPr>
        <w:t xml:space="preserve">. Asimismo, </w:t>
      </w:r>
      <w:r w:rsidR="00AE585E" w:rsidRPr="00975C02">
        <w:rPr>
          <w:rFonts w:cstheme="minorBidi"/>
          <w:sz w:val="20"/>
          <w:szCs w:val="20"/>
          <w:lang w:val="es-ES" w:eastAsia="en-US"/>
        </w:rPr>
        <w:t xml:space="preserve">las representantes </w:t>
      </w:r>
      <w:r w:rsidR="00D51C27" w:rsidRPr="00975C02">
        <w:rPr>
          <w:rFonts w:cstheme="minorBidi"/>
          <w:sz w:val="20"/>
          <w:szCs w:val="20"/>
          <w:lang w:val="es-ES" w:eastAsia="en-US"/>
        </w:rPr>
        <w:t>invocaron</w:t>
      </w:r>
      <w:r w:rsidRPr="00975C02">
        <w:rPr>
          <w:rFonts w:cstheme="minorBidi"/>
          <w:sz w:val="20"/>
          <w:szCs w:val="20"/>
          <w:lang w:val="es-ES" w:eastAsia="en-US"/>
        </w:rPr>
        <w:t xml:space="preserve"> los derechos recogidos en los artículos 2.1, 3.1, 3.2, 4, 16, 24.1 y 24.2 de la Convención sobre los </w:t>
      </w:r>
      <w:r w:rsidR="00D51C27" w:rsidRPr="00975C02">
        <w:rPr>
          <w:rFonts w:cstheme="minorBidi"/>
          <w:sz w:val="20"/>
          <w:szCs w:val="20"/>
          <w:lang w:val="es-ES" w:eastAsia="en-US"/>
        </w:rPr>
        <w:t>D</w:t>
      </w:r>
      <w:r w:rsidRPr="00975C02">
        <w:rPr>
          <w:rFonts w:cstheme="minorBidi"/>
          <w:sz w:val="20"/>
          <w:szCs w:val="20"/>
          <w:lang w:val="es-ES" w:eastAsia="en-US"/>
        </w:rPr>
        <w:t xml:space="preserve">erechos del </w:t>
      </w:r>
      <w:r w:rsidR="00D51C27" w:rsidRPr="00975C02">
        <w:rPr>
          <w:rFonts w:cstheme="minorBidi"/>
          <w:sz w:val="20"/>
          <w:szCs w:val="20"/>
          <w:lang w:val="es-ES" w:eastAsia="en-US"/>
        </w:rPr>
        <w:t>N</w:t>
      </w:r>
      <w:r w:rsidRPr="00975C02">
        <w:rPr>
          <w:rFonts w:cstheme="minorBidi"/>
          <w:sz w:val="20"/>
          <w:szCs w:val="20"/>
          <w:lang w:val="es-ES" w:eastAsia="en-US"/>
        </w:rPr>
        <w:t>iño</w:t>
      </w:r>
      <w:r w:rsidR="00D51C27" w:rsidRPr="00975C02">
        <w:rPr>
          <w:rFonts w:cstheme="minorBidi"/>
          <w:sz w:val="20"/>
          <w:szCs w:val="20"/>
          <w:lang w:val="es-ES" w:eastAsia="en-US"/>
        </w:rPr>
        <w:t xml:space="preserve">, como fue </w:t>
      </w:r>
      <w:r w:rsidR="00AE585E" w:rsidRPr="00975C02">
        <w:rPr>
          <w:rFonts w:cstheme="minorBidi"/>
          <w:sz w:val="20"/>
          <w:szCs w:val="20"/>
          <w:lang w:val="es-ES" w:eastAsia="en-US"/>
        </w:rPr>
        <w:t xml:space="preserve">analizado </w:t>
      </w:r>
      <w:r w:rsidR="00D51C27" w:rsidRPr="00975C02">
        <w:rPr>
          <w:rFonts w:cstheme="minorBidi"/>
          <w:i/>
          <w:sz w:val="20"/>
          <w:szCs w:val="20"/>
          <w:lang w:val="es-ES" w:eastAsia="en-US"/>
        </w:rPr>
        <w:t>supra</w:t>
      </w:r>
      <w:r w:rsidRPr="00975C02">
        <w:rPr>
          <w:rFonts w:cstheme="minorBidi"/>
          <w:sz w:val="20"/>
          <w:szCs w:val="20"/>
          <w:lang w:val="es-ES" w:eastAsia="en-US"/>
        </w:rPr>
        <w:t>.</w:t>
      </w:r>
    </w:p>
    <w:p w14:paraId="7EF404B9" w14:textId="77777777" w:rsidR="00270756" w:rsidRPr="00975C02" w:rsidRDefault="00270756" w:rsidP="001C7E37">
      <w:pPr>
        <w:widowControl/>
        <w:tabs>
          <w:tab w:val="left" w:pos="0"/>
          <w:tab w:val="left" w:pos="567"/>
        </w:tabs>
        <w:adjustRightInd/>
        <w:spacing w:line="240" w:lineRule="auto"/>
        <w:textAlignment w:val="auto"/>
        <w:rPr>
          <w:rFonts w:cstheme="minorBidi"/>
          <w:sz w:val="20"/>
          <w:szCs w:val="20"/>
          <w:lang w:val="es-ES" w:eastAsia="en-US"/>
        </w:rPr>
      </w:pPr>
    </w:p>
    <w:p w14:paraId="7266325A" w14:textId="4DB29B71" w:rsidR="00270756" w:rsidRPr="00975C02" w:rsidRDefault="00270756" w:rsidP="00C8070B">
      <w:pPr>
        <w:numPr>
          <w:ilvl w:val="0"/>
          <w:numId w:val="2"/>
        </w:numPr>
        <w:tabs>
          <w:tab w:val="left" w:pos="567"/>
          <w:tab w:val="num" w:pos="12305"/>
        </w:tabs>
        <w:spacing w:line="240" w:lineRule="auto"/>
        <w:ind w:left="0" w:firstLine="0"/>
        <w:rPr>
          <w:rFonts w:cstheme="minorBidi"/>
          <w:sz w:val="20"/>
          <w:szCs w:val="20"/>
          <w:lang w:val="es-ES" w:eastAsia="en-US"/>
        </w:rPr>
      </w:pPr>
      <w:r w:rsidRPr="00975C02">
        <w:rPr>
          <w:rFonts w:cstheme="minorBidi"/>
          <w:sz w:val="20"/>
          <w:szCs w:val="20"/>
          <w:lang w:val="es-ES" w:eastAsia="en-US"/>
        </w:rPr>
        <w:t>En primer lugar, respecto de los</w:t>
      </w:r>
      <w:r w:rsidR="00113316" w:rsidRPr="00975C02">
        <w:rPr>
          <w:rFonts w:cstheme="minorBidi"/>
          <w:sz w:val="20"/>
          <w:szCs w:val="20"/>
          <w:lang w:val="es-ES" w:eastAsia="en-US"/>
        </w:rPr>
        <w:t xml:space="preserve"> alegatos referidos a</w:t>
      </w:r>
      <w:r w:rsidRPr="00975C02">
        <w:rPr>
          <w:rFonts w:cstheme="minorBidi"/>
          <w:sz w:val="20"/>
          <w:szCs w:val="20"/>
          <w:lang w:val="es-ES" w:eastAsia="en-US"/>
        </w:rPr>
        <w:t xml:space="preserve"> </w:t>
      </w:r>
      <w:r w:rsidR="00AE585E" w:rsidRPr="00975C02">
        <w:rPr>
          <w:rFonts w:cstheme="minorBidi"/>
          <w:sz w:val="20"/>
          <w:szCs w:val="20"/>
          <w:lang w:val="es-ES" w:eastAsia="en-US"/>
        </w:rPr>
        <w:t xml:space="preserve">los </w:t>
      </w:r>
      <w:r w:rsidRPr="00975C02">
        <w:rPr>
          <w:rFonts w:cstheme="minorBidi"/>
          <w:sz w:val="20"/>
          <w:szCs w:val="20"/>
          <w:lang w:val="es-ES" w:eastAsia="en-US"/>
        </w:rPr>
        <w:t>artículos 12</w:t>
      </w:r>
      <w:r w:rsidR="00AE585E" w:rsidRPr="00975C02">
        <w:rPr>
          <w:rFonts w:cstheme="minorBidi"/>
          <w:sz w:val="20"/>
          <w:szCs w:val="20"/>
          <w:lang w:val="es-ES" w:eastAsia="en-US"/>
        </w:rPr>
        <w:t>.1</w:t>
      </w:r>
      <w:r w:rsidRPr="00975C02">
        <w:rPr>
          <w:rFonts w:cstheme="minorBidi"/>
          <w:sz w:val="20"/>
          <w:szCs w:val="20"/>
          <w:lang w:val="es-ES" w:eastAsia="en-US"/>
        </w:rPr>
        <w:t>, 17</w:t>
      </w:r>
      <w:r w:rsidR="00AE585E" w:rsidRPr="00975C02">
        <w:rPr>
          <w:rFonts w:cstheme="minorBidi"/>
          <w:sz w:val="20"/>
          <w:szCs w:val="20"/>
          <w:lang w:val="es-ES" w:eastAsia="en-US"/>
        </w:rPr>
        <w:t>.1</w:t>
      </w:r>
      <w:r w:rsidRPr="00975C02">
        <w:rPr>
          <w:rFonts w:cstheme="minorBidi"/>
          <w:sz w:val="20"/>
          <w:szCs w:val="20"/>
          <w:lang w:val="es-ES" w:eastAsia="en-US"/>
        </w:rPr>
        <w:t xml:space="preserve"> y 22</w:t>
      </w:r>
      <w:r w:rsidR="00AE585E" w:rsidRPr="00975C02">
        <w:rPr>
          <w:rFonts w:cstheme="minorBidi"/>
          <w:sz w:val="20"/>
          <w:szCs w:val="20"/>
          <w:lang w:val="es-ES" w:eastAsia="en-US"/>
        </w:rPr>
        <w:t>.1</w:t>
      </w:r>
      <w:r w:rsidRPr="00975C02">
        <w:rPr>
          <w:rFonts w:cstheme="minorBidi"/>
          <w:sz w:val="20"/>
          <w:szCs w:val="20"/>
          <w:lang w:val="es-ES" w:eastAsia="en-US"/>
        </w:rPr>
        <w:t xml:space="preserve"> de la Convención Americana, la Corte entiende que </w:t>
      </w:r>
      <w:r w:rsidR="00113316" w:rsidRPr="00975C02">
        <w:rPr>
          <w:rFonts w:cstheme="minorBidi"/>
          <w:sz w:val="20"/>
          <w:szCs w:val="20"/>
          <w:lang w:val="es-ES" w:eastAsia="en-US"/>
        </w:rPr>
        <w:t xml:space="preserve">se sustentan en el </w:t>
      </w:r>
      <w:r w:rsidRPr="00975C02">
        <w:rPr>
          <w:rFonts w:cstheme="minorBidi"/>
          <w:sz w:val="20"/>
          <w:szCs w:val="20"/>
          <w:lang w:val="es-ES" w:eastAsia="en-US"/>
        </w:rPr>
        <w:t>mismo escenario fáctico descrito en el Informe de Fondo y, en efecto, guardan conformidad con la jurisprudencia referida precedentemente y con el artículo 40 del Reglamento de este Tribunal. Por lo expuesto, no corresponde hacer lugar a la pretensión del Estado</w:t>
      </w:r>
      <w:r w:rsidR="00460411" w:rsidRPr="00975C02">
        <w:rPr>
          <w:rFonts w:cstheme="minorBidi"/>
          <w:sz w:val="20"/>
          <w:szCs w:val="20"/>
          <w:lang w:val="es-ES" w:eastAsia="en-US"/>
        </w:rPr>
        <w:t>, de modo tal que</w:t>
      </w:r>
      <w:r w:rsidRPr="00975C02">
        <w:rPr>
          <w:rFonts w:cstheme="minorBidi"/>
          <w:sz w:val="20"/>
          <w:szCs w:val="20"/>
          <w:lang w:val="es-ES" w:eastAsia="en-US"/>
        </w:rPr>
        <w:t xml:space="preserve"> </w:t>
      </w:r>
      <w:r w:rsidR="00AE585E" w:rsidRPr="00975C02">
        <w:rPr>
          <w:rFonts w:cstheme="minorBidi"/>
          <w:sz w:val="20"/>
          <w:szCs w:val="20"/>
          <w:lang w:val="es-ES" w:eastAsia="en-US"/>
        </w:rPr>
        <w:t xml:space="preserve">tales </w:t>
      </w:r>
      <w:r w:rsidR="00460411" w:rsidRPr="00975C02">
        <w:rPr>
          <w:rFonts w:cstheme="minorBidi"/>
          <w:sz w:val="20"/>
          <w:szCs w:val="20"/>
          <w:lang w:val="es-ES" w:eastAsia="en-US"/>
        </w:rPr>
        <w:t xml:space="preserve">derechos </w:t>
      </w:r>
      <w:r w:rsidRPr="00975C02">
        <w:rPr>
          <w:rFonts w:cstheme="minorBidi"/>
          <w:sz w:val="20"/>
          <w:szCs w:val="20"/>
          <w:lang w:val="es-ES" w:eastAsia="en-US"/>
        </w:rPr>
        <w:t xml:space="preserve">serán </w:t>
      </w:r>
      <w:r w:rsidRPr="00975C02">
        <w:rPr>
          <w:rFonts w:cstheme="minorBidi"/>
          <w:sz w:val="20"/>
          <w:szCs w:val="20"/>
          <w:lang w:val="es-ES" w:eastAsia="en-US"/>
        </w:rPr>
        <w:lastRenderedPageBreak/>
        <w:t>considerados en el análisis de fondo</w:t>
      </w:r>
      <w:r w:rsidR="00AE585E" w:rsidRPr="00975C02">
        <w:rPr>
          <w:rFonts w:cstheme="minorBidi"/>
          <w:sz w:val="20"/>
          <w:szCs w:val="20"/>
          <w:lang w:val="es-ES" w:eastAsia="en-US"/>
        </w:rPr>
        <w:t xml:space="preserve"> del caso</w:t>
      </w:r>
      <w:r w:rsidRPr="00975C02">
        <w:rPr>
          <w:rFonts w:cstheme="minorBidi"/>
          <w:sz w:val="20"/>
          <w:szCs w:val="20"/>
          <w:lang w:val="es-ES" w:eastAsia="en-US"/>
        </w:rPr>
        <w:t>.</w:t>
      </w:r>
    </w:p>
    <w:p w14:paraId="55A6A9E5" w14:textId="77777777" w:rsidR="00270756" w:rsidRPr="00975C02" w:rsidRDefault="00270756" w:rsidP="001C7E37">
      <w:pPr>
        <w:widowControl/>
        <w:tabs>
          <w:tab w:val="left" w:pos="0"/>
          <w:tab w:val="left" w:pos="567"/>
        </w:tabs>
        <w:adjustRightInd/>
        <w:spacing w:line="240" w:lineRule="auto"/>
        <w:textAlignment w:val="auto"/>
        <w:rPr>
          <w:rFonts w:cstheme="minorBidi"/>
          <w:sz w:val="20"/>
          <w:szCs w:val="20"/>
          <w:lang w:val="es-ES" w:eastAsia="en-US"/>
        </w:rPr>
      </w:pPr>
    </w:p>
    <w:p w14:paraId="75D09220" w14:textId="2823AE7A" w:rsidR="00270756" w:rsidRPr="00975C02" w:rsidRDefault="00270756" w:rsidP="00C8070B">
      <w:pPr>
        <w:numPr>
          <w:ilvl w:val="0"/>
          <w:numId w:val="2"/>
        </w:numPr>
        <w:tabs>
          <w:tab w:val="left" w:pos="567"/>
          <w:tab w:val="num" w:pos="12305"/>
        </w:tabs>
        <w:spacing w:line="240" w:lineRule="auto"/>
        <w:ind w:left="0" w:firstLine="0"/>
        <w:rPr>
          <w:rFonts w:cstheme="minorBidi"/>
          <w:sz w:val="20"/>
          <w:szCs w:val="20"/>
          <w:lang w:val="es-ES" w:eastAsia="en-US"/>
        </w:rPr>
      </w:pPr>
      <w:r w:rsidRPr="00975C02">
        <w:rPr>
          <w:rFonts w:cstheme="minorBidi"/>
          <w:sz w:val="20"/>
          <w:szCs w:val="20"/>
          <w:lang w:val="es-ES" w:eastAsia="en-US"/>
        </w:rPr>
        <w:t xml:space="preserve">Por otro lado, con relación a los derechos contenidos en la Convención </w:t>
      </w:r>
      <w:r w:rsidR="00C9501F" w:rsidRPr="00975C02">
        <w:rPr>
          <w:rFonts w:cstheme="minorBidi"/>
          <w:sz w:val="20"/>
          <w:szCs w:val="20"/>
          <w:lang w:val="es-ES" w:eastAsia="en-US"/>
        </w:rPr>
        <w:t>de Belém do Pará</w:t>
      </w:r>
      <w:r w:rsidRPr="00975C02">
        <w:rPr>
          <w:rFonts w:cstheme="minorBidi"/>
          <w:sz w:val="20"/>
          <w:szCs w:val="20"/>
          <w:lang w:val="es-ES" w:eastAsia="en-US"/>
        </w:rPr>
        <w:t>, esta Corte ya ha afirmado en su jurisprudencia que tiene competencia para pronunciarse sobre la misma</w:t>
      </w:r>
      <w:r w:rsidRPr="00975C02">
        <w:rPr>
          <w:rFonts w:cstheme="minorBidi"/>
          <w:sz w:val="20"/>
          <w:szCs w:val="20"/>
          <w:vertAlign w:val="superscript"/>
          <w:lang w:val="es-ES" w:eastAsia="en-US"/>
        </w:rPr>
        <w:footnoteReference w:id="38"/>
      </w:r>
      <w:r w:rsidRPr="00975C02">
        <w:rPr>
          <w:rFonts w:cstheme="minorBidi"/>
          <w:sz w:val="20"/>
          <w:szCs w:val="20"/>
          <w:lang w:val="es-ES" w:eastAsia="en-US"/>
        </w:rPr>
        <w:t>. Sin embargo, de conformidad con lo dispuesto en el artículo 12 de dicho instrumento</w:t>
      </w:r>
      <w:r w:rsidR="006A2F96" w:rsidRPr="00975C02">
        <w:rPr>
          <w:rFonts w:cstheme="minorBidi"/>
          <w:sz w:val="20"/>
          <w:szCs w:val="20"/>
          <w:lang w:val="es-ES" w:eastAsia="en-US"/>
        </w:rPr>
        <w:t>,</w:t>
      </w:r>
      <w:r w:rsidRPr="00975C02">
        <w:rPr>
          <w:rFonts w:eastAsia="Calibri" w:cs="Arial"/>
          <w:sz w:val="20"/>
          <w:szCs w:val="20"/>
          <w:lang w:val="es-ES" w:eastAsia="en-US"/>
        </w:rPr>
        <w:t xml:space="preserve"> la posibilidad de la presentación de “peticiones” a la Comisión se refiere a</w:t>
      </w:r>
      <w:r w:rsidR="00D411B7" w:rsidRPr="00975C02">
        <w:rPr>
          <w:rFonts w:eastAsia="Calibri" w:cs="Arial"/>
          <w:sz w:val="20"/>
          <w:szCs w:val="20"/>
          <w:lang w:val="es-ES" w:eastAsia="en-US"/>
        </w:rPr>
        <w:t xml:space="preserve"> </w:t>
      </w:r>
      <w:r w:rsidRPr="00975C02">
        <w:rPr>
          <w:rFonts w:eastAsia="Calibri" w:cs="Arial"/>
          <w:sz w:val="20"/>
          <w:szCs w:val="20"/>
          <w:lang w:val="es-ES" w:eastAsia="en-US"/>
        </w:rPr>
        <w:t xml:space="preserve">“denuncias o quejas de violación de [su] artículo 7”, no así del resto del articulado. </w:t>
      </w:r>
      <w:r w:rsidR="006A2F96" w:rsidRPr="00975C02">
        <w:rPr>
          <w:rFonts w:eastAsia="Calibri" w:cs="Arial"/>
          <w:sz w:val="20"/>
          <w:szCs w:val="20"/>
          <w:lang w:val="es-ES" w:eastAsia="en-US"/>
        </w:rPr>
        <w:t>Por consiguiente</w:t>
      </w:r>
      <w:r w:rsidRPr="00975C02">
        <w:rPr>
          <w:rFonts w:eastAsia="Calibri" w:cs="Arial"/>
          <w:sz w:val="20"/>
          <w:szCs w:val="20"/>
          <w:lang w:val="es-ES" w:eastAsia="en-US"/>
        </w:rPr>
        <w:t xml:space="preserve">, </w:t>
      </w:r>
      <w:r w:rsidR="004B3A0D" w:rsidRPr="00975C02">
        <w:rPr>
          <w:rFonts w:eastAsia="Calibri" w:cs="Arial"/>
          <w:sz w:val="20"/>
          <w:szCs w:val="20"/>
          <w:lang w:val="es-ES" w:eastAsia="en-US"/>
        </w:rPr>
        <w:t>al examinar las violaciones alegadas respecto de la Convención de Belém do Pará</w:t>
      </w:r>
      <w:r w:rsidR="00837713" w:rsidRPr="00975C02">
        <w:rPr>
          <w:rFonts w:eastAsia="Calibri" w:cs="Arial"/>
          <w:sz w:val="20"/>
          <w:szCs w:val="20"/>
          <w:lang w:val="es-ES" w:eastAsia="en-US"/>
        </w:rPr>
        <w:t>,</w:t>
      </w:r>
      <w:r w:rsidRPr="00975C02">
        <w:rPr>
          <w:rFonts w:eastAsia="Calibri" w:cs="Arial"/>
          <w:sz w:val="20"/>
          <w:szCs w:val="20"/>
          <w:lang w:val="es-ES" w:eastAsia="en-US"/>
        </w:rPr>
        <w:t xml:space="preserve"> </w:t>
      </w:r>
      <w:r w:rsidR="00837713" w:rsidRPr="00975C02">
        <w:rPr>
          <w:rFonts w:eastAsia="Calibri" w:cs="Arial"/>
          <w:sz w:val="20"/>
          <w:szCs w:val="20"/>
          <w:lang w:val="es-ES" w:eastAsia="en-US"/>
        </w:rPr>
        <w:t xml:space="preserve">esta Corte </w:t>
      </w:r>
      <w:r w:rsidRPr="00975C02">
        <w:rPr>
          <w:rFonts w:eastAsia="Calibri" w:cs="Arial"/>
          <w:sz w:val="20"/>
          <w:szCs w:val="20"/>
          <w:lang w:val="es-ES" w:eastAsia="en-US"/>
        </w:rPr>
        <w:t xml:space="preserve">podrá </w:t>
      </w:r>
      <w:r w:rsidR="00837713" w:rsidRPr="00975C02">
        <w:rPr>
          <w:rFonts w:eastAsia="Calibri" w:cs="Arial"/>
          <w:sz w:val="20"/>
          <w:szCs w:val="20"/>
          <w:lang w:val="es-ES" w:eastAsia="en-US"/>
        </w:rPr>
        <w:t xml:space="preserve">establecer </w:t>
      </w:r>
      <w:r w:rsidRPr="00975C02">
        <w:rPr>
          <w:rFonts w:eastAsia="Calibri" w:cs="Arial"/>
          <w:sz w:val="20"/>
          <w:szCs w:val="20"/>
          <w:lang w:val="es-ES" w:eastAsia="en-US"/>
        </w:rPr>
        <w:t xml:space="preserve">únicamente </w:t>
      </w:r>
      <w:r w:rsidR="00837713" w:rsidRPr="00975C02">
        <w:rPr>
          <w:rFonts w:eastAsia="Calibri" w:cs="Arial"/>
          <w:sz w:val="20"/>
          <w:szCs w:val="20"/>
          <w:lang w:val="es-ES" w:eastAsia="en-US"/>
        </w:rPr>
        <w:t xml:space="preserve">la </w:t>
      </w:r>
      <w:r w:rsidR="004B3A0D" w:rsidRPr="00975C02">
        <w:rPr>
          <w:rFonts w:eastAsia="Calibri" w:cs="Arial"/>
          <w:sz w:val="20"/>
          <w:szCs w:val="20"/>
          <w:lang w:val="es-ES" w:eastAsia="en-US"/>
        </w:rPr>
        <w:t xml:space="preserve">responsabilidad </w:t>
      </w:r>
      <w:r w:rsidR="00837713" w:rsidRPr="00975C02">
        <w:rPr>
          <w:rFonts w:eastAsia="Calibri" w:cs="Arial"/>
          <w:sz w:val="20"/>
          <w:szCs w:val="20"/>
          <w:lang w:val="es-ES" w:eastAsia="en-US"/>
        </w:rPr>
        <w:t xml:space="preserve">del Estado </w:t>
      </w:r>
      <w:r w:rsidR="004B3A0D" w:rsidRPr="00975C02">
        <w:rPr>
          <w:rFonts w:eastAsia="Calibri" w:cs="Arial"/>
          <w:sz w:val="20"/>
          <w:szCs w:val="20"/>
          <w:lang w:val="es-ES" w:eastAsia="en-US"/>
        </w:rPr>
        <w:t>por el incumplimiento de lo que mandata</w:t>
      </w:r>
      <w:r w:rsidRPr="00975C02">
        <w:rPr>
          <w:rFonts w:eastAsia="Calibri" w:cs="Arial"/>
          <w:sz w:val="20"/>
          <w:szCs w:val="20"/>
          <w:lang w:val="es-ES" w:eastAsia="en-US"/>
        </w:rPr>
        <w:t xml:space="preserve"> el artículo 7, sin perjuicio del valor interpretativo que posee </w:t>
      </w:r>
      <w:r w:rsidR="004B3A0D" w:rsidRPr="00975C02">
        <w:rPr>
          <w:rFonts w:eastAsia="Calibri" w:cs="Arial"/>
          <w:sz w:val="20"/>
          <w:szCs w:val="20"/>
          <w:lang w:val="es-ES" w:eastAsia="en-US"/>
        </w:rPr>
        <w:t xml:space="preserve">dicho instrumento </w:t>
      </w:r>
      <w:r w:rsidRPr="00975C02">
        <w:rPr>
          <w:rFonts w:eastAsia="Calibri" w:cs="Arial"/>
          <w:sz w:val="20"/>
          <w:szCs w:val="20"/>
          <w:lang w:val="es-ES" w:eastAsia="en-US"/>
        </w:rPr>
        <w:t>en su integralidad.</w:t>
      </w:r>
      <w:r w:rsidR="004B3A0D" w:rsidRPr="00975C02">
        <w:rPr>
          <w:rFonts w:eastAsia="Calibri" w:cs="Arial"/>
          <w:sz w:val="20"/>
          <w:szCs w:val="20"/>
          <w:lang w:val="es-ES" w:eastAsia="en-US"/>
        </w:rPr>
        <w:t xml:space="preserve"> En esta medida, se desestiman los alegatos del Estado.</w:t>
      </w:r>
    </w:p>
    <w:p w14:paraId="5D82D0F5" w14:textId="77777777" w:rsidR="00270756" w:rsidRPr="00975C02" w:rsidRDefault="00270756" w:rsidP="001C7E37">
      <w:pPr>
        <w:widowControl/>
        <w:tabs>
          <w:tab w:val="left" w:pos="0"/>
          <w:tab w:val="left" w:pos="567"/>
        </w:tabs>
        <w:adjustRightInd/>
        <w:spacing w:line="240" w:lineRule="auto"/>
        <w:textAlignment w:val="auto"/>
        <w:rPr>
          <w:rFonts w:cstheme="minorBidi"/>
          <w:sz w:val="20"/>
          <w:szCs w:val="20"/>
          <w:lang w:val="es-ES" w:eastAsia="en-US"/>
        </w:rPr>
      </w:pPr>
    </w:p>
    <w:p w14:paraId="7E97203D" w14:textId="0B3E987C" w:rsidR="00270756" w:rsidRPr="00975C02" w:rsidRDefault="00270756" w:rsidP="00C8070B">
      <w:pPr>
        <w:numPr>
          <w:ilvl w:val="0"/>
          <w:numId w:val="2"/>
        </w:numPr>
        <w:tabs>
          <w:tab w:val="left" w:pos="567"/>
          <w:tab w:val="num" w:pos="12305"/>
        </w:tabs>
        <w:spacing w:line="240" w:lineRule="auto"/>
        <w:ind w:left="0" w:firstLine="0"/>
        <w:rPr>
          <w:rFonts w:cstheme="minorBidi"/>
          <w:sz w:val="20"/>
          <w:szCs w:val="20"/>
          <w:lang w:val="es-ES" w:eastAsia="en-US"/>
        </w:rPr>
      </w:pPr>
      <w:r w:rsidRPr="00975C02">
        <w:rPr>
          <w:rFonts w:cstheme="minorBidi"/>
          <w:sz w:val="20"/>
          <w:szCs w:val="20"/>
          <w:lang w:val="es-ES" w:eastAsia="en-US"/>
        </w:rPr>
        <w:t xml:space="preserve">Finalmente, </w:t>
      </w:r>
      <w:r w:rsidR="00837713" w:rsidRPr="00975C02">
        <w:rPr>
          <w:rFonts w:cstheme="minorBidi"/>
          <w:sz w:val="20"/>
          <w:szCs w:val="20"/>
          <w:lang w:val="es-ES" w:eastAsia="en-US"/>
        </w:rPr>
        <w:t xml:space="preserve">en cuanto </w:t>
      </w:r>
      <w:r w:rsidRPr="00975C02">
        <w:rPr>
          <w:rFonts w:cstheme="minorBidi"/>
          <w:sz w:val="20"/>
          <w:szCs w:val="20"/>
          <w:lang w:val="es-ES" w:eastAsia="en-US"/>
        </w:rPr>
        <w:t xml:space="preserve">a los derechos de la Convención sobre los </w:t>
      </w:r>
      <w:r w:rsidR="006A2F96" w:rsidRPr="00975C02">
        <w:rPr>
          <w:rFonts w:cstheme="minorBidi"/>
          <w:sz w:val="20"/>
          <w:szCs w:val="20"/>
          <w:lang w:val="es-ES" w:eastAsia="en-US"/>
        </w:rPr>
        <w:t>D</w:t>
      </w:r>
      <w:r w:rsidRPr="00975C02">
        <w:rPr>
          <w:rFonts w:cstheme="minorBidi"/>
          <w:sz w:val="20"/>
          <w:szCs w:val="20"/>
          <w:lang w:val="es-ES" w:eastAsia="en-US"/>
        </w:rPr>
        <w:t xml:space="preserve">erechos del </w:t>
      </w:r>
      <w:r w:rsidR="006A2F96" w:rsidRPr="00975C02">
        <w:rPr>
          <w:rFonts w:cstheme="minorBidi"/>
          <w:sz w:val="20"/>
          <w:szCs w:val="20"/>
          <w:lang w:val="es-ES" w:eastAsia="en-US"/>
        </w:rPr>
        <w:t>N</w:t>
      </w:r>
      <w:r w:rsidRPr="00975C02">
        <w:rPr>
          <w:rFonts w:cstheme="minorBidi"/>
          <w:sz w:val="20"/>
          <w:szCs w:val="20"/>
          <w:lang w:val="es-ES" w:eastAsia="en-US"/>
        </w:rPr>
        <w:t xml:space="preserve">iño, la Corte ya se ha expedido al </w:t>
      </w:r>
      <w:r w:rsidR="00837713" w:rsidRPr="00975C02">
        <w:rPr>
          <w:rFonts w:cstheme="minorBidi"/>
          <w:sz w:val="20"/>
          <w:szCs w:val="20"/>
          <w:lang w:val="es-ES" w:eastAsia="en-US"/>
        </w:rPr>
        <w:t xml:space="preserve">respecto al </w:t>
      </w:r>
      <w:r w:rsidRPr="00975C02">
        <w:rPr>
          <w:rFonts w:cstheme="minorBidi"/>
          <w:sz w:val="20"/>
          <w:szCs w:val="20"/>
          <w:lang w:val="es-ES" w:eastAsia="en-US"/>
        </w:rPr>
        <w:t xml:space="preserve">momento de abordar la excepción preliminar sobre la supuesta incompetencia </w:t>
      </w:r>
      <w:r w:rsidRPr="00975C02">
        <w:rPr>
          <w:rFonts w:cstheme="minorBidi"/>
          <w:i/>
          <w:sz w:val="20"/>
          <w:szCs w:val="20"/>
          <w:lang w:val="es-ES" w:eastAsia="en-US"/>
        </w:rPr>
        <w:t>ratione materia</w:t>
      </w:r>
      <w:r w:rsidR="00DF7C24" w:rsidRPr="00975C02">
        <w:rPr>
          <w:rFonts w:cstheme="minorBidi"/>
          <w:i/>
          <w:sz w:val="20"/>
          <w:szCs w:val="20"/>
          <w:lang w:val="es-ES" w:eastAsia="en-US"/>
        </w:rPr>
        <w:t>e</w:t>
      </w:r>
      <w:r w:rsidRPr="00975C02">
        <w:rPr>
          <w:rFonts w:cstheme="minorBidi"/>
          <w:sz w:val="20"/>
          <w:szCs w:val="20"/>
          <w:lang w:val="es-ES" w:eastAsia="en-US"/>
        </w:rPr>
        <w:t xml:space="preserve"> </w:t>
      </w:r>
      <w:r w:rsidR="00902FF3" w:rsidRPr="00975C02">
        <w:rPr>
          <w:rFonts w:cstheme="minorBidi"/>
          <w:sz w:val="20"/>
          <w:szCs w:val="20"/>
          <w:lang w:val="es-ES" w:eastAsia="en-US"/>
        </w:rPr>
        <w:t>o</w:t>
      </w:r>
      <w:r w:rsidRPr="00975C02">
        <w:rPr>
          <w:rFonts w:cstheme="minorBidi"/>
          <w:sz w:val="20"/>
          <w:szCs w:val="20"/>
          <w:lang w:val="es-ES" w:eastAsia="en-US"/>
        </w:rPr>
        <w:t>puesta por el Estado, por lo que se remite a lo allí resuelto</w:t>
      </w:r>
      <w:r w:rsidR="006A2F96" w:rsidRPr="00975C02">
        <w:rPr>
          <w:rFonts w:cstheme="minorBidi"/>
          <w:sz w:val="20"/>
          <w:szCs w:val="20"/>
          <w:lang w:val="es-ES" w:eastAsia="en-US"/>
        </w:rPr>
        <w:t xml:space="preserve"> (</w:t>
      </w:r>
      <w:r w:rsidR="006A2F96" w:rsidRPr="00975C02">
        <w:rPr>
          <w:rFonts w:cstheme="minorBidi"/>
          <w:i/>
          <w:sz w:val="20"/>
          <w:szCs w:val="20"/>
          <w:lang w:val="es-ES" w:eastAsia="en-US"/>
        </w:rPr>
        <w:t xml:space="preserve">supra </w:t>
      </w:r>
      <w:r w:rsidR="006A2F96" w:rsidRPr="00975C02">
        <w:rPr>
          <w:rFonts w:cstheme="minorBidi"/>
          <w:sz w:val="20"/>
          <w:szCs w:val="20"/>
          <w:lang w:val="es-ES" w:eastAsia="en-US"/>
        </w:rPr>
        <w:t>párr</w:t>
      </w:r>
      <w:r w:rsidR="00975C02">
        <w:rPr>
          <w:rFonts w:cstheme="minorBidi"/>
          <w:sz w:val="20"/>
          <w:szCs w:val="20"/>
          <w:lang w:val="es-ES" w:eastAsia="en-US"/>
        </w:rPr>
        <w:t>s</w:t>
      </w:r>
      <w:r w:rsidR="006A2F96" w:rsidRPr="00975C02">
        <w:rPr>
          <w:rFonts w:cstheme="minorBidi"/>
          <w:sz w:val="20"/>
          <w:szCs w:val="20"/>
          <w:lang w:val="es-ES" w:eastAsia="en-US"/>
        </w:rPr>
        <w:t xml:space="preserve">. </w:t>
      </w:r>
      <w:r w:rsidR="00DA704D" w:rsidRPr="00975C02">
        <w:rPr>
          <w:rFonts w:cstheme="minorBidi"/>
          <w:sz w:val="20"/>
          <w:szCs w:val="20"/>
          <w:lang w:val="es-ES" w:eastAsia="en-US"/>
        </w:rPr>
        <w:t>40 a 42</w:t>
      </w:r>
      <w:r w:rsidR="006A2F96" w:rsidRPr="00975C02">
        <w:rPr>
          <w:rFonts w:cstheme="minorBidi"/>
          <w:sz w:val="20"/>
          <w:szCs w:val="20"/>
          <w:lang w:val="es-ES" w:eastAsia="en-US"/>
        </w:rPr>
        <w:t>)</w:t>
      </w:r>
      <w:r w:rsidRPr="00975C02">
        <w:rPr>
          <w:rFonts w:cstheme="minorBidi"/>
          <w:sz w:val="20"/>
          <w:szCs w:val="20"/>
          <w:lang w:val="es-ES" w:eastAsia="en-US"/>
        </w:rPr>
        <w:t>.</w:t>
      </w:r>
    </w:p>
    <w:p w14:paraId="06BCD12E" w14:textId="77777777" w:rsidR="001C7E37" w:rsidRPr="00975C02" w:rsidRDefault="001C7E37" w:rsidP="001C7E37">
      <w:pPr>
        <w:spacing w:line="240" w:lineRule="auto"/>
        <w:jc w:val="center"/>
        <w:rPr>
          <w:sz w:val="20"/>
          <w:szCs w:val="20"/>
          <w:lang w:val="es-ES"/>
        </w:rPr>
      </w:pPr>
    </w:p>
    <w:p w14:paraId="14B17F7F" w14:textId="77777777" w:rsidR="001C7E37" w:rsidRPr="00975C02" w:rsidRDefault="001C7E37" w:rsidP="001C7E37">
      <w:pPr>
        <w:keepNext/>
        <w:keepLines/>
        <w:tabs>
          <w:tab w:val="left" w:pos="851"/>
        </w:tabs>
        <w:spacing w:line="240" w:lineRule="auto"/>
        <w:jc w:val="center"/>
        <w:outlineLvl w:val="0"/>
        <w:rPr>
          <w:rFonts w:cs="Verdana"/>
          <w:b/>
          <w:bCs/>
          <w:caps/>
          <w:snapToGrid w:val="0"/>
          <w:sz w:val="20"/>
          <w:szCs w:val="20"/>
          <w:lang w:val="es-ES"/>
        </w:rPr>
      </w:pPr>
      <w:bookmarkStart w:id="69" w:name="_Toc375517114"/>
      <w:bookmarkStart w:id="70" w:name="_Toc459158102"/>
      <w:bookmarkStart w:id="71" w:name="_Toc470180046"/>
      <w:bookmarkStart w:id="72" w:name="_Toc514172609"/>
      <w:r w:rsidRPr="00975C02">
        <w:rPr>
          <w:rFonts w:cs="Verdana"/>
          <w:b/>
          <w:bCs/>
          <w:caps/>
          <w:snapToGrid w:val="0"/>
          <w:sz w:val="20"/>
          <w:szCs w:val="20"/>
          <w:lang w:val="es-ES"/>
        </w:rPr>
        <w:t>VI</w:t>
      </w:r>
      <w:r w:rsidRPr="00975C02">
        <w:rPr>
          <w:rFonts w:cs="Verdana"/>
          <w:b/>
          <w:bCs/>
          <w:caps/>
          <w:snapToGrid w:val="0"/>
          <w:sz w:val="20"/>
          <w:szCs w:val="20"/>
          <w:lang w:val="es-ES"/>
        </w:rPr>
        <w:br/>
        <w:t>PRUEBA</w:t>
      </w:r>
      <w:bookmarkEnd w:id="69"/>
      <w:bookmarkEnd w:id="70"/>
      <w:bookmarkEnd w:id="71"/>
      <w:bookmarkEnd w:id="72"/>
    </w:p>
    <w:p w14:paraId="7874DDEF" w14:textId="77777777" w:rsidR="001C7E37" w:rsidRPr="00975C02" w:rsidRDefault="001C7E37" w:rsidP="001C7E37">
      <w:pPr>
        <w:spacing w:line="240" w:lineRule="auto"/>
        <w:rPr>
          <w:sz w:val="20"/>
          <w:szCs w:val="20"/>
          <w:lang w:val="es-ES"/>
        </w:rPr>
      </w:pPr>
    </w:p>
    <w:p w14:paraId="36731FDF" w14:textId="77777777" w:rsidR="001C7E37" w:rsidRPr="00975C02" w:rsidRDefault="001C7E37" w:rsidP="001C7E37">
      <w:pPr>
        <w:keepNext/>
        <w:keepLines/>
        <w:tabs>
          <w:tab w:val="left" w:pos="1134"/>
        </w:tabs>
        <w:spacing w:line="240" w:lineRule="auto"/>
        <w:ind w:left="567" w:firstLine="1"/>
        <w:outlineLvl w:val="1"/>
        <w:rPr>
          <w:rFonts w:eastAsia="MS Mincho"/>
          <w:b/>
          <w:bCs/>
          <w:i/>
          <w:sz w:val="20"/>
          <w:szCs w:val="20"/>
          <w:lang w:val="es-ES"/>
        </w:rPr>
      </w:pPr>
      <w:bookmarkStart w:id="73" w:name="_Toc375517115"/>
      <w:bookmarkStart w:id="74" w:name="_Toc459158103"/>
      <w:bookmarkStart w:id="75" w:name="_Toc470180047"/>
      <w:bookmarkStart w:id="76" w:name="_Toc514172610"/>
      <w:r w:rsidRPr="00975C02">
        <w:rPr>
          <w:rFonts w:eastAsia="MS Mincho"/>
          <w:b/>
          <w:bCs/>
          <w:i/>
          <w:sz w:val="20"/>
          <w:szCs w:val="20"/>
          <w:lang w:val="es-ES"/>
        </w:rPr>
        <w:t>A.</w:t>
      </w:r>
      <w:r w:rsidRPr="00975C02">
        <w:rPr>
          <w:rFonts w:eastAsia="MS Mincho"/>
          <w:b/>
          <w:bCs/>
          <w:i/>
          <w:sz w:val="20"/>
          <w:szCs w:val="20"/>
          <w:lang w:val="es-ES"/>
        </w:rPr>
        <w:tab/>
        <w:t>Prueba documental, testimonial y pericial</w:t>
      </w:r>
      <w:bookmarkEnd w:id="73"/>
      <w:bookmarkEnd w:id="74"/>
      <w:bookmarkEnd w:id="75"/>
      <w:bookmarkEnd w:id="76"/>
    </w:p>
    <w:p w14:paraId="799A8633" w14:textId="77777777" w:rsidR="001C7E37" w:rsidRPr="00975C02" w:rsidRDefault="001C7E37" w:rsidP="001C7E37">
      <w:pPr>
        <w:widowControl/>
        <w:tabs>
          <w:tab w:val="left" w:pos="567"/>
        </w:tabs>
        <w:autoSpaceDE w:val="0"/>
        <w:autoSpaceDN w:val="0"/>
        <w:adjustRightInd/>
        <w:spacing w:line="240" w:lineRule="auto"/>
        <w:textAlignment w:val="auto"/>
        <w:rPr>
          <w:rFonts w:cs="Verdana"/>
          <w:sz w:val="20"/>
          <w:szCs w:val="20"/>
          <w:lang w:val="es-ES" w:eastAsia="en-US"/>
        </w:rPr>
      </w:pPr>
    </w:p>
    <w:p w14:paraId="381B4AB7" w14:textId="28A63FB3" w:rsidR="001C7E37" w:rsidRPr="00975C02" w:rsidRDefault="001C7E37" w:rsidP="00C8070B">
      <w:pPr>
        <w:numPr>
          <w:ilvl w:val="0"/>
          <w:numId w:val="2"/>
        </w:numPr>
        <w:tabs>
          <w:tab w:val="left" w:pos="567"/>
          <w:tab w:val="num" w:pos="12305"/>
        </w:tabs>
        <w:spacing w:line="240" w:lineRule="auto"/>
        <w:ind w:left="0" w:firstLine="0"/>
        <w:rPr>
          <w:rFonts w:cs="Verdana"/>
          <w:sz w:val="20"/>
          <w:szCs w:val="20"/>
          <w:lang w:val="es-ES" w:eastAsia="en-US"/>
        </w:rPr>
      </w:pPr>
      <w:r w:rsidRPr="00975C02">
        <w:rPr>
          <w:sz w:val="20"/>
          <w:szCs w:val="20"/>
          <w:lang w:val="es-ES"/>
        </w:rPr>
        <w:t xml:space="preserve">La Corte recibió diversos documentos presentados como prueba por el Estado, las </w:t>
      </w:r>
      <w:r w:rsidR="00DB14D0" w:rsidRPr="00975C02">
        <w:rPr>
          <w:sz w:val="20"/>
          <w:szCs w:val="20"/>
          <w:lang w:val="es-ES"/>
        </w:rPr>
        <w:t>representantes</w:t>
      </w:r>
      <w:r w:rsidRPr="00975C02">
        <w:rPr>
          <w:sz w:val="20"/>
          <w:szCs w:val="20"/>
          <w:lang w:val="es-ES"/>
        </w:rPr>
        <w:t xml:space="preserve"> y la Comisión Interamericana, adjuntos a sus escritos principales y </w:t>
      </w:r>
      <w:r w:rsidR="00317BC4" w:rsidRPr="00975C02">
        <w:rPr>
          <w:sz w:val="20"/>
          <w:szCs w:val="20"/>
          <w:lang w:val="es-ES"/>
        </w:rPr>
        <w:t>como prueba para mejor resolver</w:t>
      </w:r>
      <w:r w:rsidRPr="00975C02">
        <w:rPr>
          <w:sz w:val="20"/>
          <w:szCs w:val="20"/>
          <w:lang w:val="es-ES"/>
        </w:rPr>
        <w:t xml:space="preserve"> (</w:t>
      </w:r>
      <w:r w:rsidRPr="00975C02">
        <w:rPr>
          <w:i/>
          <w:sz w:val="20"/>
          <w:szCs w:val="20"/>
          <w:lang w:val="es-ES"/>
        </w:rPr>
        <w:t>supra</w:t>
      </w:r>
      <w:r w:rsidRPr="00975C02">
        <w:rPr>
          <w:sz w:val="20"/>
          <w:szCs w:val="20"/>
          <w:lang w:val="es-ES"/>
        </w:rPr>
        <w:t xml:space="preserve"> párrs. </w:t>
      </w:r>
      <w:r w:rsidR="00B546D8" w:rsidRPr="00975C02">
        <w:rPr>
          <w:sz w:val="20"/>
          <w:szCs w:val="20"/>
          <w:lang w:val="es-ES"/>
        </w:rPr>
        <w:t>1, 6, 7</w:t>
      </w:r>
      <w:r w:rsidR="00BC054D" w:rsidRPr="00975C02">
        <w:rPr>
          <w:sz w:val="20"/>
          <w:szCs w:val="20"/>
          <w:lang w:val="es-ES"/>
        </w:rPr>
        <w:t xml:space="preserve"> y 12</w:t>
      </w:r>
      <w:r w:rsidRPr="00975C02">
        <w:rPr>
          <w:sz w:val="20"/>
          <w:szCs w:val="20"/>
          <w:lang w:val="es-ES"/>
        </w:rPr>
        <w:t>). Asimismo, la Corte recibió las declaraciones rendidas ante fedatario público (</w:t>
      </w:r>
      <w:r w:rsidRPr="00975C02">
        <w:rPr>
          <w:i/>
          <w:iCs/>
          <w:sz w:val="20"/>
          <w:szCs w:val="20"/>
          <w:lang w:val="es-ES"/>
        </w:rPr>
        <w:t>affidávit</w:t>
      </w:r>
      <w:r w:rsidRPr="00975C02">
        <w:rPr>
          <w:sz w:val="20"/>
          <w:szCs w:val="20"/>
          <w:lang w:val="es-ES"/>
        </w:rPr>
        <w:t xml:space="preserve">) de </w:t>
      </w:r>
      <w:r w:rsidR="002E1EE5" w:rsidRPr="00975C02">
        <w:rPr>
          <w:sz w:val="20"/>
          <w:szCs w:val="20"/>
          <w:lang w:val="es-ES"/>
        </w:rPr>
        <w:t xml:space="preserve">N.R.P., </w:t>
      </w:r>
      <w:r w:rsidRPr="00975C02">
        <w:rPr>
          <w:sz w:val="20"/>
          <w:szCs w:val="20"/>
          <w:lang w:val="es-ES"/>
        </w:rPr>
        <w:t>H.J.R.P. y V.A.R.P</w:t>
      </w:r>
      <w:r w:rsidR="007A37EF" w:rsidRPr="00975C02">
        <w:rPr>
          <w:sz w:val="20"/>
          <w:szCs w:val="20"/>
          <w:lang w:val="es-ES"/>
        </w:rPr>
        <w:t>.</w:t>
      </w:r>
      <w:r w:rsidR="00DB14D0" w:rsidRPr="00975C02">
        <w:rPr>
          <w:sz w:val="20"/>
          <w:szCs w:val="20"/>
          <w:lang w:val="es-ES"/>
        </w:rPr>
        <w:t>, propuestos por la</w:t>
      </w:r>
      <w:r w:rsidRPr="00975C02">
        <w:rPr>
          <w:sz w:val="20"/>
          <w:szCs w:val="20"/>
          <w:lang w:val="es-ES"/>
        </w:rPr>
        <w:t xml:space="preserve">s representantes. En cuanto a la prueba rendida en audiencia pública, la Corte recibió las declaraciones de las presuntas víctimas </w:t>
      </w:r>
      <w:r w:rsidR="00DB14D0" w:rsidRPr="00975C02">
        <w:rPr>
          <w:rFonts w:cs="Arial"/>
          <w:iCs/>
          <w:sz w:val="20"/>
          <w:szCs w:val="20"/>
          <w:lang w:val="es-ES"/>
        </w:rPr>
        <w:t xml:space="preserve">V.R.P. y </w:t>
      </w:r>
      <w:r w:rsidRPr="00975C02">
        <w:rPr>
          <w:rFonts w:cs="Arial"/>
          <w:iCs/>
          <w:sz w:val="20"/>
          <w:szCs w:val="20"/>
          <w:lang w:val="es-ES"/>
        </w:rPr>
        <w:t xml:space="preserve">V.P.C., </w:t>
      </w:r>
      <w:r w:rsidR="00DB14D0" w:rsidRPr="00975C02">
        <w:rPr>
          <w:rFonts w:cs="Arial"/>
          <w:iCs/>
          <w:sz w:val="20"/>
          <w:szCs w:val="20"/>
          <w:lang w:val="es-ES"/>
        </w:rPr>
        <w:t xml:space="preserve">así como los </w:t>
      </w:r>
      <w:r w:rsidR="007F7AA0" w:rsidRPr="00975C02">
        <w:rPr>
          <w:rFonts w:cs="Arial"/>
          <w:iCs/>
          <w:sz w:val="20"/>
          <w:szCs w:val="20"/>
          <w:lang w:val="es-ES"/>
        </w:rPr>
        <w:t>dictámenes</w:t>
      </w:r>
      <w:r w:rsidR="00DB14D0" w:rsidRPr="00975C02">
        <w:rPr>
          <w:rFonts w:cs="Arial"/>
          <w:iCs/>
          <w:sz w:val="20"/>
          <w:szCs w:val="20"/>
          <w:lang w:val="es-ES"/>
        </w:rPr>
        <w:t xml:space="preserve"> </w:t>
      </w:r>
      <w:r w:rsidRPr="00975C02">
        <w:rPr>
          <w:rFonts w:eastAsia="Verdana" w:cs="Verdana"/>
          <w:sz w:val="20"/>
          <w:szCs w:val="20"/>
          <w:lang w:val="es-ES"/>
        </w:rPr>
        <w:t xml:space="preserve">del </w:t>
      </w:r>
      <w:r w:rsidR="007F7AA0" w:rsidRPr="00975C02">
        <w:rPr>
          <w:rFonts w:eastAsia="Verdana" w:cs="Verdana"/>
          <w:sz w:val="20"/>
          <w:szCs w:val="20"/>
          <w:lang w:val="es-ES"/>
        </w:rPr>
        <w:t>perito</w:t>
      </w:r>
      <w:r w:rsidRPr="00975C02">
        <w:rPr>
          <w:rFonts w:eastAsia="Verdana" w:cs="Verdana"/>
          <w:sz w:val="20"/>
          <w:szCs w:val="20"/>
          <w:lang w:val="es-ES"/>
        </w:rPr>
        <w:t xml:space="preserve"> Enrique Oscar Stola, propuesto por las </w:t>
      </w:r>
      <w:r w:rsidR="00DB14D0" w:rsidRPr="00975C02">
        <w:rPr>
          <w:rFonts w:eastAsia="Verdana" w:cs="Verdana"/>
          <w:sz w:val="20"/>
          <w:szCs w:val="20"/>
          <w:lang w:val="es-ES"/>
        </w:rPr>
        <w:t xml:space="preserve">representantes, </w:t>
      </w:r>
      <w:r w:rsidRPr="00975C02">
        <w:rPr>
          <w:rFonts w:eastAsia="Verdana" w:cs="Verdana"/>
          <w:sz w:val="20"/>
          <w:szCs w:val="20"/>
          <w:lang w:val="es-ES"/>
        </w:rPr>
        <w:t xml:space="preserve">y </w:t>
      </w:r>
      <w:r w:rsidR="007F7AA0" w:rsidRPr="00975C02">
        <w:rPr>
          <w:rFonts w:eastAsia="Verdana" w:cs="Verdana"/>
          <w:sz w:val="20"/>
          <w:szCs w:val="20"/>
          <w:lang w:val="es-ES"/>
        </w:rPr>
        <w:t xml:space="preserve">del perito </w:t>
      </w:r>
      <w:r w:rsidRPr="00975C02">
        <w:rPr>
          <w:rFonts w:eastAsia="Verdana" w:cs="Verdana"/>
          <w:sz w:val="20"/>
          <w:szCs w:val="20"/>
          <w:lang w:val="es-ES"/>
        </w:rPr>
        <w:t>Miguel Cillero Bruñol, propuesto por la Comisión</w:t>
      </w:r>
      <w:r w:rsidRPr="00975C02">
        <w:rPr>
          <w:sz w:val="20"/>
          <w:szCs w:val="20"/>
          <w:lang w:val="es-ES"/>
        </w:rPr>
        <w:t>.</w:t>
      </w:r>
    </w:p>
    <w:p w14:paraId="0A0E0F72" w14:textId="77777777" w:rsidR="001C7E37" w:rsidRPr="00975C02" w:rsidRDefault="001C7E37" w:rsidP="001C7E37">
      <w:pPr>
        <w:autoSpaceDE w:val="0"/>
        <w:autoSpaceDN w:val="0"/>
        <w:spacing w:line="240" w:lineRule="auto"/>
        <w:rPr>
          <w:sz w:val="20"/>
          <w:szCs w:val="20"/>
          <w:lang w:val="es-ES"/>
        </w:rPr>
      </w:pPr>
    </w:p>
    <w:p w14:paraId="58734E65" w14:textId="77777777" w:rsidR="001C7E37" w:rsidRPr="00975C02" w:rsidRDefault="001C7E37" w:rsidP="001C7E37">
      <w:pPr>
        <w:keepNext/>
        <w:keepLines/>
        <w:tabs>
          <w:tab w:val="left" w:pos="1134"/>
        </w:tabs>
        <w:spacing w:line="240" w:lineRule="auto"/>
        <w:ind w:left="567" w:firstLine="1"/>
        <w:outlineLvl w:val="1"/>
        <w:rPr>
          <w:rFonts w:eastAsia="MS Mincho"/>
          <w:b/>
          <w:bCs/>
          <w:i/>
          <w:sz w:val="20"/>
          <w:szCs w:val="20"/>
          <w:lang w:val="es-ES"/>
        </w:rPr>
      </w:pPr>
      <w:bookmarkStart w:id="77" w:name="_Toc375517116"/>
      <w:bookmarkStart w:id="78" w:name="_Toc459158104"/>
      <w:bookmarkStart w:id="79" w:name="_Toc470180048"/>
      <w:bookmarkStart w:id="80" w:name="_Toc514172611"/>
      <w:r w:rsidRPr="00975C02">
        <w:rPr>
          <w:rFonts w:eastAsia="MS Mincho"/>
          <w:b/>
          <w:bCs/>
          <w:i/>
          <w:sz w:val="20"/>
          <w:szCs w:val="20"/>
          <w:lang w:val="es-ES"/>
        </w:rPr>
        <w:t xml:space="preserve">B. </w:t>
      </w:r>
      <w:r w:rsidRPr="00975C02">
        <w:rPr>
          <w:rFonts w:eastAsia="MS Mincho"/>
          <w:b/>
          <w:bCs/>
          <w:i/>
          <w:sz w:val="20"/>
          <w:szCs w:val="20"/>
          <w:lang w:val="es-ES"/>
        </w:rPr>
        <w:tab/>
        <w:t>Admisión de la prueba</w:t>
      </w:r>
      <w:bookmarkEnd w:id="77"/>
      <w:bookmarkEnd w:id="78"/>
      <w:bookmarkEnd w:id="79"/>
      <w:bookmarkEnd w:id="80"/>
    </w:p>
    <w:p w14:paraId="5A936B8E" w14:textId="77777777" w:rsidR="001C7E37" w:rsidRPr="00975C02" w:rsidRDefault="001C7E37" w:rsidP="001C7E37">
      <w:pPr>
        <w:spacing w:line="240" w:lineRule="auto"/>
        <w:rPr>
          <w:bCs/>
          <w:i/>
          <w:sz w:val="20"/>
          <w:szCs w:val="20"/>
          <w:lang w:val="es-ES"/>
        </w:rPr>
      </w:pPr>
    </w:p>
    <w:p w14:paraId="649211E2" w14:textId="77777777" w:rsidR="001C7E37" w:rsidRPr="00975C02" w:rsidRDefault="001C7E37" w:rsidP="00C607DD">
      <w:pPr>
        <w:pStyle w:val="Heading2"/>
        <w:tabs>
          <w:tab w:val="left" w:pos="1843"/>
        </w:tabs>
        <w:spacing w:before="0" w:line="240" w:lineRule="auto"/>
        <w:ind w:left="1134"/>
        <w:rPr>
          <w:rFonts w:ascii="Verdana" w:hAnsi="Verdana"/>
          <w:b w:val="0"/>
          <w:i/>
          <w:color w:val="auto"/>
          <w:sz w:val="20"/>
          <w:szCs w:val="20"/>
          <w:lang w:val="es-ES"/>
        </w:rPr>
      </w:pPr>
      <w:bookmarkStart w:id="81" w:name="_Toc375517117"/>
      <w:bookmarkStart w:id="82" w:name="_Toc459158105"/>
      <w:bookmarkStart w:id="83" w:name="_Toc470180049"/>
      <w:bookmarkStart w:id="84" w:name="_Toc514172612"/>
      <w:r w:rsidRPr="00975C02">
        <w:rPr>
          <w:rFonts w:ascii="Verdana" w:hAnsi="Verdana"/>
          <w:b w:val="0"/>
          <w:i/>
          <w:color w:val="auto"/>
          <w:sz w:val="20"/>
          <w:szCs w:val="20"/>
          <w:lang w:val="es-ES"/>
        </w:rPr>
        <w:t xml:space="preserve">B.1 </w:t>
      </w:r>
      <w:r w:rsidRPr="00975C02">
        <w:rPr>
          <w:rFonts w:ascii="Verdana" w:hAnsi="Verdana"/>
          <w:b w:val="0"/>
          <w:i/>
          <w:color w:val="auto"/>
          <w:sz w:val="20"/>
          <w:szCs w:val="20"/>
          <w:lang w:val="es-ES"/>
        </w:rPr>
        <w:tab/>
        <w:t>Admisión de la prueba documental</w:t>
      </w:r>
      <w:bookmarkEnd w:id="81"/>
      <w:bookmarkEnd w:id="82"/>
      <w:bookmarkEnd w:id="83"/>
      <w:bookmarkEnd w:id="84"/>
    </w:p>
    <w:p w14:paraId="52C4E923" w14:textId="77777777" w:rsidR="001C7E37" w:rsidRPr="00975C02" w:rsidRDefault="001C7E37" w:rsidP="001C7E37">
      <w:pPr>
        <w:widowControl/>
        <w:tabs>
          <w:tab w:val="left" w:pos="567"/>
        </w:tabs>
        <w:autoSpaceDE w:val="0"/>
        <w:autoSpaceDN w:val="0"/>
        <w:adjustRightInd/>
        <w:spacing w:line="240" w:lineRule="auto"/>
        <w:textAlignment w:val="auto"/>
        <w:rPr>
          <w:rFonts w:cs="Verdana"/>
          <w:sz w:val="20"/>
          <w:szCs w:val="20"/>
          <w:lang w:val="es-ES" w:eastAsia="en-US"/>
        </w:rPr>
      </w:pPr>
    </w:p>
    <w:p w14:paraId="6730BBFA" w14:textId="39C7BEC3" w:rsidR="001C7E37" w:rsidRPr="00975C02" w:rsidRDefault="001C7E37" w:rsidP="00C8070B">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En el presente caso, como en otros, el Tribunal admite el valor probatorio de aquellos documentos presentados</w:t>
      </w:r>
      <w:r w:rsidR="007F4DDA" w:rsidRPr="00975C02">
        <w:rPr>
          <w:sz w:val="20"/>
          <w:szCs w:val="20"/>
          <w:lang w:val="es-ES"/>
        </w:rPr>
        <w:t xml:space="preserve"> por las partes y por la Comisión</w:t>
      </w:r>
      <w:r w:rsidRPr="00975C02">
        <w:rPr>
          <w:sz w:val="20"/>
          <w:szCs w:val="20"/>
          <w:lang w:val="es-ES"/>
        </w:rPr>
        <w:t xml:space="preserve"> en la debida oportunidad procesal</w:t>
      </w:r>
      <w:r w:rsidR="007F4DDA" w:rsidRPr="00975C02">
        <w:rPr>
          <w:sz w:val="20"/>
          <w:szCs w:val="20"/>
          <w:lang w:val="es-ES"/>
        </w:rPr>
        <w:t>,</w:t>
      </w:r>
      <w:r w:rsidRPr="00975C02">
        <w:rPr>
          <w:sz w:val="20"/>
          <w:szCs w:val="20"/>
          <w:lang w:val="es-ES"/>
        </w:rPr>
        <w:t xml:space="preserve"> que no fueron controvertidos ni objetados, y cuya autenticidad no fue puesta en duda</w:t>
      </w:r>
      <w:r w:rsidRPr="00975C02">
        <w:rPr>
          <w:sz w:val="20"/>
          <w:szCs w:val="20"/>
          <w:vertAlign w:val="superscript"/>
          <w:lang w:val="es-ES"/>
        </w:rPr>
        <w:footnoteReference w:id="39"/>
      </w:r>
      <w:r w:rsidRPr="00975C02">
        <w:rPr>
          <w:sz w:val="20"/>
          <w:szCs w:val="20"/>
          <w:lang w:val="es-ES"/>
        </w:rPr>
        <w:t>.</w:t>
      </w:r>
    </w:p>
    <w:p w14:paraId="53A864F9" w14:textId="77777777" w:rsidR="001C7E37" w:rsidRPr="00975C02" w:rsidRDefault="001C7E37" w:rsidP="001C7E37">
      <w:pPr>
        <w:widowControl/>
        <w:tabs>
          <w:tab w:val="left" w:pos="720"/>
        </w:tabs>
        <w:adjustRightInd/>
        <w:spacing w:line="240" w:lineRule="auto"/>
        <w:ind w:right="-90"/>
        <w:textAlignment w:val="auto"/>
        <w:rPr>
          <w:sz w:val="20"/>
          <w:szCs w:val="20"/>
          <w:lang w:val="es-ES"/>
        </w:rPr>
      </w:pPr>
    </w:p>
    <w:p w14:paraId="7E3687A9" w14:textId="7FA27BD3" w:rsidR="0098291D" w:rsidRPr="00975C02" w:rsidRDefault="0098291D" w:rsidP="0098291D">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El Estado alegó que determinadas pruebas presentadas con el escrito de las representantes serían inadmisibles por</w:t>
      </w:r>
      <w:r w:rsidR="000A606B" w:rsidRPr="00975C02">
        <w:rPr>
          <w:sz w:val="20"/>
          <w:szCs w:val="20"/>
          <w:lang w:val="es-ES"/>
        </w:rPr>
        <w:t>que habría sido presentadas de forma</w:t>
      </w:r>
      <w:r w:rsidRPr="00975C02">
        <w:rPr>
          <w:sz w:val="20"/>
          <w:szCs w:val="20"/>
          <w:lang w:val="es-ES"/>
        </w:rPr>
        <w:t xml:space="preserve"> extemporánea. Ahora</w:t>
      </w:r>
      <w:r w:rsidRPr="00975C02">
        <w:rPr>
          <w:sz w:val="20"/>
          <w:szCs w:val="20"/>
          <w:lang w:val="es-ES" w:eastAsia="es-ES"/>
        </w:rPr>
        <w:t xml:space="preserve"> bien, de conformidad con el artículo 57.2 del Reglamento,</w:t>
      </w:r>
      <w:r w:rsidR="000A606B" w:rsidRPr="00975C02">
        <w:rPr>
          <w:sz w:val="20"/>
          <w:szCs w:val="20"/>
          <w:lang w:val="es-ES" w:eastAsia="es-ES"/>
        </w:rPr>
        <w:t xml:space="preserve"> la oportunidad procesal para la presentación de prueba documental es</w:t>
      </w:r>
      <w:r w:rsidRPr="00975C02">
        <w:rPr>
          <w:sz w:val="20"/>
          <w:szCs w:val="20"/>
          <w:lang w:val="es-ES" w:eastAsia="es-ES"/>
        </w:rPr>
        <w:t xml:space="preserve">, en general, junto con los escritos de sometimiento del caso, de solicitudes y argumentos o de contestación, según corresponda. </w:t>
      </w:r>
      <w:r w:rsidRPr="00975C02">
        <w:rPr>
          <w:sz w:val="20"/>
          <w:szCs w:val="20"/>
          <w:lang w:val="es-ES"/>
        </w:rPr>
        <w:t xml:space="preserve">Al respecto, la Corte nota que </w:t>
      </w:r>
      <w:r w:rsidR="000A606B" w:rsidRPr="00975C02">
        <w:rPr>
          <w:sz w:val="20"/>
          <w:szCs w:val="20"/>
          <w:lang w:val="es-ES"/>
        </w:rPr>
        <w:t xml:space="preserve">la </w:t>
      </w:r>
      <w:r w:rsidRPr="00975C02">
        <w:rPr>
          <w:sz w:val="20"/>
          <w:szCs w:val="20"/>
          <w:lang w:val="es-ES"/>
        </w:rPr>
        <w:t xml:space="preserve">prueba </w:t>
      </w:r>
      <w:r w:rsidR="000A606B" w:rsidRPr="00975C02">
        <w:rPr>
          <w:sz w:val="20"/>
          <w:szCs w:val="20"/>
          <w:lang w:val="es-ES"/>
        </w:rPr>
        <w:t xml:space="preserve">cuestionada por el Estado </w:t>
      </w:r>
      <w:r w:rsidRPr="00975C02">
        <w:rPr>
          <w:sz w:val="20"/>
          <w:szCs w:val="20"/>
          <w:lang w:val="es-ES"/>
        </w:rPr>
        <w:t xml:space="preserve">fue debidamente ofrecida en </w:t>
      </w:r>
      <w:r w:rsidR="000A606B" w:rsidRPr="00975C02">
        <w:rPr>
          <w:sz w:val="20"/>
          <w:szCs w:val="20"/>
          <w:lang w:val="es-ES"/>
        </w:rPr>
        <w:t>el momento</w:t>
      </w:r>
      <w:r w:rsidRPr="00975C02">
        <w:rPr>
          <w:sz w:val="20"/>
          <w:szCs w:val="20"/>
          <w:lang w:val="es-ES"/>
        </w:rPr>
        <w:t xml:space="preserve"> procesal oportun</w:t>
      </w:r>
      <w:r w:rsidR="000A606B" w:rsidRPr="00975C02">
        <w:rPr>
          <w:sz w:val="20"/>
          <w:szCs w:val="20"/>
          <w:lang w:val="es-ES"/>
        </w:rPr>
        <w:t>o</w:t>
      </w:r>
      <w:r w:rsidRPr="00975C02">
        <w:rPr>
          <w:sz w:val="20"/>
          <w:szCs w:val="20"/>
          <w:lang w:val="es-ES"/>
        </w:rPr>
        <w:t xml:space="preserve"> y sometida a la Corte junto con el escrito de solicitudes, argumentos y pruebas. La Corte reitera que el hecho de que se haya solicitado </w:t>
      </w:r>
      <w:r w:rsidR="000A606B" w:rsidRPr="00975C02">
        <w:rPr>
          <w:sz w:val="20"/>
          <w:szCs w:val="20"/>
          <w:lang w:val="es-ES"/>
        </w:rPr>
        <w:t>l</w:t>
      </w:r>
      <w:r w:rsidRPr="00975C02">
        <w:rPr>
          <w:sz w:val="20"/>
          <w:szCs w:val="20"/>
          <w:lang w:val="es-ES"/>
        </w:rPr>
        <w:t xml:space="preserve">a subsanación de ciertas deficiencias en los anexos, </w:t>
      </w:r>
      <w:r w:rsidR="00A173EC" w:rsidRPr="00975C02">
        <w:rPr>
          <w:sz w:val="20"/>
          <w:szCs w:val="20"/>
          <w:lang w:val="es-ES"/>
        </w:rPr>
        <w:t>específicamente de</w:t>
      </w:r>
      <w:r w:rsidRPr="00975C02">
        <w:rPr>
          <w:sz w:val="20"/>
          <w:szCs w:val="20"/>
          <w:lang w:val="es-ES"/>
        </w:rPr>
        <w:t xml:space="preserve"> </w:t>
      </w:r>
      <w:r w:rsidR="00A173EC" w:rsidRPr="00975C02">
        <w:rPr>
          <w:sz w:val="20"/>
          <w:szCs w:val="20"/>
          <w:lang w:val="es-ES"/>
        </w:rPr>
        <w:t xml:space="preserve">aquellos folios </w:t>
      </w:r>
      <w:r w:rsidRPr="00975C02">
        <w:rPr>
          <w:sz w:val="20"/>
          <w:szCs w:val="20"/>
          <w:lang w:val="es-ES"/>
        </w:rPr>
        <w:t>que se encontraban parcialmente ilegibles o que faltaba</w:t>
      </w:r>
      <w:r w:rsidR="00A173EC" w:rsidRPr="00975C02">
        <w:rPr>
          <w:sz w:val="20"/>
          <w:szCs w:val="20"/>
          <w:lang w:val="es-ES"/>
        </w:rPr>
        <w:t>n</w:t>
      </w:r>
      <w:r w:rsidRPr="00975C02">
        <w:rPr>
          <w:sz w:val="20"/>
          <w:szCs w:val="20"/>
          <w:lang w:val="es-ES"/>
        </w:rPr>
        <w:t xml:space="preserve">, no torna dicha prueba </w:t>
      </w:r>
      <w:r w:rsidRPr="00975C02">
        <w:rPr>
          <w:sz w:val="20"/>
          <w:szCs w:val="20"/>
          <w:lang w:val="es-ES"/>
        </w:rPr>
        <w:lastRenderedPageBreak/>
        <w:t>inadmisible o extemporánea</w:t>
      </w:r>
      <w:r w:rsidR="00A173EC" w:rsidRPr="00975C02">
        <w:rPr>
          <w:sz w:val="20"/>
          <w:szCs w:val="20"/>
          <w:lang w:val="es-ES"/>
        </w:rPr>
        <w:t xml:space="preserve"> </w:t>
      </w:r>
      <w:r w:rsidR="00A173EC" w:rsidRPr="00975C02">
        <w:rPr>
          <w:i/>
          <w:sz w:val="20"/>
          <w:szCs w:val="20"/>
          <w:lang w:val="es-ES"/>
        </w:rPr>
        <w:t>per se</w:t>
      </w:r>
      <w:r w:rsidRPr="00975C02">
        <w:rPr>
          <w:sz w:val="20"/>
          <w:szCs w:val="20"/>
          <w:lang w:val="es-ES"/>
        </w:rPr>
        <w:t>, ya que se encuentra dentro de la facultad del Tribunal procurar las pruebas que sean útiles para la resolución del caso</w:t>
      </w:r>
      <w:r w:rsidR="00A173EC" w:rsidRPr="00975C02">
        <w:rPr>
          <w:sz w:val="20"/>
          <w:szCs w:val="20"/>
          <w:lang w:val="es-ES"/>
        </w:rPr>
        <w:t xml:space="preserve"> y, de ser necesario, solicitar tal subsanación</w:t>
      </w:r>
      <w:r w:rsidRPr="00975C02">
        <w:rPr>
          <w:sz w:val="20"/>
          <w:szCs w:val="20"/>
          <w:lang w:val="es-ES"/>
        </w:rPr>
        <w:t>.</w:t>
      </w:r>
    </w:p>
    <w:p w14:paraId="0CFF4B1E" w14:textId="77777777" w:rsidR="0098291D" w:rsidRPr="00975C02" w:rsidRDefault="0098291D" w:rsidP="001C7E37">
      <w:pPr>
        <w:autoSpaceDE w:val="0"/>
        <w:autoSpaceDN w:val="0"/>
        <w:spacing w:line="240" w:lineRule="auto"/>
        <w:rPr>
          <w:sz w:val="20"/>
          <w:szCs w:val="20"/>
          <w:lang w:val="es-ES"/>
        </w:rPr>
      </w:pPr>
    </w:p>
    <w:p w14:paraId="38F186F4" w14:textId="13B566A1" w:rsidR="0093445D" w:rsidRPr="00975C02" w:rsidRDefault="00E659A5" w:rsidP="00E659A5">
      <w:pPr>
        <w:widowControl/>
        <w:numPr>
          <w:ilvl w:val="0"/>
          <w:numId w:val="2"/>
        </w:numPr>
        <w:tabs>
          <w:tab w:val="left" w:pos="567"/>
          <w:tab w:val="num" w:pos="12305"/>
        </w:tabs>
        <w:adjustRightInd/>
        <w:spacing w:line="240" w:lineRule="auto"/>
        <w:ind w:left="0" w:right="-90" w:firstLine="0"/>
        <w:textAlignment w:val="auto"/>
        <w:rPr>
          <w:sz w:val="20"/>
          <w:szCs w:val="20"/>
          <w:lang w:val="es-ES"/>
        </w:rPr>
      </w:pPr>
      <w:r w:rsidRPr="00975C02">
        <w:rPr>
          <w:sz w:val="20"/>
          <w:szCs w:val="20"/>
          <w:lang w:val="es-ES"/>
        </w:rPr>
        <w:t>Las representantes impugnaron varias pruebas presentadas por el Estado junto con su escrito de contestación. Respecto de una serie de anexos</w:t>
      </w:r>
      <w:r w:rsidR="000A606B" w:rsidRPr="00975C02">
        <w:rPr>
          <w:sz w:val="20"/>
          <w:szCs w:val="20"/>
          <w:lang w:val="es-ES"/>
        </w:rPr>
        <w:t>,</w:t>
      </w:r>
      <w:r w:rsidRPr="00975C02">
        <w:rPr>
          <w:sz w:val="20"/>
          <w:szCs w:val="20"/>
          <w:lang w:val="es-ES"/>
        </w:rPr>
        <w:t xml:space="preserve"> refirieron que se enc</w:t>
      </w:r>
      <w:r w:rsidR="000A606B" w:rsidRPr="00975C02">
        <w:rPr>
          <w:sz w:val="20"/>
          <w:szCs w:val="20"/>
          <w:lang w:val="es-ES"/>
        </w:rPr>
        <w:t>o</w:t>
      </w:r>
      <w:r w:rsidRPr="00975C02">
        <w:rPr>
          <w:sz w:val="20"/>
          <w:szCs w:val="20"/>
          <w:lang w:val="es-ES"/>
        </w:rPr>
        <w:t>ntra</w:t>
      </w:r>
      <w:r w:rsidR="000A606B" w:rsidRPr="00975C02">
        <w:rPr>
          <w:sz w:val="20"/>
          <w:szCs w:val="20"/>
          <w:lang w:val="es-ES"/>
        </w:rPr>
        <w:t>ba</w:t>
      </w:r>
      <w:r w:rsidRPr="00975C02">
        <w:rPr>
          <w:sz w:val="20"/>
          <w:szCs w:val="20"/>
          <w:lang w:val="es-ES"/>
        </w:rPr>
        <w:t>n incompletos. En cuanto a otros</w:t>
      </w:r>
      <w:r w:rsidR="000A606B" w:rsidRPr="00975C02">
        <w:rPr>
          <w:sz w:val="20"/>
          <w:szCs w:val="20"/>
          <w:lang w:val="es-ES"/>
        </w:rPr>
        <w:t xml:space="preserve"> anexos</w:t>
      </w:r>
      <w:r w:rsidRPr="00975C02">
        <w:rPr>
          <w:sz w:val="20"/>
          <w:szCs w:val="20"/>
          <w:lang w:val="es-ES"/>
        </w:rPr>
        <w:t>, indicaron que no serían susceptibles de demostrar aquello que se pre</w:t>
      </w:r>
      <w:r w:rsidR="00A173EC" w:rsidRPr="00975C02">
        <w:rPr>
          <w:sz w:val="20"/>
          <w:szCs w:val="20"/>
          <w:lang w:val="es-ES"/>
        </w:rPr>
        <w:t>tende o, como es el caso de la C</w:t>
      </w:r>
      <w:r w:rsidRPr="00975C02">
        <w:rPr>
          <w:sz w:val="20"/>
          <w:szCs w:val="20"/>
          <w:lang w:val="es-ES"/>
        </w:rPr>
        <w:t>onstitución</w:t>
      </w:r>
      <w:r w:rsidR="001F4518" w:rsidRPr="00975C02">
        <w:rPr>
          <w:sz w:val="20"/>
          <w:szCs w:val="20"/>
          <w:lang w:val="es-ES"/>
        </w:rPr>
        <w:t xml:space="preserve"> aportada</w:t>
      </w:r>
      <w:r w:rsidRPr="00975C02">
        <w:rPr>
          <w:sz w:val="20"/>
          <w:szCs w:val="20"/>
          <w:lang w:val="es-ES"/>
        </w:rPr>
        <w:t>, que el documento se encontraría desactualizado en tanto no conten</w:t>
      </w:r>
      <w:r w:rsidR="001F4518" w:rsidRPr="00975C02">
        <w:rPr>
          <w:sz w:val="20"/>
          <w:szCs w:val="20"/>
          <w:lang w:val="es-ES"/>
        </w:rPr>
        <w:t>dría</w:t>
      </w:r>
      <w:r w:rsidRPr="00975C02">
        <w:rPr>
          <w:sz w:val="20"/>
          <w:szCs w:val="20"/>
          <w:lang w:val="es-ES"/>
        </w:rPr>
        <w:t xml:space="preserve"> ciertas reformas. Al respecto, la Corte considera que las cuestiones planteadas se refieren al valor probatorio de la prueba pero no a su admisibilidad.</w:t>
      </w:r>
    </w:p>
    <w:p w14:paraId="24D31C4E" w14:textId="77777777" w:rsidR="0093445D" w:rsidRPr="00975C02" w:rsidRDefault="0093445D" w:rsidP="001C7E37">
      <w:pPr>
        <w:autoSpaceDE w:val="0"/>
        <w:autoSpaceDN w:val="0"/>
        <w:spacing w:line="240" w:lineRule="auto"/>
        <w:rPr>
          <w:sz w:val="20"/>
          <w:szCs w:val="20"/>
          <w:lang w:val="es-ES"/>
        </w:rPr>
      </w:pPr>
    </w:p>
    <w:p w14:paraId="51F191C2" w14:textId="6E8E532D" w:rsidR="001C7E37" w:rsidRPr="00975C02" w:rsidRDefault="0098291D" w:rsidP="00F4487F">
      <w:pPr>
        <w:widowControl/>
        <w:numPr>
          <w:ilvl w:val="0"/>
          <w:numId w:val="2"/>
        </w:numPr>
        <w:tabs>
          <w:tab w:val="left" w:pos="567"/>
          <w:tab w:val="num" w:pos="12305"/>
        </w:tabs>
        <w:adjustRightInd/>
        <w:spacing w:line="240" w:lineRule="auto"/>
        <w:ind w:left="0" w:right="-90" w:firstLine="0"/>
        <w:textAlignment w:val="auto"/>
        <w:rPr>
          <w:sz w:val="20"/>
          <w:szCs w:val="20"/>
          <w:lang w:val="es-ES"/>
        </w:rPr>
      </w:pPr>
      <w:r w:rsidRPr="00975C02">
        <w:rPr>
          <w:sz w:val="20"/>
          <w:szCs w:val="20"/>
          <w:lang w:val="es-ES"/>
        </w:rPr>
        <w:t>De conformidad con el artículo 58.b de</w:t>
      </w:r>
      <w:r w:rsidR="00DA70CC" w:rsidRPr="00975C02">
        <w:rPr>
          <w:sz w:val="20"/>
          <w:szCs w:val="20"/>
          <w:lang w:val="es-ES"/>
        </w:rPr>
        <w:t xml:space="preserve"> su</w:t>
      </w:r>
      <w:r w:rsidRPr="00975C02">
        <w:rPr>
          <w:sz w:val="20"/>
          <w:szCs w:val="20"/>
          <w:lang w:val="es-ES"/>
        </w:rPr>
        <w:t xml:space="preserve"> Reglamento, la Corte estima procedente admitir los documentos aportados por el Estado, que fueron solicitados por los jueces del Tribunal o su Presidencia como prueba para mejor resolver.</w:t>
      </w:r>
      <w:r w:rsidR="00F4487F" w:rsidRPr="00975C02">
        <w:rPr>
          <w:sz w:val="20"/>
          <w:szCs w:val="20"/>
          <w:lang w:val="es-ES"/>
        </w:rPr>
        <w:t xml:space="preserve"> </w:t>
      </w:r>
      <w:r w:rsidR="00DA70CC" w:rsidRPr="00975C02">
        <w:rPr>
          <w:sz w:val="20"/>
          <w:szCs w:val="20"/>
          <w:lang w:val="es-ES"/>
        </w:rPr>
        <w:t xml:space="preserve">No obstante, </w:t>
      </w:r>
      <w:r w:rsidR="00CE08AD" w:rsidRPr="00975C02">
        <w:rPr>
          <w:sz w:val="20"/>
          <w:szCs w:val="20"/>
          <w:lang w:val="es-ES"/>
        </w:rPr>
        <w:t>la Corte nota que l</w:t>
      </w:r>
      <w:r w:rsidR="00F4487F" w:rsidRPr="00975C02">
        <w:rPr>
          <w:sz w:val="20"/>
          <w:szCs w:val="20"/>
          <w:lang w:val="es-ES"/>
        </w:rPr>
        <w:t>as representantes objetaron l</w:t>
      </w:r>
      <w:r w:rsidR="006673EC" w:rsidRPr="00975C02">
        <w:rPr>
          <w:sz w:val="20"/>
          <w:szCs w:val="20"/>
          <w:lang w:val="es-ES"/>
        </w:rPr>
        <w:t>os</w:t>
      </w:r>
      <w:r w:rsidR="00F4487F" w:rsidRPr="00975C02">
        <w:rPr>
          <w:sz w:val="20"/>
          <w:szCs w:val="20"/>
          <w:lang w:val="es-ES"/>
        </w:rPr>
        <w:t xml:space="preserve"> anexo</w:t>
      </w:r>
      <w:r w:rsidR="006673EC" w:rsidRPr="00975C02">
        <w:rPr>
          <w:sz w:val="20"/>
          <w:szCs w:val="20"/>
          <w:lang w:val="es-ES"/>
        </w:rPr>
        <w:t>s</w:t>
      </w:r>
      <w:r w:rsidR="00F4487F" w:rsidRPr="00975C02">
        <w:rPr>
          <w:sz w:val="20"/>
          <w:szCs w:val="20"/>
          <w:lang w:val="es-ES"/>
        </w:rPr>
        <w:t xml:space="preserve"> 9</w:t>
      </w:r>
      <w:r w:rsidR="006673EC" w:rsidRPr="00975C02">
        <w:rPr>
          <w:sz w:val="20"/>
          <w:szCs w:val="20"/>
          <w:lang w:val="es-ES"/>
        </w:rPr>
        <w:t>.a y 9.b.6</w:t>
      </w:r>
      <w:r w:rsidR="00F4487F" w:rsidRPr="00975C02">
        <w:rPr>
          <w:sz w:val="20"/>
          <w:szCs w:val="20"/>
          <w:lang w:val="es-ES"/>
        </w:rPr>
        <w:t xml:space="preserve"> </w:t>
      </w:r>
      <w:r w:rsidR="00E53117" w:rsidRPr="00975C02">
        <w:rPr>
          <w:sz w:val="20"/>
          <w:szCs w:val="20"/>
          <w:lang w:val="es-ES"/>
        </w:rPr>
        <w:t>remitido</w:t>
      </w:r>
      <w:r w:rsidR="006673EC" w:rsidRPr="00975C02">
        <w:rPr>
          <w:sz w:val="20"/>
          <w:szCs w:val="20"/>
          <w:lang w:val="es-ES"/>
        </w:rPr>
        <w:t>s</w:t>
      </w:r>
      <w:r w:rsidR="00E53117" w:rsidRPr="00975C02">
        <w:rPr>
          <w:sz w:val="20"/>
          <w:szCs w:val="20"/>
          <w:lang w:val="es-ES"/>
        </w:rPr>
        <w:t xml:space="preserve"> por el Estado </w:t>
      </w:r>
      <w:r w:rsidR="00F4487F" w:rsidRPr="00975C02">
        <w:rPr>
          <w:sz w:val="20"/>
          <w:szCs w:val="20"/>
          <w:lang w:val="es-ES"/>
        </w:rPr>
        <w:t>en tanto no consistiría</w:t>
      </w:r>
      <w:r w:rsidR="006673EC" w:rsidRPr="00975C02">
        <w:rPr>
          <w:sz w:val="20"/>
          <w:szCs w:val="20"/>
          <w:lang w:val="es-ES"/>
        </w:rPr>
        <w:t>n</w:t>
      </w:r>
      <w:r w:rsidR="00F4487F" w:rsidRPr="00975C02">
        <w:rPr>
          <w:sz w:val="20"/>
          <w:szCs w:val="20"/>
          <w:lang w:val="es-ES"/>
        </w:rPr>
        <w:t xml:space="preserve"> en documento</w:t>
      </w:r>
      <w:r w:rsidR="006673EC" w:rsidRPr="00975C02">
        <w:rPr>
          <w:sz w:val="20"/>
          <w:szCs w:val="20"/>
          <w:lang w:val="es-ES"/>
        </w:rPr>
        <w:t>s</w:t>
      </w:r>
      <w:r w:rsidR="00F4487F" w:rsidRPr="00975C02">
        <w:rPr>
          <w:sz w:val="20"/>
          <w:szCs w:val="20"/>
          <w:lang w:val="es-ES"/>
        </w:rPr>
        <w:t xml:space="preserve"> oficial</w:t>
      </w:r>
      <w:r w:rsidR="006673EC" w:rsidRPr="00975C02">
        <w:rPr>
          <w:sz w:val="20"/>
          <w:szCs w:val="20"/>
          <w:lang w:val="es-ES"/>
        </w:rPr>
        <w:t>es</w:t>
      </w:r>
      <w:r w:rsidR="00E53117" w:rsidRPr="00975C02">
        <w:rPr>
          <w:sz w:val="20"/>
          <w:szCs w:val="20"/>
          <w:lang w:val="es-ES"/>
        </w:rPr>
        <w:t xml:space="preserve">. Atendiendo a que no es posible verificar </w:t>
      </w:r>
      <w:r w:rsidR="006673EC" w:rsidRPr="00975C02">
        <w:rPr>
          <w:sz w:val="20"/>
          <w:szCs w:val="20"/>
          <w:lang w:val="es-ES"/>
        </w:rPr>
        <w:t>la autenticidad de dichos documentos</w:t>
      </w:r>
      <w:r w:rsidR="00E53117" w:rsidRPr="00975C02">
        <w:rPr>
          <w:sz w:val="20"/>
          <w:szCs w:val="20"/>
          <w:lang w:val="es-ES"/>
        </w:rPr>
        <w:t>, la Corte lo</w:t>
      </w:r>
      <w:r w:rsidR="006673EC" w:rsidRPr="00975C02">
        <w:rPr>
          <w:sz w:val="20"/>
          <w:szCs w:val="20"/>
          <w:lang w:val="es-ES"/>
        </w:rPr>
        <w:t>s</w:t>
      </w:r>
      <w:r w:rsidR="00E53117" w:rsidRPr="00975C02">
        <w:rPr>
          <w:sz w:val="20"/>
          <w:szCs w:val="20"/>
          <w:lang w:val="es-ES"/>
        </w:rPr>
        <w:t xml:space="preserve"> declara inadmisible</w:t>
      </w:r>
      <w:r w:rsidR="006673EC" w:rsidRPr="00975C02">
        <w:rPr>
          <w:sz w:val="20"/>
          <w:szCs w:val="20"/>
          <w:lang w:val="es-ES"/>
        </w:rPr>
        <w:t>s</w:t>
      </w:r>
      <w:r w:rsidR="00E53117" w:rsidRPr="00975C02">
        <w:rPr>
          <w:sz w:val="20"/>
          <w:szCs w:val="20"/>
          <w:lang w:val="es-ES"/>
        </w:rPr>
        <w:t>. A su vez,</w:t>
      </w:r>
      <w:r w:rsidR="00F4487F" w:rsidRPr="00975C02">
        <w:rPr>
          <w:sz w:val="20"/>
          <w:szCs w:val="20"/>
          <w:lang w:val="es-ES"/>
        </w:rPr>
        <w:t xml:space="preserve"> </w:t>
      </w:r>
      <w:r w:rsidR="00E53117" w:rsidRPr="00975C02">
        <w:rPr>
          <w:sz w:val="20"/>
          <w:szCs w:val="20"/>
          <w:lang w:val="es-ES"/>
        </w:rPr>
        <w:t xml:space="preserve">las representantes </w:t>
      </w:r>
      <w:r w:rsidR="00F4487F" w:rsidRPr="00975C02">
        <w:rPr>
          <w:sz w:val="20"/>
          <w:szCs w:val="20"/>
          <w:lang w:val="es-ES"/>
        </w:rPr>
        <w:t>indicaron que varios de los documentos relativos a normativa y protocolos son posteriores a los hechos del caso</w:t>
      </w:r>
      <w:r w:rsidR="00E53117" w:rsidRPr="00975C02">
        <w:rPr>
          <w:sz w:val="20"/>
          <w:szCs w:val="20"/>
          <w:lang w:val="es-ES"/>
        </w:rPr>
        <w:t xml:space="preserve">, lo cual será tenido en cuenta </w:t>
      </w:r>
      <w:r w:rsidR="00517514" w:rsidRPr="00975C02">
        <w:rPr>
          <w:sz w:val="20"/>
          <w:szCs w:val="20"/>
          <w:lang w:val="es-ES"/>
        </w:rPr>
        <w:t xml:space="preserve">por la Corte </w:t>
      </w:r>
      <w:r w:rsidR="00E53117" w:rsidRPr="00975C02">
        <w:rPr>
          <w:sz w:val="20"/>
          <w:szCs w:val="20"/>
          <w:lang w:val="es-ES"/>
        </w:rPr>
        <w:t>al evaluar dicha documentación</w:t>
      </w:r>
      <w:r w:rsidR="00F4487F" w:rsidRPr="00975C02">
        <w:rPr>
          <w:sz w:val="20"/>
          <w:szCs w:val="20"/>
          <w:lang w:val="es-ES"/>
        </w:rPr>
        <w:t>.</w:t>
      </w:r>
    </w:p>
    <w:p w14:paraId="3B71ACDF" w14:textId="77777777" w:rsidR="001C7E37" w:rsidRPr="00975C02" w:rsidRDefault="001C7E37" w:rsidP="001C7E37">
      <w:pPr>
        <w:widowControl/>
        <w:tabs>
          <w:tab w:val="left" w:pos="567"/>
        </w:tabs>
        <w:adjustRightInd/>
        <w:spacing w:line="240" w:lineRule="auto"/>
        <w:ind w:right="-90"/>
        <w:textAlignment w:val="auto"/>
        <w:rPr>
          <w:sz w:val="20"/>
          <w:szCs w:val="20"/>
          <w:lang w:val="es-ES"/>
        </w:rPr>
      </w:pPr>
    </w:p>
    <w:p w14:paraId="1301C859" w14:textId="77777777" w:rsidR="001C7E37" w:rsidRPr="00975C02" w:rsidRDefault="001C7E37" w:rsidP="00C607DD">
      <w:pPr>
        <w:pStyle w:val="Heading2"/>
        <w:tabs>
          <w:tab w:val="left" w:pos="1843"/>
        </w:tabs>
        <w:spacing w:before="0" w:line="240" w:lineRule="auto"/>
        <w:ind w:left="1134"/>
        <w:rPr>
          <w:rFonts w:ascii="Verdana" w:hAnsi="Verdana"/>
          <w:b w:val="0"/>
          <w:i/>
          <w:color w:val="auto"/>
          <w:sz w:val="20"/>
          <w:szCs w:val="20"/>
          <w:lang w:val="es-ES"/>
        </w:rPr>
      </w:pPr>
      <w:bookmarkStart w:id="85" w:name="_Toc375517118"/>
      <w:bookmarkStart w:id="86" w:name="_Toc459158106"/>
      <w:bookmarkStart w:id="87" w:name="_Toc470180050"/>
      <w:bookmarkStart w:id="88" w:name="_Toc514172613"/>
      <w:r w:rsidRPr="00975C02">
        <w:rPr>
          <w:rFonts w:ascii="Verdana" w:hAnsi="Verdana"/>
          <w:b w:val="0"/>
          <w:i/>
          <w:color w:val="auto"/>
          <w:sz w:val="20"/>
          <w:szCs w:val="20"/>
          <w:lang w:val="es-ES"/>
        </w:rPr>
        <w:t xml:space="preserve">B.2 </w:t>
      </w:r>
      <w:r w:rsidRPr="00975C02">
        <w:rPr>
          <w:rFonts w:ascii="Verdana" w:hAnsi="Verdana"/>
          <w:b w:val="0"/>
          <w:i/>
          <w:color w:val="auto"/>
          <w:sz w:val="20"/>
          <w:szCs w:val="20"/>
          <w:lang w:val="es-ES"/>
        </w:rPr>
        <w:tab/>
        <w:t>Admisión de las declaraciones y de los dictámenes periciales</w:t>
      </w:r>
      <w:bookmarkEnd w:id="85"/>
      <w:bookmarkEnd w:id="86"/>
      <w:bookmarkEnd w:id="87"/>
      <w:bookmarkEnd w:id="88"/>
    </w:p>
    <w:p w14:paraId="466FAFEF" w14:textId="77777777" w:rsidR="001C7E37" w:rsidRPr="00975C02" w:rsidRDefault="001C7E37" w:rsidP="001C7E37">
      <w:pPr>
        <w:widowControl/>
        <w:tabs>
          <w:tab w:val="left" w:pos="720"/>
        </w:tabs>
        <w:adjustRightInd/>
        <w:spacing w:line="240" w:lineRule="auto"/>
        <w:ind w:right="-90"/>
        <w:textAlignment w:val="auto"/>
        <w:rPr>
          <w:sz w:val="20"/>
          <w:szCs w:val="20"/>
          <w:lang w:val="es-ES"/>
        </w:rPr>
      </w:pPr>
    </w:p>
    <w:p w14:paraId="45BD471B" w14:textId="77777777" w:rsidR="001C7E37" w:rsidRPr="00975C02" w:rsidRDefault="001C7E37" w:rsidP="00C8070B">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La Corte estima pertinente admitir las declaraciones y dictámenes rendidos en audiencia pública y mediante declaraciones ante fedatario público, en cuanto se ajusten al objeto definido por el Presidente en la Resolución que ordenó recibirlos</w:t>
      </w:r>
      <w:r w:rsidRPr="00975C02">
        <w:rPr>
          <w:sz w:val="20"/>
          <w:szCs w:val="20"/>
          <w:vertAlign w:val="superscript"/>
          <w:lang w:val="es-ES"/>
        </w:rPr>
        <w:footnoteReference w:id="40"/>
      </w:r>
      <w:r w:rsidRPr="00975C02">
        <w:rPr>
          <w:sz w:val="20"/>
          <w:szCs w:val="20"/>
          <w:lang w:val="es-ES"/>
        </w:rPr>
        <w:t xml:space="preserve"> y al objeto del presente caso.</w:t>
      </w:r>
    </w:p>
    <w:p w14:paraId="095DA423" w14:textId="77777777" w:rsidR="001C7E37" w:rsidRPr="00975C02" w:rsidRDefault="001C7E37" w:rsidP="001C7E37">
      <w:pPr>
        <w:pStyle w:val="ListParagraph"/>
        <w:spacing w:line="240" w:lineRule="auto"/>
        <w:ind w:left="0"/>
        <w:rPr>
          <w:rFonts w:cs="Verdana"/>
          <w:sz w:val="20"/>
          <w:szCs w:val="20"/>
          <w:lang w:val="es-ES" w:eastAsia="es-MX"/>
        </w:rPr>
      </w:pPr>
    </w:p>
    <w:p w14:paraId="686E9792" w14:textId="77777777" w:rsidR="001C7E37" w:rsidRPr="00975C02" w:rsidRDefault="001C7E37" w:rsidP="001C7E37">
      <w:pPr>
        <w:keepNext/>
        <w:keepLines/>
        <w:tabs>
          <w:tab w:val="left" w:pos="1134"/>
        </w:tabs>
        <w:spacing w:line="240" w:lineRule="auto"/>
        <w:ind w:left="567" w:firstLine="1"/>
        <w:outlineLvl w:val="1"/>
        <w:rPr>
          <w:rFonts w:eastAsia="MS Mincho"/>
          <w:b/>
          <w:bCs/>
          <w:i/>
          <w:sz w:val="20"/>
          <w:szCs w:val="20"/>
          <w:lang w:val="es-ES"/>
        </w:rPr>
      </w:pPr>
      <w:bookmarkStart w:id="89" w:name="_Toc405857807"/>
      <w:bookmarkStart w:id="90" w:name="_Toc423107375"/>
      <w:bookmarkStart w:id="91" w:name="_Toc438113881"/>
      <w:bookmarkStart w:id="92" w:name="_Toc459158107"/>
      <w:bookmarkStart w:id="93" w:name="_Toc470180051"/>
      <w:bookmarkStart w:id="94" w:name="_Toc514172614"/>
      <w:r w:rsidRPr="00975C02">
        <w:rPr>
          <w:rFonts w:eastAsia="MS Mincho"/>
          <w:b/>
          <w:bCs/>
          <w:i/>
          <w:sz w:val="20"/>
          <w:szCs w:val="20"/>
          <w:lang w:val="es-ES"/>
        </w:rPr>
        <w:t xml:space="preserve">C. </w:t>
      </w:r>
      <w:r w:rsidRPr="00975C02">
        <w:rPr>
          <w:rFonts w:eastAsia="MS Mincho"/>
          <w:b/>
          <w:bCs/>
          <w:i/>
          <w:sz w:val="20"/>
          <w:szCs w:val="20"/>
          <w:lang w:val="es-ES"/>
        </w:rPr>
        <w:tab/>
        <w:t>Valoración de la prueba</w:t>
      </w:r>
      <w:bookmarkEnd w:id="89"/>
      <w:bookmarkEnd w:id="90"/>
      <w:bookmarkEnd w:id="91"/>
      <w:bookmarkEnd w:id="92"/>
      <w:bookmarkEnd w:id="93"/>
      <w:bookmarkEnd w:id="94"/>
    </w:p>
    <w:p w14:paraId="75B9B977" w14:textId="77777777" w:rsidR="001C7E37" w:rsidRPr="00975C02" w:rsidRDefault="001C7E37" w:rsidP="001C7E37">
      <w:pPr>
        <w:spacing w:line="240" w:lineRule="auto"/>
        <w:rPr>
          <w:sz w:val="20"/>
          <w:szCs w:val="20"/>
          <w:lang w:val="es-ES" w:eastAsia="es-MX"/>
        </w:rPr>
      </w:pPr>
      <w:bookmarkStart w:id="95" w:name="_Ref402038868"/>
    </w:p>
    <w:p w14:paraId="710D0CFA" w14:textId="77777777" w:rsidR="001C7E37" w:rsidRPr="00975C02" w:rsidRDefault="001C7E37" w:rsidP="00C8070B">
      <w:pPr>
        <w:numPr>
          <w:ilvl w:val="0"/>
          <w:numId w:val="2"/>
        </w:numPr>
        <w:tabs>
          <w:tab w:val="left" w:pos="567"/>
          <w:tab w:val="num" w:pos="12305"/>
        </w:tabs>
        <w:spacing w:line="240" w:lineRule="auto"/>
        <w:ind w:left="0" w:firstLine="0"/>
        <w:rPr>
          <w:rFonts w:cs="Verdana"/>
          <w:sz w:val="20"/>
          <w:szCs w:val="20"/>
          <w:lang w:val="es-ES" w:eastAsia="es-MX"/>
        </w:rPr>
      </w:pPr>
      <w:r w:rsidRPr="00975C02">
        <w:rPr>
          <w:rFonts w:cs="Verdana"/>
          <w:sz w:val="20"/>
          <w:szCs w:val="20"/>
          <w:lang w:val="es-ES" w:eastAsia="es-MX"/>
        </w:rPr>
        <w:t>Con base en su jurisprudencia constante respecto de la prueba y su apreciación, la Corte examinará y valorará los elementos probatorios documentales remitidos por las partes y la Comisión que fueron incorporados por este Tribunal, así como las declaraciones y dictámenes periciales, al establecer los hechos del caso y pronunciarse sobre el fondo. Para ello se sujeta a los principios de la sana crítica, dentro del marco normativo correspondiente, teniendo en cuenta el conjunto del acervo probatorio y lo alegado en la causa</w:t>
      </w:r>
      <w:r w:rsidRPr="00975C02">
        <w:rPr>
          <w:rFonts w:cs="Verdana"/>
          <w:sz w:val="20"/>
          <w:szCs w:val="20"/>
          <w:vertAlign w:val="superscript"/>
          <w:lang w:val="es-ES" w:eastAsia="es-MX"/>
        </w:rPr>
        <w:footnoteReference w:id="41"/>
      </w:r>
      <w:r w:rsidRPr="00975C02">
        <w:rPr>
          <w:rFonts w:cs="Verdana"/>
          <w:sz w:val="20"/>
          <w:szCs w:val="20"/>
          <w:lang w:val="es-ES" w:eastAsia="es-MX"/>
        </w:rPr>
        <w:t>.</w:t>
      </w:r>
      <w:bookmarkEnd w:id="95"/>
    </w:p>
    <w:p w14:paraId="1CB7D1AD" w14:textId="77777777" w:rsidR="001C7E37" w:rsidRPr="00975C02" w:rsidRDefault="001C7E37" w:rsidP="001C7E37">
      <w:pPr>
        <w:spacing w:line="240" w:lineRule="auto"/>
        <w:rPr>
          <w:sz w:val="20"/>
          <w:szCs w:val="20"/>
          <w:lang w:val="es-ES" w:eastAsia="es-MX"/>
        </w:rPr>
      </w:pPr>
    </w:p>
    <w:p w14:paraId="52F3A141" w14:textId="2B6BBC49" w:rsidR="001C7E37" w:rsidRPr="00975C02" w:rsidRDefault="001C7E37" w:rsidP="00C8070B">
      <w:pPr>
        <w:numPr>
          <w:ilvl w:val="0"/>
          <w:numId w:val="2"/>
        </w:numPr>
        <w:tabs>
          <w:tab w:val="left" w:pos="567"/>
          <w:tab w:val="num" w:pos="12305"/>
        </w:tabs>
        <w:spacing w:line="240" w:lineRule="auto"/>
        <w:ind w:left="0" w:firstLine="0"/>
        <w:rPr>
          <w:rFonts w:cs="Verdana"/>
          <w:sz w:val="20"/>
          <w:szCs w:val="20"/>
          <w:lang w:val="es-ES" w:eastAsia="es-MX"/>
        </w:rPr>
      </w:pPr>
      <w:bookmarkStart w:id="96" w:name="_Ref402038884"/>
      <w:r w:rsidRPr="00975C02">
        <w:rPr>
          <w:rFonts w:cs="Verdana"/>
          <w:sz w:val="20"/>
          <w:szCs w:val="20"/>
          <w:lang w:val="es-ES" w:eastAsia="es-MX"/>
        </w:rPr>
        <w:t xml:space="preserve">Finalmente, conforme a </w:t>
      </w:r>
      <w:r w:rsidR="00517514" w:rsidRPr="00975C02">
        <w:rPr>
          <w:rFonts w:cs="Verdana"/>
          <w:sz w:val="20"/>
          <w:szCs w:val="20"/>
          <w:lang w:val="es-ES" w:eastAsia="es-MX"/>
        </w:rPr>
        <w:t xml:space="preserve">su </w:t>
      </w:r>
      <w:r w:rsidRPr="00975C02">
        <w:rPr>
          <w:rFonts w:cs="Verdana"/>
          <w:sz w:val="20"/>
          <w:szCs w:val="20"/>
          <w:lang w:val="es-ES" w:eastAsia="es-MX"/>
        </w:rPr>
        <w:t>jurisprudencia, la Corte recuerda que las declaraciones rendidas por las presuntas víctimas no pueden ser valoradas aisladamente sino dentro del conjunto de las pruebas del proceso, en la medida en que pueden proporcionar mayor información sobre las presuntas violaciones y sus consecuencias</w:t>
      </w:r>
      <w:r w:rsidRPr="00975C02">
        <w:rPr>
          <w:rFonts w:cs="Verdana"/>
          <w:sz w:val="20"/>
          <w:szCs w:val="20"/>
          <w:vertAlign w:val="superscript"/>
          <w:lang w:val="es-ES" w:eastAsia="es-MX"/>
        </w:rPr>
        <w:footnoteReference w:id="42"/>
      </w:r>
      <w:r w:rsidRPr="00975C02">
        <w:rPr>
          <w:rFonts w:cs="Verdana"/>
          <w:sz w:val="20"/>
          <w:szCs w:val="20"/>
          <w:lang w:val="es-ES" w:eastAsia="es-MX"/>
        </w:rPr>
        <w:t>.</w:t>
      </w:r>
      <w:bookmarkEnd w:id="96"/>
    </w:p>
    <w:p w14:paraId="677E186C" w14:textId="77777777" w:rsidR="001C7E37" w:rsidRPr="00975C02" w:rsidRDefault="001C7E37" w:rsidP="001C7E37">
      <w:pPr>
        <w:tabs>
          <w:tab w:val="left" w:pos="567"/>
        </w:tabs>
        <w:spacing w:line="240" w:lineRule="auto"/>
        <w:rPr>
          <w:rFonts w:cs="Verdana"/>
          <w:sz w:val="20"/>
          <w:szCs w:val="20"/>
          <w:lang w:val="es-ES" w:eastAsia="es-MX"/>
        </w:rPr>
      </w:pPr>
    </w:p>
    <w:p w14:paraId="6B7BD0F5" w14:textId="77777777" w:rsidR="00B5625C" w:rsidRPr="00975C02" w:rsidRDefault="00B5625C" w:rsidP="00B5625C">
      <w:pPr>
        <w:keepNext/>
        <w:keepLines/>
        <w:tabs>
          <w:tab w:val="left" w:pos="851"/>
        </w:tabs>
        <w:spacing w:line="240" w:lineRule="auto"/>
        <w:jc w:val="center"/>
        <w:outlineLvl w:val="0"/>
        <w:rPr>
          <w:rFonts w:cs="Verdana"/>
          <w:b/>
          <w:bCs/>
          <w:caps/>
          <w:snapToGrid w:val="0"/>
          <w:sz w:val="20"/>
          <w:szCs w:val="20"/>
          <w:lang w:val="es-ES"/>
        </w:rPr>
      </w:pPr>
      <w:bookmarkStart w:id="97" w:name="_Toc495658661"/>
      <w:bookmarkStart w:id="98" w:name="_Toc498013630"/>
      <w:bookmarkStart w:id="99" w:name="_Toc514172615"/>
      <w:bookmarkStart w:id="100" w:name="_Toc375517129"/>
      <w:bookmarkStart w:id="101" w:name="_Toc447893028"/>
      <w:bookmarkStart w:id="102" w:name="_Toc470180066"/>
      <w:bookmarkStart w:id="103" w:name="_Toc461305142"/>
      <w:bookmarkStart w:id="104" w:name="_Toc470180092"/>
      <w:bookmarkStart w:id="105" w:name="_Toc470180068"/>
      <w:r w:rsidRPr="00975C02">
        <w:rPr>
          <w:rFonts w:cs="Verdana"/>
          <w:b/>
          <w:bCs/>
          <w:caps/>
          <w:snapToGrid w:val="0"/>
          <w:sz w:val="20"/>
          <w:szCs w:val="20"/>
          <w:lang w:val="es-ES"/>
        </w:rPr>
        <w:t>ViI</w:t>
      </w:r>
      <w:r w:rsidRPr="00975C02">
        <w:rPr>
          <w:rFonts w:cs="Verdana"/>
          <w:b/>
          <w:bCs/>
          <w:caps/>
          <w:snapToGrid w:val="0"/>
          <w:sz w:val="20"/>
          <w:szCs w:val="20"/>
          <w:lang w:val="es-ES"/>
        </w:rPr>
        <w:br/>
        <w:t>HECHOS</w:t>
      </w:r>
      <w:bookmarkEnd w:id="97"/>
      <w:bookmarkEnd w:id="98"/>
      <w:bookmarkEnd w:id="99"/>
    </w:p>
    <w:p w14:paraId="080C2C29" w14:textId="77777777" w:rsidR="00B5625C" w:rsidRPr="00975C02" w:rsidRDefault="00B5625C" w:rsidP="00B5625C">
      <w:pPr>
        <w:widowControl/>
        <w:autoSpaceDE w:val="0"/>
        <w:autoSpaceDN w:val="0"/>
        <w:spacing w:line="240" w:lineRule="auto"/>
        <w:textAlignment w:val="auto"/>
        <w:rPr>
          <w:rFonts w:eastAsia="Calibri" w:cs="Arial"/>
          <w:bCs/>
          <w:sz w:val="20"/>
          <w:szCs w:val="22"/>
          <w:lang w:val="es-ES" w:eastAsia="en-US"/>
        </w:rPr>
      </w:pPr>
    </w:p>
    <w:p w14:paraId="5606DCC3" w14:textId="77777777" w:rsidR="00B5625C" w:rsidRPr="00975C02" w:rsidRDefault="00B5625C" w:rsidP="002C415B">
      <w:pPr>
        <w:pStyle w:val="ListParagraph"/>
        <w:keepNext/>
        <w:keepLines/>
        <w:numPr>
          <w:ilvl w:val="0"/>
          <w:numId w:val="15"/>
        </w:numPr>
        <w:tabs>
          <w:tab w:val="left" w:pos="1134"/>
        </w:tabs>
        <w:spacing w:line="240" w:lineRule="auto"/>
        <w:outlineLvl w:val="1"/>
        <w:rPr>
          <w:rFonts w:eastAsia="MS Mincho"/>
          <w:b/>
          <w:bCs/>
          <w:i/>
          <w:sz w:val="20"/>
          <w:szCs w:val="20"/>
          <w:lang w:val="es-ES"/>
        </w:rPr>
      </w:pPr>
      <w:bookmarkStart w:id="106" w:name="_Toc514172616"/>
      <w:r w:rsidRPr="00975C02">
        <w:rPr>
          <w:rFonts w:eastAsia="MS Mincho"/>
          <w:b/>
          <w:bCs/>
          <w:i/>
          <w:sz w:val="20"/>
          <w:szCs w:val="20"/>
          <w:lang w:val="es-ES"/>
        </w:rPr>
        <w:t>Antecedentes</w:t>
      </w:r>
      <w:bookmarkEnd w:id="106"/>
    </w:p>
    <w:p w14:paraId="605003B3" w14:textId="77777777" w:rsidR="00B5625C" w:rsidRPr="00975C02" w:rsidRDefault="00B5625C" w:rsidP="00B5625C">
      <w:pPr>
        <w:spacing w:line="240" w:lineRule="auto"/>
        <w:rPr>
          <w:i/>
          <w:sz w:val="20"/>
          <w:szCs w:val="20"/>
          <w:lang w:val="es-ES"/>
        </w:rPr>
      </w:pPr>
    </w:p>
    <w:p w14:paraId="78AAC237" w14:textId="77777777" w:rsidR="00B5625C" w:rsidRPr="00975C02" w:rsidRDefault="00B5625C" w:rsidP="0048481B">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lastRenderedPageBreak/>
        <w:t>V.R.P. nació el 15 de abril de 1992 en la localidad de Jinotega, Nicaragua</w:t>
      </w:r>
      <w:r w:rsidRPr="00975C02">
        <w:rPr>
          <w:sz w:val="20"/>
          <w:szCs w:val="20"/>
          <w:vertAlign w:val="superscript"/>
          <w:lang w:val="es-ES"/>
        </w:rPr>
        <w:footnoteReference w:id="43"/>
      </w:r>
      <w:r w:rsidRPr="00975C02">
        <w:rPr>
          <w:sz w:val="20"/>
          <w:szCs w:val="20"/>
          <w:lang w:val="es-ES"/>
        </w:rPr>
        <w:t xml:space="preserve">. Es hija del </w:t>
      </w:r>
      <w:r w:rsidRPr="00975C02">
        <w:rPr>
          <w:rFonts w:cs="Verdana"/>
          <w:sz w:val="20"/>
          <w:szCs w:val="20"/>
          <w:lang w:val="es-ES" w:eastAsia="es-MX"/>
        </w:rPr>
        <w:t>matrimonio</w:t>
      </w:r>
      <w:r w:rsidRPr="00975C02">
        <w:rPr>
          <w:sz w:val="20"/>
          <w:szCs w:val="20"/>
          <w:lang w:val="es-ES"/>
        </w:rPr>
        <w:t xml:space="preserve"> constituido por la señora V.P.C. y el señor H.R.A. e integra el grupo familiar también compuesto por sus tres hermanos mayores: N.R.P., H.J.R.P. y V.A.R.P.</w:t>
      </w:r>
      <w:r w:rsidRPr="00975C02">
        <w:rPr>
          <w:sz w:val="20"/>
          <w:szCs w:val="20"/>
          <w:vertAlign w:val="superscript"/>
          <w:lang w:val="es-ES"/>
        </w:rPr>
        <w:footnoteReference w:id="44"/>
      </w:r>
      <w:r w:rsidRPr="00975C02">
        <w:rPr>
          <w:sz w:val="20"/>
          <w:szCs w:val="20"/>
          <w:lang w:val="es-ES"/>
        </w:rPr>
        <w:t>.</w:t>
      </w:r>
    </w:p>
    <w:p w14:paraId="49E9B02A" w14:textId="77777777" w:rsidR="00B5625C" w:rsidRPr="00975C02" w:rsidRDefault="00B5625C" w:rsidP="00B5625C">
      <w:pPr>
        <w:spacing w:line="240" w:lineRule="auto"/>
        <w:rPr>
          <w:sz w:val="20"/>
          <w:szCs w:val="20"/>
          <w:lang w:val="es-ES"/>
        </w:rPr>
      </w:pPr>
    </w:p>
    <w:p w14:paraId="25182296" w14:textId="77777777" w:rsidR="00B5625C" w:rsidRPr="00975C02" w:rsidRDefault="00B5625C" w:rsidP="0048481B">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 xml:space="preserve">Hasta el año 2002, tanto V.R.P. como sus hermanos habitaban en una casa </w:t>
      </w:r>
      <w:r w:rsidRPr="00975C02">
        <w:rPr>
          <w:rFonts w:cs="Verdana"/>
          <w:sz w:val="20"/>
          <w:szCs w:val="20"/>
          <w:lang w:val="es-ES" w:eastAsia="es-MX"/>
        </w:rPr>
        <w:t>propiedad</w:t>
      </w:r>
      <w:r w:rsidRPr="00975C02">
        <w:rPr>
          <w:sz w:val="20"/>
          <w:szCs w:val="20"/>
          <w:lang w:val="es-ES"/>
        </w:rPr>
        <w:t xml:space="preserve"> de su madre. La presencia de su padre en el hogar era casi inexistente, ya que el señor H.R.A. tenía una relación extramatrimonial y sólo llegaba esporádicamente a la casa, circunstancia que, a su vez, tornaba muy inestable la relación con su madre</w:t>
      </w:r>
      <w:r w:rsidRPr="00975C02">
        <w:rPr>
          <w:sz w:val="20"/>
          <w:szCs w:val="20"/>
          <w:vertAlign w:val="superscript"/>
          <w:lang w:val="es-ES"/>
        </w:rPr>
        <w:footnoteReference w:id="45"/>
      </w:r>
      <w:r w:rsidRPr="00975C02">
        <w:rPr>
          <w:sz w:val="20"/>
          <w:szCs w:val="20"/>
          <w:lang w:val="es-ES"/>
        </w:rPr>
        <w:t>.</w:t>
      </w:r>
    </w:p>
    <w:p w14:paraId="29F39A7A" w14:textId="77777777" w:rsidR="00B5625C" w:rsidRPr="00975C02" w:rsidRDefault="00B5625C" w:rsidP="00B5625C">
      <w:pPr>
        <w:spacing w:line="240" w:lineRule="auto"/>
        <w:rPr>
          <w:sz w:val="20"/>
          <w:szCs w:val="20"/>
          <w:lang w:val="es-ES"/>
        </w:rPr>
      </w:pPr>
    </w:p>
    <w:p w14:paraId="017A06D4" w14:textId="6B2298A4" w:rsidR="0048481B" w:rsidRPr="00975C02" w:rsidRDefault="0048481B" w:rsidP="00220C9A">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El señor H.R.A. era abogado</w:t>
      </w:r>
      <w:r w:rsidR="00E1789D" w:rsidRPr="00975C02">
        <w:rPr>
          <w:sz w:val="20"/>
          <w:szCs w:val="20"/>
          <w:lang w:val="es-ES"/>
        </w:rPr>
        <w:t xml:space="preserve">; </w:t>
      </w:r>
      <w:r w:rsidRPr="00975C02">
        <w:rPr>
          <w:sz w:val="20"/>
          <w:szCs w:val="20"/>
          <w:lang w:val="es-ES"/>
        </w:rPr>
        <w:t>se desempeñó como Procurador Auxiliar del Departamento de Matagalpa</w:t>
      </w:r>
      <w:r w:rsidR="00D506C0" w:rsidRPr="00975C02">
        <w:rPr>
          <w:sz w:val="20"/>
          <w:szCs w:val="20"/>
          <w:lang w:val="es-ES"/>
        </w:rPr>
        <w:t>, entre otros puestos</w:t>
      </w:r>
      <w:r w:rsidRPr="00975C02">
        <w:rPr>
          <w:sz w:val="20"/>
          <w:szCs w:val="20"/>
          <w:vertAlign w:val="superscript"/>
          <w:lang w:val="es-ES"/>
        </w:rPr>
        <w:footnoteReference w:id="46"/>
      </w:r>
      <w:r w:rsidRPr="00975C02">
        <w:rPr>
          <w:sz w:val="20"/>
          <w:szCs w:val="20"/>
          <w:lang w:val="es-ES"/>
        </w:rPr>
        <w:t>.</w:t>
      </w:r>
      <w:r w:rsidR="00220C9A" w:rsidRPr="00975C02">
        <w:rPr>
          <w:sz w:val="20"/>
          <w:szCs w:val="20"/>
          <w:lang w:val="es-ES"/>
        </w:rPr>
        <w:t xml:space="preserve"> Asimismo, era miembro del Frente Sandinista para la Liberación Nacional</w:t>
      </w:r>
      <w:r w:rsidR="00D26077" w:rsidRPr="00975C02">
        <w:rPr>
          <w:sz w:val="20"/>
          <w:szCs w:val="20"/>
          <w:vertAlign w:val="superscript"/>
          <w:lang w:val="es-ES"/>
        </w:rPr>
        <w:footnoteReference w:id="47"/>
      </w:r>
      <w:r w:rsidR="00220C9A" w:rsidRPr="00975C02">
        <w:rPr>
          <w:sz w:val="20"/>
          <w:szCs w:val="20"/>
          <w:lang w:val="es-ES"/>
        </w:rPr>
        <w:t>.</w:t>
      </w:r>
    </w:p>
    <w:p w14:paraId="41649196" w14:textId="77777777" w:rsidR="0048481B" w:rsidRPr="00975C02" w:rsidRDefault="0048481B" w:rsidP="0048481B">
      <w:pPr>
        <w:tabs>
          <w:tab w:val="left" w:pos="567"/>
        </w:tabs>
        <w:spacing w:line="240" w:lineRule="auto"/>
        <w:rPr>
          <w:sz w:val="20"/>
          <w:szCs w:val="20"/>
          <w:lang w:val="es-ES"/>
        </w:rPr>
      </w:pPr>
    </w:p>
    <w:p w14:paraId="4A320587" w14:textId="77777777" w:rsidR="00B5625C" w:rsidRPr="00975C02" w:rsidRDefault="00B5625C" w:rsidP="0048481B">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 xml:space="preserve">El vínculo </w:t>
      </w:r>
      <w:r w:rsidRPr="00975C02">
        <w:rPr>
          <w:rFonts w:cs="Verdana"/>
          <w:sz w:val="20"/>
          <w:szCs w:val="20"/>
          <w:lang w:val="es-ES" w:eastAsia="es-MX"/>
        </w:rPr>
        <w:t>matrimonial</w:t>
      </w:r>
      <w:r w:rsidRPr="00975C02">
        <w:rPr>
          <w:sz w:val="20"/>
          <w:szCs w:val="20"/>
          <w:lang w:val="es-ES"/>
        </w:rPr>
        <w:t xml:space="preserve"> se </w:t>
      </w:r>
      <w:r w:rsidR="00E1789D" w:rsidRPr="00975C02">
        <w:rPr>
          <w:sz w:val="20"/>
          <w:szCs w:val="20"/>
          <w:lang w:val="es-ES"/>
        </w:rPr>
        <w:t>disolvió el 31 de enero de 2002,</w:t>
      </w:r>
      <w:r w:rsidRPr="00975C02">
        <w:rPr>
          <w:sz w:val="20"/>
          <w:szCs w:val="20"/>
          <w:lang w:val="es-ES"/>
        </w:rPr>
        <w:t xml:space="preserve"> como consecuencia de una demanda presentada por V.P.C. en noviembre de 2001</w:t>
      </w:r>
      <w:r w:rsidRPr="00975C02">
        <w:rPr>
          <w:sz w:val="20"/>
          <w:szCs w:val="20"/>
          <w:vertAlign w:val="superscript"/>
          <w:lang w:val="es-ES"/>
        </w:rPr>
        <w:footnoteReference w:id="48"/>
      </w:r>
      <w:r w:rsidRPr="00975C02">
        <w:rPr>
          <w:sz w:val="20"/>
          <w:szCs w:val="20"/>
          <w:lang w:val="es-ES"/>
        </w:rPr>
        <w:t>.</w:t>
      </w:r>
    </w:p>
    <w:p w14:paraId="7C0AEFC5" w14:textId="77777777" w:rsidR="00B5625C" w:rsidRPr="00975C02" w:rsidRDefault="00B5625C" w:rsidP="00B5625C">
      <w:pPr>
        <w:spacing w:line="240" w:lineRule="auto"/>
        <w:rPr>
          <w:sz w:val="20"/>
          <w:szCs w:val="20"/>
          <w:lang w:val="es-ES"/>
        </w:rPr>
      </w:pPr>
    </w:p>
    <w:p w14:paraId="4A9D4FB4" w14:textId="77777777" w:rsidR="00B5625C" w:rsidRPr="00975C02" w:rsidRDefault="00B5625C" w:rsidP="002C415B">
      <w:pPr>
        <w:pStyle w:val="ListParagraph"/>
        <w:keepNext/>
        <w:keepLines/>
        <w:numPr>
          <w:ilvl w:val="0"/>
          <w:numId w:val="15"/>
        </w:numPr>
        <w:tabs>
          <w:tab w:val="left" w:pos="1134"/>
        </w:tabs>
        <w:spacing w:line="240" w:lineRule="auto"/>
        <w:outlineLvl w:val="1"/>
        <w:rPr>
          <w:rFonts w:eastAsia="MS Mincho"/>
          <w:b/>
          <w:bCs/>
          <w:i/>
          <w:sz w:val="20"/>
          <w:szCs w:val="20"/>
          <w:lang w:val="es-ES"/>
        </w:rPr>
      </w:pPr>
      <w:bookmarkStart w:id="107" w:name="_Toc514172617"/>
      <w:r w:rsidRPr="00975C02">
        <w:rPr>
          <w:rFonts w:eastAsia="MS Mincho"/>
          <w:b/>
          <w:bCs/>
          <w:i/>
          <w:sz w:val="20"/>
          <w:szCs w:val="20"/>
          <w:lang w:val="es-ES"/>
        </w:rPr>
        <w:t>Los hechos ocurridos en el año 2000</w:t>
      </w:r>
      <w:bookmarkEnd w:id="107"/>
    </w:p>
    <w:p w14:paraId="10077F0A" w14:textId="77777777" w:rsidR="00B5625C" w:rsidRPr="00975C02" w:rsidRDefault="00B5625C" w:rsidP="00B5625C">
      <w:pPr>
        <w:spacing w:line="240" w:lineRule="auto"/>
        <w:rPr>
          <w:sz w:val="20"/>
          <w:szCs w:val="20"/>
          <w:lang w:val="es-ES"/>
        </w:rPr>
      </w:pPr>
    </w:p>
    <w:p w14:paraId="0AA16386" w14:textId="13C90B08" w:rsidR="00B5625C" w:rsidRPr="00975C02" w:rsidRDefault="00B5625C" w:rsidP="0048481B">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V.R.P. relató que</w:t>
      </w:r>
      <w:r w:rsidR="00DD06F8">
        <w:rPr>
          <w:sz w:val="20"/>
          <w:szCs w:val="20"/>
          <w:lang w:val="es-ES"/>
        </w:rPr>
        <w:t>,</w:t>
      </w:r>
      <w:r w:rsidRPr="00975C02">
        <w:rPr>
          <w:sz w:val="20"/>
          <w:szCs w:val="20"/>
          <w:lang w:val="es-ES"/>
        </w:rPr>
        <w:t xml:space="preserve"> entre los meses de septiembre y octubre</w:t>
      </w:r>
      <w:r w:rsidR="00FE7D0C" w:rsidRPr="00975C02">
        <w:rPr>
          <w:sz w:val="20"/>
          <w:szCs w:val="20"/>
          <w:lang w:val="es-ES"/>
        </w:rPr>
        <w:t xml:space="preserve"> del año 2000, cuando tenía ocho años de edad</w:t>
      </w:r>
      <w:r w:rsidRPr="00975C02">
        <w:rPr>
          <w:sz w:val="20"/>
          <w:szCs w:val="20"/>
          <w:lang w:val="es-ES"/>
        </w:rPr>
        <w:t>, su padre la llevó en dos ocasiones a un lugar conocido como “Las Flores”. Allí, le dio de tomar café, luego de lo cual se sintió mareada y se durmió. Asimismo, manifestó que</w:t>
      </w:r>
      <w:r w:rsidR="00010DF7">
        <w:rPr>
          <w:sz w:val="20"/>
          <w:szCs w:val="20"/>
          <w:lang w:val="es-ES"/>
        </w:rPr>
        <w:t>,</w:t>
      </w:r>
      <w:r w:rsidRPr="00975C02">
        <w:rPr>
          <w:sz w:val="20"/>
          <w:szCs w:val="20"/>
          <w:lang w:val="es-ES"/>
        </w:rPr>
        <w:t xml:space="preserve"> aunque no se enteró de lo que su padre hacía con ella, al despertarse notaba que éste se arreglaba la faja, la parte anterior del pantalón, se subía el “zipper” y, además, le limpiaba la zona anal</w:t>
      </w:r>
      <w:r w:rsidR="00B1154F" w:rsidRPr="00975C02">
        <w:rPr>
          <w:rStyle w:val="FootnoteReference"/>
          <w:sz w:val="20"/>
          <w:szCs w:val="20"/>
          <w:lang w:val="es-ES"/>
        </w:rPr>
        <w:footnoteReference w:id="49"/>
      </w:r>
      <w:r w:rsidRPr="00975C02">
        <w:rPr>
          <w:sz w:val="20"/>
          <w:szCs w:val="20"/>
          <w:lang w:val="es-ES"/>
        </w:rPr>
        <w:t>.</w:t>
      </w:r>
    </w:p>
    <w:p w14:paraId="6C73CAB1" w14:textId="77777777" w:rsidR="00DC043B" w:rsidRPr="00975C02" w:rsidRDefault="00DC043B" w:rsidP="00DC043B">
      <w:pPr>
        <w:tabs>
          <w:tab w:val="left" w:pos="567"/>
        </w:tabs>
        <w:spacing w:line="240" w:lineRule="auto"/>
        <w:rPr>
          <w:sz w:val="20"/>
          <w:szCs w:val="20"/>
          <w:lang w:val="es-ES"/>
        </w:rPr>
      </w:pPr>
    </w:p>
    <w:p w14:paraId="3133DF4A" w14:textId="77777777" w:rsidR="00B5625C" w:rsidRPr="00975C02" w:rsidRDefault="00B5625C" w:rsidP="002C415B">
      <w:pPr>
        <w:pStyle w:val="ListParagraph"/>
        <w:keepNext/>
        <w:keepLines/>
        <w:numPr>
          <w:ilvl w:val="0"/>
          <w:numId w:val="15"/>
        </w:numPr>
        <w:tabs>
          <w:tab w:val="left" w:pos="1134"/>
        </w:tabs>
        <w:spacing w:line="240" w:lineRule="auto"/>
        <w:outlineLvl w:val="1"/>
        <w:rPr>
          <w:rFonts w:eastAsia="MS Mincho"/>
          <w:b/>
          <w:bCs/>
          <w:i/>
          <w:sz w:val="20"/>
          <w:szCs w:val="20"/>
          <w:lang w:val="es-ES"/>
        </w:rPr>
      </w:pPr>
      <w:bookmarkStart w:id="108" w:name="_Toc514172618"/>
      <w:r w:rsidRPr="00975C02">
        <w:rPr>
          <w:rFonts w:eastAsia="MS Mincho"/>
          <w:b/>
          <w:bCs/>
          <w:i/>
          <w:sz w:val="20"/>
          <w:szCs w:val="20"/>
          <w:lang w:val="es-ES"/>
        </w:rPr>
        <w:t>La denuncia penal y el inicio de la investigación</w:t>
      </w:r>
      <w:bookmarkEnd w:id="108"/>
    </w:p>
    <w:p w14:paraId="2E09DE72" w14:textId="77777777" w:rsidR="00B5625C" w:rsidRPr="00975C02" w:rsidRDefault="00B5625C" w:rsidP="00B5625C">
      <w:pPr>
        <w:spacing w:line="240" w:lineRule="auto"/>
        <w:ind w:left="708"/>
        <w:rPr>
          <w:sz w:val="20"/>
          <w:szCs w:val="20"/>
          <w:lang w:val="es-ES"/>
        </w:rPr>
      </w:pPr>
    </w:p>
    <w:p w14:paraId="4BA7769B" w14:textId="2F1DF5FA" w:rsidR="00B5625C" w:rsidRPr="00975C02" w:rsidRDefault="00B5625C" w:rsidP="0048481B">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 xml:space="preserve">El 16 de octubre de 2001 la señora V.P.C. llevó a su hija a una consulta médica </w:t>
      </w:r>
      <w:r w:rsidRPr="00975C02">
        <w:rPr>
          <w:spacing w:val="-2"/>
          <w:sz w:val="20"/>
          <w:szCs w:val="20"/>
          <w:lang w:val="es-ES"/>
        </w:rPr>
        <w:t xml:space="preserve">privada con </w:t>
      </w:r>
      <w:r w:rsidR="00D506C0" w:rsidRPr="00975C02">
        <w:rPr>
          <w:spacing w:val="-2"/>
          <w:sz w:val="20"/>
          <w:szCs w:val="20"/>
          <w:lang w:val="es-ES"/>
        </w:rPr>
        <w:lastRenderedPageBreak/>
        <w:t xml:space="preserve">un </w:t>
      </w:r>
      <w:r w:rsidRPr="00975C02">
        <w:rPr>
          <w:sz w:val="20"/>
          <w:szCs w:val="20"/>
          <w:lang w:val="es-ES"/>
        </w:rPr>
        <w:t>médico</w:t>
      </w:r>
      <w:r w:rsidRPr="00975C02">
        <w:rPr>
          <w:spacing w:val="-2"/>
          <w:sz w:val="20"/>
          <w:szCs w:val="20"/>
          <w:lang w:val="es-ES"/>
        </w:rPr>
        <w:t xml:space="preserve"> cirujano pediatra </w:t>
      </w:r>
      <w:r w:rsidRPr="00975C02">
        <w:rPr>
          <w:sz w:val="20"/>
          <w:szCs w:val="20"/>
          <w:lang w:val="es-ES"/>
        </w:rPr>
        <w:t xml:space="preserve">debido a las dificultades que </w:t>
      </w:r>
      <w:r w:rsidR="00F25F01">
        <w:rPr>
          <w:sz w:val="20"/>
          <w:szCs w:val="20"/>
          <w:lang w:val="es-ES"/>
        </w:rPr>
        <w:t xml:space="preserve">V.R.P. </w:t>
      </w:r>
      <w:r w:rsidRPr="00975C02">
        <w:rPr>
          <w:sz w:val="20"/>
          <w:szCs w:val="20"/>
          <w:lang w:val="es-ES"/>
        </w:rPr>
        <w:t xml:space="preserve">presentaba para defecar y a los dolores </w:t>
      </w:r>
      <w:r w:rsidR="00F25F01">
        <w:rPr>
          <w:sz w:val="20"/>
          <w:szCs w:val="20"/>
          <w:lang w:val="es-ES"/>
        </w:rPr>
        <w:t xml:space="preserve">que tenía </w:t>
      </w:r>
      <w:r w:rsidRPr="00975C02">
        <w:rPr>
          <w:sz w:val="20"/>
          <w:szCs w:val="20"/>
          <w:lang w:val="es-ES"/>
        </w:rPr>
        <w:t xml:space="preserve">en la región anal. El médico que la atendió, </w:t>
      </w:r>
      <w:r w:rsidRPr="00975C02">
        <w:rPr>
          <w:spacing w:val="-2"/>
          <w:sz w:val="20"/>
          <w:szCs w:val="20"/>
          <w:lang w:val="es-ES"/>
        </w:rPr>
        <w:t>luego de examinar a V.R.P. y tomar la biopsia respectiva bajo anestesia, encontró que la niña presentaba ruptura del himen y condilomas en la región perianal, indicativo de enfermedad venérea</w:t>
      </w:r>
      <w:r w:rsidRPr="00975C02">
        <w:rPr>
          <w:spacing w:val="-2"/>
          <w:sz w:val="20"/>
          <w:szCs w:val="20"/>
          <w:vertAlign w:val="superscript"/>
          <w:lang w:val="es-ES"/>
        </w:rPr>
        <w:footnoteReference w:id="50"/>
      </w:r>
      <w:r w:rsidRPr="00975C02">
        <w:rPr>
          <w:spacing w:val="-2"/>
          <w:sz w:val="20"/>
          <w:szCs w:val="20"/>
          <w:lang w:val="es-ES"/>
        </w:rPr>
        <w:t>. E</w:t>
      </w:r>
      <w:r w:rsidRPr="00975C02">
        <w:rPr>
          <w:sz w:val="20"/>
          <w:szCs w:val="20"/>
          <w:lang w:val="es-ES"/>
        </w:rPr>
        <w:t>n atención al cuadro clínico que presentaba, el médico pediatra decidió derivarla al Hospital Victoria Mo</w:t>
      </w:r>
      <w:r w:rsidR="008A4CF8" w:rsidRPr="00975C02">
        <w:rPr>
          <w:sz w:val="20"/>
          <w:szCs w:val="20"/>
          <w:lang w:val="es-ES"/>
        </w:rPr>
        <w:t>t</w:t>
      </w:r>
      <w:r w:rsidRPr="00975C02">
        <w:rPr>
          <w:sz w:val="20"/>
          <w:szCs w:val="20"/>
          <w:lang w:val="es-ES"/>
        </w:rPr>
        <w:t>ta. E</w:t>
      </w:r>
      <w:r w:rsidRPr="00975C02">
        <w:rPr>
          <w:spacing w:val="-2"/>
          <w:sz w:val="20"/>
          <w:szCs w:val="20"/>
          <w:lang w:val="es-ES"/>
        </w:rPr>
        <w:t>l 17 de octubre de 2001 acudi</w:t>
      </w:r>
      <w:r w:rsidR="00F25F01">
        <w:rPr>
          <w:spacing w:val="-2"/>
          <w:sz w:val="20"/>
          <w:szCs w:val="20"/>
          <w:lang w:val="es-ES"/>
        </w:rPr>
        <w:t>eron</w:t>
      </w:r>
      <w:r w:rsidRPr="00975C02">
        <w:rPr>
          <w:spacing w:val="-2"/>
          <w:sz w:val="20"/>
          <w:szCs w:val="20"/>
          <w:lang w:val="es-ES"/>
        </w:rPr>
        <w:t xml:space="preserve"> a un médico gineco-obstetra</w:t>
      </w:r>
      <w:r w:rsidR="008A4CF8" w:rsidRPr="00975C02">
        <w:rPr>
          <w:spacing w:val="-2"/>
          <w:sz w:val="20"/>
          <w:szCs w:val="20"/>
          <w:lang w:val="es-ES"/>
        </w:rPr>
        <w:t xml:space="preserve"> </w:t>
      </w:r>
      <w:r w:rsidRPr="00975C02">
        <w:rPr>
          <w:spacing w:val="-2"/>
          <w:sz w:val="20"/>
          <w:szCs w:val="20"/>
          <w:lang w:val="es-ES"/>
        </w:rPr>
        <w:t xml:space="preserve">para una valoración más especializada. Dicho médico, luego de inspección ginecológica bajo anestesia, confirmó el diagnóstico de himen </w:t>
      </w:r>
      <w:r w:rsidR="00975C02" w:rsidRPr="00975C02">
        <w:rPr>
          <w:spacing w:val="-2"/>
          <w:sz w:val="20"/>
          <w:szCs w:val="20"/>
          <w:lang w:val="es-ES"/>
        </w:rPr>
        <w:t>desflorado</w:t>
      </w:r>
      <w:r w:rsidRPr="00975C02">
        <w:rPr>
          <w:spacing w:val="-2"/>
          <w:sz w:val="20"/>
          <w:szCs w:val="20"/>
          <w:lang w:val="es-ES"/>
        </w:rPr>
        <w:t xml:space="preserve"> de vieja data, presencia de úlceras en el ano, desgarros de la mucosa de la región anal, lesiones en el cuello uterino y se detectó la presencia del virus del papiloma humano y condilomas en la región perianal</w:t>
      </w:r>
      <w:r w:rsidRPr="00975C02">
        <w:rPr>
          <w:spacing w:val="-2"/>
          <w:sz w:val="20"/>
          <w:szCs w:val="20"/>
          <w:vertAlign w:val="superscript"/>
          <w:lang w:val="es-ES"/>
        </w:rPr>
        <w:footnoteReference w:id="51"/>
      </w:r>
      <w:r w:rsidRPr="00975C02">
        <w:rPr>
          <w:spacing w:val="-2"/>
          <w:sz w:val="20"/>
          <w:szCs w:val="20"/>
          <w:lang w:val="es-ES"/>
        </w:rPr>
        <w:t>. Debido a estas lesiones, V.R.P. fue sometida a crioterapia para los condilomas en el cuello uterino y una anoplastia en toda la circunferencia perianal</w:t>
      </w:r>
      <w:r w:rsidRPr="00975C02">
        <w:rPr>
          <w:spacing w:val="-2"/>
          <w:sz w:val="20"/>
          <w:szCs w:val="20"/>
          <w:vertAlign w:val="superscript"/>
          <w:lang w:val="es-ES"/>
        </w:rPr>
        <w:footnoteReference w:id="52"/>
      </w:r>
      <w:r w:rsidRPr="00975C02">
        <w:rPr>
          <w:spacing w:val="-2"/>
          <w:sz w:val="20"/>
          <w:szCs w:val="20"/>
          <w:lang w:val="es-ES"/>
        </w:rPr>
        <w:t>. Ambos médicos concluyeron y declararon en el proceso a nivel interno que</w:t>
      </w:r>
      <w:r w:rsidR="00501708">
        <w:rPr>
          <w:spacing w:val="-2"/>
          <w:sz w:val="20"/>
          <w:szCs w:val="20"/>
          <w:lang w:val="es-ES"/>
        </w:rPr>
        <w:t>,</w:t>
      </w:r>
      <w:r w:rsidRPr="00975C02">
        <w:rPr>
          <w:spacing w:val="-2"/>
          <w:sz w:val="20"/>
          <w:szCs w:val="20"/>
          <w:lang w:val="es-ES"/>
        </w:rPr>
        <w:t xml:space="preserve"> conforme a los hallazgos médicos</w:t>
      </w:r>
      <w:r w:rsidR="00501708">
        <w:rPr>
          <w:spacing w:val="-2"/>
          <w:sz w:val="20"/>
          <w:szCs w:val="20"/>
          <w:lang w:val="es-ES"/>
        </w:rPr>
        <w:t>,</w:t>
      </w:r>
      <w:r w:rsidRPr="00975C02">
        <w:rPr>
          <w:spacing w:val="-2"/>
          <w:sz w:val="20"/>
          <w:szCs w:val="20"/>
          <w:lang w:val="es-ES"/>
        </w:rPr>
        <w:t xml:space="preserve"> V.R.P. era víctima de abuso sexual y había sufrido penetración anal</w:t>
      </w:r>
      <w:r w:rsidRPr="00975C02">
        <w:rPr>
          <w:spacing w:val="-2"/>
          <w:sz w:val="20"/>
          <w:szCs w:val="20"/>
          <w:vertAlign w:val="superscript"/>
          <w:lang w:val="es-ES"/>
        </w:rPr>
        <w:footnoteReference w:id="53"/>
      </w:r>
      <w:r w:rsidR="00342199" w:rsidRPr="00975C02">
        <w:rPr>
          <w:spacing w:val="-2"/>
          <w:sz w:val="20"/>
          <w:szCs w:val="20"/>
          <w:lang w:val="es-ES"/>
        </w:rPr>
        <w:t>.</w:t>
      </w:r>
    </w:p>
    <w:p w14:paraId="727E052D" w14:textId="77777777" w:rsidR="00B5625C" w:rsidRPr="00975C02" w:rsidRDefault="00B5625C" w:rsidP="00B5625C">
      <w:pPr>
        <w:spacing w:line="240" w:lineRule="auto"/>
        <w:rPr>
          <w:sz w:val="20"/>
          <w:szCs w:val="20"/>
          <w:lang w:val="es-ES"/>
        </w:rPr>
      </w:pPr>
    </w:p>
    <w:p w14:paraId="67998CA0" w14:textId="77777777" w:rsidR="00B5625C" w:rsidRPr="00975C02" w:rsidRDefault="00B5625C" w:rsidP="00390277">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En virtud de estos hallazgos y del relato efectuado por V.R.P., el 20 de noviembre de 2001 la señora V.P.C. denunció ante el Juzgado de Distrito del Crimen de Jinotega al señor H.R.A. por el delito de violación sexual en contra de su hija</w:t>
      </w:r>
      <w:r w:rsidRPr="00975C02">
        <w:rPr>
          <w:sz w:val="20"/>
          <w:szCs w:val="20"/>
          <w:vertAlign w:val="superscript"/>
          <w:lang w:val="es-ES"/>
        </w:rPr>
        <w:footnoteReference w:id="54"/>
      </w:r>
      <w:r w:rsidRPr="00975C02">
        <w:rPr>
          <w:sz w:val="20"/>
          <w:szCs w:val="20"/>
          <w:lang w:val="es-ES"/>
        </w:rPr>
        <w:t>.</w:t>
      </w:r>
    </w:p>
    <w:p w14:paraId="08B4CAF1" w14:textId="77777777" w:rsidR="00B5625C" w:rsidRPr="00975C02" w:rsidRDefault="00B5625C" w:rsidP="00B5625C">
      <w:pPr>
        <w:spacing w:line="240" w:lineRule="auto"/>
        <w:rPr>
          <w:sz w:val="20"/>
          <w:szCs w:val="20"/>
          <w:lang w:val="es-ES"/>
        </w:rPr>
      </w:pPr>
    </w:p>
    <w:p w14:paraId="1ADA39D9" w14:textId="1ECDB223" w:rsidR="00B5625C" w:rsidRPr="00975C02" w:rsidRDefault="00B5625C" w:rsidP="00390277">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 xml:space="preserve">El 21 de noviembre de 2001 se recibió la declaración </w:t>
      </w:r>
      <w:r w:rsidRPr="00975C02">
        <w:rPr>
          <w:i/>
          <w:sz w:val="20"/>
          <w:szCs w:val="20"/>
          <w:lang w:val="es-ES"/>
        </w:rPr>
        <w:t>ad-inquirendum</w:t>
      </w:r>
      <w:r w:rsidR="007E36B7" w:rsidRPr="00975C02">
        <w:rPr>
          <w:sz w:val="20"/>
          <w:szCs w:val="20"/>
          <w:vertAlign w:val="superscript"/>
          <w:lang w:val="es-ES"/>
        </w:rPr>
        <w:footnoteReference w:id="55"/>
      </w:r>
      <w:r w:rsidRPr="00975C02">
        <w:rPr>
          <w:sz w:val="20"/>
          <w:szCs w:val="20"/>
          <w:lang w:val="es-ES"/>
        </w:rPr>
        <w:t xml:space="preserve"> de V.R.P.</w:t>
      </w:r>
      <w:r w:rsidRPr="00975C02">
        <w:rPr>
          <w:sz w:val="20"/>
          <w:szCs w:val="20"/>
          <w:vertAlign w:val="superscript"/>
          <w:lang w:val="es-ES"/>
        </w:rPr>
        <w:footnoteReference w:id="56"/>
      </w:r>
      <w:r w:rsidRPr="00975C02">
        <w:rPr>
          <w:sz w:val="20"/>
          <w:szCs w:val="20"/>
          <w:lang w:val="es-ES"/>
        </w:rPr>
        <w:t xml:space="preserve"> y la de V.P.C.</w:t>
      </w:r>
      <w:r w:rsidR="00753479" w:rsidRPr="00975C02">
        <w:rPr>
          <w:sz w:val="20"/>
          <w:szCs w:val="20"/>
          <w:vertAlign w:val="superscript"/>
          <w:lang w:val="es-ES"/>
        </w:rPr>
        <w:footnoteReference w:id="57"/>
      </w:r>
      <w:r w:rsidRPr="00975C02">
        <w:rPr>
          <w:sz w:val="20"/>
          <w:szCs w:val="20"/>
          <w:lang w:val="es-ES"/>
        </w:rPr>
        <w:t>, mediante la cual ésta última ratificó la denuncia contra el señor H.R.A. En esa misma fecha, se dictó orden de allanamiento y se procedió a la detención del ciudadano H.R.A.</w:t>
      </w:r>
      <w:r w:rsidRPr="00975C02">
        <w:rPr>
          <w:sz w:val="20"/>
          <w:szCs w:val="20"/>
          <w:vertAlign w:val="superscript"/>
          <w:lang w:val="es-ES"/>
        </w:rPr>
        <w:footnoteReference w:id="58"/>
      </w:r>
      <w:r w:rsidRPr="00975C02">
        <w:rPr>
          <w:sz w:val="20"/>
          <w:szCs w:val="20"/>
          <w:lang w:val="es-ES"/>
        </w:rPr>
        <w:t xml:space="preserve">, quien prestó declaración indagatoria ante la </w:t>
      </w:r>
      <w:r w:rsidR="009E07E7" w:rsidRPr="00975C02">
        <w:rPr>
          <w:sz w:val="20"/>
          <w:szCs w:val="20"/>
          <w:lang w:val="es-ES"/>
        </w:rPr>
        <w:t>j</w:t>
      </w:r>
      <w:r w:rsidRPr="00975C02">
        <w:rPr>
          <w:sz w:val="20"/>
          <w:szCs w:val="20"/>
          <w:lang w:val="es-ES"/>
        </w:rPr>
        <w:t xml:space="preserve">ueza de </w:t>
      </w:r>
      <w:r w:rsidR="009E07E7" w:rsidRPr="00975C02">
        <w:rPr>
          <w:sz w:val="20"/>
          <w:szCs w:val="20"/>
          <w:lang w:val="es-ES"/>
        </w:rPr>
        <w:t>d</w:t>
      </w:r>
      <w:r w:rsidRPr="00975C02">
        <w:rPr>
          <w:sz w:val="20"/>
          <w:szCs w:val="20"/>
          <w:lang w:val="es-ES"/>
        </w:rPr>
        <w:t xml:space="preserve">istrito </w:t>
      </w:r>
      <w:r w:rsidR="009E07E7" w:rsidRPr="00975C02">
        <w:rPr>
          <w:sz w:val="20"/>
          <w:szCs w:val="20"/>
          <w:lang w:val="es-ES"/>
        </w:rPr>
        <w:t>p</w:t>
      </w:r>
      <w:r w:rsidRPr="00975C02">
        <w:rPr>
          <w:sz w:val="20"/>
          <w:szCs w:val="20"/>
          <w:lang w:val="es-ES"/>
        </w:rPr>
        <w:t xml:space="preserve">enal. En dicha oportunidad, desconoció los cargos que le fueron formulados y solicitó que se investigara el vínculo de los miembros de la </w:t>
      </w:r>
      <w:r w:rsidRPr="00975C02">
        <w:rPr>
          <w:sz w:val="20"/>
          <w:szCs w:val="20"/>
          <w:lang w:val="es-ES"/>
        </w:rPr>
        <w:lastRenderedPageBreak/>
        <w:t>“se</w:t>
      </w:r>
      <w:r w:rsidR="00DF289C" w:rsidRPr="00975C02">
        <w:rPr>
          <w:sz w:val="20"/>
          <w:szCs w:val="20"/>
          <w:lang w:val="es-ES"/>
        </w:rPr>
        <w:t>c</w:t>
      </w:r>
      <w:r w:rsidRPr="00975C02">
        <w:rPr>
          <w:sz w:val="20"/>
          <w:szCs w:val="20"/>
          <w:lang w:val="es-ES"/>
        </w:rPr>
        <w:t>ta Mormón” con el acto de violación de su hija, debido a que la señora V.P.C., formaba parte de la misma y</w:t>
      </w:r>
      <w:r w:rsidR="008F7087">
        <w:rPr>
          <w:sz w:val="20"/>
          <w:szCs w:val="20"/>
          <w:lang w:val="es-ES"/>
        </w:rPr>
        <w:t>,</w:t>
      </w:r>
      <w:r w:rsidR="0096280D" w:rsidRPr="00975C02">
        <w:rPr>
          <w:sz w:val="20"/>
          <w:szCs w:val="20"/>
          <w:lang w:val="es-ES"/>
        </w:rPr>
        <w:t xml:space="preserve"> supuestamente</w:t>
      </w:r>
      <w:r w:rsidR="008F7087">
        <w:rPr>
          <w:sz w:val="20"/>
          <w:szCs w:val="20"/>
          <w:lang w:val="es-ES"/>
        </w:rPr>
        <w:t>,</w:t>
      </w:r>
      <w:r w:rsidRPr="00975C02">
        <w:rPr>
          <w:sz w:val="20"/>
          <w:szCs w:val="20"/>
          <w:lang w:val="es-ES"/>
        </w:rPr>
        <w:t xml:space="preserve"> tenía conocimiento de que uno de sus máximos representantes habría sido acusado de abuso sexual de personas menores de edad</w:t>
      </w:r>
      <w:r w:rsidRPr="00975C02">
        <w:rPr>
          <w:sz w:val="20"/>
          <w:szCs w:val="20"/>
          <w:vertAlign w:val="superscript"/>
          <w:lang w:val="es-ES"/>
        </w:rPr>
        <w:footnoteReference w:id="59"/>
      </w:r>
      <w:r w:rsidRPr="00975C02">
        <w:rPr>
          <w:sz w:val="20"/>
          <w:szCs w:val="20"/>
          <w:lang w:val="es-ES"/>
        </w:rPr>
        <w:t>.</w:t>
      </w:r>
    </w:p>
    <w:p w14:paraId="40E9F972" w14:textId="77777777" w:rsidR="00B5625C" w:rsidRPr="00975C02" w:rsidRDefault="00B5625C" w:rsidP="00B5625C">
      <w:pPr>
        <w:spacing w:line="240" w:lineRule="auto"/>
        <w:rPr>
          <w:sz w:val="20"/>
          <w:szCs w:val="20"/>
          <w:lang w:val="es-ES"/>
        </w:rPr>
      </w:pPr>
    </w:p>
    <w:p w14:paraId="6B136C6B" w14:textId="577F2042" w:rsidR="00B5625C" w:rsidRPr="00975C02" w:rsidRDefault="00B5625C" w:rsidP="00390277">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A raíz de lo sucedido</w:t>
      </w:r>
      <w:r w:rsidR="00F02478">
        <w:rPr>
          <w:sz w:val="20"/>
          <w:szCs w:val="20"/>
          <w:lang w:val="es-ES"/>
        </w:rPr>
        <w:t>,</w:t>
      </w:r>
      <w:r w:rsidRPr="00975C02">
        <w:rPr>
          <w:sz w:val="20"/>
          <w:szCs w:val="20"/>
          <w:lang w:val="es-ES"/>
        </w:rPr>
        <w:t xml:space="preserve"> la niña V.R.P. dejó de asistir a clases</w:t>
      </w:r>
      <w:r w:rsidRPr="00975C02">
        <w:rPr>
          <w:sz w:val="20"/>
          <w:szCs w:val="20"/>
          <w:vertAlign w:val="superscript"/>
          <w:lang w:val="es-ES"/>
        </w:rPr>
        <w:footnoteReference w:id="60"/>
      </w:r>
      <w:r w:rsidRPr="00975C02">
        <w:rPr>
          <w:sz w:val="20"/>
          <w:szCs w:val="20"/>
          <w:lang w:val="es-ES"/>
        </w:rPr>
        <w:t>, por cuanto sentía vergüenza y miedo del rechazo de las personas, debido a que el proceso se había hecho público</w:t>
      </w:r>
      <w:r w:rsidRPr="00975C02">
        <w:rPr>
          <w:sz w:val="20"/>
          <w:szCs w:val="20"/>
          <w:vertAlign w:val="superscript"/>
          <w:lang w:val="es-ES"/>
        </w:rPr>
        <w:footnoteReference w:id="61"/>
      </w:r>
      <w:r w:rsidRPr="00975C02">
        <w:rPr>
          <w:sz w:val="20"/>
          <w:szCs w:val="20"/>
          <w:lang w:val="es-ES"/>
        </w:rPr>
        <w:t>. Al respecto, cabe mencionar que, mediante el auto del 21 de noviembre de 2001, el Juzgado del Distrito Penal de Jinotega dispuso que “[p]or estar solicitado restrínjase el acceso a la Prensa[</w:t>
      </w:r>
      <w:r w:rsidR="003F167A" w:rsidRPr="00975C02">
        <w:rPr>
          <w:sz w:val="20"/>
          <w:szCs w:val="20"/>
          <w:lang w:val="es-ES"/>
        </w:rPr>
        <w:t>, a</w:t>
      </w:r>
      <w:r w:rsidRPr="00975C02">
        <w:rPr>
          <w:sz w:val="20"/>
          <w:szCs w:val="20"/>
          <w:lang w:val="es-ES"/>
        </w:rPr>
        <w:t xml:space="preserve">]sí como al Público en General, debiendo llevarse en </w:t>
      </w:r>
      <w:r w:rsidR="003F167A" w:rsidRPr="00975C02">
        <w:rPr>
          <w:sz w:val="20"/>
          <w:szCs w:val="20"/>
          <w:lang w:val="es-ES"/>
        </w:rPr>
        <w:t>[</w:t>
      </w:r>
      <w:r w:rsidRPr="00975C02">
        <w:rPr>
          <w:sz w:val="20"/>
          <w:szCs w:val="20"/>
          <w:lang w:val="es-ES"/>
        </w:rPr>
        <w:t>p</w:t>
      </w:r>
      <w:r w:rsidR="003F167A" w:rsidRPr="00975C02">
        <w:rPr>
          <w:sz w:val="20"/>
          <w:szCs w:val="20"/>
          <w:lang w:val="es-ES"/>
        </w:rPr>
        <w:t>]</w:t>
      </w:r>
      <w:r w:rsidRPr="00975C02">
        <w:rPr>
          <w:sz w:val="20"/>
          <w:szCs w:val="20"/>
          <w:lang w:val="es-ES"/>
        </w:rPr>
        <w:t xml:space="preserve">rivado la presente </w:t>
      </w:r>
      <w:r w:rsidR="003F167A" w:rsidRPr="00975C02">
        <w:rPr>
          <w:sz w:val="20"/>
          <w:szCs w:val="20"/>
          <w:lang w:val="es-ES"/>
        </w:rPr>
        <w:t>I</w:t>
      </w:r>
      <w:r w:rsidRPr="00975C02">
        <w:rPr>
          <w:sz w:val="20"/>
          <w:szCs w:val="20"/>
          <w:lang w:val="es-ES"/>
        </w:rPr>
        <w:t>nstructiva del proceso”</w:t>
      </w:r>
      <w:r w:rsidRPr="00975C02">
        <w:rPr>
          <w:sz w:val="20"/>
          <w:szCs w:val="20"/>
          <w:vertAlign w:val="superscript"/>
          <w:lang w:val="es-ES"/>
        </w:rPr>
        <w:footnoteReference w:id="62"/>
      </w:r>
      <w:r w:rsidRPr="00975C02">
        <w:rPr>
          <w:sz w:val="20"/>
          <w:szCs w:val="20"/>
          <w:lang w:val="es-ES"/>
        </w:rPr>
        <w:t xml:space="preserve">. </w:t>
      </w:r>
      <w:r w:rsidR="00695768" w:rsidRPr="00975C02">
        <w:rPr>
          <w:sz w:val="20"/>
          <w:szCs w:val="20"/>
          <w:lang w:val="es-ES"/>
        </w:rPr>
        <w:t>A pesar de ello</w:t>
      </w:r>
      <w:r w:rsidRPr="00975C02">
        <w:rPr>
          <w:sz w:val="20"/>
          <w:szCs w:val="20"/>
          <w:lang w:val="es-ES"/>
        </w:rPr>
        <w:t xml:space="preserve">, </w:t>
      </w:r>
      <w:r w:rsidR="00695768" w:rsidRPr="00975C02">
        <w:rPr>
          <w:sz w:val="20"/>
          <w:szCs w:val="20"/>
          <w:lang w:val="es-ES"/>
        </w:rPr>
        <w:t xml:space="preserve">la emisora </w:t>
      </w:r>
      <w:r w:rsidRPr="00975C02">
        <w:rPr>
          <w:sz w:val="20"/>
          <w:szCs w:val="20"/>
          <w:lang w:val="es-ES"/>
        </w:rPr>
        <w:t xml:space="preserve">Radio Stereo Libre, 95.3 FM, </w:t>
      </w:r>
      <w:r w:rsidR="00695768" w:rsidRPr="00975C02">
        <w:rPr>
          <w:sz w:val="20"/>
          <w:szCs w:val="20"/>
          <w:lang w:val="es-ES"/>
        </w:rPr>
        <w:t xml:space="preserve">la cual estaba relacionada con el abogado de la parte acusadora, </w:t>
      </w:r>
      <w:r w:rsidRPr="00975C02">
        <w:rPr>
          <w:sz w:val="20"/>
          <w:szCs w:val="20"/>
          <w:lang w:val="es-ES"/>
        </w:rPr>
        <w:t xml:space="preserve">cubrió cada una de las etapas del proceso penal seguido contra el señor </w:t>
      </w:r>
      <w:r w:rsidR="00695768" w:rsidRPr="00975C02">
        <w:rPr>
          <w:sz w:val="20"/>
          <w:szCs w:val="20"/>
          <w:lang w:val="es-ES"/>
        </w:rPr>
        <w:t>H.R.A.</w:t>
      </w:r>
      <w:r w:rsidRPr="00975C02">
        <w:rPr>
          <w:sz w:val="20"/>
          <w:szCs w:val="20"/>
          <w:lang w:val="es-ES"/>
        </w:rPr>
        <w:t xml:space="preserve"> durante el año 2002</w:t>
      </w:r>
      <w:r w:rsidRPr="00975C02">
        <w:rPr>
          <w:sz w:val="20"/>
          <w:szCs w:val="20"/>
          <w:vertAlign w:val="superscript"/>
          <w:lang w:val="es-ES"/>
        </w:rPr>
        <w:footnoteReference w:id="63"/>
      </w:r>
      <w:r w:rsidRPr="00975C02">
        <w:rPr>
          <w:sz w:val="20"/>
          <w:szCs w:val="20"/>
          <w:lang w:val="es-ES"/>
        </w:rPr>
        <w:t>.</w:t>
      </w:r>
    </w:p>
    <w:p w14:paraId="3E8C5711" w14:textId="77777777" w:rsidR="00B5625C" w:rsidRPr="00975C02" w:rsidRDefault="00B5625C" w:rsidP="00B5625C">
      <w:pPr>
        <w:spacing w:line="240" w:lineRule="auto"/>
        <w:rPr>
          <w:sz w:val="20"/>
          <w:szCs w:val="20"/>
          <w:lang w:val="es-ES"/>
        </w:rPr>
      </w:pPr>
    </w:p>
    <w:p w14:paraId="28F4FED8" w14:textId="77777777" w:rsidR="00B5625C" w:rsidRPr="00975C02" w:rsidRDefault="00B5625C" w:rsidP="002C415B">
      <w:pPr>
        <w:pStyle w:val="ListParagraph"/>
        <w:keepNext/>
        <w:keepLines/>
        <w:numPr>
          <w:ilvl w:val="0"/>
          <w:numId w:val="15"/>
        </w:numPr>
        <w:tabs>
          <w:tab w:val="left" w:pos="1134"/>
        </w:tabs>
        <w:spacing w:line="240" w:lineRule="auto"/>
        <w:outlineLvl w:val="1"/>
        <w:rPr>
          <w:rFonts w:eastAsia="MS Mincho"/>
          <w:b/>
          <w:bCs/>
          <w:i/>
          <w:sz w:val="20"/>
          <w:szCs w:val="20"/>
          <w:lang w:val="es-ES"/>
        </w:rPr>
      </w:pPr>
      <w:bookmarkStart w:id="109" w:name="_Toc514172619"/>
      <w:r w:rsidRPr="00975C02">
        <w:rPr>
          <w:rFonts w:eastAsia="MS Mincho"/>
          <w:b/>
          <w:bCs/>
          <w:i/>
          <w:sz w:val="20"/>
          <w:szCs w:val="20"/>
          <w:lang w:val="es-ES"/>
        </w:rPr>
        <w:t>Las medidas de prueba ordenadas</w:t>
      </w:r>
      <w:bookmarkEnd w:id="109"/>
    </w:p>
    <w:p w14:paraId="59E16BE0" w14:textId="77777777" w:rsidR="00B5625C" w:rsidRPr="00975C02" w:rsidRDefault="00B5625C" w:rsidP="00B5625C">
      <w:pPr>
        <w:spacing w:line="240" w:lineRule="auto"/>
        <w:ind w:left="1418"/>
        <w:rPr>
          <w:sz w:val="20"/>
          <w:szCs w:val="20"/>
          <w:lang w:val="es-ES"/>
        </w:rPr>
      </w:pPr>
    </w:p>
    <w:p w14:paraId="37F44E30" w14:textId="45B14A94" w:rsidR="00B5625C" w:rsidRPr="00975C02" w:rsidRDefault="00B5625C" w:rsidP="00390277">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 xml:space="preserve">En el marco de </w:t>
      </w:r>
      <w:r w:rsidR="001D35A0">
        <w:rPr>
          <w:sz w:val="20"/>
          <w:szCs w:val="20"/>
          <w:lang w:val="es-ES"/>
        </w:rPr>
        <w:t>la</w:t>
      </w:r>
      <w:r w:rsidRPr="00975C02">
        <w:rPr>
          <w:sz w:val="20"/>
          <w:szCs w:val="20"/>
          <w:lang w:val="es-ES"/>
        </w:rPr>
        <w:t xml:space="preserve"> instrucción se ordenó </w:t>
      </w:r>
      <w:r w:rsidR="009E49EB" w:rsidRPr="00975C02">
        <w:rPr>
          <w:sz w:val="20"/>
          <w:szCs w:val="20"/>
          <w:lang w:val="es-ES"/>
        </w:rPr>
        <w:t>recibir</w:t>
      </w:r>
      <w:r w:rsidRPr="00975C02">
        <w:rPr>
          <w:sz w:val="20"/>
          <w:szCs w:val="20"/>
          <w:lang w:val="es-ES"/>
        </w:rPr>
        <w:t xml:space="preserve"> 21 declaraciones testimoniales</w:t>
      </w:r>
      <w:r w:rsidRPr="00975C02">
        <w:rPr>
          <w:sz w:val="20"/>
          <w:szCs w:val="20"/>
          <w:vertAlign w:val="superscript"/>
          <w:lang w:val="es-ES"/>
        </w:rPr>
        <w:footnoteReference w:id="64"/>
      </w:r>
      <w:r w:rsidRPr="00975C02">
        <w:rPr>
          <w:sz w:val="20"/>
          <w:szCs w:val="20"/>
          <w:lang w:val="es-ES"/>
        </w:rPr>
        <w:t xml:space="preserve"> y se dispuso la realización de otras medidas de prueba que se detallan a continuación:</w:t>
      </w:r>
    </w:p>
    <w:p w14:paraId="32684ACD" w14:textId="77777777" w:rsidR="00B5625C" w:rsidRPr="00975C02" w:rsidRDefault="00B5625C" w:rsidP="00B5625C">
      <w:pPr>
        <w:spacing w:line="240" w:lineRule="auto"/>
        <w:rPr>
          <w:sz w:val="20"/>
          <w:szCs w:val="20"/>
          <w:lang w:val="es-ES"/>
        </w:rPr>
      </w:pPr>
    </w:p>
    <w:p w14:paraId="660A5943" w14:textId="77777777" w:rsidR="00B5625C" w:rsidRPr="00975C02" w:rsidRDefault="00B5625C" w:rsidP="002C415B">
      <w:pPr>
        <w:widowControl/>
        <w:numPr>
          <w:ilvl w:val="0"/>
          <w:numId w:val="6"/>
        </w:numPr>
        <w:adjustRightInd/>
        <w:spacing w:line="240" w:lineRule="auto"/>
        <w:ind w:left="1701"/>
        <w:jc w:val="left"/>
        <w:textAlignment w:val="auto"/>
        <w:rPr>
          <w:i/>
          <w:sz w:val="20"/>
          <w:szCs w:val="20"/>
          <w:lang w:val="es-ES"/>
        </w:rPr>
      </w:pPr>
      <w:r w:rsidRPr="00975C02">
        <w:rPr>
          <w:i/>
          <w:sz w:val="20"/>
          <w:szCs w:val="20"/>
          <w:lang w:val="es-ES"/>
        </w:rPr>
        <w:t>Examen médico de V.R.P.</w:t>
      </w:r>
    </w:p>
    <w:p w14:paraId="360F416C" w14:textId="77777777" w:rsidR="00B5625C" w:rsidRPr="00975C02" w:rsidRDefault="00B5625C" w:rsidP="00B5625C">
      <w:pPr>
        <w:spacing w:line="240" w:lineRule="auto"/>
        <w:ind w:left="1701"/>
        <w:rPr>
          <w:i/>
          <w:sz w:val="20"/>
          <w:szCs w:val="20"/>
          <w:lang w:val="es-ES"/>
        </w:rPr>
      </w:pPr>
    </w:p>
    <w:p w14:paraId="024D9D29" w14:textId="579EFFF4" w:rsidR="00D2788D" w:rsidRPr="00975C02" w:rsidRDefault="00B5625C" w:rsidP="00D2788D">
      <w:pPr>
        <w:widowControl/>
        <w:numPr>
          <w:ilvl w:val="0"/>
          <w:numId w:val="2"/>
        </w:numPr>
        <w:tabs>
          <w:tab w:val="left" w:pos="567"/>
          <w:tab w:val="num" w:pos="12305"/>
        </w:tabs>
        <w:adjustRightInd/>
        <w:spacing w:line="240" w:lineRule="auto"/>
        <w:ind w:left="0" w:firstLine="0"/>
        <w:textAlignment w:val="auto"/>
        <w:rPr>
          <w:kern w:val="2"/>
          <w:sz w:val="20"/>
          <w:szCs w:val="20"/>
          <w:lang w:val="es-ES" w:eastAsia="en-US"/>
        </w:rPr>
      </w:pPr>
      <w:r w:rsidRPr="00975C02">
        <w:rPr>
          <w:sz w:val="20"/>
          <w:szCs w:val="20"/>
          <w:lang w:val="es-ES"/>
        </w:rPr>
        <w:t>Se ordenó la realización de un e</w:t>
      </w:r>
      <w:r w:rsidR="00CB1096" w:rsidRPr="00975C02">
        <w:rPr>
          <w:sz w:val="20"/>
          <w:szCs w:val="20"/>
          <w:lang w:val="es-ES"/>
        </w:rPr>
        <w:t>xamen médico respecto de V.R.P.</w:t>
      </w:r>
      <w:r w:rsidRPr="00975C02">
        <w:rPr>
          <w:sz w:val="20"/>
          <w:szCs w:val="20"/>
          <w:lang w:val="es-ES"/>
        </w:rPr>
        <w:t xml:space="preserve"> </w:t>
      </w:r>
      <w:r w:rsidR="00D2788D" w:rsidRPr="00975C02">
        <w:rPr>
          <w:sz w:val="20"/>
          <w:szCs w:val="20"/>
          <w:lang w:val="es-ES"/>
        </w:rPr>
        <w:t xml:space="preserve">Para ello, </w:t>
      </w:r>
      <w:r w:rsidR="00D2788D" w:rsidRPr="00975C02">
        <w:rPr>
          <w:kern w:val="2"/>
          <w:sz w:val="20"/>
          <w:szCs w:val="20"/>
          <w:lang w:val="es-ES" w:eastAsia="en-US"/>
        </w:rPr>
        <w:t xml:space="preserve">la jueza de distrito penal a cargo del proceso solicitó al Director del Hospital Victoria </w:t>
      </w:r>
      <w:r w:rsidR="00301DCB" w:rsidRPr="00975C02">
        <w:rPr>
          <w:kern w:val="2"/>
          <w:sz w:val="20"/>
          <w:szCs w:val="20"/>
          <w:lang w:val="es-ES" w:eastAsia="en-US"/>
        </w:rPr>
        <w:t>Mo</w:t>
      </w:r>
      <w:r w:rsidR="008A4CF8" w:rsidRPr="00975C02">
        <w:rPr>
          <w:kern w:val="2"/>
          <w:sz w:val="20"/>
          <w:szCs w:val="20"/>
          <w:lang w:val="es-ES" w:eastAsia="en-US"/>
        </w:rPr>
        <w:t>t</w:t>
      </w:r>
      <w:r w:rsidR="00301DCB" w:rsidRPr="00975C02">
        <w:rPr>
          <w:kern w:val="2"/>
          <w:sz w:val="20"/>
          <w:szCs w:val="20"/>
          <w:lang w:val="es-ES" w:eastAsia="en-US"/>
        </w:rPr>
        <w:t xml:space="preserve">ta </w:t>
      </w:r>
      <w:r w:rsidR="00D2788D" w:rsidRPr="00975C02">
        <w:rPr>
          <w:kern w:val="2"/>
          <w:sz w:val="20"/>
          <w:szCs w:val="20"/>
          <w:lang w:val="es-ES" w:eastAsia="en-US"/>
        </w:rPr>
        <w:t>que conformara una junta médica compuesta por un pediatra, un cirujano, y un ginecólogo, para que asociados al médico forense practiquen la valoración médico legal de V.R.P</w:t>
      </w:r>
      <w:r w:rsidR="00D2788D" w:rsidRPr="00975C02">
        <w:rPr>
          <w:kern w:val="2"/>
          <w:sz w:val="20"/>
          <w:szCs w:val="20"/>
          <w:vertAlign w:val="superscript"/>
          <w:lang w:val="es-ES" w:eastAsia="en-US"/>
        </w:rPr>
        <w:footnoteReference w:id="65"/>
      </w:r>
      <w:r w:rsidR="00D2788D" w:rsidRPr="00975C02">
        <w:rPr>
          <w:kern w:val="2"/>
          <w:sz w:val="20"/>
          <w:szCs w:val="20"/>
          <w:lang w:val="es-ES" w:eastAsia="en-US"/>
        </w:rPr>
        <w:t>. Dicha junta médica fue conformada por el Director del Hospital, con base en lo requerido</w:t>
      </w:r>
      <w:r w:rsidR="00D2788D" w:rsidRPr="00975C02">
        <w:rPr>
          <w:kern w:val="2"/>
          <w:sz w:val="20"/>
          <w:szCs w:val="20"/>
          <w:vertAlign w:val="superscript"/>
          <w:lang w:val="es-ES" w:eastAsia="en-US"/>
        </w:rPr>
        <w:footnoteReference w:id="66"/>
      </w:r>
      <w:r w:rsidR="00D2788D" w:rsidRPr="00975C02">
        <w:rPr>
          <w:kern w:val="2"/>
          <w:sz w:val="20"/>
          <w:szCs w:val="20"/>
          <w:lang w:val="es-ES" w:eastAsia="en-US"/>
        </w:rPr>
        <w:t xml:space="preserve"> y el 22 de noviembre de 2001 el médico forense intentó realizar la diligencia, en la cual participaron no sólo tres médicos (el forense, el ginecólogo y el pediatra), sino que estuvo presente una psiquiatra, la jueza y la secretaria del despacho judicial</w:t>
      </w:r>
      <w:r w:rsidR="00D2788D" w:rsidRPr="00975C02">
        <w:rPr>
          <w:kern w:val="2"/>
          <w:sz w:val="20"/>
          <w:szCs w:val="20"/>
          <w:vertAlign w:val="superscript"/>
          <w:lang w:val="es-ES" w:eastAsia="en-US"/>
        </w:rPr>
        <w:footnoteReference w:id="67"/>
      </w:r>
      <w:r w:rsidR="00D2788D" w:rsidRPr="00975C02">
        <w:rPr>
          <w:kern w:val="2"/>
          <w:sz w:val="20"/>
          <w:szCs w:val="20"/>
          <w:lang w:val="es-ES" w:eastAsia="en-US"/>
        </w:rPr>
        <w:t>.</w:t>
      </w:r>
    </w:p>
    <w:p w14:paraId="7692E7F6" w14:textId="77777777" w:rsidR="00D2788D" w:rsidRPr="00975C02" w:rsidRDefault="00D2788D" w:rsidP="00D2788D">
      <w:pPr>
        <w:tabs>
          <w:tab w:val="left" w:pos="567"/>
        </w:tabs>
        <w:spacing w:line="240" w:lineRule="auto"/>
        <w:rPr>
          <w:sz w:val="20"/>
          <w:szCs w:val="20"/>
          <w:lang w:val="es-ES"/>
        </w:rPr>
      </w:pPr>
    </w:p>
    <w:p w14:paraId="7CD9BFCD" w14:textId="5D416BEE" w:rsidR="00B5625C" w:rsidRPr="00975C02" w:rsidRDefault="00CB1096" w:rsidP="00390277">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En el Acta Judicial de 22 de noviembre de 2001 se consignó que el médico legista, acompañado de un ginecólogo, un pediatra y una psiquiatra, inició el examen médico legal a V.R.P., describiéndose ciertos hallazgos, pero que “se suspendió todo procedimiento por negatividad de la menor”</w:t>
      </w:r>
      <w:r w:rsidRPr="00975C02">
        <w:rPr>
          <w:sz w:val="20"/>
          <w:szCs w:val="20"/>
          <w:vertAlign w:val="superscript"/>
          <w:lang w:val="es-ES"/>
        </w:rPr>
        <w:footnoteReference w:id="68"/>
      </w:r>
      <w:r w:rsidRPr="00975C02">
        <w:rPr>
          <w:sz w:val="20"/>
          <w:szCs w:val="20"/>
          <w:lang w:val="es-ES"/>
        </w:rPr>
        <w:t xml:space="preserve">. </w:t>
      </w:r>
      <w:r w:rsidR="00C37DAE" w:rsidRPr="00975C02">
        <w:rPr>
          <w:sz w:val="20"/>
          <w:szCs w:val="20"/>
          <w:lang w:val="es-ES"/>
        </w:rPr>
        <w:t xml:space="preserve">La señora V.P.C., en un escrito presentado ante el Director del Sistema </w:t>
      </w:r>
      <w:r w:rsidR="00C37DAE" w:rsidRPr="00975C02">
        <w:rPr>
          <w:sz w:val="20"/>
          <w:szCs w:val="20"/>
          <w:lang w:val="es-ES"/>
        </w:rPr>
        <w:lastRenderedPageBreak/>
        <w:t>Local de Atención Integral en Salud (SILAIS) del Departamento de Jinotega, expuso que lo que sucedió fue que el profesional médico interviniente tuvo un “comportamiento antiético, grotesco y vulgar” al momento de examinar a su hija</w:t>
      </w:r>
      <w:r w:rsidR="00C37DAE" w:rsidRPr="00975C02">
        <w:rPr>
          <w:sz w:val="20"/>
          <w:szCs w:val="20"/>
          <w:vertAlign w:val="superscript"/>
          <w:lang w:val="es-ES"/>
        </w:rPr>
        <w:footnoteReference w:id="69"/>
      </w:r>
      <w:r w:rsidR="00C37DAE" w:rsidRPr="00975C02">
        <w:rPr>
          <w:sz w:val="20"/>
          <w:szCs w:val="20"/>
          <w:lang w:val="es-ES"/>
        </w:rPr>
        <w:t xml:space="preserve"> (</w:t>
      </w:r>
      <w:r w:rsidR="00C37DAE" w:rsidRPr="00975C02">
        <w:rPr>
          <w:i/>
          <w:sz w:val="20"/>
          <w:szCs w:val="20"/>
          <w:lang w:val="es-ES"/>
        </w:rPr>
        <w:t>infra</w:t>
      </w:r>
      <w:r w:rsidR="00C37DAE" w:rsidRPr="00975C02">
        <w:rPr>
          <w:sz w:val="20"/>
          <w:szCs w:val="20"/>
          <w:lang w:val="es-ES"/>
        </w:rPr>
        <w:t xml:space="preserve"> párr. </w:t>
      </w:r>
      <w:r w:rsidR="0016280F" w:rsidRPr="00975C02">
        <w:rPr>
          <w:sz w:val="20"/>
          <w:szCs w:val="20"/>
          <w:lang w:val="es-ES"/>
        </w:rPr>
        <w:t>177</w:t>
      </w:r>
      <w:r w:rsidR="00C37DAE" w:rsidRPr="00975C02">
        <w:rPr>
          <w:sz w:val="20"/>
          <w:szCs w:val="20"/>
          <w:lang w:val="es-ES"/>
        </w:rPr>
        <w:t xml:space="preserve">). </w:t>
      </w:r>
      <w:r w:rsidRPr="00975C02">
        <w:rPr>
          <w:sz w:val="20"/>
          <w:szCs w:val="20"/>
          <w:lang w:val="es-ES"/>
        </w:rPr>
        <w:t>Por su parte, V.R.P. relató ante esta Corte las circunstancias en las cuales se desarrolló la diligencia y las razones por las que se negó a continuar con el examen</w:t>
      </w:r>
      <w:r w:rsidRPr="00975C02">
        <w:rPr>
          <w:sz w:val="20"/>
          <w:szCs w:val="20"/>
          <w:vertAlign w:val="superscript"/>
          <w:lang w:val="es-ES"/>
        </w:rPr>
        <w:footnoteReference w:id="70"/>
      </w:r>
      <w:r w:rsidRPr="00975C02">
        <w:rPr>
          <w:sz w:val="20"/>
          <w:szCs w:val="20"/>
          <w:lang w:val="es-ES"/>
        </w:rPr>
        <w:t>.</w:t>
      </w:r>
    </w:p>
    <w:p w14:paraId="48A020EB" w14:textId="77777777" w:rsidR="00B5625C" w:rsidRPr="00975C02" w:rsidRDefault="00B5625C" w:rsidP="00B5625C">
      <w:pPr>
        <w:spacing w:line="240" w:lineRule="auto"/>
        <w:rPr>
          <w:sz w:val="20"/>
          <w:szCs w:val="20"/>
          <w:lang w:val="es-ES"/>
        </w:rPr>
      </w:pPr>
    </w:p>
    <w:p w14:paraId="421BC48B" w14:textId="4853C19A" w:rsidR="00BA1DFE" w:rsidRPr="00975C02" w:rsidRDefault="002E5257" w:rsidP="00BA1DFE">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 xml:space="preserve">Según surge de las declaraciones recibidas ante esta Corte, durante el primer examen médico forense, el médico olía a alcohol, no le permitió a </w:t>
      </w:r>
      <w:r w:rsidR="00C37DAE" w:rsidRPr="00975C02">
        <w:rPr>
          <w:sz w:val="20"/>
          <w:szCs w:val="20"/>
          <w:lang w:val="es-ES"/>
        </w:rPr>
        <w:t>la</w:t>
      </w:r>
      <w:r w:rsidRPr="00975C02">
        <w:rPr>
          <w:sz w:val="20"/>
          <w:szCs w:val="20"/>
          <w:lang w:val="es-ES"/>
        </w:rPr>
        <w:t xml:space="preserve"> madre</w:t>
      </w:r>
      <w:r w:rsidR="00C37DAE" w:rsidRPr="00975C02">
        <w:rPr>
          <w:sz w:val="20"/>
          <w:szCs w:val="20"/>
          <w:lang w:val="es-ES"/>
        </w:rPr>
        <w:t xml:space="preserve"> de V.R.P.</w:t>
      </w:r>
      <w:r w:rsidRPr="00975C02">
        <w:rPr>
          <w:sz w:val="20"/>
          <w:szCs w:val="20"/>
          <w:lang w:val="es-ES"/>
        </w:rPr>
        <w:t xml:space="preserve"> poner una colcha y un cojín para que la niña se acostara sobre ellos</w:t>
      </w:r>
      <w:r w:rsidR="00C37DAE" w:rsidRPr="00975C02">
        <w:rPr>
          <w:sz w:val="20"/>
          <w:szCs w:val="20"/>
          <w:lang w:val="es-ES"/>
        </w:rPr>
        <w:t>,</w:t>
      </w:r>
      <w:r w:rsidRPr="00975C02">
        <w:rPr>
          <w:sz w:val="20"/>
          <w:szCs w:val="20"/>
          <w:lang w:val="es-ES"/>
        </w:rPr>
        <w:t xml:space="preserve"> teniendo en cuenta que estaba dolorida y tenía llagas puesto que había tenido operaciones quirúrgicas recientes</w:t>
      </w:r>
      <w:r w:rsidR="00C37DAE" w:rsidRPr="00975C02">
        <w:rPr>
          <w:sz w:val="20"/>
          <w:szCs w:val="20"/>
          <w:lang w:val="es-ES"/>
        </w:rPr>
        <w:t>,</w:t>
      </w:r>
      <w:r w:rsidRPr="00975C02">
        <w:rPr>
          <w:sz w:val="20"/>
          <w:szCs w:val="20"/>
          <w:lang w:val="es-ES"/>
        </w:rPr>
        <w:t xml:space="preserve"> y le indicó que se acostara sobre la camilla de metal. </w:t>
      </w:r>
      <w:r w:rsidR="00BA1DFE" w:rsidRPr="00975C02">
        <w:rPr>
          <w:sz w:val="20"/>
          <w:szCs w:val="20"/>
          <w:lang w:val="es-ES"/>
        </w:rPr>
        <w:t>Las pruebas recibidas ante esta Corte evidencian que, durante el examen médico, la niña V.R.P. manifestó su negativa a realizárselo por el dolor que sentía ante el tacto ejercido de forma violenta por el galeno. En efecto, las declaraciones de V.R.P., V.P.C. y la abuela de V.R.P. son coincidentes en señalar que el médico “abría las piernas” de V.R.P., “usó mucha fuerza” durante el examen, por lo que la niña tendía a cerrar las piernas</w:t>
      </w:r>
      <w:r w:rsidR="00EA51B7" w:rsidRPr="00975C02">
        <w:rPr>
          <w:sz w:val="20"/>
          <w:szCs w:val="20"/>
          <w:lang w:val="es-ES"/>
        </w:rPr>
        <w:t xml:space="preserve"> ya que sentía ardor y mucho dolor en las zonas afectadas</w:t>
      </w:r>
      <w:r w:rsidR="00BA1DFE" w:rsidRPr="00975C02">
        <w:rPr>
          <w:rStyle w:val="FootnoteReference"/>
          <w:rFonts w:eastAsia="MS ????"/>
          <w:sz w:val="20"/>
          <w:szCs w:val="20"/>
          <w:lang w:val="es-ES"/>
        </w:rPr>
        <w:footnoteReference w:id="71"/>
      </w:r>
      <w:r w:rsidR="00BA1DFE" w:rsidRPr="00975C02">
        <w:rPr>
          <w:sz w:val="20"/>
          <w:szCs w:val="20"/>
          <w:lang w:val="es-ES"/>
        </w:rPr>
        <w:t>. Debido al actuar violento del médico, algunos de los miembros presentes del personal de salud decidieron no continuar participando en la diligencia</w:t>
      </w:r>
      <w:r w:rsidR="00BA1DFE" w:rsidRPr="00975C02">
        <w:rPr>
          <w:rStyle w:val="FootnoteReference"/>
          <w:rFonts w:eastAsia="MS ????"/>
          <w:sz w:val="20"/>
          <w:szCs w:val="20"/>
          <w:lang w:val="es-ES"/>
        </w:rPr>
        <w:footnoteReference w:id="72"/>
      </w:r>
      <w:r w:rsidR="00BA1DFE" w:rsidRPr="00975C02">
        <w:rPr>
          <w:sz w:val="20"/>
          <w:szCs w:val="20"/>
          <w:lang w:val="es-ES"/>
        </w:rPr>
        <w:t>.</w:t>
      </w:r>
    </w:p>
    <w:p w14:paraId="3E4FD4EC" w14:textId="77777777" w:rsidR="00B5625C" w:rsidRPr="00975C02" w:rsidRDefault="00B5625C" w:rsidP="009651A9">
      <w:pPr>
        <w:tabs>
          <w:tab w:val="left" w:pos="567"/>
        </w:tabs>
        <w:spacing w:line="240" w:lineRule="auto"/>
        <w:rPr>
          <w:sz w:val="20"/>
          <w:szCs w:val="20"/>
          <w:lang w:val="es-ES"/>
        </w:rPr>
      </w:pPr>
    </w:p>
    <w:p w14:paraId="17A84611" w14:textId="77777777" w:rsidR="00B5625C" w:rsidRPr="00975C02" w:rsidRDefault="00B5625C" w:rsidP="009651A9">
      <w:pPr>
        <w:numPr>
          <w:ilvl w:val="0"/>
          <w:numId w:val="2"/>
        </w:numPr>
        <w:tabs>
          <w:tab w:val="left" w:pos="567"/>
          <w:tab w:val="num" w:pos="12305"/>
        </w:tabs>
        <w:spacing w:line="240" w:lineRule="auto"/>
        <w:ind w:left="0" w:firstLine="0"/>
        <w:rPr>
          <w:sz w:val="16"/>
          <w:szCs w:val="16"/>
          <w:lang w:val="es-ES"/>
        </w:rPr>
      </w:pPr>
      <w:r w:rsidRPr="00975C02">
        <w:rPr>
          <w:sz w:val="20"/>
          <w:szCs w:val="20"/>
          <w:lang w:val="es-ES"/>
        </w:rPr>
        <w:t xml:space="preserve">Posteriormente, la señora V.P.C. </w:t>
      </w:r>
      <w:r w:rsidR="00C003A2" w:rsidRPr="00975C02">
        <w:rPr>
          <w:sz w:val="20"/>
          <w:szCs w:val="20"/>
          <w:lang w:val="es-ES"/>
        </w:rPr>
        <w:t>instó</w:t>
      </w:r>
      <w:r w:rsidRPr="00975C02">
        <w:rPr>
          <w:sz w:val="20"/>
          <w:szCs w:val="20"/>
          <w:lang w:val="es-ES"/>
        </w:rPr>
        <w:t xml:space="preserve"> que se ordenara que sea la suplente del médico forense</w:t>
      </w:r>
      <w:r w:rsidR="004E6A9B" w:rsidRPr="00975C02">
        <w:rPr>
          <w:sz w:val="20"/>
          <w:szCs w:val="20"/>
          <w:lang w:val="es-ES"/>
        </w:rPr>
        <w:t xml:space="preserve">, asociada del médico pediatra, y el </w:t>
      </w:r>
      <w:r w:rsidRPr="00975C02">
        <w:rPr>
          <w:sz w:val="20"/>
          <w:szCs w:val="20"/>
          <w:lang w:val="es-ES"/>
        </w:rPr>
        <w:t xml:space="preserve">ginecólogo </w:t>
      </w:r>
      <w:r w:rsidR="004E6A9B" w:rsidRPr="00975C02">
        <w:rPr>
          <w:sz w:val="20"/>
          <w:szCs w:val="20"/>
          <w:lang w:val="es-ES"/>
        </w:rPr>
        <w:t>nombrado por el hospital</w:t>
      </w:r>
      <w:r w:rsidR="005133A3" w:rsidRPr="00975C02">
        <w:rPr>
          <w:sz w:val="20"/>
          <w:szCs w:val="20"/>
          <w:lang w:val="es-ES"/>
        </w:rPr>
        <w:t>, quien</w:t>
      </w:r>
      <w:r w:rsidR="004E6A9B" w:rsidRPr="00975C02">
        <w:rPr>
          <w:sz w:val="20"/>
          <w:szCs w:val="20"/>
          <w:lang w:val="es-ES"/>
        </w:rPr>
        <w:t>es</w:t>
      </w:r>
      <w:r w:rsidR="005133A3" w:rsidRPr="00975C02">
        <w:rPr>
          <w:sz w:val="20"/>
          <w:szCs w:val="20"/>
          <w:lang w:val="es-ES"/>
        </w:rPr>
        <w:t xml:space="preserve"> practique</w:t>
      </w:r>
      <w:r w:rsidR="004E6A9B" w:rsidRPr="00975C02">
        <w:rPr>
          <w:sz w:val="20"/>
          <w:szCs w:val="20"/>
          <w:lang w:val="es-ES"/>
        </w:rPr>
        <w:t>n</w:t>
      </w:r>
      <w:r w:rsidR="005133A3" w:rsidRPr="00975C02">
        <w:rPr>
          <w:sz w:val="20"/>
          <w:szCs w:val="20"/>
          <w:lang w:val="es-ES"/>
        </w:rPr>
        <w:t xml:space="preserve"> el examen médico a V.R.P.</w:t>
      </w:r>
      <w:r w:rsidRPr="00975C02">
        <w:rPr>
          <w:sz w:val="20"/>
          <w:szCs w:val="20"/>
          <w:vertAlign w:val="superscript"/>
          <w:lang w:val="es-ES"/>
        </w:rPr>
        <w:footnoteReference w:id="73"/>
      </w:r>
      <w:r w:rsidRPr="00975C02">
        <w:rPr>
          <w:sz w:val="20"/>
          <w:szCs w:val="20"/>
          <w:lang w:val="es-ES"/>
        </w:rPr>
        <w:t>.</w:t>
      </w:r>
      <w:r w:rsidR="00CF4D1B" w:rsidRPr="00975C02">
        <w:rPr>
          <w:sz w:val="20"/>
          <w:szCs w:val="20"/>
          <w:lang w:val="es-ES"/>
        </w:rPr>
        <w:t xml:space="preserve"> Asimismo, solicitó que se hiciera una valoración psiquiátrica de su hija.</w:t>
      </w:r>
    </w:p>
    <w:p w14:paraId="2D94B5F8" w14:textId="77777777" w:rsidR="00B5625C" w:rsidRPr="00975C02" w:rsidRDefault="00B5625C" w:rsidP="00B5625C">
      <w:pPr>
        <w:spacing w:line="240" w:lineRule="auto"/>
        <w:rPr>
          <w:sz w:val="20"/>
          <w:szCs w:val="20"/>
          <w:lang w:val="es-ES"/>
        </w:rPr>
      </w:pPr>
    </w:p>
    <w:p w14:paraId="3D15C2FC" w14:textId="09CE0EC2" w:rsidR="005262C3" w:rsidRPr="00975C02" w:rsidRDefault="005262C3" w:rsidP="005262C3">
      <w:pPr>
        <w:numPr>
          <w:ilvl w:val="0"/>
          <w:numId w:val="2"/>
        </w:numPr>
        <w:tabs>
          <w:tab w:val="left" w:pos="567"/>
          <w:tab w:val="num" w:pos="12305"/>
        </w:tabs>
        <w:spacing w:line="240" w:lineRule="auto"/>
        <w:ind w:left="0" w:firstLine="0"/>
        <w:rPr>
          <w:sz w:val="16"/>
          <w:szCs w:val="16"/>
          <w:lang w:val="es-ES"/>
        </w:rPr>
      </w:pPr>
      <w:r w:rsidRPr="00975C02">
        <w:rPr>
          <w:sz w:val="20"/>
          <w:szCs w:val="20"/>
          <w:lang w:val="es-ES"/>
        </w:rPr>
        <w:t xml:space="preserve">El 23 de noviembre de 2001 el Juzgado de Distrito para lo Penal de Jinotega dispuso que se solicitara al director del </w:t>
      </w:r>
      <w:r w:rsidR="00301DCB" w:rsidRPr="00975C02">
        <w:rPr>
          <w:sz w:val="20"/>
          <w:szCs w:val="20"/>
          <w:lang w:val="es-ES"/>
        </w:rPr>
        <w:t>H</w:t>
      </w:r>
      <w:r w:rsidRPr="00975C02">
        <w:rPr>
          <w:sz w:val="20"/>
          <w:szCs w:val="20"/>
          <w:lang w:val="es-ES"/>
        </w:rPr>
        <w:t>ospital Victoria</w:t>
      </w:r>
      <w:r w:rsidR="00301DCB" w:rsidRPr="00975C02">
        <w:rPr>
          <w:sz w:val="20"/>
          <w:szCs w:val="20"/>
          <w:lang w:val="es-ES"/>
        </w:rPr>
        <w:t xml:space="preserve"> Mo</w:t>
      </w:r>
      <w:r w:rsidR="008A4CF8" w:rsidRPr="00975C02">
        <w:rPr>
          <w:sz w:val="20"/>
          <w:szCs w:val="20"/>
          <w:lang w:val="es-ES"/>
        </w:rPr>
        <w:t>t</w:t>
      </w:r>
      <w:r w:rsidR="00301DCB" w:rsidRPr="00975C02">
        <w:rPr>
          <w:sz w:val="20"/>
          <w:szCs w:val="20"/>
          <w:lang w:val="es-ES"/>
        </w:rPr>
        <w:t>ta</w:t>
      </w:r>
      <w:r w:rsidRPr="00975C02">
        <w:rPr>
          <w:sz w:val="20"/>
          <w:szCs w:val="20"/>
          <w:lang w:val="es-ES"/>
        </w:rPr>
        <w:t xml:space="preserve"> que autorice a una psiquiatra, a fin </w:t>
      </w:r>
      <w:r w:rsidR="00972E6B" w:rsidRPr="00975C02">
        <w:rPr>
          <w:sz w:val="20"/>
          <w:szCs w:val="20"/>
          <w:lang w:val="es-ES"/>
        </w:rPr>
        <w:t xml:space="preserve">de </w:t>
      </w:r>
      <w:r w:rsidRPr="00975C02">
        <w:rPr>
          <w:sz w:val="20"/>
          <w:szCs w:val="20"/>
          <w:lang w:val="es-ES"/>
        </w:rPr>
        <w:t>que dé seguimiento a la niña V.R.P., para que en su momento se evacúe un informe del estado emocional de la niña</w:t>
      </w:r>
      <w:r w:rsidRPr="00975C02">
        <w:rPr>
          <w:sz w:val="20"/>
          <w:szCs w:val="20"/>
          <w:vertAlign w:val="superscript"/>
          <w:lang w:val="es-ES"/>
        </w:rPr>
        <w:footnoteReference w:id="74"/>
      </w:r>
      <w:r w:rsidRPr="00975C02">
        <w:rPr>
          <w:sz w:val="20"/>
          <w:szCs w:val="20"/>
          <w:lang w:val="es-ES"/>
        </w:rPr>
        <w:t>.</w:t>
      </w:r>
    </w:p>
    <w:p w14:paraId="06E619DD" w14:textId="77777777" w:rsidR="005262C3" w:rsidRPr="00975C02" w:rsidRDefault="005262C3" w:rsidP="00B5625C">
      <w:pPr>
        <w:spacing w:line="240" w:lineRule="auto"/>
        <w:rPr>
          <w:sz w:val="20"/>
          <w:szCs w:val="20"/>
          <w:lang w:val="es-ES"/>
        </w:rPr>
      </w:pPr>
    </w:p>
    <w:p w14:paraId="447ADE5E" w14:textId="77777777" w:rsidR="00B5625C" w:rsidRPr="00975C02" w:rsidRDefault="00253891" w:rsidP="009651A9">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Se</w:t>
      </w:r>
      <w:r w:rsidR="00B5625C" w:rsidRPr="00975C02">
        <w:rPr>
          <w:sz w:val="20"/>
          <w:szCs w:val="20"/>
          <w:lang w:val="es-ES"/>
        </w:rPr>
        <w:t xml:space="preserve"> programó otro</w:t>
      </w:r>
      <w:r w:rsidRPr="00975C02">
        <w:rPr>
          <w:sz w:val="20"/>
          <w:szCs w:val="20"/>
          <w:lang w:val="es-ES"/>
        </w:rPr>
        <w:t xml:space="preserve"> examen</w:t>
      </w:r>
      <w:r w:rsidR="00B5625C" w:rsidRPr="00975C02">
        <w:rPr>
          <w:sz w:val="20"/>
          <w:szCs w:val="20"/>
          <w:lang w:val="es-ES"/>
        </w:rPr>
        <w:t xml:space="preserve"> para el 24 de noviembre de 2001 en la Casa de la Mujer. </w:t>
      </w:r>
      <w:r w:rsidR="002655BC" w:rsidRPr="00975C02">
        <w:rPr>
          <w:sz w:val="20"/>
          <w:szCs w:val="20"/>
          <w:lang w:val="es-ES"/>
        </w:rPr>
        <w:t xml:space="preserve">En dicha oportunidad, </w:t>
      </w:r>
      <w:r w:rsidR="00B5625C" w:rsidRPr="00975C02">
        <w:rPr>
          <w:sz w:val="20"/>
          <w:szCs w:val="20"/>
          <w:lang w:val="es-ES"/>
        </w:rPr>
        <w:t xml:space="preserve">V.R.P. </w:t>
      </w:r>
      <w:r w:rsidR="0074653A" w:rsidRPr="00975C02">
        <w:rPr>
          <w:sz w:val="20"/>
          <w:szCs w:val="20"/>
          <w:lang w:val="es-ES"/>
        </w:rPr>
        <w:t>también expresó su negativa a someterse al examen</w:t>
      </w:r>
      <w:r w:rsidR="00B5625C" w:rsidRPr="00975C02">
        <w:rPr>
          <w:sz w:val="20"/>
          <w:szCs w:val="20"/>
          <w:lang w:val="es-ES"/>
        </w:rPr>
        <w:t xml:space="preserve">, por encontrarse </w:t>
      </w:r>
      <w:r w:rsidR="00B5625C" w:rsidRPr="00975C02">
        <w:rPr>
          <w:sz w:val="20"/>
          <w:szCs w:val="20"/>
          <w:lang w:val="es-ES"/>
        </w:rPr>
        <w:lastRenderedPageBreak/>
        <w:t xml:space="preserve">emocionalmente afectada por el trato que habría recibido por parte del </w:t>
      </w:r>
      <w:r w:rsidR="0074653A" w:rsidRPr="00975C02">
        <w:rPr>
          <w:sz w:val="20"/>
          <w:szCs w:val="20"/>
          <w:lang w:val="es-ES"/>
        </w:rPr>
        <w:t>médico forense</w:t>
      </w:r>
      <w:r w:rsidR="00B5625C" w:rsidRPr="00975C02">
        <w:rPr>
          <w:sz w:val="20"/>
          <w:szCs w:val="20"/>
          <w:vertAlign w:val="superscript"/>
          <w:lang w:val="es-ES"/>
        </w:rPr>
        <w:footnoteReference w:id="75"/>
      </w:r>
      <w:r w:rsidR="00B5625C" w:rsidRPr="00975C02">
        <w:rPr>
          <w:sz w:val="20"/>
          <w:szCs w:val="20"/>
          <w:lang w:val="es-ES"/>
        </w:rPr>
        <w:t>.</w:t>
      </w:r>
    </w:p>
    <w:p w14:paraId="38B1A6FF" w14:textId="77777777" w:rsidR="00B5625C" w:rsidRPr="00975C02" w:rsidRDefault="00B5625C" w:rsidP="00B5625C">
      <w:pPr>
        <w:spacing w:line="240" w:lineRule="auto"/>
        <w:rPr>
          <w:sz w:val="20"/>
          <w:szCs w:val="20"/>
          <w:lang w:val="es-ES"/>
        </w:rPr>
      </w:pPr>
    </w:p>
    <w:p w14:paraId="12605F3A" w14:textId="4118D728" w:rsidR="00B5625C" w:rsidRPr="00975C02" w:rsidRDefault="00B5625C" w:rsidP="005C77A8">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 xml:space="preserve">El 26 de noviembre de 2001 se realizó una consulta externa de psiquiatría en el Hospital Victoria </w:t>
      </w:r>
      <w:r w:rsidR="00301DCB" w:rsidRPr="00975C02">
        <w:rPr>
          <w:sz w:val="20"/>
          <w:szCs w:val="20"/>
          <w:lang w:val="es-ES"/>
        </w:rPr>
        <w:t>Mo</w:t>
      </w:r>
      <w:r w:rsidR="008A4CF8" w:rsidRPr="00975C02">
        <w:rPr>
          <w:sz w:val="20"/>
          <w:szCs w:val="20"/>
          <w:lang w:val="es-ES"/>
        </w:rPr>
        <w:t>t</w:t>
      </w:r>
      <w:r w:rsidR="00301DCB" w:rsidRPr="00975C02">
        <w:rPr>
          <w:sz w:val="20"/>
          <w:szCs w:val="20"/>
          <w:lang w:val="es-ES"/>
        </w:rPr>
        <w:t xml:space="preserve">ta </w:t>
      </w:r>
      <w:r w:rsidRPr="00975C02">
        <w:rPr>
          <w:sz w:val="20"/>
          <w:szCs w:val="20"/>
          <w:lang w:val="es-ES"/>
        </w:rPr>
        <w:t>de Jinotega. El informe indicó que V.R.P. “señala con claridad al actor de lo sucedido en su cuerpo, identificándolo como su papá, especificando que la enfermedad que está padeciendo actualmente la tiene su papá también” y que “su relato es confiable, muy claro y veraz”</w:t>
      </w:r>
      <w:r w:rsidRPr="00975C02">
        <w:rPr>
          <w:sz w:val="20"/>
          <w:szCs w:val="20"/>
          <w:vertAlign w:val="superscript"/>
          <w:lang w:val="es-ES"/>
        </w:rPr>
        <w:footnoteReference w:id="76"/>
      </w:r>
      <w:r w:rsidRPr="00975C02">
        <w:rPr>
          <w:sz w:val="20"/>
          <w:szCs w:val="20"/>
          <w:lang w:val="es-ES"/>
        </w:rPr>
        <w:t>.</w:t>
      </w:r>
    </w:p>
    <w:p w14:paraId="1631FEB4" w14:textId="77777777" w:rsidR="00B5625C" w:rsidRPr="00975C02" w:rsidRDefault="00B5625C" w:rsidP="00B5625C">
      <w:pPr>
        <w:spacing w:line="240" w:lineRule="auto"/>
        <w:rPr>
          <w:sz w:val="20"/>
          <w:szCs w:val="20"/>
          <w:lang w:val="es-ES"/>
        </w:rPr>
      </w:pPr>
    </w:p>
    <w:p w14:paraId="1704EF93" w14:textId="40BC2A83" w:rsidR="00B5625C" w:rsidRPr="00975C02" w:rsidRDefault="00E83E4F" w:rsidP="005C77A8">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 xml:space="preserve">El 27 de noviembre de 2001 </w:t>
      </w:r>
      <w:r w:rsidR="00B5625C" w:rsidRPr="00975C02">
        <w:rPr>
          <w:sz w:val="20"/>
          <w:szCs w:val="20"/>
          <w:lang w:val="es-ES"/>
        </w:rPr>
        <w:t>se practic</w:t>
      </w:r>
      <w:r w:rsidRPr="00975C02">
        <w:rPr>
          <w:sz w:val="20"/>
          <w:szCs w:val="20"/>
          <w:lang w:val="es-ES"/>
        </w:rPr>
        <w:t>ó</w:t>
      </w:r>
      <w:r w:rsidR="00B5625C" w:rsidRPr="00975C02">
        <w:rPr>
          <w:sz w:val="20"/>
          <w:szCs w:val="20"/>
          <w:lang w:val="es-ES"/>
        </w:rPr>
        <w:t xml:space="preserve"> el examen médico</w:t>
      </w:r>
      <w:r w:rsidRPr="00975C02">
        <w:rPr>
          <w:sz w:val="20"/>
          <w:szCs w:val="20"/>
          <w:lang w:val="es-ES"/>
        </w:rPr>
        <w:t xml:space="preserve"> </w:t>
      </w:r>
      <w:r w:rsidR="00B5625C" w:rsidRPr="00975C02">
        <w:rPr>
          <w:sz w:val="20"/>
          <w:szCs w:val="20"/>
          <w:lang w:val="es-ES"/>
        </w:rPr>
        <w:t>en el Instituto de Medicina Legal de la Corte Suprema de Justicia en Managua. Allí, se lograron constatar las lesiones que padecía la niña V.R.P</w:t>
      </w:r>
      <w:r w:rsidR="00B5625C" w:rsidRPr="00975C02">
        <w:rPr>
          <w:sz w:val="20"/>
          <w:szCs w:val="20"/>
          <w:vertAlign w:val="superscript"/>
          <w:lang w:val="es-ES"/>
        </w:rPr>
        <w:footnoteReference w:id="77"/>
      </w:r>
      <w:r w:rsidR="00B5625C" w:rsidRPr="00975C02">
        <w:rPr>
          <w:sz w:val="20"/>
          <w:szCs w:val="20"/>
          <w:lang w:val="es-ES"/>
        </w:rPr>
        <w:t>. En dicha oportunidad se le practicó una exploración de zona genital bajo anestesia</w:t>
      </w:r>
      <w:r w:rsidR="00B5625C" w:rsidRPr="00975C02">
        <w:rPr>
          <w:sz w:val="20"/>
          <w:szCs w:val="20"/>
          <w:vertAlign w:val="superscript"/>
          <w:lang w:val="es-ES"/>
        </w:rPr>
        <w:footnoteReference w:id="78"/>
      </w:r>
      <w:r w:rsidRPr="00975C02">
        <w:rPr>
          <w:sz w:val="20"/>
          <w:szCs w:val="20"/>
          <w:lang w:val="es-ES"/>
        </w:rPr>
        <w:t>, según fuera solicitado</w:t>
      </w:r>
      <w:r w:rsidRPr="00975C02">
        <w:rPr>
          <w:sz w:val="20"/>
          <w:szCs w:val="20"/>
          <w:vertAlign w:val="superscript"/>
          <w:lang w:val="es-ES"/>
        </w:rPr>
        <w:footnoteReference w:id="79"/>
      </w:r>
      <w:r w:rsidRPr="00975C02">
        <w:rPr>
          <w:sz w:val="20"/>
          <w:szCs w:val="20"/>
          <w:lang w:val="es-ES"/>
        </w:rPr>
        <w:t>,</w:t>
      </w:r>
      <w:r w:rsidR="00B5625C" w:rsidRPr="00975C02">
        <w:rPr>
          <w:sz w:val="20"/>
          <w:szCs w:val="20"/>
          <w:lang w:val="es-ES"/>
        </w:rPr>
        <w:t xml:space="preserve"> y se encontró que la niña V.R.P. tenía el “himen de</w:t>
      </w:r>
      <w:r w:rsidR="00975C02">
        <w:rPr>
          <w:sz w:val="20"/>
          <w:szCs w:val="20"/>
          <w:lang w:val="es-ES"/>
        </w:rPr>
        <w:t>s</w:t>
      </w:r>
      <w:r w:rsidR="00B5625C" w:rsidRPr="00975C02">
        <w:rPr>
          <w:sz w:val="20"/>
          <w:szCs w:val="20"/>
          <w:lang w:val="es-ES"/>
        </w:rPr>
        <w:t>florado de vieja data[</w:t>
      </w:r>
      <w:r w:rsidR="004A5A98" w:rsidRPr="00975C02">
        <w:rPr>
          <w:sz w:val="20"/>
          <w:szCs w:val="20"/>
          <w:lang w:val="es-ES"/>
        </w:rPr>
        <w:t>; a</w:t>
      </w:r>
      <w:r w:rsidR="00B5625C" w:rsidRPr="00975C02">
        <w:rPr>
          <w:sz w:val="20"/>
          <w:szCs w:val="20"/>
          <w:lang w:val="es-ES"/>
        </w:rPr>
        <w:t>] nivel del cuello uterino 3 lesiones de color blancas[</w:t>
      </w:r>
      <w:r w:rsidR="004A5A98" w:rsidRPr="00975C02">
        <w:rPr>
          <w:sz w:val="20"/>
          <w:szCs w:val="20"/>
          <w:lang w:val="es-ES"/>
        </w:rPr>
        <w:t>; p</w:t>
      </w:r>
      <w:r w:rsidR="00B5625C" w:rsidRPr="00975C02">
        <w:rPr>
          <w:sz w:val="20"/>
          <w:szCs w:val="20"/>
          <w:lang w:val="es-ES"/>
        </w:rPr>
        <w:t>]aredes vaginales muy dolorosas a la inspección[</w:t>
      </w:r>
      <w:r w:rsidR="004A5A98" w:rsidRPr="00975C02">
        <w:rPr>
          <w:sz w:val="20"/>
          <w:szCs w:val="20"/>
          <w:lang w:val="es-ES"/>
        </w:rPr>
        <w:t>, y a</w:t>
      </w:r>
      <w:r w:rsidR="00B5625C" w:rsidRPr="00975C02">
        <w:rPr>
          <w:sz w:val="20"/>
          <w:szCs w:val="20"/>
          <w:lang w:val="es-ES"/>
        </w:rPr>
        <w:t>]no</w:t>
      </w:r>
      <w:r w:rsidR="004A5A98" w:rsidRPr="00975C02">
        <w:rPr>
          <w:sz w:val="20"/>
          <w:szCs w:val="20"/>
          <w:lang w:val="es-ES"/>
        </w:rPr>
        <w:t xml:space="preserve"> [con]</w:t>
      </w:r>
      <w:r w:rsidR="00B5625C" w:rsidRPr="00975C02">
        <w:rPr>
          <w:sz w:val="20"/>
          <w:szCs w:val="20"/>
          <w:lang w:val="es-ES"/>
        </w:rPr>
        <w:t xml:space="preserve"> presencia de zona ulcerada”. Además, se </w:t>
      </w:r>
      <w:r w:rsidR="004A5A98" w:rsidRPr="00975C02">
        <w:rPr>
          <w:sz w:val="20"/>
          <w:szCs w:val="20"/>
          <w:lang w:val="es-ES"/>
        </w:rPr>
        <w:t xml:space="preserve">constató </w:t>
      </w:r>
      <w:r w:rsidR="00B5625C" w:rsidRPr="00975C02">
        <w:rPr>
          <w:sz w:val="20"/>
          <w:szCs w:val="20"/>
          <w:lang w:val="es-ES"/>
        </w:rPr>
        <w:t xml:space="preserve">la presencia del virus </w:t>
      </w:r>
      <w:r w:rsidR="004A5A98" w:rsidRPr="00975C02">
        <w:rPr>
          <w:sz w:val="20"/>
          <w:szCs w:val="20"/>
          <w:lang w:val="es-ES"/>
        </w:rPr>
        <w:t xml:space="preserve">del papiloma </w:t>
      </w:r>
      <w:r w:rsidR="00B5625C" w:rsidRPr="00975C02">
        <w:rPr>
          <w:sz w:val="20"/>
          <w:szCs w:val="20"/>
          <w:lang w:val="es-ES"/>
        </w:rPr>
        <w:t>humano</w:t>
      </w:r>
      <w:r w:rsidR="004A5A98" w:rsidRPr="00975C02">
        <w:rPr>
          <w:sz w:val="20"/>
          <w:szCs w:val="20"/>
          <w:lang w:val="es-ES"/>
        </w:rPr>
        <w:t xml:space="preserve"> y </w:t>
      </w:r>
      <w:r w:rsidR="00B5625C" w:rsidRPr="00975C02">
        <w:rPr>
          <w:sz w:val="20"/>
          <w:szCs w:val="20"/>
          <w:lang w:val="es-ES"/>
        </w:rPr>
        <w:t xml:space="preserve">condiloma acuminado, enfermedades de transmisión por vía sexual. Todo ello permitió concluir que la </w:t>
      </w:r>
      <w:r w:rsidR="004A5A98" w:rsidRPr="00975C02">
        <w:rPr>
          <w:sz w:val="20"/>
          <w:szCs w:val="20"/>
          <w:lang w:val="es-ES"/>
        </w:rPr>
        <w:t xml:space="preserve">niña </w:t>
      </w:r>
      <w:r w:rsidR="00B5625C" w:rsidRPr="00975C02">
        <w:rPr>
          <w:sz w:val="20"/>
          <w:szCs w:val="20"/>
          <w:lang w:val="es-ES"/>
        </w:rPr>
        <w:t>fue víctima de agresión sexual</w:t>
      </w:r>
      <w:r w:rsidR="00B5625C" w:rsidRPr="00975C02">
        <w:rPr>
          <w:sz w:val="20"/>
          <w:szCs w:val="20"/>
          <w:vertAlign w:val="superscript"/>
          <w:lang w:val="es-ES"/>
        </w:rPr>
        <w:footnoteReference w:id="80"/>
      </w:r>
      <w:r w:rsidR="00B5625C" w:rsidRPr="00975C02">
        <w:rPr>
          <w:sz w:val="20"/>
          <w:szCs w:val="20"/>
          <w:lang w:val="es-ES"/>
        </w:rPr>
        <w:t>.</w:t>
      </w:r>
    </w:p>
    <w:p w14:paraId="33678603" w14:textId="77777777" w:rsidR="00B5625C" w:rsidRPr="00975C02" w:rsidRDefault="00B5625C" w:rsidP="00B5625C">
      <w:pPr>
        <w:tabs>
          <w:tab w:val="left" w:pos="567"/>
        </w:tabs>
        <w:spacing w:line="240" w:lineRule="auto"/>
        <w:rPr>
          <w:sz w:val="20"/>
          <w:szCs w:val="20"/>
          <w:lang w:val="es-ES"/>
        </w:rPr>
      </w:pPr>
    </w:p>
    <w:p w14:paraId="258CEFFE" w14:textId="77777777" w:rsidR="00B5625C" w:rsidRPr="00975C02" w:rsidRDefault="00B5625C" w:rsidP="005C77A8">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 xml:space="preserve">En esa misma fecha, se practicó también una evaluación psicológica de V.R.P. que concluyó que la </w:t>
      </w:r>
      <w:r w:rsidR="009E649E" w:rsidRPr="00975C02">
        <w:rPr>
          <w:sz w:val="20"/>
          <w:szCs w:val="20"/>
          <w:lang w:val="es-ES"/>
        </w:rPr>
        <w:t>niña</w:t>
      </w:r>
      <w:r w:rsidRPr="00975C02">
        <w:rPr>
          <w:sz w:val="20"/>
          <w:szCs w:val="20"/>
          <w:lang w:val="es-ES"/>
        </w:rPr>
        <w:t xml:space="preserve"> padecía afectación psíquica de un trastorno de estrés post-traumático, acompañado de un cuadro significativo de depresión, y que existían indicadores emocionales de vergüenza, miedo, sentimientos de culpa, relacionados a la vivencia estresante, compatible con agresión sexual crónica. Además, se especificó que su testimonio fue muy coherente, claro y fundamentado. Por ello se indicó que requería tratamiento terapéutico a largo plazo</w:t>
      </w:r>
      <w:r w:rsidRPr="00975C02">
        <w:rPr>
          <w:sz w:val="20"/>
          <w:szCs w:val="20"/>
          <w:vertAlign w:val="superscript"/>
          <w:lang w:val="es-ES"/>
        </w:rPr>
        <w:footnoteReference w:id="81"/>
      </w:r>
      <w:r w:rsidRPr="00975C02">
        <w:rPr>
          <w:sz w:val="20"/>
          <w:szCs w:val="20"/>
          <w:lang w:val="es-ES"/>
        </w:rPr>
        <w:t>.</w:t>
      </w:r>
    </w:p>
    <w:p w14:paraId="2ADFA104" w14:textId="77777777" w:rsidR="00B5625C" w:rsidRPr="00975C02" w:rsidRDefault="00B5625C" w:rsidP="00B5625C">
      <w:pPr>
        <w:tabs>
          <w:tab w:val="left" w:pos="567"/>
        </w:tabs>
        <w:spacing w:line="240" w:lineRule="auto"/>
        <w:rPr>
          <w:sz w:val="20"/>
          <w:szCs w:val="20"/>
          <w:lang w:val="es-ES"/>
        </w:rPr>
      </w:pPr>
    </w:p>
    <w:p w14:paraId="6030E3B4" w14:textId="77777777" w:rsidR="00DA305A" w:rsidRPr="00975C02" w:rsidRDefault="00DA305A" w:rsidP="00DA305A">
      <w:pPr>
        <w:numPr>
          <w:ilvl w:val="0"/>
          <w:numId w:val="2"/>
        </w:numPr>
        <w:tabs>
          <w:tab w:val="left" w:pos="567"/>
          <w:tab w:val="num" w:pos="12305"/>
        </w:tabs>
        <w:spacing w:line="240" w:lineRule="auto"/>
        <w:ind w:left="0" w:firstLine="0"/>
        <w:rPr>
          <w:kern w:val="2"/>
          <w:sz w:val="20"/>
          <w:szCs w:val="20"/>
          <w:lang w:val="es-ES" w:eastAsia="en-US"/>
        </w:rPr>
      </w:pPr>
      <w:r w:rsidRPr="00975C02">
        <w:rPr>
          <w:kern w:val="2"/>
          <w:sz w:val="20"/>
          <w:szCs w:val="20"/>
          <w:lang w:val="es-ES" w:eastAsia="en-US"/>
        </w:rPr>
        <w:t xml:space="preserve">El mismo día en el que V.R.P. se sometió a dicho examen en el Instituto de Medicina Legal de la Corte </w:t>
      </w:r>
      <w:r w:rsidRPr="00975C02">
        <w:rPr>
          <w:kern w:val="2"/>
          <w:sz w:val="20"/>
          <w:szCs w:val="20"/>
          <w:lang w:val="es-ES"/>
        </w:rPr>
        <w:t>Suprema</w:t>
      </w:r>
      <w:r w:rsidRPr="00975C02">
        <w:rPr>
          <w:kern w:val="2"/>
          <w:sz w:val="20"/>
          <w:szCs w:val="20"/>
          <w:lang w:val="es-ES" w:eastAsia="en-US"/>
        </w:rPr>
        <w:t xml:space="preserve"> de Justicia, su padre y presunto agresor, el señor H.R.A., fue citado con el fin de someterse a una examinación médica ante la misma entidad, conforme lo demuestra el Dictamen de Medicina Legal No.16271-2001</w:t>
      </w:r>
      <w:r w:rsidRPr="00975C02">
        <w:rPr>
          <w:kern w:val="2"/>
          <w:sz w:val="20"/>
          <w:szCs w:val="20"/>
          <w:vertAlign w:val="superscript"/>
          <w:lang w:val="es-ES" w:eastAsia="en-US"/>
        </w:rPr>
        <w:footnoteReference w:id="82"/>
      </w:r>
      <w:r w:rsidRPr="00975C02">
        <w:rPr>
          <w:kern w:val="2"/>
          <w:sz w:val="20"/>
          <w:szCs w:val="20"/>
          <w:lang w:val="es-ES" w:eastAsia="en-US"/>
        </w:rPr>
        <w:t>.</w:t>
      </w:r>
    </w:p>
    <w:p w14:paraId="4E9C54A5" w14:textId="77777777" w:rsidR="00DA305A" w:rsidRPr="00975C02" w:rsidRDefault="00DA305A" w:rsidP="00B5625C">
      <w:pPr>
        <w:tabs>
          <w:tab w:val="left" w:pos="567"/>
        </w:tabs>
        <w:spacing w:line="240" w:lineRule="auto"/>
        <w:rPr>
          <w:sz w:val="20"/>
          <w:szCs w:val="20"/>
          <w:lang w:val="es-ES"/>
        </w:rPr>
      </w:pPr>
    </w:p>
    <w:p w14:paraId="5E681921" w14:textId="1B52BE94" w:rsidR="00B5625C" w:rsidRPr="00975C02" w:rsidRDefault="00B5625C" w:rsidP="005C77A8">
      <w:pPr>
        <w:numPr>
          <w:ilvl w:val="0"/>
          <w:numId w:val="2"/>
        </w:numPr>
        <w:tabs>
          <w:tab w:val="left" w:pos="567"/>
          <w:tab w:val="num" w:pos="12305"/>
        </w:tabs>
        <w:spacing w:line="240" w:lineRule="auto"/>
        <w:ind w:left="0" w:firstLine="0"/>
        <w:rPr>
          <w:sz w:val="20"/>
          <w:szCs w:val="20"/>
          <w:lang w:val="es-ES"/>
        </w:rPr>
      </w:pPr>
      <w:r w:rsidRPr="00975C02">
        <w:rPr>
          <w:kern w:val="2"/>
          <w:sz w:val="20"/>
          <w:szCs w:val="20"/>
          <w:lang w:val="es-ES"/>
        </w:rPr>
        <w:t xml:space="preserve">El 21 de febrero de 2002 la psiquiatra asignada emitió un último informe de seguimiento de V.R.P. donde recomendó que la niña “necesitará, casi siempre, hasta alcanzar su madurez </w:t>
      </w:r>
      <w:r w:rsidRPr="00975C02">
        <w:rPr>
          <w:sz w:val="20"/>
          <w:szCs w:val="20"/>
          <w:lang w:val="es-ES"/>
        </w:rPr>
        <w:t>biológica</w:t>
      </w:r>
      <w:r w:rsidRPr="00975C02">
        <w:rPr>
          <w:kern w:val="2"/>
          <w:sz w:val="20"/>
          <w:szCs w:val="20"/>
          <w:lang w:val="es-ES"/>
        </w:rPr>
        <w:t xml:space="preserve"> y emocional, ayuda de </w:t>
      </w:r>
      <w:r w:rsidR="0009524D" w:rsidRPr="00975C02">
        <w:rPr>
          <w:kern w:val="2"/>
          <w:sz w:val="20"/>
          <w:szCs w:val="20"/>
          <w:lang w:val="es-ES"/>
        </w:rPr>
        <w:t>[p]</w:t>
      </w:r>
      <w:r w:rsidRPr="00975C02">
        <w:rPr>
          <w:kern w:val="2"/>
          <w:sz w:val="20"/>
          <w:szCs w:val="20"/>
          <w:lang w:val="es-ES"/>
        </w:rPr>
        <w:t xml:space="preserve">sicoterapeuta, ya que el daño recibido en su esfera física y </w:t>
      </w:r>
      <w:r w:rsidR="00C235EA" w:rsidRPr="00975C02">
        <w:rPr>
          <w:kern w:val="2"/>
          <w:sz w:val="20"/>
          <w:szCs w:val="20"/>
          <w:lang w:val="es-ES"/>
        </w:rPr>
        <w:t>[p]</w:t>
      </w:r>
      <w:r w:rsidRPr="00975C02">
        <w:rPr>
          <w:kern w:val="2"/>
          <w:sz w:val="20"/>
          <w:szCs w:val="20"/>
          <w:lang w:val="es-ES"/>
        </w:rPr>
        <w:t xml:space="preserve">síquica, es de secuelas y lesiones duraderas […]. Si no se atiende terapéuticamente, puede llegar a desarrollar ideación suicida o hundirse en la depresión endógena. Por lo tanto, por precaución a no hacer más daño en su persona, se indica evitar la revictimización de la paciente, no permitiendo que ella siga </w:t>
      </w:r>
      <w:r w:rsidRPr="00975C02">
        <w:rPr>
          <w:kern w:val="2"/>
          <w:sz w:val="20"/>
          <w:szCs w:val="20"/>
          <w:lang w:val="es-ES"/>
        </w:rPr>
        <w:lastRenderedPageBreak/>
        <w:t>estando presente en los recuerdos del hecho acaecido o de perjuicio que le haya sucedido o interrogándosele al respecto”</w:t>
      </w:r>
      <w:r w:rsidRPr="00975C02">
        <w:rPr>
          <w:kern w:val="2"/>
          <w:sz w:val="20"/>
          <w:szCs w:val="20"/>
          <w:vertAlign w:val="superscript"/>
          <w:lang w:val="es-ES"/>
        </w:rPr>
        <w:footnoteReference w:id="83"/>
      </w:r>
      <w:r w:rsidRPr="00975C02">
        <w:rPr>
          <w:kern w:val="2"/>
          <w:sz w:val="20"/>
          <w:szCs w:val="20"/>
          <w:lang w:val="es-ES"/>
        </w:rPr>
        <w:t>.</w:t>
      </w:r>
    </w:p>
    <w:p w14:paraId="5A98E300" w14:textId="77777777" w:rsidR="00B5625C" w:rsidRPr="00975C02" w:rsidRDefault="00B5625C" w:rsidP="00B5625C">
      <w:pPr>
        <w:tabs>
          <w:tab w:val="left" w:pos="567"/>
        </w:tabs>
        <w:spacing w:line="240" w:lineRule="auto"/>
        <w:rPr>
          <w:sz w:val="20"/>
          <w:szCs w:val="20"/>
          <w:lang w:val="es-ES"/>
        </w:rPr>
      </w:pPr>
    </w:p>
    <w:p w14:paraId="364952F0" w14:textId="77777777" w:rsidR="00B5625C" w:rsidRPr="00975C02" w:rsidRDefault="00B5625C" w:rsidP="005C77A8">
      <w:pPr>
        <w:numPr>
          <w:ilvl w:val="0"/>
          <w:numId w:val="2"/>
        </w:numPr>
        <w:tabs>
          <w:tab w:val="left" w:pos="567"/>
          <w:tab w:val="num" w:pos="12305"/>
        </w:tabs>
        <w:spacing w:line="240" w:lineRule="auto"/>
        <w:ind w:left="0" w:firstLine="0"/>
        <w:rPr>
          <w:sz w:val="20"/>
          <w:szCs w:val="20"/>
          <w:lang w:val="es-ES"/>
        </w:rPr>
      </w:pPr>
      <w:r w:rsidRPr="00975C02">
        <w:rPr>
          <w:kern w:val="2"/>
          <w:sz w:val="20"/>
          <w:szCs w:val="20"/>
          <w:lang w:val="es-ES"/>
        </w:rPr>
        <w:t xml:space="preserve">El 22 de abril de 2002 la psiquiatra </w:t>
      </w:r>
      <w:r w:rsidR="00AA69E8" w:rsidRPr="00975C02">
        <w:rPr>
          <w:kern w:val="2"/>
          <w:sz w:val="20"/>
          <w:szCs w:val="20"/>
          <w:lang w:val="es-ES"/>
        </w:rPr>
        <w:t>de</w:t>
      </w:r>
      <w:r w:rsidRPr="00975C02">
        <w:rPr>
          <w:kern w:val="2"/>
          <w:sz w:val="20"/>
          <w:szCs w:val="20"/>
          <w:lang w:val="es-ES"/>
        </w:rPr>
        <w:t xml:space="preserve">signada emitió una epicrisis en la cual concluyó que V.R.P. sufría de estrés post-traumático a nivel psicológico, por lo que derivó su tratamiento a psicología </w:t>
      </w:r>
      <w:r w:rsidRPr="00975C02">
        <w:rPr>
          <w:sz w:val="20"/>
          <w:szCs w:val="20"/>
          <w:lang w:val="es-ES"/>
        </w:rPr>
        <w:t>por</w:t>
      </w:r>
      <w:r w:rsidRPr="00975C02">
        <w:rPr>
          <w:kern w:val="2"/>
          <w:sz w:val="20"/>
          <w:szCs w:val="20"/>
          <w:lang w:val="es-ES"/>
        </w:rPr>
        <w:t xml:space="preserve"> “prevención de secuelas por abuso sexual que podrían interferir en su conducta futura a nivel de comunicación y relación de su entorno”</w:t>
      </w:r>
      <w:r w:rsidRPr="00975C02">
        <w:rPr>
          <w:kern w:val="2"/>
          <w:sz w:val="20"/>
          <w:szCs w:val="20"/>
          <w:vertAlign w:val="superscript"/>
          <w:lang w:val="es-ES"/>
        </w:rPr>
        <w:footnoteReference w:id="84"/>
      </w:r>
      <w:r w:rsidRPr="00975C02">
        <w:rPr>
          <w:kern w:val="2"/>
          <w:sz w:val="20"/>
          <w:szCs w:val="20"/>
          <w:lang w:val="es-ES"/>
        </w:rPr>
        <w:t>.</w:t>
      </w:r>
      <w:r w:rsidR="00763EAC" w:rsidRPr="00975C02">
        <w:rPr>
          <w:kern w:val="2"/>
          <w:sz w:val="20"/>
          <w:szCs w:val="20"/>
          <w:lang w:val="es-ES"/>
        </w:rPr>
        <w:t xml:space="preserve"> No hay constancia de que esta terapia se haya llevado a cabo.</w:t>
      </w:r>
    </w:p>
    <w:p w14:paraId="35FF9628" w14:textId="77777777" w:rsidR="00B5625C" w:rsidRPr="00975C02" w:rsidRDefault="00B5625C" w:rsidP="00B5625C">
      <w:pPr>
        <w:tabs>
          <w:tab w:val="left" w:pos="567"/>
        </w:tabs>
        <w:spacing w:line="240" w:lineRule="auto"/>
        <w:rPr>
          <w:sz w:val="20"/>
          <w:szCs w:val="20"/>
          <w:lang w:val="es-ES"/>
        </w:rPr>
      </w:pPr>
    </w:p>
    <w:p w14:paraId="2930559F" w14:textId="635502AA" w:rsidR="00B5625C" w:rsidRPr="00975C02" w:rsidRDefault="00B5625C" w:rsidP="002C415B">
      <w:pPr>
        <w:widowControl/>
        <w:numPr>
          <w:ilvl w:val="0"/>
          <w:numId w:val="6"/>
        </w:numPr>
        <w:adjustRightInd/>
        <w:spacing w:line="240" w:lineRule="auto"/>
        <w:ind w:left="1701"/>
        <w:jc w:val="left"/>
        <w:textAlignment w:val="auto"/>
        <w:rPr>
          <w:i/>
          <w:sz w:val="20"/>
          <w:szCs w:val="20"/>
          <w:lang w:val="es-ES"/>
        </w:rPr>
      </w:pPr>
      <w:r w:rsidRPr="00975C02">
        <w:rPr>
          <w:i/>
          <w:sz w:val="20"/>
          <w:szCs w:val="20"/>
          <w:lang w:val="es-ES"/>
        </w:rPr>
        <w:t>Inspección ocular y reconstrucción de</w:t>
      </w:r>
      <w:r w:rsidR="001D35A0">
        <w:rPr>
          <w:i/>
          <w:sz w:val="20"/>
          <w:szCs w:val="20"/>
          <w:lang w:val="es-ES"/>
        </w:rPr>
        <w:t xml:space="preserve"> </w:t>
      </w:r>
      <w:r w:rsidRPr="00975C02">
        <w:rPr>
          <w:i/>
          <w:sz w:val="20"/>
          <w:szCs w:val="20"/>
          <w:lang w:val="es-ES"/>
        </w:rPr>
        <w:t>l</w:t>
      </w:r>
      <w:r w:rsidR="001D35A0">
        <w:rPr>
          <w:i/>
          <w:sz w:val="20"/>
          <w:szCs w:val="20"/>
          <w:lang w:val="es-ES"/>
        </w:rPr>
        <w:t>os</w:t>
      </w:r>
      <w:r w:rsidRPr="00975C02">
        <w:rPr>
          <w:i/>
          <w:sz w:val="20"/>
          <w:szCs w:val="20"/>
          <w:lang w:val="es-ES"/>
        </w:rPr>
        <w:t xml:space="preserve"> hecho</w:t>
      </w:r>
      <w:r w:rsidR="001D35A0">
        <w:rPr>
          <w:i/>
          <w:sz w:val="20"/>
          <w:szCs w:val="20"/>
          <w:lang w:val="es-ES"/>
        </w:rPr>
        <w:t>s</w:t>
      </w:r>
    </w:p>
    <w:p w14:paraId="3E518D7A" w14:textId="77777777" w:rsidR="00B5625C" w:rsidRPr="00975C02" w:rsidRDefault="00B5625C" w:rsidP="00B5625C">
      <w:pPr>
        <w:spacing w:line="240" w:lineRule="auto"/>
        <w:rPr>
          <w:sz w:val="20"/>
          <w:szCs w:val="20"/>
          <w:lang w:val="es-ES"/>
        </w:rPr>
      </w:pPr>
    </w:p>
    <w:p w14:paraId="59AD5D8E" w14:textId="77777777" w:rsidR="00B5625C" w:rsidRPr="00975C02" w:rsidRDefault="00B5625C" w:rsidP="005C77A8">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El 29 de noviembre de 2001 se realizó la inspección ocular judicial y reconstrucción de los hechos</w:t>
      </w:r>
      <w:r w:rsidRPr="00975C02">
        <w:rPr>
          <w:sz w:val="20"/>
          <w:szCs w:val="20"/>
          <w:vertAlign w:val="superscript"/>
          <w:lang w:val="es-ES"/>
        </w:rPr>
        <w:footnoteReference w:id="85"/>
      </w:r>
      <w:r w:rsidRPr="00975C02">
        <w:rPr>
          <w:sz w:val="20"/>
          <w:szCs w:val="20"/>
          <w:lang w:val="es-ES"/>
        </w:rPr>
        <w:t xml:space="preserve">. </w:t>
      </w:r>
      <w:r w:rsidRPr="00975C02">
        <w:rPr>
          <w:spacing w:val="-2"/>
          <w:sz w:val="20"/>
          <w:szCs w:val="20"/>
          <w:lang w:val="es-ES"/>
        </w:rPr>
        <w:t xml:space="preserve">Del acta de </w:t>
      </w:r>
      <w:r w:rsidR="008917CC" w:rsidRPr="00975C02">
        <w:rPr>
          <w:spacing w:val="-2"/>
          <w:sz w:val="20"/>
          <w:szCs w:val="20"/>
          <w:lang w:val="es-ES"/>
        </w:rPr>
        <w:t>la diligencia</w:t>
      </w:r>
      <w:r w:rsidRPr="00975C02">
        <w:rPr>
          <w:spacing w:val="-2"/>
          <w:sz w:val="20"/>
          <w:szCs w:val="20"/>
          <w:lang w:val="es-ES"/>
        </w:rPr>
        <w:t xml:space="preserve"> se comprueba la participación de la defensa del acusado, la defensa legal de la señora V.P.C., la jueza y el secretario del despacho, </w:t>
      </w:r>
      <w:r w:rsidR="008917CC" w:rsidRPr="00975C02">
        <w:rPr>
          <w:spacing w:val="-2"/>
          <w:sz w:val="20"/>
          <w:szCs w:val="20"/>
          <w:lang w:val="es-ES"/>
        </w:rPr>
        <w:t xml:space="preserve">así como </w:t>
      </w:r>
      <w:r w:rsidRPr="00975C02">
        <w:rPr>
          <w:spacing w:val="-2"/>
          <w:sz w:val="20"/>
          <w:szCs w:val="20"/>
          <w:lang w:val="es-ES"/>
        </w:rPr>
        <w:t>la psiquiatra asignada</w:t>
      </w:r>
      <w:r w:rsidR="008917CC" w:rsidRPr="00975C02">
        <w:rPr>
          <w:spacing w:val="-2"/>
          <w:sz w:val="20"/>
          <w:szCs w:val="20"/>
          <w:lang w:val="es-ES"/>
        </w:rPr>
        <w:t>. S</w:t>
      </w:r>
      <w:r w:rsidRPr="00975C02">
        <w:rPr>
          <w:spacing w:val="-2"/>
          <w:sz w:val="20"/>
          <w:szCs w:val="20"/>
          <w:lang w:val="es-ES"/>
        </w:rPr>
        <w:t>in embargo, no se deduce la participación de</w:t>
      </w:r>
      <w:r w:rsidR="008917CC" w:rsidRPr="00975C02">
        <w:rPr>
          <w:spacing w:val="-2"/>
          <w:sz w:val="20"/>
          <w:szCs w:val="20"/>
          <w:lang w:val="es-ES"/>
        </w:rPr>
        <w:t xml:space="preserve"> </w:t>
      </w:r>
      <w:r w:rsidRPr="00975C02">
        <w:rPr>
          <w:spacing w:val="-2"/>
          <w:sz w:val="20"/>
          <w:szCs w:val="20"/>
          <w:lang w:val="es-ES"/>
        </w:rPr>
        <w:t>l</w:t>
      </w:r>
      <w:r w:rsidR="008917CC" w:rsidRPr="00975C02">
        <w:rPr>
          <w:spacing w:val="-2"/>
          <w:sz w:val="20"/>
          <w:szCs w:val="20"/>
          <w:lang w:val="es-ES"/>
        </w:rPr>
        <w:t>a</w:t>
      </w:r>
      <w:r w:rsidRPr="00975C02">
        <w:rPr>
          <w:spacing w:val="-2"/>
          <w:sz w:val="20"/>
          <w:szCs w:val="20"/>
          <w:lang w:val="es-ES"/>
        </w:rPr>
        <w:t xml:space="preserve"> Fiscal a cargo</w:t>
      </w:r>
      <w:r w:rsidRPr="00975C02">
        <w:rPr>
          <w:spacing w:val="-2"/>
          <w:sz w:val="20"/>
          <w:szCs w:val="20"/>
          <w:vertAlign w:val="superscript"/>
          <w:lang w:val="es-ES"/>
        </w:rPr>
        <w:footnoteReference w:id="86"/>
      </w:r>
      <w:r w:rsidRPr="00975C02">
        <w:rPr>
          <w:spacing w:val="-2"/>
          <w:sz w:val="20"/>
          <w:szCs w:val="20"/>
          <w:lang w:val="es-ES"/>
        </w:rPr>
        <w:t xml:space="preserve">. De la descripción de la diligencia </w:t>
      </w:r>
      <w:r w:rsidR="008917CC" w:rsidRPr="00975C02">
        <w:rPr>
          <w:spacing w:val="-2"/>
          <w:sz w:val="20"/>
          <w:szCs w:val="20"/>
          <w:lang w:val="es-ES"/>
        </w:rPr>
        <w:t xml:space="preserve">contenida </w:t>
      </w:r>
      <w:r w:rsidRPr="00975C02">
        <w:rPr>
          <w:spacing w:val="-2"/>
          <w:sz w:val="20"/>
          <w:szCs w:val="20"/>
          <w:lang w:val="es-ES"/>
        </w:rPr>
        <w:t>en el acta, la Corte constata que se solicitó a V.R.P., una niña de nueve años de edad, que relatara lo ocurrido con su padre, se le pidió que recorriera y reconociera los mismos lugares a los que habría sido llevada por su progenitor para recrear nuevamente lo ocurrido, así como que vistiera las mismas prendas que llevaba puestas cuando sucedieron los hechos, e incluso se le solicitó que se pusiera en “la misma posición en que se encontraba en el momento que se despertó”</w:t>
      </w:r>
      <w:r w:rsidRPr="00975C02">
        <w:rPr>
          <w:spacing w:val="-2"/>
          <w:sz w:val="20"/>
          <w:szCs w:val="20"/>
          <w:vertAlign w:val="superscript"/>
          <w:lang w:val="es-ES"/>
        </w:rPr>
        <w:footnoteReference w:id="87"/>
      </w:r>
      <w:r w:rsidRPr="00975C02">
        <w:rPr>
          <w:spacing w:val="-2"/>
          <w:sz w:val="20"/>
          <w:szCs w:val="20"/>
          <w:lang w:val="es-ES"/>
        </w:rPr>
        <w:t xml:space="preserve">. Asimismo, se tomaron fotografías del lugar y de la niña en la posición en la que la jueza del caso le </w:t>
      </w:r>
      <w:r w:rsidR="00C003A2" w:rsidRPr="00975C02">
        <w:rPr>
          <w:spacing w:val="-2"/>
          <w:sz w:val="20"/>
          <w:szCs w:val="20"/>
          <w:lang w:val="es-ES"/>
        </w:rPr>
        <w:t>requirió</w:t>
      </w:r>
      <w:r w:rsidRPr="00975C02">
        <w:rPr>
          <w:spacing w:val="-2"/>
          <w:sz w:val="20"/>
          <w:szCs w:val="20"/>
          <w:lang w:val="es-ES"/>
        </w:rPr>
        <w:t xml:space="preserve"> que se pusiera. La Corte nota que, si bien el padre de la niña no estuvo presente junto con ella en la diligencia, se encontraba en las inmediaciones del lugar y participó en la reconstrucción el mismo día e inmediatamente después de que la participación de V.R.P. concluyera</w:t>
      </w:r>
      <w:r w:rsidRPr="00975C02">
        <w:rPr>
          <w:spacing w:val="-2"/>
          <w:sz w:val="20"/>
          <w:szCs w:val="20"/>
          <w:vertAlign w:val="superscript"/>
          <w:lang w:val="es-ES"/>
        </w:rPr>
        <w:footnoteReference w:id="88"/>
      </w:r>
      <w:r w:rsidRPr="00975C02">
        <w:rPr>
          <w:spacing w:val="-2"/>
          <w:sz w:val="20"/>
          <w:szCs w:val="20"/>
          <w:lang w:val="es-ES"/>
        </w:rPr>
        <w:t>.</w:t>
      </w:r>
    </w:p>
    <w:p w14:paraId="6AEB016D" w14:textId="77777777" w:rsidR="00B5625C" w:rsidRPr="00975C02" w:rsidRDefault="00B5625C" w:rsidP="00B5625C">
      <w:pPr>
        <w:spacing w:line="240" w:lineRule="auto"/>
        <w:rPr>
          <w:sz w:val="20"/>
          <w:szCs w:val="20"/>
          <w:lang w:val="es-ES"/>
        </w:rPr>
      </w:pPr>
    </w:p>
    <w:p w14:paraId="54A2A191" w14:textId="77777777" w:rsidR="00B5625C" w:rsidRPr="00975C02" w:rsidRDefault="00B5625C" w:rsidP="002C415B">
      <w:pPr>
        <w:widowControl/>
        <w:numPr>
          <w:ilvl w:val="0"/>
          <w:numId w:val="6"/>
        </w:numPr>
        <w:adjustRightInd/>
        <w:spacing w:line="240" w:lineRule="auto"/>
        <w:ind w:left="1701"/>
        <w:jc w:val="left"/>
        <w:textAlignment w:val="auto"/>
        <w:rPr>
          <w:i/>
          <w:sz w:val="20"/>
          <w:szCs w:val="20"/>
          <w:lang w:val="es-ES"/>
        </w:rPr>
      </w:pPr>
      <w:r w:rsidRPr="00975C02">
        <w:rPr>
          <w:i/>
          <w:sz w:val="20"/>
          <w:szCs w:val="20"/>
          <w:lang w:val="es-ES"/>
        </w:rPr>
        <w:t>Examen médico practicado al acusado</w:t>
      </w:r>
    </w:p>
    <w:p w14:paraId="7E1D11F6" w14:textId="77777777" w:rsidR="00B5625C" w:rsidRPr="00975C02" w:rsidRDefault="00B5625C" w:rsidP="00B5625C">
      <w:pPr>
        <w:spacing w:line="240" w:lineRule="auto"/>
        <w:ind w:left="1701"/>
        <w:rPr>
          <w:sz w:val="20"/>
          <w:szCs w:val="20"/>
          <w:lang w:val="es-ES"/>
        </w:rPr>
      </w:pPr>
    </w:p>
    <w:p w14:paraId="3C4705D9" w14:textId="77777777" w:rsidR="00B5625C" w:rsidRPr="00975C02" w:rsidRDefault="00B5625C" w:rsidP="005C77A8">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Al acusado le fueron practicados dos exámenes médicos con el objeto de determinar si era portador de la enfermedad venérea detectada en la niña.</w:t>
      </w:r>
    </w:p>
    <w:p w14:paraId="0BB83CDD" w14:textId="77777777" w:rsidR="00B5625C" w:rsidRPr="00975C02" w:rsidRDefault="00B5625C" w:rsidP="00B5625C">
      <w:pPr>
        <w:spacing w:line="240" w:lineRule="auto"/>
        <w:rPr>
          <w:sz w:val="20"/>
          <w:szCs w:val="20"/>
          <w:lang w:val="es-ES"/>
        </w:rPr>
      </w:pPr>
    </w:p>
    <w:p w14:paraId="36039465" w14:textId="77777777" w:rsidR="00B5625C" w:rsidRPr="00975C02" w:rsidRDefault="00B5625C" w:rsidP="005C77A8">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El primero de ellos tuvo lugar el 23 de noviembre de 2001. Fue practicado por</w:t>
      </w:r>
      <w:r w:rsidR="00172FDA" w:rsidRPr="00975C02">
        <w:rPr>
          <w:sz w:val="16"/>
          <w:szCs w:val="16"/>
          <w:lang w:val="es-ES"/>
        </w:rPr>
        <w:t xml:space="preserve"> </w:t>
      </w:r>
      <w:r w:rsidR="00172FDA" w:rsidRPr="00975C02">
        <w:rPr>
          <w:sz w:val="20"/>
          <w:szCs w:val="20"/>
          <w:lang w:val="es-ES"/>
        </w:rPr>
        <w:t>el mismo médico que trató de evaluar a la niña en una primera oportunidad.</w:t>
      </w:r>
      <w:r w:rsidRPr="00975C02">
        <w:rPr>
          <w:sz w:val="20"/>
          <w:szCs w:val="20"/>
          <w:lang w:val="es-ES"/>
        </w:rPr>
        <w:t xml:space="preserve"> </w:t>
      </w:r>
      <w:r w:rsidR="00172FDA" w:rsidRPr="00975C02">
        <w:rPr>
          <w:sz w:val="20"/>
          <w:szCs w:val="20"/>
          <w:lang w:val="es-ES"/>
        </w:rPr>
        <w:t>C</w:t>
      </w:r>
      <w:r w:rsidRPr="00975C02">
        <w:rPr>
          <w:sz w:val="20"/>
          <w:szCs w:val="20"/>
          <w:lang w:val="es-ES"/>
        </w:rPr>
        <w:t>oncluyó que “[a]ctualmente el procesado no padece de papiloma humano o condilomas acuminados y no se puede determinar que el procesado haya padecido de tal enfermedad”</w:t>
      </w:r>
      <w:r w:rsidRPr="00975C02">
        <w:rPr>
          <w:sz w:val="20"/>
          <w:szCs w:val="20"/>
          <w:vertAlign w:val="superscript"/>
          <w:lang w:val="es-ES"/>
        </w:rPr>
        <w:footnoteReference w:id="89"/>
      </w:r>
      <w:r w:rsidRPr="00975C02">
        <w:rPr>
          <w:sz w:val="20"/>
          <w:szCs w:val="20"/>
          <w:lang w:val="es-ES"/>
        </w:rPr>
        <w:t>.</w:t>
      </w:r>
    </w:p>
    <w:p w14:paraId="4260C3AD" w14:textId="77777777" w:rsidR="00B5625C" w:rsidRPr="00975C02" w:rsidRDefault="00B5625C" w:rsidP="00B5625C">
      <w:pPr>
        <w:spacing w:line="240" w:lineRule="auto"/>
        <w:rPr>
          <w:sz w:val="20"/>
          <w:szCs w:val="20"/>
          <w:lang w:val="es-ES"/>
        </w:rPr>
      </w:pPr>
    </w:p>
    <w:p w14:paraId="153FADA6" w14:textId="12884B5E" w:rsidR="00B5625C" w:rsidRPr="00975C02" w:rsidRDefault="00B5625C" w:rsidP="005C77A8">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 xml:space="preserve">El segundo examen le fue practicado por </w:t>
      </w:r>
      <w:r w:rsidR="00941984" w:rsidRPr="00975C02">
        <w:rPr>
          <w:sz w:val="20"/>
          <w:szCs w:val="20"/>
          <w:lang w:val="es-ES"/>
        </w:rPr>
        <w:t xml:space="preserve">un </w:t>
      </w:r>
      <w:r w:rsidRPr="00975C02">
        <w:rPr>
          <w:sz w:val="20"/>
          <w:szCs w:val="20"/>
          <w:lang w:val="es-ES"/>
        </w:rPr>
        <w:t>médico forense del Instituto de Medicina Legal, quien indicó que</w:t>
      </w:r>
      <w:r w:rsidR="00585CB9">
        <w:rPr>
          <w:sz w:val="20"/>
          <w:szCs w:val="20"/>
          <w:lang w:val="es-ES"/>
        </w:rPr>
        <w:t>,</w:t>
      </w:r>
      <w:r w:rsidRPr="00975C02">
        <w:rPr>
          <w:sz w:val="20"/>
          <w:szCs w:val="20"/>
          <w:lang w:val="es-ES"/>
        </w:rPr>
        <w:t xml:space="preserve"> “al momento de su reconocimiento médico legal, no se observa en región geni[tal] y paragenital, patología alguna concordante con enfermedad venérea</w:t>
      </w:r>
      <w:r w:rsidR="00585CB9">
        <w:rPr>
          <w:sz w:val="20"/>
          <w:szCs w:val="20"/>
          <w:lang w:val="es-ES"/>
        </w:rPr>
        <w:t>”</w:t>
      </w:r>
      <w:r w:rsidR="0074764E" w:rsidRPr="00975C02">
        <w:rPr>
          <w:sz w:val="20"/>
          <w:szCs w:val="20"/>
          <w:vertAlign w:val="superscript"/>
          <w:lang w:val="es-ES"/>
        </w:rPr>
        <w:footnoteReference w:id="90"/>
      </w:r>
      <w:r w:rsidRPr="00975C02">
        <w:rPr>
          <w:sz w:val="20"/>
          <w:szCs w:val="20"/>
          <w:lang w:val="es-ES"/>
        </w:rPr>
        <w:t>.</w:t>
      </w:r>
      <w:r w:rsidR="00585CB9">
        <w:rPr>
          <w:sz w:val="20"/>
          <w:szCs w:val="20"/>
          <w:lang w:val="es-ES"/>
        </w:rPr>
        <w:t xml:space="preserve"> Asimismo,</w:t>
      </w:r>
      <w:r w:rsidRPr="00975C02">
        <w:rPr>
          <w:sz w:val="20"/>
          <w:szCs w:val="20"/>
          <w:lang w:val="es-ES"/>
        </w:rPr>
        <w:t xml:space="preserve"> recomend</w:t>
      </w:r>
      <w:r w:rsidR="00585CB9">
        <w:rPr>
          <w:sz w:val="20"/>
          <w:szCs w:val="20"/>
          <w:lang w:val="es-ES"/>
        </w:rPr>
        <w:t>ó</w:t>
      </w:r>
      <w:r w:rsidRPr="00975C02">
        <w:rPr>
          <w:sz w:val="20"/>
          <w:szCs w:val="20"/>
          <w:lang w:val="es-ES"/>
        </w:rPr>
        <w:t xml:space="preserve"> </w:t>
      </w:r>
      <w:r w:rsidR="00585CB9">
        <w:rPr>
          <w:sz w:val="20"/>
          <w:szCs w:val="20"/>
          <w:lang w:val="es-ES"/>
        </w:rPr>
        <w:t>un “</w:t>
      </w:r>
      <w:r w:rsidRPr="00975C02">
        <w:rPr>
          <w:sz w:val="20"/>
          <w:szCs w:val="20"/>
          <w:lang w:val="es-ES"/>
        </w:rPr>
        <w:t>estudio de laboratorio para determinar virus de papiloma venéreo en muestras de semen y frotis de la piel de órganos genitales, para descartar posible patología de ser un portador sano de virus de papiloma venéreo”</w:t>
      </w:r>
      <w:r w:rsidRPr="00975C02">
        <w:rPr>
          <w:sz w:val="20"/>
          <w:szCs w:val="20"/>
          <w:vertAlign w:val="superscript"/>
          <w:lang w:val="es-ES"/>
        </w:rPr>
        <w:footnoteReference w:id="91"/>
      </w:r>
      <w:r w:rsidRPr="00975C02">
        <w:rPr>
          <w:sz w:val="20"/>
          <w:szCs w:val="20"/>
          <w:lang w:val="es-ES"/>
        </w:rPr>
        <w:t>. El estudio de laboratorio indicado en esta segunda oportunidad nunca fue ordenado.</w:t>
      </w:r>
    </w:p>
    <w:p w14:paraId="46F57F10" w14:textId="77777777" w:rsidR="00B5625C" w:rsidRPr="00975C02" w:rsidRDefault="00B5625C" w:rsidP="00B5625C">
      <w:pPr>
        <w:spacing w:line="240" w:lineRule="auto"/>
        <w:rPr>
          <w:sz w:val="20"/>
          <w:szCs w:val="20"/>
          <w:lang w:val="es-ES"/>
        </w:rPr>
      </w:pPr>
    </w:p>
    <w:p w14:paraId="531866C6" w14:textId="77777777" w:rsidR="00B5625C" w:rsidRPr="00975C02" w:rsidRDefault="00B5625C" w:rsidP="002C415B">
      <w:pPr>
        <w:pStyle w:val="ListParagraph"/>
        <w:keepNext/>
        <w:keepLines/>
        <w:numPr>
          <w:ilvl w:val="0"/>
          <w:numId w:val="15"/>
        </w:numPr>
        <w:tabs>
          <w:tab w:val="left" w:pos="1134"/>
        </w:tabs>
        <w:spacing w:line="240" w:lineRule="auto"/>
        <w:outlineLvl w:val="1"/>
        <w:rPr>
          <w:rFonts w:eastAsia="MS Mincho"/>
          <w:b/>
          <w:bCs/>
          <w:i/>
          <w:sz w:val="20"/>
          <w:szCs w:val="20"/>
          <w:lang w:val="es-ES"/>
        </w:rPr>
      </w:pPr>
      <w:bookmarkStart w:id="110" w:name="_Toc514172620"/>
      <w:r w:rsidRPr="00975C02">
        <w:rPr>
          <w:rFonts w:eastAsia="MS Mincho"/>
          <w:b/>
          <w:bCs/>
          <w:i/>
          <w:sz w:val="20"/>
          <w:szCs w:val="20"/>
          <w:lang w:val="es-ES"/>
        </w:rPr>
        <w:t>La detención preventiva del acusado</w:t>
      </w:r>
      <w:bookmarkEnd w:id="110"/>
    </w:p>
    <w:p w14:paraId="6A2B8B3A" w14:textId="77777777" w:rsidR="00B5625C" w:rsidRPr="00975C02" w:rsidRDefault="00B5625C" w:rsidP="00B5625C">
      <w:pPr>
        <w:spacing w:line="240" w:lineRule="auto"/>
        <w:rPr>
          <w:sz w:val="20"/>
          <w:szCs w:val="20"/>
          <w:lang w:val="es-ES"/>
        </w:rPr>
      </w:pPr>
    </w:p>
    <w:p w14:paraId="23890CFC" w14:textId="77777777" w:rsidR="00B5625C" w:rsidRPr="00975C02" w:rsidRDefault="00B5625C" w:rsidP="005C77A8">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El 30 de noviembre de 2001 el Juzgado de Distrito Penal de Jinotega dictó la sentencia interlocutoria N° 714, mediante la cual se dispuso la segura y formal prisión del señor H.R.A.</w:t>
      </w:r>
      <w:r w:rsidRPr="00975C02">
        <w:rPr>
          <w:sz w:val="20"/>
          <w:szCs w:val="20"/>
          <w:vertAlign w:val="superscript"/>
          <w:lang w:val="es-ES"/>
        </w:rPr>
        <w:footnoteReference w:id="92"/>
      </w:r>
      <w:r w:rsidRPr="00975C02">
        <w:rPr>
          <w:sz w:val="20"/>
          <w:szCs w:val="20"/>
          <w:lang w:val="es-ES"/>
        </w:rPr>
        <w:t>. Para así decidir, la magistrada consideró que el delito de violación sexual estaba “plenamente demostrado” mediante el dictamen médico legal; que el testimonio de la víctima era “muy coherente, claro y fundament[ad]o, que se corrobora con el estado emocional intenso de la víctima” y que “la presencia del papiloma virus humano [</w:t>
      </w:r>
      <w:r w:rsidRPr="00975C02">
        <w:rPr>
          <w:i/>
          <w:sz w:val="20"/>
          <w:szCs w:val="20"/>
          <w:lang w:val="es-ES"/>
        </w:rPr>
        <w:t>sic</w:t>
      </w:r>
      <w:r w:rsidRPr="00975C02">
        <w:rPr>
          <w:sz w:val="20"/>
          <w:szCs w:val="20"/>
          <w:lang w:val="es-ES"/>
        </w:rPr>
        <w:t>] más condilomatosis acumulado indican enfermedades de transmisión por vía sexual, en las cuales el sujeto portador puede ser asintomático y la persona receptora la que desarrolle la enfermedad, en este caso la menor”</w:t>
      </w:r>
      <w:r w:rsidRPr="00975C02">
        <w:rPr>
          <w:sz w:val="20"/>
          <w:szCs w:val="20"/>
          <w:vertAlign w:val="superscript"/>
          <w:lang w:val="es-ES"/>
        </w:rPr>
        <w:footnoteReference w:id="93"/>
      </w:r>
      <w:r w:rsidRPr="00975C02">
        <w:rPr>
          <w:sz w:val="20"/>
          <w:szCs w:val="20"/>
          <w:lang w:val="es-ES"/>
        </w:rPr>
        <w:t>.</w:t>
      </w:r>
    </w:p>
    <w:p w14:paraId="5BC3DC03" w14:textId="77777777" w:rsidR="00B5625C" w:rsidRPr="00975C02" w:rsidRDefault="00B5625C" w:rsidP="00B5625C">
      <w:pPr>
        <w:spacing w:line="240" w:lineRule="auto"/>
        <w:rPr>
          <w:sz w:val="20"/>
          <w:szCs w:val="20"/>
          <w:lang w:val="es-ES"/>
        </w:rPr>
      </w:pPr>
    </w:p>
    <w:p w14:paraId="03DC4F56" w14:textId="77777777" w:rsidR="00B5625C" w:rsidRPr="00975C02" w:rsidRDefault="00B5625C" w:rsidP="005C77A8">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El 6 de diciembre de ese mismo año se elevó a plenario la causa</w:t>
      </w:r>
      <w:r w:rsidRPr="00975C02">
        <w:rPr>
          <w:sz w:val="20"/>
          <w:szCs w:val="20"/>
          <w:vertAlign w:val="superscript"/>
          <w:lang w:val="es-ES"/>
        </w:rPr>
        <w:footnoteReference w:id="94"/>
      </w:r>
      <w:r w:rsidRPr="00975C02">
        <w:rPr>
          <w:sz w:val="20"/>
          <w:szCs w:val="20"/>
          <w:lang w:val="es-ES"/>
        </w:rPr>
        <w:t>.</w:t>
      </w:r>
    </w:p>
    <w:p w14:paraId="35DC4D77" w14:textId="77777777" w:rsidR="00B5625C" w:rsidRPr="00975C02" w:rsidRDefault="00B5625C" w:rsidP="00B5625C">
      <w:pPr>
        <w:spacing w:line="240" w:lineRule="auto"/>
        <w:rPr>
          <w:sz w:val="20"/>
          <w:szCs w:val="20"/>
          <w:lang w:val="es-ES"/>
        </w:rPr>
      </w:pPr>
    </w:p>
    <w:p w14:paraId="5F94A30C" w14:textId="6242880E" w:rsidR="00B5625C" w:rsidRPr="00975C02" w:rsidRDefault="00D05EE6" w:rsidP="002C415B">
      <w:pPr>
        <w:pStyle w:val="ListParagraph"/>
        <w:keepNext/>
        <w:keepLines/>
        <w:numPr>
          <w:ilvl w:val="0"/>
          <w:numId w:val="15"/>
        </w:numPr>
        <w:tabs>
          <w:tab w:val="left" w:pos="1134"/>
        </w:tabs>
        <w:spacing w:line="240" w:lineRule="auto"/>
        <w:outlineLvl w:val="1"/>
        <w:rPr>
          <w:rFonts w:eastAsia="MS Mincho"/>
          <w:b/>
          <w:bCs/>
          <w:i/>
          <w:sz w:val="20"/>
          <w:szCs w:val="20"/>
          <w:lang w:val="es-ES"/>
        </w:rPr>
      </w:pPr>
      <w:r w:rsidRPr="00975C02">
        <w:rPr>
          <w:rFonts w:eastAsia="MS Mincho"/>
          <w:b/>
          <w:bCs/>
          <w:i/>
          <w:sz w:val="20"/>
          <w:szCs w:val="20"/>
          <w:lang w:val="es-ES"/>
        </w:rPr>
        <w:t xml:space="preserve"> </w:t>
      </w:r>
      <w:r w:rsidRPr="00975C02">
        <w:rPr>
          <w:rFonts w:eastAsia="MS Mincho"/>
          <w:b/>
          <w:bCs/>
          <w:i/>
          <w:sz w:val="20"/>
          <w:szCs w:val="20"/>
          <w:lang w:val="es-ES"/>
        </w:rPr>
        <w:tab/>
      </w:r>
      <w:bookmarkStart w:id="111" w:name="_Toc514172621"/>
      <w:r w:rsidR="00B5625C" w:rsidRPr="00975C02">
        <w:rPr>
          <w:rFonts w:eastAsia="MS Mincho"/>
          <w:b/>
          <w:bCs/>
          <w:i/>
          <w:sz w:val="20"/>
          <w:szCs w:val="20"/>
          <w:lang w:val="es-ES"/>
        </w:rPr>
        <w:t>El juicio por</w:t>
      </w:r>
      <w:r w:rsidR="0084352D" w:rsidRPr="00975C02">
        <w:rPr>
          <w:rFonts w:eastAsia="MS Mincho"/>
          <w:b/>
          <w:bCs/>
          <w:i/>
          <w:sz w:val="20"/>
          <w:szCs w:val="20"/>
          <w:lang w:val="es-ES"/>
        </w:rPr>
        <w:t xml:space="preserve"> un Tribunal de</w:t>
      </w:r>
      <w:r w:rsidR="00B5625C" w:rsidRPr="00975C02">
        <w:rPr>
          <w:rFonts w:eastAsia="MS Mincho"/>
          <w:b/>
          <w:bCs/>
          <w:i/>
          <w:sz w:val="20"/>
          <w:szCs w:val="20"/>
          <w:lang w:val="es-ES"/>
        </w:rPr>
        <w:t xml:space="preserve"> </w:t>
      </w:r>
      <w:r w:rsidR="0084352D" w:rsidRPr="00975C02">
        <w:rPr>
          <w:rFonts w:eastAsia="MS Mincho"/>
          <w:b/>
          <w:bCs/>
          <w:i/>
          <w:sz w:val="20"/>
          <w:szCs w:val="20"/>
          <w:lang w:val="es-ES"/>
        </w:rPr>
        <w:t>J</w:t>
      </w:r>
      <w:r w:rsidR="00B5625C" w:rsidRPr="00975C02">
        <w:rPr>
          <w:rFonts w:eastAsia="MS Mincho"/>
          <w:b/>
          <w:bCs/>
          <w:i/>
          <w:sz w:val="20"/>
          <w:szCs w:val="20"/>
          <w:lang w:val="es-ES"/>
        </w:rPr>
        <w:t>urados y la absolución del acusado</w:t>
      </w:r>
      <w:bookmarkEnd w:id="111"/>
    </w:p>
    <w:p w14:paraId="643FF4E0" w14:textId="77777777" w:rsidR="00B5625C" w:rsidRPr="00975C02" w:rsidRDefault="00B5625C" w:rsidP="00B5625C">
      <w:pPr>
        <w:spacing w:line="240" w:lineRule="auto"/>
        <w:rPr>
          <w:sz w:val="20"/>
          <w:szCs w:val="20"/>
          <w:lang w:val="es-ES"/>
        </w:rPr>
      </w:pPr>
    </w:p>
    <w:p w14:paraId="04A21656" w14:textId="77777777" w:rsidR="00B5625C" w:rsidRPr="00975C02" w:rsidRDefault="00B5625C" w:rsidP="005C77A8">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El 9 de abril de 2002 se realizó la desinsaculación de los diez miembros del jurado</w:t>
      </w:r>
      <w:r w:rsidRPr="00975C02">
        <w:rPr>
          <w:sz w:val="20"/>
          <w:szCs w:val="20"/>
          <w:vertAlign w:val="superscript"/>
          <w:lang w:val="es-ES"/>
        </w:rPr>
        <w:footnoteReference w:id="95"/>
      </w:r>
      <w:r w:rsidRPr="00975C02">
        <w:rPr>
          <w:sz w:val="20"/>
          <w:szCs w:val="20"/>
          <w:lang w:val="es-ES"/>
        </w:rPr>
        <w:t>. Tanto la defensa como la acusación privada recusaron, cada uno, sin causa a un jurado. El Juzgado de Distrito de lo Penal de Jinotega programó la audiencia de integración de jurado para el 10 de abril de 2002.</w:t>
      </w:r>
    </w:p>
    <w:p w14:paraId="593F965D" w14:textId="77777777" w:rsidR="00B5625C" w:rsidRPr="00975C02" w:rsidRDefault="00B5625C" w:rsidP="00B5625C">
      <w:pPr>
        <w:tabs>
          <w:tab w:val="left" w:pos="567"/>
        </w:tabs>
        <w:spacing w:line="240" w:lineRule="auto"/>
        <w:rPr>
          <w:sz w:val="20"/>
          <w:szCs w:val="20"/>
          <w:lang w:val="es-ES"/>
        </w:rPr>
      </w:pPr>
    </w:p>
    <w:p w14:paraId="777865AB" w14:textId="1A0E61D3" w:rsidR="00B5625C" w:rsidRPr="00975C02" w:rsidRDefault="00B5625C" w:rsidP="005C77A8">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El 10 de abril de 2002 se suspendió la sesión de jurados programada debido “a la presión del público que se encuentra fuera de las instalaciones judiciales, por prudencia”</w:t>
      </w:r>
      <w:r w:rsidRPr="00975C02">
        <w:rPr>
          <w:sz w:val="20"/>
          <w:szCs w:val="20"/>
          <w:vertAlign w:val="superscript"/>
          <w:lang w:val="es-ES"/>
        </w:rPr>
        <w:footnoteReference w:id="96"/>
      </w:r>
      <w:r w:rsidRPr="00975C02">
        <w:rPr>
          <w:sz w:val="20"/>
          <w:szCs w:val="20"/>
          <w:lang w:val="es-ES"/>
        </w:rPr>
        <w:t>. Más tarde ese mismo día se realizó nuevamente la desinsaculación de los diez miembros del jurado</w:t>
      </w:r>
      <w:r w:rsidRPr="00975C02">
        <w:rPr>
          <w:sz w:val="20"/>
          <w:szCs w:val="20"/>
          <w:vertAlign w:val="superscript"/>
          <w:lang w:val="es-ES"/>
        </w:rPr>
        <w:footnoteReference w:id="97"/>
      </w:r>
      <w:r w:rsidRPr="00975C02">
        <w:rPr>
          <w:sz w:val="20"/>
          <w:szCs w:val="20"/>
          <w:lang w:val="es-ES"/>
        </w:rPr>
        <w:t>. Consta que el procesado se encontraba presente en dicha diligencia, pero que se retiró espontáneamente. La audiencia fue programada para las tres de la tarde de ese mismo día pero, en atención a un certificado médico presentado por</w:t>
      </w:r>
      <w:r w:rsidR="00182629">
        <w:rPr>
          <w:sz w:val="20"/>
          <w:szCs w:val="20"/>
          <w:lang w:val="es-ES"/>
        </w:rPr>
        <w:t xml:space="preserve"> el abogado</w:t>
      </w:r>
      <w:r w:rsidRPr="00975C02">
        <w:rPr>
          <w:sz w:val="20"/>
          <w:szCs w:val="20"/>
          <w:lang w:val="es-ES"/>
        </w:rPr>
        <w:t xml:space="preserve"> defens</w:t>
      </w:r>
      <w:r w:rsidR="00182629">
        <w:rPr>
          <w:sz w:val="20"/>
          <w:szCs w:val="20"/>
          <w:lang w:val="es-ES"/>
        </w:rPr>
        <w:t>or</w:t>
      </w:r>
      <w:r w:rsidRPr="00975C02">
        <w:rPr>
          <w:sz w:val="20"/>
          <w:szCs w:val="20"/>
          <w:lang w:val="es-ES"/>
        </w:rPr>
        <w:t xml:space="preserve">, quien presentaba cefalea tensional, se </w:t>
      </w:r>
      <w:r w:rsidRPr="00975C02">
        <w:rPr>
          <w:sz w:val="20"/>
          <w:szCs w:val="20"/>
          <w:lang w:val="es-ES"/>
        </w:rPr>
        <w:lastRenderedPageBreak/>
        <w:t>suspendió hasta la fijación de una nueva fecha</w:t>
      </w:r>
      <w:r w:rsidRPr="00975C02">
        <w:rPr>
          <w:sz w:val="20"/>
          <w:szCs w:val="20"/>
          <w:vertAlign w:val="superscript"/>
          <w:lang w:val="es-ES"/>
        </w:rPr>
        <w:footnoteReference w:id="98"/>
      </w:r>
      <w:r w:rsidRPr="00975C02">
        <w:rPr>
          <w:sz w:val="20"/>
          <w:szCs w:val="20"/>
          <w:lang w:val="es-ES"/>
        </w:rPr>
        <w:t>.</w:t>
      </w:r>
    </w:p>
    <w:p w14:paraId="60E142EF" w14:textId="77777777" w:rsidR="00B5625C" w:rsidRPr="00975C02" w:rsidRDefault="00B5625C" w:rsidP="00B5625C">
      <w:pPr>
        <w:spacing w:line="240" w:lineRule="auto"/>
        <w:rPr>
          <w:sz w:val="20"/>
          <w:szCs w:val="20"/>
          <w:lang w:val="es-ES"/>
        </w:rPr>
      </w:pPr>
    </w:p>
    <w:p w14:paraId="3CD1C7BB" w14:textId="5DDBB93D" w:rsidR="00B5625C" w:rsidRPr="00975C02" w:rsidRDefault="00B5625C" w:rsidP="005C77A8">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El 11 de abril de 2002 se realizó nuevamente la desinsaculación de los diez miembros del jurado</w:t>
      </w:r>
      <w:r w:rsidRPr="00975C02">
        <w:rPr>
          <w:sz w:val="20"/>
          <w:szCs w:val="20"/>
          <w:vertAlign w:val="superscript"/>
          <w:lang w:val="es-ES"/>
        </w:rPr>
        <w:footnoteReference w:id="99"/>
      </w:r>
      <w:r w:rsidRPr="00975C02">
        <w:rPr>
          <w:sz w:val="20"/>
          <w:szCs w:val="20"/>
          <w:lang w:val="es-ES"/>
        </w:rPr>
        <w:t>, con la presencia del abogado defensor, del imputado y del abogado por la acusación privada. Tanto la defensa como la acusación privada recusaron, cada uno, sin causa a un</w:t>
      </w:r>
      <w:r w:rsidR="00B94C6B" w:rsidRPr="00975C02">
        <w:rPr>
          <w:sz w:val="20"/>
          <w:szCs w:val="20"/>
          <w:lang w:val="es-ES"/>
        </w:rPr>
        <w:t>a</w:t>
      </w:r>
      <w:r w:rsidRPr="00975C02">
        <w:rPr>
          <w:sz w:val="20"/>
          <w:szCs w:val="20"/>
          <w:lang w:val="es-ES"/>
        </w:rPr>
        <w:t xml:space="preserve"> jurado. El Juzgado de Distrito de lo Penal de Jinotega programó la audiencia de integración de jurado para el 12 de abril de 2002</w:t>
      </w:r>
      <w:r w:rsidRPr="00975C02">
        <w:rPr>
          <w:sz w:val="20"/>
          <w:szCs w:val="20"/>
          <w:vertAlign w:val="superscript"/>
          <w:lang w:val="es-ES"/>
        </w:rPr>
        <w:footnoteReference w:id="100"/>
      </w:r>
      <w:r w:rsidRPr="00975C02">
        <w:rPr>
          <w:sz w:val="20"/>
          <w:szCs w:val="20"/>
          <w:lang w:val="es-ES"/>
        </w:rPr>
        <w:t>.</w:t>
      </w:r>
    </w:p>
    <w:p w14:paraId="56E822E7" w14:textId="77777777" w:rsidR="00B5625C" w:rsidRPr="00975C02" w:rsidRDefault="00B5625C" w:rsidP="00B5625C">
      <w:pPr>
        <w:tabs>
          <w:tab w:val="left" w:pos="567"/>
        </w:tabs>
        <w:spacing w:line="240" w:lineRule="auto"/>
        <w:rPr>
          <w:sz w:val="20"/>
          <w:szCs w:val="20"/>
          <w:lang w:val="es-ES"/>
        </w:rPr>
      </w:pPr>
    </w:p>
    <w:p w14:paraId="228FED2F" w14:textId="439BBE98" w:rsidR="00B5625C" w:rsidRPr="00975C02" w:rsidRDefault="00B5625C" w:rsidP="005C77A8">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En esa misma fecha el abogado del acusado solicitó que coadyuven en la defensa otros dos letrados</w:t>
      </w:r>
      <w:r w:rsidRPr="00975C02">
        <w:rPr>
          <w:sz w:val="20"/>
          <w:szCs w:val="20"/>
          <w:vertAlign w:val="superscript"/>
          <w:lang w:val="es-ES"/>
        </w:rPr>
        <w:footnoteReference w:id="101"/>
      </w:r>
      <w:r w:rsidRPr="00975C02">
        <w:rPr>
          <w:sz w:val="20"/>
          <w:szCs w:val="20"/>
          <w:lang w:val="es-ES"/>
        </w:rPr>
        <w:t xml:space="preserve">. Al día siguiente, el abogado de </w:t>
      </w:r>
      <w:r w:rsidR="00A53474" w:rsidRPr="00975C02">
        <w:rPr>
          <w:sz w:val="20"/>
          <w:szCs w:val="20"/>
          <w:lang w:val="es-ES"/>
        </w:rPr>
        <w:t>la parte acusadora</w:t>
      </w:r>
      <w:r w:rsidRPr="00975C02">
        <w:rPr>
          <w:sz w:val="20"/>
          <w:szCs w:val="20"/>
          <w:lang w:val="es-ES"/>
        </w:rPr>
        <w:t xml:space="preserve"> se opuso por escrito a ese pedido y presentó una solicitud igual en el sentido de ser asistido por otro abogado con base en el principio de igualdad</w:t>
      </w:r>
      <w:r w:rsidRPr="00975C02">
        <w:rPr>
          <w:sz w:val="20"/>
          <w:szCs w:val="20"/>
          <w:vertAlign w:val="superscript"/>
          <w:lang w:val="es-ES"/>
        </w:rPr>
        <w:footnoteReference w:id="102"/>
      </w:r>
      <w:r w:rsidRPr="00975C02">
        <w:rPr>
          <w:sz w:val="20"/>
          <w:szCs w:val="20"/>
          <w:lang w:val="es-ES"/>
        </w:rPr>
        <w:t>. El mismo 12 de abril, la solicitud de la defensa fue concedida</w:t>
      </w:r>
      <w:r w:rsidRPr="00975C02">
        <w:rPr>
          <w:sz w:val="20"/>
          <w:szCs w:val="20"/>
          <w:vertAlign w:val="superscript"/>
          <w:lang w:val="es-ES"/>
        </w:rPr>
        <w:footnoteReference w:id="103"/>
      </w:r>
      <w:r w:rsidRPr="00975C02">
        <w:rPr>
          <w:sz w:val="20"/>
          <w:szCs w:val="20"/>
          <w:lang w:val="es-ES"/>
        </w:rPr>
        <w:t>, bajo el argumento de que el abogado de la acusación había prestado su anuencia verbalmente. Sin embargo, no consta que se haya resuelto la solicitud similar presentada por la parte acusadora</w:t>
      </w:r>
      <w:r w:rsidRPr="00975C02">
        <w:rPr>
          <w:sz w:val="20"/>
          <w:szCs w:val="20"/>
          <w:vertAlign w:val="superscript"/>
          <w:lang w:val="es-ES"/>
        </w:rPr>
        <w:footnoteReference w:id="104"/>
      </w:r>
      <w:r w:rsidRPr="00975C02">
        <w:rPr>
          <w:sz w:val="20"/>
          <w:szCs w:val="20"/>
          <w:lang w:val="es-ES"/>
        </w:rPr>
        <w:t>.</w:t>
      </w:r>
    </w:p>
    <w:p w14:paraId="068AE1D2" w14:textId="250397DE" w:rsidR="00B5625C" w:rsidRPr="00975C02" w:rsidRDefault="00B5625C" w:rsidP="00B31B77">
      <w:pPr>
        <w:tabs>
          <w:tab w:val="left" w:pos="2419"/>
        </w:tabs>
        <w:spacing w:line="240" w:lineRule="auto"/>
        <w:rPr>
          <w:sz w:val="20"/>
          <w:szCs w:val="20"/>
          <w:lang w:val="es-ES"/>
        </w:rPr>
      </w:pPr>
    </w:p>
    <w:p w14:paraId="1905DC2E" w14:textId="48EBB1FF" w:rsidR="00B5625C" w:rsidRPr="00975C02" w:rsidRDefault="00B5625C" w:rsidP="005C77A8">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 xml:space="preserve">En esa fecha se constituyó el </w:t>
      </w:r>
      <w:r w:rsidR="005929E6" w:rsidRPr="00975C02">
        <w:rPr>
          <w:sz w:val="20"/>
          <w:szCs w:val="20"/>
          <w:lang w:val="es-ES"/>
        </w:rPr>
        <w:t>jurado, que quedó integrado por cuatro personas</w:t>
      </w:r>
      <w:r w:rsidRPr="00975C02">
        <w:rPr>
          <w:sz w:val="20"/>
          <w:szCs w:val="20"/>
          <w:lang w:val="es-ES"/>
        </w:rPr>
        <w:t xml:space="preserve">. Asimismo, se designó </w:t>
      </w:r>
      <w:r w:rsidR="005929E6" w:rsidRPr="00975C02">
        <w:rPr>
          <w:sz w:val="20"/>
          <w:szCs w:val="20"/>
          <w:lang w:val="es-ES"/>
        </w:rPr>
        <w:t>como</w:t>
      </w:r>
      <w:r w:rsidRPr="00975C02">
        <w:rPr>
          <w:sz w:val="20"/>
          <w:szCs w:val="20"/>
          <w:lang w:val="es-ES"/>
        </w:rPr>
        <w:t xml:space="preserve"> presidenta a la </w:t>
      </w:r>
      <w:r w:rsidR="009E07E7" w:rsidRPr="00975C02">
        <w:rPr>
          <w:sz w:val="20"/>
          <w:szCs w:val="20"/>
          <w:lang w:val="es-ES"/>
        </w:rPr>
        <w:t>j</w:t>
      </w:r>
      <w:r w:rsidRPr="00975C02">
        <w:rPr>
          <w:sz w:val="20"/>
          <w:szCs w:val="20"/>
          <w:lang w:val="es-ES"/>
        </w:rPr>
        <w:t>ueza de derecho designada</w:t>
      </w:r>
      <w:r w:rsidR="005929E6" w:rsidRPr="00975C02">
        <w:rPr>
          <w:sz w:val="20"/>
          <w:szCs w:val="20"/>
          <w:lang w:val="es-ES"/>
        </w:rPr>
        <w:t xml:space="preserve"> </w:t>
      </w:r>
      <w:r w:rsidRPr="00975C02">
        <w:rPr>
          <w:sz w:val="20"/>
          <w:szCs w:val="20"/>
          <w:lang w:val="es-ES"/>
        </w:rPr>
        <w:t>y</w:t>
      </w:r>
      <w:r w:rsidR="00A53474" w:rsidRPr="00975C02">
        <w:rPr>
          <w:sz w:val="20"/>
          <w:szCs w:val="20"/>
          <w:lang w:val="es-ES"/>
        </w:rPr>
        <w:t xml:space="preserve"> a</w:t>
      </w:r>
      <w:r w:rsidRPr="00975C02">
        <w:rPr>
          <w:sz w:val="20"/>
          <w:szCs w:val="20"/>
          <w:lang w:val="es-ES"/>
        </w:rPr>
        <w:t xml:space="preserve"> </w:t>
      </w:r>
      <w:r w:rsidR="008D6791" w:rsidRPr="00975C02">
        <w:rPr>
          <w:sz w:val="20"/>
          <w:szCs w:val="20"/>
          <w:lang w:val="es-ES"/>
        </w:rPr>
        <w:t>un</w:t>
      </w:r>
      <w:r w:rsidR="005929E6" w:rsidRPr="00975C02">
        <w:rPr>
          <w:sz w:val="20"/>
          <w:szCs w:val="20"/>
          <w:lang w:val="es-ES"/>
        </w:rPr>
        <w:t xml:space="preserve"> </w:t>
      </w:r>
      <w:r w:rsidRPr="00975C02">
        <w:rPr>
          <w:sz w:val="20"/>
          <w:szCs w:val="20"/>
          <w:lang w:val="es-ES"/>
        </w:rPr>
        <w:t>secretario. En el acta de integración del jurado consta que en ese acto se encontraba presente el abogado de V.P.C. y que no formuló observación ni recusación alguna</w:t>
      </w:r>
      <w:r w:rsidRPr="00975C02">
        <w:rPr>
          <w:sz w:val="20"/>
          <w:szCs w:val="20"/>
          <w:vertAlign w:val="superscript"/>
          <w:lang w:val="es-ES"/>
        </w:rPr>
        <w:footnoteReference w:id="105"/>
      </w:r>
      <w:r w:rsidRPr="00975C02">
        <w:rPr>
          <w:sz w:val="20"/>
          <w:szCs w:val="20"/>
          <w:lang w:val="es-ES"/>
        </w:rPr>
        <w:t>.</w:t>
      </w:r>
    </w:p>
    <w:p w14:paraId="10DC8E9B" w14:textId="77777777" w:rsidR="005929E6" w:rsidRPr="00975C02" w:rsidRDefault="005929E6" w:rsidP="005929E6">
      <w:pPr>
        <w:tabs>
          <w:tab w:val="left" w:pos="567"/>
        </w:tabs>
        <w:spacing w:line="240" w:lineRule="auto"/>
        <w:rPr>
          <w:sz w:val="20"/>
          <w:szCs w:val="20"/>
          <w:lang w:val="es-ES"/>
        </w:rPr>
      </w:pPr>
    </w:p>
    <w:p w14:paraId="78578521" w14:textId="3E8522D3" w:rsidR="00B5625C" w:rsidRPr="00975C02" w:rsidRDefault="00B5625C" w:rsidP="005C77A8">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La señora V.P.C. ha afirmado reiteradamente que, al finalizar la audiencia</w:t>
      </w:r>
      <w:r w:rsidR="003D581C">
        <w:rPr>
          <w:sz w:val="20"/>
          <w:szCs w:val="20"/>
          <w:lang w:val="es-ES"/>
        </w:rPr>
        <w:t xml:space="preserve"> de vista</w:t>
      </w:r>
      <w:r w:rsidRPr="00975C02">
        <w:rPr>
          <w:sz w:val="20"/>
          <w:szCs w:val="20"/>
          <w:lang w:val="es-ES"/>
        </w:rPr>
        <w:t xml:space="preserve"> pública</w:t>
      </w:r>
      <w:r w:rsidR="004F460C">
        <w:rPr>
          <w:sz w:val="20"/>
          <w:szCs w:val="20"/>
          <w:lang w:val="es-ES"/>
        </w:rPr>
        <w:t>,</w:t>
      </w:r>
      <w:r w:rsidRPr="00975C02">
        <w:rPr>
          <w:sz w:val="20"/>
          <w:szCs w:val="20"/>
          <w:lang w:val="es-ES"/>
        </w:rPr>
        <w:t xml:space="preserve"> y antes de que el jurado se reuniera a deliberar en sesión secreta, uno de los abogados de la defensa entregó un paquete en una bolsa gris a la presidenta del </w:t>
      </w:r>
      <w:r w:rsidR="00540556">
        <w:rPr>
          <w:sz w:val="20"/>
          <w:szCs w:val="20"/>
          <w:lang w:val="es-ES"/>
        </w:rPr>
        <w:t>jurado</w:t>
      </w:r>
      <w:r w:rsidRPr="00975C02">
        <w:rPr>
          <w:sz w:val="20"/>
          <w:szCs w:val="20"/>
          <w:lang w:val="es-ES"/>
        </w:rPr>
        <w:t xml:space="preserve">, </w:t>
      </w:r>
      <w:r w:rsidR="00A30577">
        <w:rPr>
          <w:sz w:val="20"/>
          <w:szCs w:val="20"/>
          <w:lang w:val="es-ES"/>
        </w:rPr>
        <w:t>así como</w:t>
      </w:r>
      <w:r w:rsidRPr="00975C02">
        <w:rPr>
          <w:sz w:val="20"/>
          <w:szCs w:val="20"/>
          <w:lang w:val="es-ES"/>
        </w:rPr>
        <w:t xml:space="preserve"> </w:t>
      </w:r>
      <w:r w:rsidR="00E21A75" w:rsidRPr="00975C02">
        <w:rPr>
          <w:sz w:val="20"/>
          <w:szCs w:val="20"/>
          <w:lang w:val="es-ES"/>
        </w:rPr>
        <w:t xml:space="preserve">dos hojas de </w:t>
      </w:r>
      <w:r w:rsidRPr="00975C02">
        <w:rPr>
          <w:sz w:val="20"/>
          <w:szCs w:val="20"/>
          <w:lang w:val="es-ES"/>
        </w:rPr>
        <w:t>papel rosado</w:t>
      </w:r>
      <w:r w:rsidR="00A30577">
        <w:rPr>
          <w:sz w:val="20"/>
          <w:szCs w:val="20"/>
          <w:lang w:val="es-ES" w:eastAsia="en-US"/>
        </w:rPr>
        <w:t>,</w:t>
      </w:r>
      <w:r w:rsidRPr="00975C02">
        <w:rPr>
          <w:sz w:val="20"/>
          <w:szCs w:val="20"/>
          <w:lang w:val="es-ES"/>
        </w:rPr>
        <w:t xml:space="preserve"> que el imputado solicitó que leyeran en la sesión privada</w:t>
      </w:r>
      <w:r w:rsidRPr="00975C02">
        <w:rPr>
          <w:sz w:val="20"/>
          <w:szCs w:val="20"/>
          <w:vertAlign w:val="superscript"/>
          <w:lang w:val="es-ES"/>
        </w:rPr>
        <w:footnoteReference w:id="106"/>
      </w:r>
      <w:r w:rsidRPr="00975C02">
        <w:rPr>
          <w:sz w:val="20"/>
          <w:szCs w:val="20"/>
          <w:lang w:val="es-ES"/>
        </w:rPr>
        <w:t xml:space="preserve">. Ello fue corroborado a nivel </w:t>
      </w:r>
      <w:r w:rsidRPr="00975C02">
        <w:rPr>
          <w:sz w:val="20"/>
          <w:szCs w:val="20"/>
          <w:lang w:val="es-ES"/>
        </w:rPr>
        <w:lastRenderedPageBreak/>
        <w:t>interno mediante acta de inspección del expediente (</w:t>
      </w:r>
      <w:r w:rsidRPr="00975C02">
        <w:rPr>
          <w:i/>
          <w:sz w:val="20"/>
          <w:szCs w:val="20"/>
          <w:lang w:val="es-ES"/>
        </w:rPr>
        <w:t xml:space="preserve">infra </w:t>
      </w:r>
      <w:r w:rsidR="000C7392" w:rsidRPr="00975C02">
        <w:rPr>
          <w:sz w:val="20"/>
          <w:szCs w:val="20"/>
          <w:lang w:val="es-ES"/>
        </w:rPr>
        <w:t>párr. 117</w:t>
      </w:r>
      <w:r w:rsidRPr="00975C02">
        <w:rPr>
          <w:sz w:val="20"/>
          <w:szCs w:val="20"/>
          <w:lang w:val="es-ES"/>
        </w:rPr>
        <w:t>) y del video (</w:t>
      </w:r>
      <w:r w:rsidRPr="00975C02">
        <w:rPr>
          <w:i/>
          <w:sz w:val="20"/>
          <w:szCs w:val="20"/>
          <w:lang w:val="es-ES"/>
        </w:rPr>
        <w:t xml:space="preserve">infra </w:t>
      </w:r>
      <w:r w:rsidR="000C7392" w:rsidRPr="00975C02">
        <w:rPr>
          <w:sz w:val="20"/>
          <w:szCs w:val="20"/>
          <w:lang w:val="es-ES"/>
        </w:rPr>
        <w:t>párr. 118</w:t>
      </w:r>
      <w:r w:rsidRPr="00975C02">
        <w:rPr>
          <w:sz w:val="20"/>
          <w:szCs w:val="20"/>
          <w:lang w:val="es-ES"/>
        </w:rPr>
        <w:t>). La Corte no cuenta con el video de la vista pública, a pesar de haber sido solicitado.</w:t>
      </w:r>
    </w:p>
    <w:p w14:paraId="509B455D" w14:textId="77777777" w:rsidR="00B5625C" w:rsidRPr="00975C02" w:rsidRDefault="00B5625C" w:rsidP="00B5625C">
      <w:pPr>
        <w:tabs>
          <w:tab w:val="left" w:pos="567"/>
        </w:tabs>
        <w:spacing w:line="240" w:lineRule="auto"/>
        <w:rPr>
          <w:sz w:val="20"/>
          <w:szCs w:val="20"/>
          <w:lang w:val="es-ES"/>
        </w:rPr>
      </w:pPr>
    </w:p>
    <w:p w14:paraId="6FC0DCB8" w14:textId="3192A14B" w:rsidR="00B5625C" w:rsidRPr="00975C02" w:rsidRDefault="00B5625C" w:rsidP="005C77A8">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 xml:space="preserve">Sobre el desarrollo del jurado, la Procuraduría para la Defensa de los Derechos Humanos, en la tarea de fiscalización desarrollada durante el transcurso del juicio por parte de sus funcionarios, </w:t>
      </w:r>
      <w:r w:rsidR="00E25113" w:rsidRPr="00975C02">
        <w:rPr>
          <w:sz w:val="20"/>
          <w:szCs w:val="20"/>
          <w:lang w:val="es-ES"/>
        </w:rPr>
        <w:t>consideró que se habían presentado las</w:t>
      </w:r>
      <w:r w:rsidR="00251879" w:rsidRPr="00975C02">
        <w:rPr>
          <w:sz w:val="20"/>
          <w:szCs w:val="20"/>
          <w:lang w:val="es-ES"/>
        </w:rPr>
        <w:t xml:space="preserve"> siguientes supuestas</w:t>
      </w:r>
      <w:r w:rsidRPr="00975C02">
        <w:rPr>
          <w:sz w:val="20"/>
          <w:szCs w:val="20"/>
          <w:lang w:val="es-ES"/>
        </w:rPr>
        <w:t xml:space="preserve"> anomalías:</w:t>
      </w:r>
    </w:p>
    <w:p w14:paraId="54E07A2D" w14:textId="77777777" w:rsidR="00B5625C" w:rsidRPr="00975C02" w:rsidRDefault="00B5625C" w:rsidP="00B5625C">
      <w:pPr>
        <w:spacing w:line="240" w:lineRule="auto"/>
        <w:rPr>
          <w:sz w:val="20"/>
          <w:szCs w:val="20"/>
          <w:lang w:val="es-ES"/>
        </w:rPr>
      </w:pPr>
    </w:p>
    <w:p w14:paraId="42BBE996" w14:textId="12098ED2" w:rsidR="00B5625C" w:rsidRPr="00975C02" w:rsidRDefault="00B5625C" w:rsidP="00B5625C">
      <w:pPr>
        <w:spacing w:line="240" w:lineRule="auto"/>
        <w:ind w:left="567" w:right="616"/>
        <w:rPr>
          <w:sz w:val="16"/>
          <w:szCs w:val="16"/>
          <w:lang w:val="es-ES"/>
        </w:rPr>
      </w:pPr>
      <w:r w:rsidRPr="00975C02">
        <w:rPr>
          <w:sz w:val="16"/>
          <w:szCs w:val="16"/>
          <w:lang w:val="es-ES"/>
        </w:rPr>
        <w:t xml:space="preserve">a) el procesado tuvo tres abogados defensores, incluyéndose el procesado que hizo uso de su propia defensa, mientras la víctima solamente tuvo un acusador, aunque se tiene conocimiento que el </w:t>
      </w:r>
      <w:r w:rsidR="007A52C2" w:rsidRPr="00975C02">
        <w:rPr>
          <w:sz w:val="16"/>
          <w:szCs w:val="16"/>
          <w:lang w:val="es-ES"/>
        </w:rPr>
        <w:t xml:space="preserve">[abogado de la parte acusadora] </w:t>
      </w:r>
      <w:r w:rsidRPr="00975C02">
        <w:rPr>
          <w:sz w:val="16"/>
          <w:szCs w:val="16"/>
          <w:lang w:val="es-ES"/>
        </w:rPr>
        <w:t>solicitó estuviera presente otro abogado asesor, pero este derecho le fue denegado;</w:t>
      </w:r>
      <w:r w:rsidR="007A52C2" w:rsidRPr="00975C02">
        <w:rPr>
          <w:sz w:val="16"/>
          <w:szCs w:val="16"/>
          <w:lang w:val="es-ES"/>
        </w:rPr>
        <w:t xml:space="preserve"> [b]) algunos de los miembros del jurado recibieron paquetes en varias ocasiones, a través de los abogados defensores del procesado;</w:t>
      </w:r>
      <w:r w:rsidRPr="00975C02">
        <w:rPr>
          <w:sz w:val="16"/>
          <w:szCs w:val="16"/>
          <w:lang w:val="es-ES"/>
        </w:rPr>
        <w:t xml:space="preserve"> </w:t>
      </w:r>
      <w:r w:rsidR="007A52C2" w:rsidRPr="00975C02">
        <w:rPr>
          <w:sz w:val="16"/>
          <w:szCs w:val="16"/>
          <w:lang w:val="es-ES"/>
        </w:rPr>
        <w:t>c</w:t>
      </w:r>
      <w:r w:rsidRPr="00975C02">
        <w:rPr>
          <w:sz w:val="16"/>
          <w:szCs w:val="16"/>
          <w:lang w:val="es-ES"/>
        </w:rPr>
        <w:t xml:space="preserve">) el Presidente del Tribunal de Jurados, recibió un sobre cerrado que fue ofrecido en público por uno de los abogados defensores del proceso y pidió su contenido fuese leído en privado por los jurados, lo que así se hizo; </w:t>
      </w:r>
      <w:r w:rsidR="007A52C2" w:rsidRPr="00975C02">
        <w:rPr>
          <w:sz w:val="16"/>
          <w:szCs w:val="16"/>
          <w:lang w:val="es-ES"/>
        </w:rPr>
        <w:t>d</w:t>
      </w:r>
      <w:r w:rsidRPr="00975C02">
        <w:rPr>
          <w:sz w:val="16"/>
          <w:szCs w:val="16"/>
          <w:lang w:val="es-ES"/>
        </w:rPr>
        <w:t>) la presencia del Procurador Especial de la Niñez y la Adolescencia y demás miembros del despacho, fue cuestionada por uno de los defensores del procesado, desconociendo la labor [de] la institución, es decir, la Misión que por ley le ha sido encomendada</w:t>
      </w:r>
      <w:r w:rsidRPr="00975C02">
        <w:rPr>
          <w:sz w:val="16"/>
          <w:szCs w:val="16"/>
          <w:vertAlign w:val="superscript"/>
          <w:lang w:val="es-ES"/>
        </w:rPr>
        <w:footnoteReference w:id="107"/>
      </w:r>
      <w:r w:rsidRPr="00975C02">
        <w:rPr>
          <w:sz w:val="16"/>
          <w:szCs w:val="16"/>
          <w:lang w:val="es-ES"/>
        </w:rPr>
        <w:t>.</w:t>
      </w:r>
    </w:p>
    <w:p w14:paraId="3DFD0625" w14:textId="77777777" w:rsidR="00B5625C" w:rsidRPr="00975C02" w:rsidRDefault="00B5625C" w:rsidP="00B5625C">
      <w:pPr>
        <w:spacing w:line="240" w:lineRule="auto"/>
        <w:rPr>
          <w:sz w:val="20"/>
          <w:szCs w:val="20"/>
          <w:lang w:val="es-ES"/>
        </w:rPr>
      </w:pPr>
    </w:p>
    <w:p w14:paraId="2EE18D70" w14:textId="78071EE1" w:rsidR="00B5625C" w:rsidRPr="00975C02" w:rsidRDefault="00B5625C" w:rsidP="005C77A8">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 xml:space="preserve">El 13 de abril de 2002 el </w:t>
      </w:r>
      <w:r w:rsidR="005B36BF" w:rsidRPr="00975C02">
        <w:rPr>
          <w:sz w:val="20"/>
          <w:szCs w:val="20"/>
          <w:lang w:val="es-ES"/>
        </w:rPr>
        <w:t>Tribunal de J</w:t>
      </w:r>
      <w:r w:rsidRPr="00975C02">
        <w:rPr>
          <w:sz w:val="20"/>
          <w:szCs w:val="20"/>
          <w:lang w:val="es-ES"/>
        </w:rPr>
        <w:t>urado</w:t>
      </w:r>
      <w:r w:rsidR="005B36BF" w:rsidRPr="00975C02">
        <w:rPr>
          <w:sz w:val="20"/>
          <w:szCs w:val="20"/>
          <w:lang w:val="es-ES"/>
        </w:rPr>
        <w:t>s</w:t>
      </w:r>
      <w:r w:rsidRPr="00975C02">
        <w:rPr>
          <w:sz w:val="20"/>
          <w:szCs w:val="20"/>
          <w:lang w:val="es-ES"/>
        </w:rPr>
        <w:t xml:space="preserve"> emitió su veredicto</w:t>
      </w:r>
      <w:r w:rsidR="00CD2035">
        <w:rPr>
          <w:sz w:val="20"/>
          <w:szCs w:val="20"/>
          <w:lang w:val="es-ES"/>
        </w:rPr>
        <w:t>,</w:t>
      </w:r>
      <w:r w:rsidRPr="00975C02">
        <w:rPr>
          <w:sz w:val="20"/>
          <w:szCs w:val="20"/>
          <w:lang w:val="es-ES"/>
        </w:rPr>
        <w:t xml:space="preserve"> de acuerdo a su íntima convicción, declarando al procesado inocente del delito de violación en perjuicio de V.R.P.</w:t>
      </w:r>
      <w:r w:rsidRPr="00975C02">
        <w:rPr>
          <w:sz w:val="20"/>
          <w:szCs w:val="20"/>
          <w:vertAlign w:val="superscript"/>
          <w:lang w:val="es-ES"/>
        </w:rPr>
        <w:footnoteReference w:id="108"/>
      </w:r>
      <w:r w:rsidRPr="00975C02">
        <w:rPr>
          <w:sz w:val="20"/>
          <w:szCs w:val="20"/>
          <w:lang w:val="es-ES"/>
        </w:rPr>
        <w:t>. En la misma fecha, el Juzgado de Distrito para lo Penal de Jinotega ordenó la libertad del señor H.R.A.</w:t>
      </w:r>
      <w:r w:rsidRPr="00975C02">
        <w:rPr>
          <w:sz w:val="20"/>
          <w:szCs w:val="20"/>
          <w:vertAlign w:val="superscript"/>
          <w:lang w:val="es-ES"/>
        </w:rPr>
        <w:footnoteReference w:id="109"/>
      </w:r>
      <w:r w:rsidRPr="00975C02">
        <w:rPr>
          <w:sz w:val="20"/>
          <w:szCs w:val="20"/>
          <w:lang w:val="es-ES"/>
        </w:rPr>
        <w:t>.</w:t>
      </w:r>
    </w:p>
    <w:p w14:paraId="1DFBCCEB" w14:textId="77777777" w:rsidR="00B5625C" w:rsidRPr="00975C02" w:rsidRDefault="00B5625C" w:rsidP="00B5625C">
      <w:pPr>
        <w:spacing w:line="240" w:lineRule="auto"/>
        <w:rPr>
          <w:sz w:val="20"/>
          <w:szCs w:val="20"/>
          <w:lang w:val="es-ES"/>
        </w:rPr>
      </w:pPr>
    </w:p>
    <w:p w14:paraId="5FF114EF" w14:textId="33D98756" w:rsidR="00B5625C" w:rsidRPr="00975C02" w:rsidRDefault="00B5625C" w:rsidP="005C77A8">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La señora V.P.C. y su hermana presentaron denuncia ante el Juzgado Local del Crimen de Jinotega contra H.R.A. por amenazas que habrían sufrido la noche del 13 de abril de 2002, fecha del veredicto de absolución</w:t>
      </w:r>
      <w:r w:rsidRPr="00975C02">
        <w:rPr>
          <w:sz w:val="20"/>
          <w:szCs w:val="20"/>
          <w:vertAlign w:val="superscript"/>
          <w:lang w:val="es-ES"/>
        </w:rPr>
        <w:footnoteReference w:id="110"/>
      </w:r>
      <w:r w:rsidRPr="00975C02">
        <w:rPr>
          <w:sz w:val="20"/>
          <w:szCs w:val="20"/>
          <w:lang w:val="es-ES"/>
        </w:rPr>
        <w:t>.</w:t>
      </w:r>
    </w:p>
    <w:p w14:paraId="3EBCEC31" w14:textId="77777777" w:rsidR="00B5625C" w:rsidRPr="00975C02" w:rsidRDefault="00B5625C" w:rsidP="00B5625C">
      <w:pPr>
        <w:spacing w:line="240" w:lineRule="auto"/>
        <w:rPr>
          <w:sz w:val="20"/>
          <w:szCs w:val="20"/>
          <w:lang w:val="es-ES"/>
        </w:rPr>
      </w:pPr>
    </w:p>
    <w:p w14:paraId="70BDE5B2" w14:textId="77777777" w:rsidR="00B5625C" w:rsidRPr="00975C02" w:rsidRDefault="00B5625C" w:rsidP="002C415B">
      <w:pPr>
        <w:pStyle w:val="ListParagraph"/>
        <w:keepNext/>
        <w:keepLines/>
        <w:numPr>
          <w:ilvl w:val="0"/>
          <w:numId w:val="15"/>
        </w:numPr>
        <w:tabs>
          <w:tab w:val="left" w:pos="1134"/>
        </w:tabs>
        <w:spacing w:line="240" w:lineRule="auto"/>
        <w:outlineLvl w:val="1"/>
        <w:rPr>
          <w:rFonts w:eastAsia="MS Mincho"/>
          <w:b/>
          <w:bCs/>
          <w:i/>
          <w:sz w:val="20"/>
          <w:szCs w:val="20"/>
          <w:lang w:val="es-ES"/>
        </w:rPr>
      </w:pPr>
      <w:bookmarkStart w:id="112" w:name="_Toc514172622"/>
      <w:r w:rsidRPr="00975C02">
        <w:rPr>
          <w:rFonts w:eastAsia="MS Mincho"/>
          <w:b/>
          <w:bCs/>
          <w:i/>
          <w:sz w:val="20"/>
          <w:szCs w:val="20"/>
          <w:lang w:val="es-ES"/>
        </w:rPr>
        <w:t>La continuación del proceso y la confirmación de la sentencia absolutoria</w:t>
      </w:r>
      <w:bookmarkEnd w:id="112"/>
    </w:p>
    <w:p w14:paraId="4021CBF5" w14:textId="77777777" w:rsidR="00B5625C" w:rsidRPr="00975C02" w:rsidRDefault="00B5625C" w:rsidP="00B5625C">
      <w:pPr>
        <w:spacing w:line="240" w:lineRule="auto"/>
        <w:rPr>
          <w:sz w:val="20"/>
          <w:szCs w:val="20"/>
          <w:lang w:val="es-ES"/>
        </w:rPr>
      </w:pPr>
    </w:p>
    <w:p w14:paraId="6B9A5E3A" w14:textId="0CB650FD" w:rsidR="00B5625C" w:rsidRPr="00975C02" w:rsidRDefault="00B5625C" w:rsidP="005C77A8">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 xml:space="preserve">Ante la </w:t>
      </w:r>
      <w:r w:rsidR="00D67F52">
        <w:rPr>
          <w:sz w:val="20"/>
          <w:szCs w:val="20"/>
          <w:lang w:val="es-ES"/>
        </w:rPr>
        <w:t>decisión</w:t>
      </w:r>
      <w:r w:rsidRPr="00975C02">
        <w:rPr>
          <w:sz w:val="20"/>
          <w:szCs w:val="20"/>
          <w:lang w:val="es-ES"/>
        </w:rPr>
        <w:t xml:space="preserve"> del</w:t>
      </w:r>
      <w:r w:rsidR="005B36BF" w:rsidRPr="00975C02">
        <w:rPr>
          <w:sz w:val="20"/>
          <w:szCs w:val="20"/>
          <w:lang w:val="es-ES"/>
        </w:rPr>
        <w:t xml:space="preserve"> Tribunal de</w:t>
      </w:r>
      <w:r w:rsidRPr="00975C02">
        <w:rPr>
          <w:sz w:val="20"/>
          <w:szCs w:val="20"/>
          <w:lang w:val="es-ES"/>
        </w:rPr>
        <w:t xml:space="preserve"> </w:t>
      </w:r>
      <w:r w:rsidR="005B36BF" w:rsidRPr="00975C02">
        <w:rPr>
          <w:sz w:val="20"/>
          <w:szCs w:val="20"/>
          <w:lang w:val="es-ES"/>
        </w:rPr>
        <w:t>J</w:t>
      </w:r>
      <w:r w:rsidRPr="00975C02">
        <w:rPr>
          <w:sz w:val="20"/>
          <w:szCs w:val="20"/>
          <w:lang w:val="es-ES"/>
        </w:rPr>
        <w:t>urado</w:t>
      </w:r>
      <w:r w:rsidR="005B36BF" w:rsidRPr="00975C02">
        <w:rPr>
          <w:sz w:val="20"/>
          <w:szCs w:val="20"/>
          <w:lang w:val="es-ES"/>
        </w:rPr>
        <w:t>s</w:t>
      </w:r>
      <w:r w:rsidRPr="00975C02">
        <w:rPr>
          <w:sz w:val="20"/>
          <w:szCs w:val="20"/>
          <w:lang w:val="es-ES"/>
        </w:rPr>
        <w:t xml:space="preserve">, la acusación privada </w:t>
      </w:r>
      <w:r w:rsidR="005E7304" w:rsidRPr="00975C02">
        <w:rPr>
          <w:sz w:val="20"/>
          <w:szCs w:val="20"/>
          <w:lang w:val="es-ES"/>
        </w:rPr>
        <w:t xml:space="preserve">interpuso </w:t>
      </w:r>
      <w:r w:rsidRPr="00975C02">
        <w:rPr>
          <w:sz w:val="20"/>
          <w:szCs w:val="20"/>
          <w:lang w:val="es-ES"/>
        </w:rPr>
        <w:t>incidente de nulidad</w:t>
      </w:r>
      <w:r w:rsidR="009C75A6" w:rsidRPr="00975C02">
        <w:rPr>
          <w:sz w:val="20"/>
          <w:szCs w:val="20"/>
          <w:lang w:val="es-ES"/>
        </w:rPr>
        <w:t>, por el supuesto</w:t>
      </w:r>
      <w:r w:rsidRPr="00975C02">
        <w:rPr>
          <w:sz w:val="20"/>
          <w:szCs w:val="20"/>
          <w:lang w:val="es-ES"/>
        </w:rPr>
        <w:t xml:space="preserve"> cohecho de los miembros del jurado. En el mismo escrito</w:t>
      </w:r>
      <w:r w:rsidR="009C75A6" w:rsidRPr="00975C02">
        <w:rPr>
          <w:sz w:val="20"/>
          <w:szCs w:val="20"/>
          <w:lang w:val="es-ES"/>
        </w:rPr>
        <w:t>, se</w:t>
      </w:r>
      <w:r w:rsidRPr="00975C02">
        <w:rPr>
          <w:sz w:val="20"/>
          <w:szCs w:val="20"/>
          <w:lang w:val="es-ES"/>
        </w:rPr>
        <w:t xml:space="preserve"> solicitó que la </w:t>
      </w:r>
      <w:r w:rsidR="009E07E7" w:rsidRPr="00975C02">
        <w:rPr>
          <w:sz w:val="20"/>
          <w:szCs w:val="20"/>
          <w:lang w:val="es-ES"/>
        </w:rPr>
        <w:t>j</w:t>
      </w:r>
      <w:r w:rsidRPr="00975C02">
        <w:rPr>
          <w:sz w:val="20"/>
          <w:szCs w:val="20"/>
          <w:lang w:val="es-ES"/>
        </w:rPr>
        <w:t xml:space="preserve">ueza se excusara de seguir conociendo la causa por transparencia judicial, ello con base en las siguientes irregularidades </w:t>
      </w:r>
      <w:r w:rsidR="009C75A6" w:rsidRPr="00975C02">
        <w:rPr>
          <w:sz w:val="20"/>
          <w:szCs w:val="20"/>
          <w:lang w:val="es-ES"/>
        </w:rPr>
        <w:t>ocurridas</w:t>
      </w:r>
      <w:r w:rsidRPr="00975C02">
        <w:rPr>
          <w:sz w:val="20"/>
          <w:szCs w:val="20"/>
          <w:lang w:val="es-ES"/>
        </w:rPr>
        <w:t xml:space="preserve"> en el proceso: a) permitir la presencia de ocho personas en el </w:t>
      </w:r>
      <w:r w:rsidR="009C75A6" w:rsidRPr="00975C02">
        <w:rPr>
          <w:sz w:val="20"/>
          <w:szCs w:val="20"/>
          <w:lang w:val="es-ES"/>
        </w:rPr>
        <w:t xml:space="preserve">primer </w:t>
      </w:r>
      <w:r w:rsidRPr="00975C02">
        <w:rPr>
          <w:sz w:val="20"/>
          <w:szCs w:val="20"/>
          <w:lang w:val="es-ES"/>
        </w:rPr>
        <w:t>examen médico; b) permitir que la defensa del señor H.R.A. utilice lenguaje que descalificara a la señora V.P.C.; c) cancelar la audiencia a ser realizada en la mañana del 10 de abril de 2002 alegando razones legales, cuando en realidad ello aconteció porque había un grupo de niños/as afuera del tribunal reclamando justicia en el caso</w:t>
      </w:r>
      <w:r w:rsidR="00F87CC7" w:rsidRPr="00975C02">
        <w:rPr>
          <w:sz w:val="20"/>
          <w:szCs w:val="20"/>
          <w:lang w:val="es-ES"/>
        </w:rPr>
        <w:t>,</w:t>
      </w:r>
      <w:r w:rsidRPr="00975C02">
        <w:rPr>
          <w:sz w:val="20"/>
          <w:szCs w:val="20"/>
          <w:lang w:val="es-ES"/>
        </w:rPr>
        <w:t xml:space="preserve"> y d) no permitir la presencia de todas las partes involucradas en la designación del jurado</w:t>
      </w:r>
      <w:r w:rsidRPr="00975C02">
        <w:rPr>
          <w:sz w:val="20"/>
          <w:szCs w:val="20"/>
          <w:vertAlign w:val="superscript"/>
          <w:lang w:val="es-ES"/>
        </w:rPr>
        <w:footnoteReference w:id="111"/>
      </w:r>
      <w:r w:rsidRPr="00975C02">
        <w:rPr>
          <w:sz w:val="20"/>
          <w:szCs w:val="20"/>
          <w:lang w:val="es-ES"/>
        </w:rPr>
        <w:t>.</w:t>
      </w:r>
    </w:p>
    <w:p w14:paraId="1C1DCA50" w14:textId="77777777" w:rsidR="00B5625C" w:rsidRPr="00975C02" w:rsidRDefault="00B5625C" w:rsidP="00B5625C">
      <w:pPr>
        <w:spacing w:line="240" w:lineRule="auto"/>
        <w:rPr>
          <w:sz w:val="20"/>
          <w:szCs w:val="20"/>
          <w:lang w:val="es-ES"/>
        </w:rPr>
      </w:pPr>
    </w:p>
    <w:p w14:paraId="3DE720A0" w14:textId="77777777" w:rsidR="00B5625C" w:rsidRPr="00975C02" w:rsidRDefault="009C75A6" w:rsidP="005C77A8">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E</w:t>
      </w:r>
      <w:r w:rsidR="00B5625C" w:rsidRPr="00975C02">
        <w:rPr>
          <w:sz w:val="20"/>
          <w:szCs w:val="20"/>
          <w:lang w:val="es-ES"/>
        </w:rPr>
        <w:t>l 14 de abril de 2002 el abogado de V.P.C. reiteró su solicitud de nulidad y señaló que “[…] el expediente ha sido cerrado con seiscientos diecisiete folios, no constando en ellos un documento color rosado, manuscrito, entregado por la defensa del procesado al honorable Tribunal de Jurados […]”</w:t>
      </w:r>
      <w:r w:rsidR="00B5625C" w:rsidRPr="00975C02">
        <w:rPr>
          <w:sz w:val="20"/>
          <w:szCs w:val="20"/>
          <w:vertAlign w:val="superscript"/>
          <w:lang w:val="es-ES"/>
        </w:rPr>
        <w:footnoteReference w:id="112"/>
      </w:r>
      <w:r w:rsidR="00B5625C" w:rsidRPr="00975C02">
        <w:rPr>
          <w:sz w:val="20"/>
          <w:szCs w:val="20"/>
          <w:lang w:val="es-ES"/>
        </w:rPr>
        <w:t>.</w:t>
      </w:r>
    </w:p>
    <w:p w14:paraId="66DB717D" w14:textId="77777777" w:rsidR="00B5625C" w:rsidRPr="00975C02" w:rsidRDefault="00B5625C" w:rsidP="00B5625C">
      <w:pPr>
        <w:spacing w:line="240" w:lineRule="auto"/>
        <w:rPr>
          <w:sz w:val="20"/>
          <w:szCs w:val="20"/>
          <w:lang w:val="es-ES"/>
        </w:rPr>
      </w:pPr>
    </w:p>
    <w:p w14:paraId="0B9DC0AC" w14:textId="2D930095" w:rsidR="00B5625C" w:rsidRPr="00975C02" w:rsidRDefault="00B5625C" w:rsidP="005C77A8">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Mediante auto de 15 de abril de 2002</w:t>
      </w:r>
      <w:r w:rsidRPr="00975C02">
        <w:rPr>
          <w:sz w:val="20"/>
          <w:szCs w:val="20"/>
          <w:vertAlign w:val="superscript"/>
          <w:lang w:val="es-ES"/>
        </w:rPr>
        <w:footnoteReference w:id="113"/>
      </w:r>
      <w:r w:rsidRPr="00975C02">
        <w:rPr>
          <w:sz w:val="20"/>
          <w:szCs w:val="20"/>
          <w:lang w:val="es-ES"/>
        </w:rPr>
        <w:t>, la Jueza de Distrito de lo Penal de Jinotega realizó aclaraciones sobre las irregularidades aducidas (</w:t>
      </w:r>
      <w:r w:rsidRPr="00975C02">
        <w:rPr>
          <w:i/>
          <w:sz w:val="20"/>
          <w:szCs w:val="20"/>
          <w:lang w:val="es-ES"/>
        </w:rPr>
        <w:t>supra</w:t>
      </w:r>
      <w:r w:rsidR="000C7392" w:rsidRPr="00975C02">
        <w:rPr>
          <w:sz w:val="20"/>
          <w:szCs w:val="20"/>
          <w:lang w:val="es-ES"/>
        </w:rPr>
        <w:t xml:space="preserve"> párr. 103</w:t>
      </w:r>
      <w:r w:rsidRPr="00975C02">
        <w:rPr>
          <w:sz w:val="20"/>
          <w:szCs w:val="20"/>
          <w:lang w:val="es-ES"/>
        </w:rPr>
        <w:t>) y con base en la solicitud de excusación interpuesta, remitió el expediente al Juez Suplente</w:t>
      </w:r>
      <w:r w:rsidR="009E07E7" w:rsidRPr="00975C02">
        <w:rPr>
          <w:sz w:val="20"/>
          <w:szCs w:val="20"/>
          <w:lang w:val="es-ES"/>
        </w:rPr>
        <w:t xml:space="preserve"> de </w:t>
      </w:r>
      <w:r w:rsidR="00EB6EA2" w:rsidRPr="00975C02">
        <w:rPr>
          <w:sz w:val="20"/>
          <w:szCs w:val="20"/>
          <w:lang w:val="es-ES"/>
        </w:rPr>
        <w:t xml:space="preserve">Distrito </w:t>
      </w:r>
      <w:r w:rsidR="009E07E7" w:rsidRPr="00975C02">
        <w:rPr>
          <w:sz w:val="20"/>
          <w:szCs w:val="20"/>
          <w:lang w:val="es-ES"/>
        </w:rPr>
        <w:t xml:space="preserve">de lo </w:t>
      </w:r>
      <w:r w:rsidR="00EB6EA2" w:rsidRPr="00975C02">
        <w:rPr>
          <w:sz w:val="20"/>
          <w:szCs w:val="20"/>
          <w:lang w:val="es-ES"/>
        </w:rPr>
        <w:t>P</w:t>
      </w:r>
      <w:r w:rsidR="009E07E7" w:rsidRPr="00975C02">
        <w:rPr>
          <w:sz w:val="20"/>
          <w:szCs w:val="20"/>
          <w:lang w:val="es-ES"/>
        </w:rPr>
        <w:t>enal de Jinotega</w:t>
      </w:r>
      <w:r w:rsidRPr="00975C02">
        <w:rPr>
          <w:sz w:val="20"/>
          <w:szCs w:val="20"/>
          <w:lang w:val="es-ES"/>
        </w:rPr>
        <w:t xml:space="preserve">. Al día siguiente, el abogado defensor solicitó al </w:t>
      </w:r>
      <w:r w:rsidR="009E07E7" w:rsidRPr="00975C02">
        <w:rPr>
          <w:sz w:val="20"/>
          <w:szCs w:val="20"/>
          <w:lang w:val="es-ES"/>
        </w:rPr>
        <w:t>j</w:t>
      </w:r>
      <w:r w:rsidRPr="00975C02">
        <w:rPr>
          <w:sz w:val="20"/>
          <w:szCs w:val="20"/>
          <w:lang w:val="es-ES"/>
        </w:rPr>
        <w:t xml:space="preserve">uez </w:t>
      </w:r>
      <w:r w:rsidR="009E07E7" w:rsidRPr="00975C02">
        <w:rPr>
          <w:sz w:val="20"/>
          <w:szCs w:val="20"/>
          <w:lang w:val="es-ES"/>
        </w:rPr>
        <w:t>s</w:t>
      </w:r>
      <w:r w:rsidRPr="00975C02">
        <w:rPr>
          <w:sz w:val="20"/>
          <w:szCs w:val="20"/>
          <w:lang w:val="es-ES"/>
        </w:rPr>
        <w:t>uplente que se excusara de conocer el proceso por estar supuestamente parcializado a favor de una de las partes</w:t>
      </w:r>
      <w:r w:rsidRPr="00975C02">
        <w:rPr>
          <w:sz w:val="20"/>
          <w:szCs w:val="20"/>
          <w:vertAlign w:val="superscript"/>
          <w:lang w:val="es-ES"/>
        </w:rPr>
        <w:footnoteReference w:id="114"/>
      </w:r>
      <w:r w:rsidRPr="00975C02">
        <w:rPr>
          <w:sz w:val="20"/>
          <w:szCs w:val="20"/>
          <w:lang w:val="es-ES"/>
        </w:rPr>
        <w:t xml:space="preserve">. El 17 de abril de 2002 el </w:t>
      </w:r>
      <w:r w:rsidR="009E07E7" w:rsidRPr="00975C02">
        <w:rPr>
          <w:sz w:val="20"/>
          <w:szCs w:val="20"/>
          <w:lang w:val="es-ES"/>
        </w:rPr>
        <w:t>j</w:t>
      </w:r>
      <w:r w:rsidRPr="00975C02">
        <w:rPr>
          <w:sz w:val="20"/>
          <w:szCs w:val="20"/>
          <w:lang w:val="es-ES"/>
        </w:rPr>
        <w:t xml:space="preserve">uez </w:t>
      </w:r>
      <w:r w:rsidR="009E07E7" w:rsidRPr="00975C02">
        <w:rPr>
          <w:sz w:val="20"/>
          <w:szCs w:val="20"/>
          <w:lang w:val="es-ES"/>
        </w:rPr>
        <w:t>s</w:t>
      </w:r>
      <w:r w:rsidRPr="00975C02">
        <w:rPr>
          <w:sz w:val="20"/>
          <w:szCs w:val="20"/>
          <w:lang w:val="es-ES"/>
        </w:rPr>
        <w:t xml:space="preserve">uplente negó los motivos invocados por el defensor y envió el expediente al Juez de </w:t>
      </w:r>
      <w:r w:rsidR="00F87CC7" w:rsidRPr="00975C02">
        <w:rPr>
          <w:sz w:val="20"/>
          <w:szCs w:val="20"/>
          <w:lang w:val="es-ES"/>
        </w:rPr>
        <w:t xml:space="preserve">Distrito </w:t>
      </w:r>
      <w:r w:rsidRPr="00975C02">
        <w:rPr>
          <w:sz w:val="20"/>
          <w:szCs w:val="20"/>
          <w:lang w:val="es-ES"/>
        </w:rPr>
        <w:t>Civil de Jinotega</w:t>
      </w:r>
      <w:r w:rsidRPr="00975C02">
        <w:rPr>
          <w:sz w:val="20"/>
          <w:szCs w:val="20"/>
          <w:vertAlign w:val="superscript"/>
          <w:lang w:val="es-ES"/>
        </w:rPr>
        <w:footnoteReference w:id="115"/>
      </w:r>
      <w:r w:rsidRPr="00975C02">
        <w:rPr>
          <w:sz w:val="20"/>
          <w:szCs w:val="20"/>
          <w:lang w:val="es-ES"/>
        </w:rPr>
        <w:t>.</w:t>
      </w:r>
      <w:r w:rsidRPr="00975C02">
        <w:rPr>
          <w:bCs/>
          <w:sz w:val="20"/>
          <w:szCs w:val="20"/>
          <w:lang w:val="es-ES"/>
        </w:rPr>
        <w:t xml:space="preserve"> Ese mismo día </w:t>
      </w:r>
      <w:r w:rsidRPr="00975C02">
        <w:rPr>
          <w:sz w:val="20"/>
          <w:szCs w:val="20"/>
          <w:lang w:val="es-ES"/>
        </w:rPr>
        <w:t xml:space="preserve">el abogado de la parte acusadora solicitó que el caso fuera enviado al Tribunal de Apelaciones para que decidiera sobre la excusa legal promovida por la </w:t>
      </w:r>
      <w:r w:rsidR="00381E1F" w:rsidRPr="00975C02">
        <w:rPr>
          <w:sz w:val="20"/>
          <w:szCs w:val="20"/>
          <w:lang w:val="es-ES"/>
        </w:rPr>
        <w:t>j</w:t>
      </w:r>
      <w:r w:rsidRPr="00975C02">
        <w:rPr>
          <w:sz w:val="20"/>
          <w:szCs w:val="20"/>
          <w:lang w:val="es-ES"/>
        </w:rPr>
        <w:t>ueza originaria</w:t>
      </w:r>
      <w:r w:rsidRPr="00975C02">
        <w:rPr>
          <w:sz w:val="20"/>
          <w:szCs w:val="20"/>
          <w:vertAlign w:val="superscript"/>
          <w:lang w:val="es-ES"/>
        </w:rPr>
        <w:footnoteReference w:id="116"/>
      </w:r>
      <w:r w:rsidRPr="00975C02">
        <w:rPr>
          <w:sz w:val="20"/>
          <w:szCs w:val="20"/>
          <w:lang w:val="es-ES"/>
        </w:rPr>
        <w:t xml:space="preserve">. El 22 de abril de 2002 el abogado acusador remitió una nueva comunicación al </w:t>
      </w:r>
      <w:r w:rsidR="00381E1F" w:rsidRPr="00975C02">
        <w:rPr>
          <w:sz w:val="20"/>
          <w:szCs w:val="20"/>
          <w:lang w:val="es-ES"/>
        </w:rPr>
        <w:t>Juez de Distrito de lo Civil y Criminal</w:t>
      </w:r>
      <w:r w:rsidR="009E07E7" w:rsidRPr="00975C02">
        <w:rPr>
          <w:sz w:val="20"/>
          <w:szCs w:val="20"/>
          <w:lang w:val="es-ES"/>
        </w:rPr>
        <w:t xml:space="preserve"> </w:t>
      </w:r>
      <w:r w:rsidRPr="00975C02">
        <w:rPr>
          <w:sz w:val="20"/>
          <w:szCs w:val="20"/>
          <w:lang w:val="es-ES"/>
        </w:rPr>
        <w:t>de Jinotega y solicitó que se envíen al Tribunal de Apelaciones para que decida sobre quién debe conocer sobre la excusa legal promovida por la Juez</w:t>
      </w:r>
      <w:r w:rsidR="00EB6EA2" w:rsidRPr="00975C02">
        <w:rPr>
          <w:sz w:val="20"/>
          <w:szCs w:val="20"/>
          <w:lang w:val="es-ES"/>
        </w:rPr>
        <w:t>a de Distrito de lo Penal de Jinotega</w:t>
      </w:r>
      <w:r w:rsidRPr="00975C02">
        <w:rPr>
          <w:sz w:val="20"/>
          <w:szCs w:val="20"/>
          <w:vertAlign w:val="superscript"/>
          <w:lang w:val="es-ES"/>
        </w:rPr>
        <w:footnoteReference w:id="117"/>
      </w:r>
      <w:r w:rsidRPr="00975C02">
        <w:rPr>
          <w:sz w:val="20"/>
          <w:szCs w:val="20"/>
          <w:lang w:val="es-ES"/>
        </w:rPr>
        <w:t xml:space="preserve">. El 26 de abril de 2002 el abogado defensor solicitó al </w:t>
      </w:r>
      <w:r w:rsidR="00EB6EA2" w:rsidRPr="00975C02">
        <w:rPr>
          <w:sz w:val="20"/>
          <w:szCs w:val="20"/>
          <w:lang w:val="es-ES"/>
        </w:rPr>
        <w:t>j</w:t>
      </w:r>
      <w:r w:rsidRPr="00975C02">
        <w:rPr>
          <w:sz w:val="20"/>
          <w:szCs w:val="20"/>
          <w:lang w:val="es-ES"/>
        </w:rPr>
        <w:t>uez acceder a lo solicitado por el abogado de la señora V.P.C., en el sentido de enviar el asunto ante el Tribunal de Apelaciones</w:t>
      </w:r>
      <w:r w:rsidRPr="00975C02">
        <w:rPr>
          <w:sz w:val="20"/>
          <w:szCs w:val="20"/>
          <w:vertAlign w:val="superscript"/>
          <w:lang w:val="es-ES"/>
        </w:rPr>
        <w:footnoteReference w:id="118"/>
      </w:r>
      <w:r w:rsidRPr="00975C02">
        <w:rPr>
          <w:sz w:val="20"/>
          <w:szCs w:val="20"/>
          <w:lang w:val="es-ES"/>
        </w:rPr>
        <w:t xml:space="preserve">. El 29 de abril del año 2002 se </w:t>
      </w:r>
      <w:r w:rsidRPr="00975C02">
        <w:rPr>
          <w:bCs/>
          <w:sz w:val="20"/>
          <w:szCs w:val="20"/>
          <w:lang w:val="es-ES"/>
        </w:rPr>
        <w:t xml:space="preserve">declaró improcedente la excusa realizada por la </w:t>
      </w:r>
      <w:r w:rsidR="00381E1F" w:rsidRPr="00975C02">
        <w:rPr>
          <w:bCs/>
          <w:sz w:val="20"/>
          <w:szCs w:val="20"/>
          <w:lang w:val="es-ES"/>
        </w:rPr>
        <w:t>j</w:t>
      </w:r>
      <w:r w:rsidRPr="00975C02">
        <w:rPr>
          <w:bCs/>
          <w:sz w:val="20"/>
          <w:szCs w:val="20"/>
          <w:lang w:val="es-ES"/>
        </w:rPr>
        <w:t>uez</w:t>
      </w:r>
      <w:r w:rsidR="00381E1F" w:rsidRPr="00975C02">
        <w:rPr>
          <w:bCs/>
          <w:sz w:val="20"/>
          <w:szCs w:val="20"/>
          <w:lang w:val="es-ES"/>
        </w:rPr>
        <w:t>a de Distrito de lo Penal</w:t>
      </w:r>
      <w:r w:rsidRPr="00975C02">
        <w:rPr>
          <w:sz w:val="20"/>
          <w:szCs w:val="20"/>
          <w:lang w:val="es-ES"/>
        </w:rPr>
        <w:t xml:space="preserve">, así como la recusación realizada por el abogado defensor, por lo que se ordenó regresar el expediente al </w:t>
      </w:r>
      <w:r w:rsidR="00381E1F" w:rsidRPr="00975C02">
        <w:rPr>
          <w:sz w:val="20"/>
          <w:szCs w:val="20"/>
          <w:lang w:val="es-ES"/>
        </w:rPr>
        <w:t>referido j</w:t>
      </w:r>
      <w:r w:rsidRPr="00975C02">
        <w:rPr>
          <w:sz w:val="20"/>
          <w:szCs w:val="20"/>
          <w:lang w:val="es-ES"/>
        </w:rPr>
        <w:t>uzgado</w:t>
      </w:r>
      <w:r w:rsidRPr="00975C02">
        <w:rPr>
          <w:sz w:val="20"/>
          <w:szCs w:val="20"/>
          <w:vertAlign w:val="superscript"/>
          <w:lang w:val="es-ES"/>
        </w:rPr>
        <w:footnoteReference w:id="119"/>
      </w:r>
      <w:r w:rsidRPr="00975C02">
        <w:rPr>
          <w:sz w:val="20"/>
          <w:szCs w:val="20"/>
          <w:lang w:val="es-ES"/>
        </w:rPr>
        <w:t>.</w:t>
      </w:r>
      <w:r w:rsidR="008A4CF8" w:rsidRPr="00975C02">
        <w:rPr>
          <w:sz w:val="20"/>
          <w:szCs w:val="20"/>
          <w:lang w:val="es-ES"/>
        </w:rPr>
        <w:t xml:space="preserve"> </w:t>
      </w:r>
      <w:r w:rsidRPr="00975C02">
        <w:rPr>
          <w:sz w:val="20"/>
          <w:szCs w:val="20"/>
          <w:lang w:val="es-ES"/>
        </w:rPr>
        <w:t>El 2 de mayo de 2002 el abogado de la parte acusadora apeló contra dicho auto</w:t>
      </w:r>
      <w:r w:rsidRPr="00975C02">
        <w:rPr>
          <w:sz w:val="20"/>
          <w:szCs w:val="20"/>
          <w:vertAlign w:val="superscript"/>
          <w:lang w:val="es-ES"/>
        </w:rPr>
        <w:footnoteReference w:id="120"/>
      </w:r>
      <w:r w:rsidRPr="00975C02">
        <w:rPr>
          <w:sz w:val="20"/>
          <w:szCs w:val="20"/>
          <w:lang w:val="es-ES"/>
        </w:rPr>
        <w:t xml:space="preserve">. El 6 de mayo de 2002 el Juzgado de Distrito </w:t>
      </w:r>
      <w:r w:rsidR="00381E1F" w:rsidRPr="00975C02">
        <w:rPr>
          <w:sz w:val="20"/>
          <w:szCs w:val="20"/>
          <w:lang w:val="es-ES"/>
        </w:rPr>
        <w:t xml:space="preserve">de </w:t>
      </w:r>
      <w:r w:rsidRPr="00975C02">
        <w:rPr>
          <w:sz w:val="20"/>
          <w:szCs w:val="20"/>
          <w:lang w:val="es-ES"/>
        </w:rPr>
        <w:t>lo Penal de Jinotega declaró improcedente la solicitud de envío del expediente al Tribunal de Apelaciones, asumió competencia y ordenó la apertura a prueba del incidente de nulidad de la parte acusadora</w:t>
      </w:r>
      <w:r w:rsidRPr="00975C02">
        <w:rPr>
          <w:sz w:val="20"/>
          <w:szCs w:val="20"/>
          <w:vertAlign w:val="superscript"/>
          <w:lang w:val="es-ES"/>
        </w:rPr>
        <w:footnoteReference w:id="121"/>
      </w:r>
      <w:r w:rsidRPr="00975C02">
        <w:rPr>
          <w:sz w:val="20"/>
          <w:szCs w:val="20"/>
          <w:lang w:val="es-ES"/>
        </w:rPr>
        <w:t>. Ese mismo día, el abogado defensor presentó recurso de reposición contra dicho auto</w:t>
      </w:r>
      <w:r w:rsidRPr="00975C02">
        <w:rPr>
          <w:sz w:val="20"/>
          <w:szCs w:val="20"/>
          <w:vertAlign w:val="superscript"/>
          <w:lang w:val="es-ES"/>
        </w:rPr>
        <w:footnoteReference w:id="122"/>
      </w:r>
      <w:r w:rsidRPr="00975C02">
        <w:rPr>
          <w:sz w:val="20"/>
          <w:szCs w:val="20"/>
          <w:lang w:val="es-ES"/>
        </w:rPr>
        <w:t>, lo cual también habría hecho el abogado de la acusación. El 7 de mayo de 2002 la Juez</w:t>
      </w:r>
      <w:r w:rsidR="00000AE7" w:rsidRPr="00975C02">
        <w:rPr>
          <w:sz w:val="20"/>
          <w:szCs w:val="20"/>
          <w:lang w:val="es-ES"/>
        </w:rPr>
        <w:t>a</w:t>
      </w:r>
      <w:r w:rsidRPr="00975C02">
        <w:rPr>
          <w:sz w:val="20"/>
          <w:szCs w:val="20"/>
          <w:lang w:val="es-ES"/>
        </w:rPr>
        <w:t xml:space="preserve"> de Distrito de lo </w:t>
      </w:r>
      <w:r w:rsidR="00700CB0" w:rsidRPr="00975C02">
        <w:rPr>
          <w:sz w:val="20"/>
          <w:szCs w:val="20"/>
          <w:lang w:val="es-ES"/>
        </w:rPr>
        <w:t xml:space="preserve">Penal </w:t>
      </w:r>
      <w:r w:rsidRPr="00975C02">
        <w:rPr>
          <w:sz w:val="20"/>
          <w:szCs w:val="20"/>
          <w:lang w:val="es-ES"/>
        </w:rPr>
        <w:t>de Jinotega dispuso notificar a las partes y al ministerio público para que se pronuncien sobre los recursos de reposición, lo cual realizaron el 8 de mayo</w:t>
      </w:r>
      <w:r w:rsidRPr="00975C02">
        <w:rPr>
          <w:sz w:val="20"/>
          <w:szCs w:val="20"/>
          <w:vertAlign w:val="superscript"/>
          <w:lang w:val="es-ES"/>
        </w:rPr>
        <w:footnoteReference w:id="123"/>
      </w:r>
      <w:r w:rsidRPr="00975C02">
        <w:rPr>
          <w:sz w:val="20"/>
          <w:szCs w:val="20"/>
          <w:lang w:val="es-ES"/>
        </w:rPr>
        <w:t xml:space="preserve">. En su escrito, el abogado </w:t>
      </w:r>
      <w:r w:rsidR="00AE3ACB" w:rsidRPr="00975C02">
        <w:rPr>
          <w:sz w:val="20"/>
          <w:szCs w:val="20"/>
          <w:lang w:val="es-ES"/>
        </w:rPr>
        <w:t xml:space="preserve">acusador </w:t>
      </w:r>
      <w:r w:rsidRPr="00975C02">
        <w:rPr>
          <w:sz w:val="20"/>
          <w:szCs w:val="20"/>
          <w:lang w:val="es-ES"/>
        </w:rPr>
        <w:t>manifestó que los miembros del Tribunal de Jurados se habían estado reuniendo junto con la jueza de derecho y que habrían sido visitados por familiares y amigos del procesado</w:t>
      </w:r>
      <w:r w:rsidR="00AE3ACB" w:rsidRPr="00975C02">
        <w:rPr>
          <w:rStyle w:val="FootnoteReference"/>
          <w:sz w:val="20"/>
          <w:szCs w:val="20"/>
          <w:lang w:val="es-ES"/>
        </w:rPr>
        <w:footnoteReference w:id="124"/>
      </w:r>
      <w:r w:rsidRPr="00975C02">
        <w:rPr>
          <w:sz w:val="20"/>
          <w:szCs w:val="20"/>
          <w:lang w:val="es-ES"/>
        </w:rPr>
        <w:t>.</w:t>
      </w:r>
    </w:p>
    <w:p w14:paraId="3DF54E6A" w14:textId="77777777" w:rsidR="00B5625C" w:rsidRPr="00975C02" w:rsidRDefault="00B5625C" w:rsidP="00B5625C">
      <w:pPr>
        <w:spacing w:line="240" w:lineRule="auto"/>
        <w:rPr>
          <w:sz w:val="20"/>
          <w:szCs w:val="20"/>
          <w:lang w:val="es-ES"/>
        </w:rPr>
      </w:pPr>
    </w:p>
    <w:p w14:paraId="06CE20BD" w14:textId="359D5573" w:rsidR="00B5625C" w:rsidRPr="00975C02" w:rsidRDefault="00B5625C" w:rsidP="005C77A8">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 xml:space="preserve">El 8 de mayo de 2002 la </w:t>
      </w:r>
      <w:r w:rsidR="00700CB0" w:rsidRPr="00975C02">
        <w:rPr>
          <w:sz w:val="20"/>
          <w:szCs w:val="20"/>
          <w:lang w:val="es-ES"/>
        </w:rPr>
        <w:t>f</w:t>
      </w:r>
      <w:r w:rsidRPr="00975C02">
        <w:rPr>
          <w:sz w:val="20"/>
          <w:szCs w:val="20"/>
          <w:lang w:val="es-ES"/>
        </w:rPr>
        <w:t xml:space="preserve">iscal de Jinotega envió una comunicación al </w:t>
      </w:r>
      <w:r w:rsidR="00700CB0" w:rsidRPr="00975C02">
        <w:rPr>
          <w:sz w:val="20"/>
          <w:szCs w:val="20"/>
          <w:lang w:val="es-ES"/>
        </w:rPr>
        <w:t>j</w:t>
      </w:r>
      <w:r w:rsidRPr="00975C02">
        <w:rPr>
          <w:sz w:val="20"/>
          <w:szCs w:val="20"/>
          <w:lang w:val="es-ES"/>
        </w:rPr>
        <w:t>uzgado en la que manifestó que consideraba necesario que el recurso de nulidad se abra a prueba y que se mande a citar a los miembros del jurado que participaron en el veredicto</w:t>
      </w:r>
      <w:r w:rsidRPr="00975C02">
        <w:rPr>
          <w:sz w:val="20"/>
          <w:szCs w:val="20"/>
          <w:vertAlign w:val="superscript"/>
          <w:lang w:val="es-ES"/>
        </w:rPr>
        <w:footnoteReference w:id="125"/>
      </w:r>
      <w:r w:rsidRPr="00975C02">
        <w:rPr>
          <w:sz w:val="20"/>
          <w:szCs w:val="20"/>
          <w:lang w:val="es-ES"/>
        </w:rPr>
        <w:t>. El 10 de mayo de 2002 el abogado defensor se pronunció sobre el incidente de nulidad interpuesto por la acusación</w:t>
      </w:r>
      <w:r w:rsidRPr="00975C02">
        <w:rPr>
          <w:sz w:val="20"/>
          <w:szCs w:val="20"/>
          <w:vertAlign w:val="superscript"/>
          <w:lang w:val="es-ES"/>
        </w:rPr>
        <w:footnoteReference w:id="126"/>
      </w:r>
      <w:r w:rsidRPr="00975C02">
        <w:rPr>
          <w:sz w:val="20"/>
          <w:szCs w:val="20"/>
          <w:lang w:val="es-ES"/>
        </w:rPr>
        <w:t>.</w:t>
      </w:r>
    </w:p>
    <w:p w14:paraId="2CCA992D" w14:textId="77777777" w:rsidR="00B5625C" w:rsidRPr="00975C02" w:rsidRDefault="00B5625C" w:rsidP="00B5625C">
      <w:pPr>
        <w:spacing w:line="240" w:lineRule="auto"/>
        <w:rPr>
          <w:sz w:val="20"/>
          <w:szCs w:val="20"/>
          <w:lang w:val="es-ES"/>
        </w:rPr>
      </w:pPr>
    </w:p>
    <w:p w14:paraId="736314C2" w14:textId="6FE3E023" w:rsidR="00B5625C" w:rsidRPr="00975C02" w:rsidRDefault="00B5625C" w:rsidP="005C77A8">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 xml:space="preserve">El 13 de mayo de 2002 el Juzgado de Distrito </w:t>
      </w:r>
      <w:r w:rsidR="00EB57B3" w:rsidRPr="00975C02">
        <w:rPr>
          <w:sz w:val="20"/>
          <w:szCs w:val="20"/>
          <w:lang w:val="es-ES"/>
        </w:rPr>
        <w:t xml:space="preserve">de </w:t>
      </w:r>
      <w:r w:rsidRPr="00975C02">
        <w:rPr>
          <w:sz w:val="20"/>
          <w:szCs w:val="20"/>
          <w:lang w:val="es-ES"/>
        </w:rPr>
        <w:t>lo Penal</w:t>
      </w:r>
      <w:r w:rsidR="00EB57B3" w:rsidRPr="00975C02">
        <w:rPr>
          <w:sz w:val="20"/>
          <w:szCs w:val="20"/>
          <w:lang w:val="es-ES"/>
        </w:rPr>
        <w:t xml:space="preserve"> de Jinotega</w:t>
      </w:r>
      <w:r w:rsidRPr="00975C02">
        <w:rPr>
          <w:sz w:val="20"/>
          <w:szCs w:val="20"/>
          <w:lang w:val="es-ES"/>
        </w:rPr>
        <w:t xml:space="preserve"> declaró la nulidad del veredicto en lo que hace al inciso 8° del artículo 444 del Código de Instrucción Criminal. En relación con la acusación de cohecho de los miembros del jurado se basó en que “exist[e] la duda de la parte acusadora”. En virtud de ello, se requirió que se lleve a cabo una nueva selección de jurados y se realice una vista pública</w:t>
      </w:r>
      <w:r w:rsidRPr="00975C02">
        <w:rPr>
          <w:sz w:val="20"/>
          <w:szCs w:val="20"/>
          <w:vertAlign w:val="superscript"/>
          <w:lang w:val="es-ES"/>
        </w:rPr>
        <w:footnoteReference w:id="127"/>
      </w:r>
      <w:r w:rsidRPr="00975C02">
        <w:rPr>
          <w:sz w:val="20"/>
          <w:szCs w:val="20"/>
          <w:lang w:val="es-ES"/>
        </w:rPr>
        <w:t>. Asimismo, se ordenó la captura del acusado, que se materializó en esa misma fecha</w:t>
      </w:r>
      <w:r w:rsidRPr="00975C02">
        <w:rPr>
          <w:sz w:val="20"/>
          <w:szCs w:val="20"/>
          <w:vertAlign w:val="superscript"/>
          <w:lang w:val="es-ES"/>
        </w:rPr>
        <w:footnoteReference w:id="128"/>
      </w:r>
      <w:r w:rsidRPr="00975C02">
        <w:rPr>
          <w:sz w:val="20"/>
          <w:szCs w:val="20"/>
          <w:lang w:val="es-ES"/>
        </w:rPr>
        <w:t>.</w:t>
      </w:r>
    </w:p>
    <w:p w14:paraId="3B204645" w14:textId="77777777" w:rsidR="00B5625C" w:rsidRPr="00975C02" w:rsidRDefault="00B5625C" w:rsidP="00B5625C">
      <w:pPr>
        <w:spacing w:line="240" w:lineRule="auto"/>
        <w:rPr>
          <w:sz w:val="20"/>
          <w:szCs w:val="20"/>
          <w:lang w:val="es-ES"/>
        </w:rPr>
      </w:pPr>
    </w:p>
    <w:p w14:paraId="60349F34" w14:textId="1DADC0E6" w:rsidR="00B5625C" w:rsidRPr="00975C02" w:rsidRDefault="00B5625C" w:rsidP="005C77A8">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La decisión fue recurrida en apelación por la defensa el 14 de mayo de 2002</w:t>
      </w:r>
      <w:r w:rsidRPr="00975C02">
        <w:rPr>
          <w:sz w:val="20"/>
          <w:szCs w:val="20"/>
          <w:vertAlign w:val="superscript"/>
          <w:lang w:val="es-ES"/>
        </w:rPr>
        <w:footnoteReference w:id="129"/>
      </w:r>
      <w:r w:rsidRPr="00975C02">
        <w:rPr>
          <w:sz w:val="20"/>
          <w:szCs w:val="20"/>
          <w:lang w:val="es-ES"/>
        </w:rPr>
        <w:t>. Contra el auto admitiendo la apelación, el abogado d</w:t>
      </w:r>
      <w:r w:rsidR="005852AD">
        <w:rPr>
          <w:sz w:val="20"/>
          <w:szCs w:val="20"/>
          <w:lang w:val="es-ES"/>
        </w:rPr>
        <w:t>e la acusación presentó recurso</w:t>
      </w:r>
      <w:r w:rsidRPr="00975C02">
        <w:rPr>
          <w:sz w:val="20"/>
          <w:szCs w:val="20"/>
          <w:lang w:val="es-ES"/>
        </w:rPr>
        <w:t xml:space="preserve"> de reposición, el cual fue declarado no ha lugar el 15 de mayo de 2002</w:t>
      </w:r>
      <w:r w:rsidRPr="00975C02">
        <w:rPr>
          <w:sz w:val="20"/>
          <w:szCs w:val="20"/>
          <w:vertAlign w:val="superscript"/>
          <w:lang w:val="es-ES"/>
        </w:rPr>
        <w:footnoteReference w:id="130"/>
      </w:r>
      <w:r w:rsidRPr="00975C02">
        <w:rPr>
          <w:sz w:val="20"/>
          <w:szCs w:val="20"/>
          <w:lang w:val="es-ES"/>
        </w:rPr>
        <w:t xml:space="preserve"> y la causa remitida al Tribunal de Apelaciones</w:t>
      </w:r>
      <w:r w:rsidRPr="00975C02">
        <w:rPr>
          <w:sz w:val="20"/>
          <w:szCs w:val="20"/>
          <w:vertAlign w:val="superscript"/>
          <w:lang w:val="es-ES"/>
        </w:rPr>
        <w:footnoteReference w:id="131"/>
      </w:r>
      <w:r w:rsidRPr="00975C02">
        <w:rPr>
          <w:sz w:val="20"/>
          <w:szCs w:val="20"/>
          <w:lang w:val="es-ES"/>
        </w:rPr>
        <w:t>.</w:t>
      </w:r>
    </w:p>
    <w:p w14:paraId="5DCC7B6F" w14:textId="77777777" w:rsidR="00B5625C" w:rsidRPr="00975C02" w:rsidRDefault="00B5625C" w:rsidP="00B5625C">
      <w:pPr>
        <w:spacing w:line="240" w:lineRule="auto"/>
        <w:rPr>
          <w:sz w:val="20"/>
          <w:szCs w:val="20"/>
          <w:lang w:val="es-ES"/>
        </w:rPr>
      </w:pPr>
    </w:p>
    <w:p w14:paraId="08A84099" w14:textId="1D3E2F36" w:rsidR="00B5625C" w:rsidRPr="00975C02" w:rsidRDefault="00B5625C" w:rsidP="005C77A8">
      <w:pPr>
        <w:numPr>
          <w:ilvl w:val="0"/>
          <w:numId w:val="2"/>
        </w:numPr>
        <w:tabs>
          <w:tab w:val="left" w:pos="567"/>
          <w:tab w:val="num" w:pos="12305"/>
        </w:tabs>
        <w:spacing w:line="240" w:lineRule="auto"/>
        <w:ind w:left="0" w:firstLine="0"/>
        <w:rPr>
          <w:sz w:val="16"/>
          <w:szCs w:val="16"/>
          <w:lang w:val="es-ES"/>
        </w:rPr>
      </w:pPr>
      <w:r w:rsidRPr="00975C02">
        <w:rPr>
          <w:rFonts w:cs="Arial"/>
          <w:sz w:val="20"/>
          <w:szCs w:val="20"/>
          <w:lang w:val="es-ES"/>
        </w:rPr>
        <w:t xml:space="preserve">El 23 de mayo de 2002 </w:t>
      </w:r>
      <w:r w:rsidR="00EB57B3" w:rsidRPr="00975C02">
        <w:rPr>
          <w:rFonts w:cs="Arial"/>
          <w:sz w:val="20"/>
          <w:szCs w:val="20"/>
          <w:lang w:val="es-ES"/>
        </w:rPr>
        <w:t>tres</w:t>
      </w:r>
      <w:r w:rsidRPr="00975C02">
        <w:rPr>
          <w:rFonts w:cs="Arial"/>
          <w:sz w:val="20"/>
          <w:szCs w:val="20"/>
          <w:lang w:val="es-ES"/>
        </w:rPr>
        <w:t xml:space="preserve"> miembros del Tribunal de Jurado</w:t>
      </w:r>
      <w:r w:rsidR="00EB57B3" w:rsidRPr="00975C02">
        <w:rPr>
          <w:rFonts w:cs="Arial"/>
          <w:sz w:val="20"/>
          <w:szCs w:val="20"/>
          <w:lang w:val="es-ES"/>
        </w:rPr>
        <w:t>s</w:t>
      </w:r>
      <w:r w:rsidRPr="00975C02">
        <w:rPr>
          <w:rFonts w:cs="Arial"/>
          <w:sz w:val="20"/>
          <w:szCs w:val="20"/>
          <w:lang w:val="es-ES"/>
        </w:rPr>
        <w:t xml:space="preserve"> presentaron un escrito ante el Tribunal de Apelaciones de la Circunscripción Norte, Sala de lo Penal, Matagalpa, manifestando su rechazo a las denuncias de la parte acusadora sobre el cohecho y a la decisión </w:t>
      </w:r>
      <w:r w:rsidRPr="00975C02">
        <w:rPr>
          <w:sz w:val="20"/>
          <w:szCs w:val="20"/>
          <w:lang w:val="es-ES"/>
        </w:rPr>
        <w:t>de</w:t>
      </w:r>
      <w:r w:rsidRPr="00975C02">
        <w:rPr>
          <w:rFonts w:cs="Arial"/>
          <w:sz w:val="20"/>
          <w:szCs w:val="20"/>
          <w:lang w:val="es-ES"/>
        </w:rPr>
        <w:t>l Juz</w:t>
      </w:r>
      <w:r w:rsidR="00EB57B3" w:rsidRPr="00975C02">
        <w:rPr>
          <w:rFonts w:cs="Arial"/>
          <w:sz w:val="20"/>
          <w:szCs w:val="20"/>
          <w:lang w:val="es-ES"/>
        </w:rPr>
        <w:t>gado</w:t>
      </w:r>
      <w:r w:rsidRPr="00975C02">
        <w:rPr>
          <w:rFonts w:cs="Arial"/>
          <w:sz w:val="20"/>
          <w:szCs w:val="20"/>
          <w:lang w:val="es-ES"/>
        </w:rPr>
        <w:t xml:space="preserve"> de Distrito para lo Penal de Jinotega que declaró la nulidad del veredicto del jurado, por lo que solicitaron que “se [abra] una investigación y que se nos pruebe semejante calumnia y que se nos reciba nuestra declaración”</w:t>
      </w:r>
      <w:r w:rsidRPr="00975C02">
        <w:rPr>
          <w:rFonts w:cs="Arial"/>
          <w:sz w:val="20"/>
          <w:szCs w:val="20"/>
          <w:vertAlign w:val="superscript"/>
          <w:lang w:val="es-ES"/>
        </w:rPr>
        <w:footnoteReference w:id="132"/>
      </w:r>
      <w:r w:rsidRPr="00975C02">
        <w:rPr>
          <w:rFonts w:cs="Arial"/>
          <w:sz w:val="20"/>
          <w:szCs w:val="20"/>
          <w:lang w:val="es-ES"/>
        </w:rPr>
        <w:t xml:space="preserve">. El abogado que presentó dicho escrito se desempeñó como abogado defensor de H.R.A. </w:t>
      </w:r>
    </w:p>
    <w:p w14:paraId="39C2D6F1" w14:textId="77777777" w:rsidR="00B5625C" w:rsidRPr="00975C02" w:rsidRDefault="00B5625C" w:rsidP="00B5625C">
      <w:pPr>
        <w:spacing w:line="240" w:lineRule="auto"/>
        <w:rPr>
          <w:sz w:val="20"/>
          <w:szCs w:val="20"/>
          <w:lang w:val="es-ES"/>
        </w:rPr>
      </w:pPr>
    </w:p>
    <w:p w14:paraId="02BCBF96" w14:textId="77777777" w:rsidR="00B5625C" w:rsidRPr="00975C02" w:rsidRDefault="00B5625C" w:rsidP="005C77A8">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 xml:space="preserve">El 29 de julio </w:t>
      </w:r>
      <w:r w:rsidRPr="00975C02">
        <w:rPr>
          <w:rFonts w:cs="Arial"/>
          <w:sz w:val="20"/>
          <w:szCs w:val="20"/>
          <w:lang w:val="es-ES"/>
        </w:rPr>
        <w:t>de</w:t>
      </w:r>
      <w:r w:rsidRPr="00975C02">
        <w:rPr>
          <w:sz w:val="20"/>
          <w:szCs w:val="20"/>
          <w:lang w:val="es-ES"/>
        </w:rPr>
        <w:t xml:space="preserve"> 2002 la señora V.P.C. solicitó al Fiscal General de la República que designara a un fiscal especializado para que tutelara y garantizara los derechos de su hija en el proceso</w:t>
      </w:r>
      <w:r w:rsidRPr="00975C02">
        <w:rPr>
          <w:sz w:val="20"/>
          <w:szCs w:val="20"/>
          <w:vertAlign w:val="superscript"/>
          <w:lang w:val="es-ES"/>
        </w:rPr>
        <w:footnoteReference w:id="133"/>
      </w:r>
      <w:r w:rsidRPr="00975C02">
        <w:rPr>
          <w:sz w:val="20"/>
          <w:szCs w:val="20"/>
          <w:lang w:val="es-ES"/>
        </w:rPr>
        <w:t>.</w:t>
      </w:r>
    </w:p>
    <w:p w14:paraId="1E0E7D6A" w14:textId="77777777" w:rsidR="00B5625C" w:rsidRPr="00975C02" w:rsidRDefault="00B5625C" w:rsidP="00B5625C">
      <w:pPr>
        <w:spacing w:line="240" w:lineRule="auto"/>
        <w:rPr>
          <w:sz w:val="20"/>
          <w:szCs w:val="20"/>
          <w:lang w:val="es-ES"/>
        </w:rPr>
      </w:pPr>
    </w:p>
    <w:p w14:paraId="2CEE0D86" w14:textId="69658B57" w:rsidR="00B5625C" w:rsidRPr="00975C02" w:rsidRDefault="00B5625C" w:rsidP="005C77A8">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El 13 de enero de 2003 la Sala Penal del Tribunal de Apelaciones de la Circunscripción Norte de Matagalpa declaró la nulidad sustancial y absoluta del proceso a partir, inclusive, del auto dict</w:t>
      </w:r>
      <w:r w:rsidR="00EB57B3" w:rsidRPr="00975C02">
        <w:rPr>
          <w:sz w:val="20"/>
          <w:szCs w:val="20"/>
          <w:lang w:val="es-ES"/>
        </w:rPr>
        <w:t>ado</w:t>
      </w:r>
      <w:r w:rsidRPr="00975C02">
        <w:rPr>
          <w:sz w:val="20"/>
          <w:szCs w:val="20"/>
          <w:lang w:val="es-ES"/>
        </w:rPr>
        <w:t xml:space="preserve"> el 13 de mayo de 2002. Ello, con fundamento en que la “duda razonable” sólo podía operar en favor del imputado. Asimismo, en esa oportunidad, el Tribunal de alzada efectuó un llamado de </w:t>
      </w:r>
      <w:r w:rsidRPr="00975C02">
        <w:rPr>
          <w:sz w:val="20"/>
          <w:szCs w:val="20"/>
          <w:lang w:val="es-ES"/>
        </w:rPr>
        <w:lastRenderedPageBreak/>
        <w:t xml:space="preserve">atención a la </w:t>
      </w:r>
      <w:r w:rsidR="00EB57B3" w:rsidRPr="00975C02">
        <w:rPr>
          <w:sz w:val="20"/>
          <w:szCs w:val="20"/>
          <w:lang w:val="es-ES"/>
        </w:rPr>
        <w:t>j</w:t>
      </w:r>
      <w:r w:rsidRPr="00975C02">
        <w:rPr>
          <w:sz w:val="20"/>
          <w:szCs w:val="20"/>
          <w:lang w:val="es-ES"/>
        </w:rPr>
        <w:t>ueza por haber actuado en forma notoriamente anómala y entendió que como ya había emitido opinión, correspondía remitir las actuaciones al juez subrogante y disponer la inmediata libertad del acusado y que se abra a prueba el incidente de nulidad</w:t>
      </w:r>
      <w:r w:rsidRPr="00975C02">
        <w:rPr>
          <w:sz w:val="20"/>
          <w:szCs w:val="20"/>
          <w:vertAlign w:val="superscript"/>
          <w:lang w:val="es-ES"/>
        </w:rPr>
        <w:footnoteReference w:id="134"/>
      </w:r>
      <w:r w:rsidRPr="00975C02">
        <w:rPr>
          <w:sz w:val="20"/>
          <w:szCs w:val="20"/>
          <w:lang w:val="es-ES"/>
        </w:rPr>
        <w:t xml:space="preserve">. Cabe señalar que la citada Sala Penal dejó constancia que la fiscal auxiliar </w:t>
      </w:r>
      <w:r w:rsidR="002D499C" w:rsidRPr="00975C02">
        <w:rPr>
          <w:sz w:val="20"/>
          <w:szCs w:val="20"/>
          <w:lang w:val="es-ES"/>
        </w:rPr>
        <w:t xml:space="preserve">departamental </w:t>
      </w:r>
      <w:r w:rsidRPr="00975C02">
        <w:rPr>
          <w:sz w:val="20"/>
          <w:szCs w:val="20"/>
          <w:lang w:val="es-ES"/>
        </w:rPr>
        <w:t>“no se apersonó a la instancia”</w:t>
      </w:r>
      <w:r w:rsidRPr="00975C02">
        <w:rPr>
          <w:sz w:val="20"/>
          <w:szCs w:val="20"/>
          <w:vertAlign w:val="superscript"/>
          <w:lang w:val="es-ES"/>
        </w:rPr>
        <w:footnoteReference w:id="135"/>
      </w:r>
      <w:r w:rsidRPr="00975C02">
        <w:rPr>
          <w:sz w:val="20"/>
          <w:szCs w:val="20"/>
          <w:lang w:val="es-ES"/>
        </w:rPr>
        <w:t>.</w:t>
      </w:r>
    </w:p>
    <w:p w14:paraId="43899922" w14:textId="77777777" w:rsidR="00B5625C" w:rsidRPr="00975C02" w:rsidRDefault="00B5625C" w:rsidP="00B5625C">
      <w:pPr>
        <w:spacing w:line="240" w:lineRule="auto"/>
        <w:rPr>
          <w:sz w:val="20"/>
          <w:szCs w:val="20"/>
          <w:lang w:val="es-ES"/>
        </w:rPr>
      </w:pPr>
    </w:p>
    <w:p w14:paraId="10C483D2" w14:textId="52B9916E" w:rsidR="00B5625C" w:rsidRPr="00975C02" w:rsidRDefault="00B5625C" w:rsidP="005C77A8">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 xml:space="preserve">Luego de ello, se remitió la causa a la </w:t>
      </w:r>
      <w:r w:rsidR="00EB57B3" w:rsidRPr="00975C02">
        <w:rPr>
          <w:sz w:val="20"/>
          <w:szCs w:val="20"/>
          <w:lang w:val="es-ES"/>
        </w:rPr>
        <w:t>j</w:t>
      </w:r>
      <w:r w:rsidRPr="00975C02">
        <w:rPr>
          <w:sz w:val="20"/>
          <w:szCs w:val="20"/>
          <w:lang w:val="es-ES"/>
        </w:rPr>
        <w:t>ueza subrogante.</w:t>
      </w:r>
      <w:r w:rsidRPr="00975C02">
        <w:rPr>
          <w:sz w:val="16"/>
          <w:szCs w:val="16"/>
          <w:lang w:val="es-ES"/>
        </w:rPr>
        <w:t xml:space="preserve"> </w:t>
      </w:r>
      <w:r w:rsidRPr="00975C02">
        <w:rPr>
          <w:sz w:val="20"/>
          <w:szCs w:val="20"/>
          <w:lang w:val="es-ES"/>
        </w:rPr>
        <w:t>El 12 de mayo de 2003 el abogado acusador presentó un escrito a</w:t>
      </w:r>
      <w:r w:rsidR="00EB57B3" w:rsidRPr="00975C02">
        <w:rPr>
          <w:sz w:val="20"/>
          <w:szCs w:val="20"/>
          <w:lang w:val="es-ES"/>
        </w:rPr>
        <w:t>nte e</w:t>
      </w:r>
      <w:r w:rsidRPr="00975C02">
        <w:rPr>
          <w:sz w:val="20"/>
          <w:szCs w:val="20"/>
          <w:lang w:val="es-ES"/>
        </w:rPr>
        <w:t>l Juez Suplente de Distrito de lo Civil y del Crimen, por la cual solicitó dictar auto a la mayor brevedad posible para pronunciarse</w:t>
      </w:r>
      <w:r w:rsidRPr="00975C02">
        <w:rPr>
          <w:sz w:val="20"/>
          <w:szCs w:val="20"/>
          <w:vertAlign w:val="superscript"/>
          <w:lang w:val="es-ES"/>
        </w:rPr>
        <w:footnoteReference w:id="136"/>
      </w:r>
      <w:r w:rsidRPr="00975C02">
        <w:rPr>
          <w:sz w:val="20"/>
          <w:szCs w:val="20"/>
          <w:lang w:val="es-ES"/>
        </w:rPr>
        <w:t xml:space="preserve">. El 19 de mayo de 2003 el abogado de V.P.C. solicitó que la </w:t>
      </w:r>
      <w:r w:rsidR="00EB57B3" w:rsidRPr="00975C02">
        <w:rPr>
          <w:sz w:val="20"/>
          <w:szCs w:val="20"/>
          <w:lang w:val="es-ES"/>
        </w:rPr>
        <w:t>j</w:t>
      </w:r>
      <w:r w:rsidRPr="00975C02">
        <w:rPr>
          <w:sz w:val="20"/>
          <w:szCs w:val="20"/>
          <w:lang w:val="es-ES"/>
        </w:rPr>
        <w:t>ueza se excusara de seguir conociendo la causa en razón de “las múltiples ocupaciones” y de su estado de salud</w:t>
      </w:r>
      <w:r w:rsidRPr="00975C02">
        <w:rPr>
          <w:sz w:val="20"/>
          <w:szCs w:val="20"/>
          <w:vertAlign w:val="superscript"/>
          <w:lang w:val="es-ES"/>
        </w:rPr>
        <w:footnoteReference w:id="137"/>
      </w:r>
      <w:r w:rsidRPr="00975C02">
        <w:rPr>
          <w:sz w:val="20"/>
          <w:szCs w:val="20"/>
          <w:lang w:val="es-ES"/>
        </w:rPr>
        <w:t>, la cual efectivamente se excusó y pasó el expediente al Juez Suplente de Distrito Penal, quien asumió jurisdicción</w:t>
      </w:r>
      <w:r w:rsidRPr="00975C02">
        <w:rPr>
          <w:sz w:val="20"/>
          <w:szCs w:val="20"/>
          <w:vertAlign w:val="superscript"/>
          <w:lang w:val="es-ES"/>
        </w:rPr>
        <w:footnoteReference w:id="138"/>
      </w:r>
      <w:r w:rsidRPr="00975C02">
        <w:rPr>
          <w:sz w:val="20"/>
          <w:szCs w:val="20"/>
          <w:lang w:val="es-ES"/>
        </w:rPr>
        <w:t xml:space="preserve">. El 11 de julio de 2003 el abogado defensor solicitó al </w:t>
      </w:r>
      <w:r w:rsidR="00EB57B3" w:rsidRPr="00975C02">
        <w:rPr>
          <w:sz w:val="20"/>
          <w:szCs w:val="20"/>
          <w:lang w:val="es-ES"/>
        </w:rPr>
        <w:t xml:space="preserve">juez suplente </w:t>
      </w:r>
      <w:r w:rsidRPr="00975C02">
        <w:rPr>
          <w:sz w:val="20"/>
          <w:szCs w:val="20"/>
          <w:lang w:val="es-ES"/>
        </w:rPr>
        <w:t>que se excusara de conocer el proceso, quien ya se había excusado en oportunidad anterior (</w:t>
      </w:r>
      <w:r w:rsidRPr="00975C02">
        <w:rPr>
          <w:i/>
          <w:sz w:val="20"/>
          <w:szCs w:val="20"/>
          <w:lang w:val="es-ES"/>
        </w:rPr>
        <w:t>supra</w:t>
      </w:r>
      <w:r w:rsidRPr="00975C02">
        <w:rPr>
          <w:sz w:val="20"/>
          <w:szCs w:val="20"/>
          <w:lang w:val="es-ES"/>
        </w:rPr>
        <w:t xml:space="preserve"> párr. </w:t>
      </w:r>
      <w:r w:rsidR="000C7392" w:rsidRPr="00975C02">
        <w:rPr>
          <w:sz w:val="20"/>
          <w:szCs w:val="20"/>
          <w:lang w:val="es-ES"/>
        </w:rPr>
        <w:t>105</w:t>
      </w:r>
      <w:r w:rsidRPr="00975C02">
        <w:rPr>
          <w:sz w:val="20"/>
          <w:szCs w:val="20"/>
          <w:lang w:val="es-ES"/>
        </w:rPr>
        <w:t>)</w:t>
      </w:r>
      <w:r w:rsidRPr="00975C02">
        <w:rPr>
          <w:sz w:val="20"/>
          <w:szCs w:val="20"/>
          <w:vertAlign w:val="superscript"/>
          <w:lang w:val="es-ES"/>
        </w:rPr>
        <w:footnoteReference w:id="139"/>
      </w:r>
      <w:r w:rsidRPr="00975C02">
        <w:rPr>
          <w:sz w:val="20"/>
          <w:szCs w:val="20"/>
          <w:lang w:val="es-ES"/>
        </w:rPr>
        <w:t>. El 12 de agosto de 2003 el Juez suplente no hizo ha lugar a la solicitud de excusación presentada</w:t>
      </w:r>
      <w:r w:rsidRPr="00975C02">
        <w:rPr>
          <w:sz w:val="20"/>
          <w:szCs w:val="20"/>
          <w:vertAlign w:val="superscript"/>
          <w:lang w:val="es-ES"/>
        </w:rPr>
        <w:footnoteReference w:id="140"/>
      </w:r>
      <w:r w:rsidRPr="00975C02">
        <w:rPr>
          <w:sz w:val="20"/>
          <w:szCs w:val="20"/>
          <w:lang w:val="es-ES"/>
        </w:rPr>
        <w:t>.</w:t>
      </w:r>
    </w:p>
    <w:p w14:paraId="5E01DA4A" w14:textId="77777777" w:rsidR="00B5625C" w:rsidRPr="00975C02" w:rsidRDefault="00B5625C" w:rsidP="00B5625C">
      <w:pPr>
        <w:tabs>
          <w:tab w:val="left" w:pos="567"/>
        </w:tabs>
        <w:spacing w:line="240" w:lineRule="auto"/>
        <w:rPr>
          <w:sz w:val="20"/>
          <w:szCs w:val="20"/>
          <w:highlight w:val="yellow"/>
          <w:lang w:val="es-ES"/>
        </w:rPr>
      </w:pPr>
    </w:p>
    <w:p w14:paraId="08204245" w14:textId="04314F9D" w:rsidR="00B5625C" w:rsidRPr="00975C02" w:rsidRDefault="00B5625C" w:rsidP="005C77A8">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El 16 de octubre</w:t>
      </w:r>
      <w:r w:rsidRPr="00975C02">
        <w:rPr>
          <w:sz w:val="20"/>
          <w:szCs w:val="20"/>
          <w:vertAlign w:val="superscript"/>
          <w:lang w:val="es-ES"/>
        </w:rPr>
        <w:footnoteReference w:id="141"/>
      </w:r>
      <w:r w:rsidRPr="00975C02">
        <w:rPr>
          <w:sz w:val="20"/>
          <w:szCs w:val="20"/>
          <w:lang w:val="es-ES"/>
        </w:rPr>
        <w:t xml:space="preserve"> y 26 de noviembre de 2003</w:t>
      </w:r>
      <w:r w:rsidRPr="00975C02">
        <w:rPr>
          <w:sz w:val="20"/>
          <w:szCs w:val="20"/>
          <w:vertAlign w:val="superscript"/>
          <w:lang w:val="es-ES"/>
        </w:rPr>
        <w:footnoteReference w:id="142"/>
      </w:r>
      <w:r w:rsidRPr="00975C02">
        <w:rPr>
          <w:sz w:val="20"/>
          <w:szCs w:val="20"/>
          <w:lang w:val="es-ES"/>
        </w:rPr>
        <w:t xml:space="preserve"> el abogado de V.P.C. remitió sendos escritos al</w:t>
      </w:r>
      <w:r w:rsidR="00EB57B3" w:rsidRPr="00975C02">
        <w:rPr>
          <w:sz w:val="20"/>
          <w:szCs w:val="20"/>
          <w:lang w:val="es-ES"/>
        </w:rPr>
        <w:t xml:space="preserve"> juez suplente</w:t>
      </w:r>
      <w:r w:rsidRPr="00975C02">
        <w:rPr>
          <w:sz w:val="20"/>
          <w:szCs w:val="20"/>
          <w:lang w:val="es-ES"/>
        </w:rPr>
        <w:t xml:space="preserve"> a fin de que asumiera jurisdicción y así evitar la “retardación de justicia en este proceso”, de modo tal que se tramitara el recurso de nulidad del veredicto.</w:t>
      </w:r>
    </w:p>
    <w:p w14:paraId="589B0E6E" w14:textId="77777777" w:rsidR="00B5625C" w:rsidRPr="00975C02" w:rsidRDefault="00B5625C" w:rsidP="00B5625C">
      <w:pPr>
        <w:tabs>
          <w:tab w:val="left" w:pos="567"/>
        </w:tabs>
        <w:spacing w:line="240" w:lineRule="auto"/>
        <w:rPr>
          <w:sz w:val="20"/>
          <w:szCs w:val="20"/>
          <w:lang w:val="es-ES"/>
        </w:rPr>
      </w:pPr>
    </w:p>
    <w:p w14:paraId="4F858919" w14:textId="4E2957D4" w:rsidR="00B5625C" w:rsidRPr="00975C02" w:rsidRDefault="00B5625C" w:rsidP="005C77A8">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 xml:space="preserve">No obstante, el 21 de enero de 2004 se remitieron las diligencias al Juzgado de Distrito Civil y Penal para su conocimiento. El 23 de febrero de 2004 ese </w:t>
      </w:r>
      <w:r w:rsidR="005F5242" w:rsidRPr="00975C02">
        <w:rPr>
          <w:sz w:val="20"/>
          <w:szCs w:val="20"/>
          <w:lang w:val="es-ES"/>
        </w:rPr>
        <w:t>j</w:t>
      </w:r>
      <w:r w:rsidRPr="00975C02">
        <w:rPr>
          <w:sz w:val="20"/>
          <w:szCs w:val="20"/>
          <w:lang w:val="es-ES"/>
        </w:rPr>
        <w:t xml:space="preserve">uez se excusó “sin ningún motivo” de conocer la causa y la remitió al Juzgado </w:t>
      </w:r>
      <w:r w:rsidR="00EB57B3" w:rsidRPr="00975C02">
        <w:rPr>
          <w:sz w:val="20"/>
          <w:szCs w:val="20"/>
          <w:lang w:val="es-ES"/>
        </w:rPr>
        <w:t>S</w:t>
      </w:r>
      <w:r w:rsidRPr="00975C02">
        <w:rPr>
          <w:sz w:val="20"/>
          <w:szCs w:val="20"/>
          <w:lang w:val="es-ES"/>
        </w:rPr>
        <w:t>uplente de Distrito Civil. Este último también se excusó de intervenir el 1 de marzo de 2004 y derivó las actuaciones al Juzgado de Distrito Penal de Jinotega</w:t>
      </w:r>
      <w:r w:rsidRPr="00975C02">
        <w:rPr>
          <w:sz w:val="20"/>
          <w:szCs w:val="20"/>
          <w:vertAlign w:val="superscript"/>
          <w:lang w:val="es-ES"/>
        </w:rPr>
        <w:footnoteReference w:id="143"/>
      </w:r>
      <w:r w:rsidR="00622073" w:rsidRPr="00975C02">
        <w:rPr>
          <w:sz w:val="20"/>
          <w:szCs w:val="20"/>
          <w:lang w:val="es-ES"/>
        </w:rPr>
        <w:t>.</w:t>
      </w:r>
    </w:p>
    <w:p w14:paraId="50E95694" w14:textId="77777777" w:rsidR="00B5625C" w:rsidRPr="00975C02" w:rsidRDefault="00B5625C" w:rsidP="00B5625C">
      <w:pPr>
        <w:tabs>
          <w:tab w:val="left" w:pos="567"/>
        </w:tabs>
        <w:spacing w:line="240" w:lineRule="auto"/>
        <w:rPr>
          <w:sz w:val="20"/>
          <w:szCs w:val="20"/>
          <w:lang w:val="es-ES"/>
        </w:rPr>
      </w:pPr>
    </w:p>
    <w:p w14:paraId="22AB4515" w14:textId="235BE385" w:rsidR="00B5625C" w:rsidRPr="00975C02" w:rsidRDefault="00B5625C" w:rsidP="005C77A8">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 xml:space="preserve">El 23 de septiembre de 2004 la señora V.P.C. presentó una solicitud a la </w:t>
      </w:r>
      <w:r w:rsidR="00EB57B3" w:rsidRPr="00975C02">
        <w:rPr>
          <w:sz w:val="20"/>
          <w:szCs w:val="20"/>
          <w:lang w:val="es-ES"/>
        </w:rPr>
        <w:t>p</w:t>
      </w:r>
      <w:r w:rsidRPr="00975C02">
        <w:rPr>
          <w:sz w:val="20"/>
          <w:szCs w:val="20"/>
          <w:lang w:val="es-ES"/>
        </w:rPr>
        <w:t>residenta de la Corte Suprema de Justicia cuestionando la demora en el proceso y solicitando que se agilizara el caso</w:t>
      </w:r>
      <w:r w:rsidRPr="00975C02">
        <w:rPr>
          <w:sz w:val="20"/>
          <w:szCs w:val="20"/>
          <w:vertAlign w:val="superscript"/>
          <w:lang w:val="es-ES"/>
        </w:rPr>
        <w:footnoteReference w:id="144"/>
      </w:r>
      <w:r w:rsidRPr="00975C02">
        <w:rPr>
          <w:sz w:val="20"/>
          <w:szCs w:val="20"/>
          <w:lang w:val="es-ES"/>
        </w:rPr>
        <w:t xml:space="preserve">. El 4 de octubre de 2004 la señora V.P.C. presentó otra solicitud ante la Corte Suprema de </w:t>
      </w:r>
      <w:r w:rsidRPr="00975C02">
        <w:rPr>
          <w:sz w:val="20"/>
          <w:szCs w:val="20"/>
          <w:lang w:val="es-ES"/>
        </w:rPr>
        <w:lastRenderedPageBreak/>
        <w:t>Justicia por la retardación de justicia</w:t>
      </w:r>
      <w:r w:rsidRPr="00975C02">
        <w:rPr>
          <w:sz w:val="20"/>
          <w:szCs w:val="20"/>
          <w:vertAlign w:val="superscript"/>
          <w:lang w:val="es-ES"/>
        </w:rPr>
        <w:footnoteReference w:id="145"/>
      </w:r>
      <w:r w:rsidRPr="00975C02">
        <w:rPr>
          <w:sz w:val="20"/>
          <w:szCs w:val="20"/>
          <w:lang w:val="es-ES"/>
        </w:rPr>
        <w:t xml:space="preserve">. El 9 y 30 de noviembre de 2004 la señora V.P.C. presentó escritos ante el </w:t>
      </w:r>
      <w:r w:rsidR="00EB57B3" w:rsidRPr="00975C02">
        <w:rPr>
          <w:sz w:val="20"/>
          <w:szCs w:val="20"/>
          <w:lang w:val="es-ES"/>
        </w:rPr>
        <w:t xml:space="preserve">Juzgado de Distrito </w:t>
      </w:r>
      <w:r w:rsidR="0036426D" w:rsidRPr="00975C02">
        <w:rPr>
          <w:sz w:val="20"/>
          <w:szCs w:val="20"/>
          <w:lang w:val="es-ES"/>
        </w:rPr>
        <w:t xml:space="preserve">del Crimen </w:t>
      </w:r>
      <w:r w:rsidRPr="00975C02">
        <w:rPr>
          <w:sz w:val="20"/>
          <w:szCs w:val="20"/>
          <w:lang w:val="es-ES"/>
        </w:rPr>
        <w:t>en el cual refirió que habían pasado 23 meses desde que el Tribunal de Apelaciones resolvió sin que se proveyera, por lo que existía un “estado de retardación de justicia”</w:t>
      </w:r>
      <w:r w:rsidRPr="00975C02">
        <w:rPr>
          <w:sz w:val="20"/>
          <w:szCs w:val="20"/>
          <w:vertAlign w:val="superscript"/>
          <w:lang w:val="es-ES"/>
        </w:rPr>
        <w:footnoteReference w:id="146"/>
      </w:r>
      <w:r w:rsidRPr="00975C02">
        <w:rPr>
          <w:sz w:val="20"/>
          <w:szCs w:val="20"/>
          <w:lang w:val="es-ES"/>
        </w:rPr>
        <w:t>.</w:t>
      </w:r>
    </w:p>
    <w:p w14:paraId="1F85FDE3" w14:textId="77777777" w:rsidR="00B5625C" w:rsidRPr="00975C02" w:rsidRDefault="00B5625C" w:rsidP="00B5625C">
      <w:pPr>
        <w:tabs>
          <w:tab w:val="left" w:pos="567"/>
        </w:tabs>
        <w:spacing w:line="240" w:lineRule="auto"/>
        <w:rPr>
          <w:sz w:val="20"/>
          <w:szCs w:val="20"/>
          <w:lang w:val="es-ES"/>
        </w:rPr>
      </w:pPr>
    </w:p>
    <w:p w14:paraId="7269BD56" w14:textId="77777777" w:rsidR="00B5625C" w:rsidRPr="00975C02" w:rsidRDefault="00B5625C" w:rsidP="005C77A8">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Finalmente, el 13 de enero de 2005 el Juzgado de Distrito Penal de Juicio asumió jurisdicción y competencia para tramitar la causa y ordenó la apertura a pruebas del incidente de nulidad del veredicto</w:t>
      </w:r>
      <w:r w:rsidRPr="00975C02">
        <w:rPr>
          <w:sz w:val="20"/>
          <w:szCs w:val="20"/>
          <w:vertAlign w:val="superscript"/>
          <w:lang w:val="es-ES"/>
        </w:rPr>
        <w:footnoteReference w:id="147"/>
      </w:r>
      <w:r w:rsidRPr="00975C02">
        <w:rPr>
          <w:sz w:val="20"/>
          <w:szCs w:val="20"/>
          <w:lang w:val="es-ES"/>
        </w:rPr>
        <w:t>.</w:t>
      </w:r>
    </w:p>
    <w:p w14:paraId="5D917E35" w14:textId="77777777" w:rsidR="00B5625C" w:rsidRPr="00975C02" w:rsidRDefault="00B5625C" w:rsidP="00B5625C">
      <w:pPr>
        <w:spacing w:line="240" w:lineRule="auto"/>
        <w:rPr>
          <w:sz w:val="20"/>
          <w:szCs w:val="20"/>
          <w:lang w:val="es-ES"/>
        </w:rPr>
      </w:pPr>
    </w:p>
    <w:p w14:paraId="31A39BBC" w14:textId="77777777" w:rsidR="00B5625C" w:rsidRPr="00975C02" w:rsidRDefault="00B5625C" w:rsidP="005C77A8">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En ese marco, el 4 de febrero de 2005 se realizó una inspección ocular. En dicha diligencia se verificó que “[…] se procede a revisar el expediente Judicial por el señor Juez y las partes, y se logra corroborar que no existe ningún documento manuscrito color rosado […]”</w:t>
      </w:r>
      <w:r w:rsidRPr="00975C02">
        <w:rPr>
          <w:sz w:val="20"/>
          <w:szCs w:val="20"/>
          <w:vertAlign w:val="superscript"/>
          <w:lang w:val="es-ES"/>
        </w:rPr>
        <w:footnoteReference w:id="148"/>
      </w:r>
      <w:r w:rsidRPr="00975C02">
        <w:rPr>
          <w:sz w:val="20"/>
          <w:szCs w:val="20"/>
          <w:lang w:val="es-ES"/>
        </w:rPr>
        <w:t>.</w:t>
      </w:r>
    </w:p>
    <w:p w14:paraId="6C9A4506" w14:textId="77777777" w:rsidR="00B5625C" w:rsidRPr="00975C02" w:rsidRDefault="00B5625C" w:rsidP="00B5625C">
      <w:pPr>
        <w:spacing w:line="240" w:lineRule="auto"/>
        <w:rPr>
          <w:sz w:val="20"/>
          <w:szCs w:val="20"/>
          <w:lang w:val="es-ES"/>
        </w:rPr>
      </w:pPr>
    </w:p>
    <w:p w14:paraId="7556ED30" w14:textId="77777777" w:rsidR="00B5625C" w:rsidRPr="00975C02" w:rsidRDefault="00B5625C" w:rsidP="005C77A8">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Por otra parte, se realizó una inspección ocular en video el 9 de febrero de 2005. En el acta de dicha diligencia se dejó constancia que:</w:t>
      </w:r>
    </w:p>
    <w:p w14:paraId="22D64DF0" w14:textId="77777777" w:rsidR="00B5625C" w:rsidRPr="00975C02" w:rsidRDefault="00B5625C" w:rsidP="00B5625C">
      <w:pPr>
        <w:spacing w:line="240" w:lineRule="auto"/>
        <w:rPr>
          <w:sz w:val="20"/>
          <w:szCs w:val="20"/>
          <w:lang w:val="es-ES"/>
        </w:rPr>
      </w:pPr>
    </w:p>
    <w:p w14:paraId="1278C1A3" w14:textId="5138365E" w:rsidR="00B5625C" w:rsidRPr="00975C02" w:rsidRDefault="00B5625C" w:rsidP="00B5625C">
      <w:pPr>
        <w:spacing w:line="240" w:lineRule="auto"/>
        <w:ind w:left="567" w:right="567"/>
        <w:rPr>
          <w:sz w:val="16"/>
          <w:szCs w:val="16"/>
          <w:lang w:val="es-ES"/>
        </w:rPr>
      </w:pPr>
      <w:r w:rsidRPr="00975C02">
        <w:rPr>
          <w:sz w:val="16"/>
          <w:szCs w:val="16"/>
          <w:lang w:val="es-ES"/>
        </w:rPr>
        <w:t xml:space="preserve">[…] el [abogado defensor] tomó una bolsa de color plateado y se </w:t>
      </w:r>
      <w:r w:rsidR="009B198A" w:rsidRPr="00975C02">
        <w:rPr>
          <w:sz w:val="16"/>
          <w:szCs w:val="16"/>
          <w:lang w:val="es-ES"/>
        </w:rPr>
        <w:t>[</w:t>
      </w:r>
      <w:r w:rsidRPr="00975C02">
        <w:rPr>
          <w:sz w:val="16"/>
          <w:szCs w:val="16"/>
          <w:lang w:val="es-ES"/>
        </w:rPr>
        <w:t>la</w:t>
      </w:r>
      <w:r w:rsidR="009B198A" w:rsidRPr="00975C02">
        <w:rPr>
          <w:sz w:val="16"/>
          <w:szCs w:val="16"/>
          <w:lang w:val="es-ES"/>
        </w:rPr>
        <w:t>]</w:t>
      </w:r>
      <w:r w:rsidRPr="00975C02">
        <w:rPr>
          <w:sz w:val="16"/>
          <w:szCs w:val="16"/>
          <w:lang w:val="es-ES"/>
        </w:rPr>
        <w:t xml:space="preserve"> entregó a presencia del resto de miembros del Jurado y de las partes presentes, la Juez de Derecho la puso a su lado izquierdo, abriéndola a vista del [secretario].</w:t>
      </w:r>
    </w:p>
    <w:p w14:paraId="3DA94EB3" w14:textId="77777777" w:rsidR="00B5625C" w:rsidRPr="00975C02" w:rsidRDefault="00B5625C" w:rsidP="00B5625C">
      <w:pPr>
        <w:spacing w:line="240" w:lineRule="auto"/>
        <w:ind w:left="567" w:right="567"/>
        <w:rPr>
          <w:sz w:val="16"/>
          <w:szCs w:val="16"/>
          <w:lang w:val="es-ES"/>
        </w:rPr>
      </w:pPr>
    </w:p>
    <w:p w14:paraId="233D039E" w14:textId="779F6C68" w:rsidR="00B5625C" w:rsidRPr="00975C02" w:rsidRDefault="00B5625C" w:rsidP="00B5625C">
      <w:pPr>
        <w:spacing w:line="240" w:lineRule="auto"/>
        <w:ind w:left="567" w:right="567"/>
        <w:rPr>
          <w:sz w:val="20"/>
          <w:szCs w:val="20"/>
          <w:lang w:val="es-ES"/>
        </w:rPr>
      </w:pPr>
      <w:r w:rsidRPr="00975C02">
        <w:rPr>
          <w:sz w:val="16"/>
          <w:szCs w:val="16"/>
          <w:lang w:val="es-ES"/>
        </w:rPr>
        <w:t xml:space="preserve">[…] se observa que el abogado defensor </w:t>
      </w:r>
      <w:r w:rsidR="005F5242" w:rsidRPr="00975C02">
        <w:rPr>
          <w:sz w:val="16"/>
          <w:szCs w:val="16"/>
          <w:lang w:val="es-ES"/>
        </w:rPr>
        <w:t xml:space="preserve">[…] </w:t>
      </w:r>
      <w:r w:rsidRPr="00975C02">
        <w:rPr>
          <w:sz w:val="16"/>
          <w:szCs w:val="16"/>
          <w:lang w:val="es-ES"/>
        </w:rPr>
        <w:t xml:space="preserve">una de las hojas que tiene en su mano una de ellas es de color rosada, se retrocede el vídeo para constatar y se logra verificar que efectivamente es rosada, al efecto manifiesta el </w:t>
      </w:r>
      <w:r w:rsidR="005F5242" w:rsidRPr="00975C02">
        <w:rPr>
          <w:sz w:val="16"/>
          <w:szCs w:val="16"/>
          <w:lang w:val="es-ES"/>
        </w:rPr>
        <w:t>[abogado defensor]</w:t>
      </w:r>
      <w:r w:rsidRPr="00975C02">
        <w:rPr>
          <w:sz w:val="16"/>
          <w:szCs w:val="16"/>
          <w:lang w:val="es-ES"/>
        </w:rPr>
        <w:t xml:space="preserve"> y dice: Que el defensor de oficio manifestó que su defendido pretende que vosotros recibáis la presente carta y la enseña y es de color rosado, se la entrega a la Jueza de Derecho y le dice: QUE LA LEA EN SU SESION PRIVADA, en este acto el </w:t>
      </w:r>
      <w:r w:rsidR="005F5242" w:rsidRPr="00975C02">
        <w:rPr>
          <w:sz w:val="16"/>
          <w:szCs w:val="16"/>
          <w:lang w:val="es-ES"/>
        </w:rPr>
        <w:t>[abogado defensor]</w:t>
      </w:r>
      <w:r w:rsidRPr="00975C02">
        <w:rPr>
          <w:sz w:val="16"/>
          <w:szCs w:val="16"/>
          <w:lang w:val="es-ES"/>
        </w:rPr>
        <w:t xml:space="preserve"> dice que quiere que quede sentado en acta que la carta fue entrada de manera abierta sin sobre y se le extendió a los miembros del Jurado en presencia de todos; al efecto dice el </w:t>
      </w:r>
      <w:r w:rsidR="005F5242" w:rsidRPr="00975C02">
        <w:rPr>
          <w:sz w:val="16"/>
          <w:szCs w:val="16"/>
          <w:lang w:val="es-ES"/>
        </w:rPr>
        <w:t>[abogado de la parte acusadora]</w:t>
      </w:r>
      <w:r w:rsidRPr="00975C02">
        <w:rPr>
          <w:sz w:val="16"/>
          <w:szCs w:val="16"/>
          <w:lang w:val="es-ES"/>
        </w:rPr>
        <w:t xml:space="preserve">, pero la misma carta no fue leída públicamente, porque ya escuchamos que la recomendación </w:t>
      </w:r>
      <w:r w:rsidR="009B198A" w:rsidRPr="00975C02">
        <w:rPr>
          <w:sz w:val="16"/>
          <w:szCs w:val="16"/>
          <w:lang w:val="es-ES"/>
        </w:rPr>
        <w:t xml:space="preserve">era </w:t>
      </w:r>
      <w:r w:rsidRPr="00975C02">
        <w:rPr>
          <w:sz w:val="16"/>
          <w:szCs w:val="16"/>
          <w:lang w:val="es-ES"/>
        </w:rPr>
        <w:t>leerla en sesión privada; se observa que son dos hojas de papel rosado y la tiene la presidenta del jurado[…]</w:t>
      </w:r>
      <w:r w:rsidRPr="00975C02">
        <w:rPr>
          <w:sz w:val="16"/>
          <w:szCs w:val="16"/>
          <w:vertAlign w:val="superscript"/>
          <w:lang w:val="es-ES"/>
        </w:rPr>
        <w:footnoteReference w:id="149"/>
      </w:r>
      <w:r w:rsidRPr="00975C02">
        <w:rPr>
          <w:sz w:val="16"/>
          <w:szCs w:val="16"/>
          <w:lang w:val="es-ES"/>
        </w:rPr>
        <w:t>.</w:t>
      </w:r>
    </w:p>
    <w:p w14:paraId="76C08F06" w14:textId="77777777" w:rsidR="00B5625C" w:rsidRPr="00975C02" w:rsidRDefault="00B5625C" w:rsidP="00B5625C">
      <w:pPr>
        <w:spacing w:line="240" w:lineRule="auto"/>
        <w:rPr>
          <w:sz w:val="20"/>
          <w:szCs w:val="20"/>
          <w:lang w:val="es-ES"/>
        </w:rPr>
      </w:pPr>
    </w:p>
    <w:p w14:paraId="543BD616" w14:textId="278E6E1F" w:rsidR="00B5625C" w:rsidRPr="00975C02" w:rsidRDefault="00B5625C" w:rsidP="005C77A8">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El 9 de agosto de 2005 el Juez de Distrito para lo Penal de Juicio de Jinotega dictó una nueva sentencia en la que declaró no ha lugar al incidente de nulidad sustancial del Veredicto N° 33 del Tribunal de Jurado</w:t>
      </w:r>
      <w:r w:rsidR="005F5242" w:rsidRPr="00975C02">
        <w:rPr>
          <w:sz w:val="20"/>
          <w:szCs w:val="20"/>
          <w:lang w:val="es-ES"/>
        </w:rPr>
        <w:t>s</w:t>
      </w:r>
      <w:r w:rsidRPr="00975C02">
        <w:rPr>
          <w:sz w:val="20"/>
          <w:szCs w:val="20"/>
          <w:lang w:val="es-ES"/>
        </w:rPr>
        <w:t xml:space="preserve"> y, en consecuencia, que el mismo era firme y con todos sus efectos jurídicos en cuanto declaró la inocencia del señor H.R.A. </w:t>
      </w:r>
      <w:r w:rsidR="009B198A" w:rsidRPr="00975C02">
        <w:rPr>
          <w:sz w:val="20"/>
          <w:szCs w:val="20"/>
          <w:lang w:val="es-ES"/>
        </w:rPr>
        <w:t>C</w:t>
      </w:r>
      <w:r w:rsidRPr="00975C02">
        <w:rPr>
          <w:sz w:val="20"/>
          <w:szCs w:val="20"/>
          <w:lang w:val="es-ES"/>
        </w:rPr>
        <w:t xml:space="preserve">onsideró, en relación con el alegato de cohecho de los jurados previsto en el artículo 444 inciso 8, que ello había sido resuelto y descartado mediante la Sentencia N° 001 de la Sala de lo Penal del Tribunal de Apelaciones de la Circunscripción Norte de Matagalpa, de 13 de enero de 2003, según la cual dicha causal no fue interpuesta oportunamente ni probada de modo explícito. Además, concluyó que se cumplieron los requisitos legales en la conformación del jurado y en la emisión de la sentencia de primera instancia. Asimismo, sostuvo que no existió acción u omisión alguna que diera lugar a la nulidad del veredicto. Finalmente, el juzgado valoró un </w:t>
      </w:r>
      <w:r w:rsidR="001701D3" w:rsidRPr="00975C02">
        <w:rPr>
          <w:sz w:val="20"/>
          <w:szCs w:val="20"/>
          <w:lang w:val="es-ES"/>
        </w:rPr>
        <w:t>pronunciamiento</w:t>
      </w:r>
      <w:r w:rsidRPr="00975C02">
        <w:rPr>
          <w:sz w:val="20"/>
          <w:szCs w:val="20"/>
          <w:lang w:val="es-ES"/>
        </w:rPr>
        <w:t xml:space="preserve"> del Procurador Especial de la Niñez y </w:t>
      </w:r>
      <w:r w:rsidRPr="00975C02">
        <w:rPr>
          <w:sz w:val="20"/>
          <w:szCs w:val="20"/>
          <w:lang w:val="es-ES"/>
        </w:rPr>
        <w:lastRenderedPageBreak/>
        <w:t>Adolescencia en el que se habría indicado que no se presentaron anomalías en el proceso</w:t>
      </w:r>
      <w:r w:rsidRPr="00975C02">
        <w:rPr>
          <w:sz w:val="20"/>
          <w:szCs w:val="20"/>
          <w:vertAlign w:val="superscript"/>
          <w:lang w:val="es-ES"/>
        </w:rPr>
        <w:footnoteReference w:id="150"/>
      </w:r>
      <w:r w:rsidRPr="00975C02">
        <w:rPr>
          <w:sz w:val="20"/>
          <w:szCs w:val="20"/>
          <w:lang w:val="es-ES"/>
        </w:rPr>
        <w:t>.</w:t>
      </w:r>
    </w:p>
    <w:p w14:paraId="1690DC0B" w14:textId="77777777" w:rsidR="00B5625C" w:rsidRPr="00975C02" w:rsidRDefault="00B5625C" w:rsidP="00B5625C">
      <w:pPr>
        <w:spacing w:line="240" w:lineRule="auto"/>
        <w:rPr>
          <w:sz w:val="20"/>
          <w:szCs w:val="20"/>
          <w:lang w:val="es-ES"/>
        </w:rPr>
      </w:pPr>
    </w:p>
    <w:p w14:paraId="4E564180" w14:textId="094D67EB" w:rsidR="00B5625C" w:rsidRPr="00975C02" w:rsidRDefault="00B5625C" w:rsidP="005C77A8">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 xml:space="preserve">El 25 de agosto de 2005 el </w:t>
      </w:r>
      <w:r w:rsidR="002D499C" w:rsidRPr="00975C02">
        <w:rPr>
          <w:sz w:val="20"/>
          <w:szCs w:val="20"/>
          <w:lang w:val="es-ES"/>
        </w:rPr>
        <w:t>fiscal auxiliar</w:t>
      </w:r>
      <w:r w:rsidRPr="00975C02">
        <w:rPr>
          <w:sz w:val="20"/>
          <w:szCs w:val="20"/>
          <w:lang w:val="es-ES"/>
        </w:rPr>
        <w:t xml:space="preserve"> del Ministerio Público apeló la sentencia</w:t>
      </w:r>
      <w:r w:rsidRPr="00975C02">
        <w:rPr>
          <w:sz w:val="20"/>
          <w:szCs w:val="20"/>
          <w:vertAlign w:val="superscript"/>
          <w:lang w:val="es-ES"/>
        </w:rPr>
        <w:footnoteReference w:id="151"/>
      </w:r>
      <w:r w:rsidRPr="00975C02">
        <w:rPr>
          <w:sz w:val="20"/>
          <w:szCs w:val="20"/>
          <w:lang w:val="es-ES"/>
        </w:rPr>
        <w:t>. Lo mismo hizo la representación legal de la señora V.P.C.</w:t>
      </w:r>
      <w:r w:rsidRPr="00975C02">
        <w:rPr>
          <w:sz w:val="20"/>
          <w:szCs w:val="20"/>
          <w:vertAlign w:val="superscript"/>
          <w:lang w:val="es-ES"/>
        </w:rPr>
        <w:footnoteReference w:id="152"/>
      </w:r>
      <w:r w:rsidRPr="00975C02">
        <w:rPr>
          <w:sz w:val="20"/>
          <w:szCs w:val="20"/>
          <w:lang w:val="es-ES"/>
        </w:rPr>
        <w:t>.</w:t>
      </w:r>
    </w:p>
    <w:p w14:paraId="5E1BAB7B" w14:textId="77777777" w:rsidR="00B5625C" w:rsidRPr="00975C02" w:rsidRDefault="00B5625C" w:rsidP="00B5625C">
      <w:pPr>
        <w:spacing w:line="240" w:lineRule="auto"/>
        <w:rPr>
          <w:sz w:val="20"/>
          <w:szCs w:val="20"/>
          <w:lang w:val="es-ES"/>
        </w:rPr>
      </w:pPr>
    </w:p>
    <w:p w14:paraId="668E81AC" w14:textId="66725CDC" w:rsidR="00B5625C" w:rsidRPr="00975C02" w:rsidRDefault="00B5625C" w:rsidP="005C77A8">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 xml:space="preserve">El 24 de enero de 2007 la </w:t>
      </w:r>
      <w:r w:rsidR="00EB57B3" w:rsidRPr="00975C02">
        <w:rPr>
          <w:sz w:val="20"/>
          <w:szCs w:val="20"/>
          <w:lang w:val="es-ES"/>
        </w:rPr>
        <w:t>s</w:t>
      </w:r>
      <w:r w:rsidRPr="00975C02">
        <w:rPr>
          <w:sz w:val="20"/>
          <w:szCs w:val="20"/>
          <w:lang w:val="es-ES"/>
        </w:rPr>
        <w:t xml:space="preserve">ecretaría de la Sala Penal de Apelaciones Circunscripción Norte dejó constancia que el proceso se encontraba en estado de fallo y, además, que mediante auto del 3 de noviembre de 2005 se corrió traslado al </w:t>
      </w:r>
      <w:r w:rsidR="002D499C" w:rsidRPr="00975C02">
        <w:rPr>
          <w:sz w:val="20"/>
          <w:szCs w:val="20"/>
          <w:lang w:val="es-ES"/>
        </w:rPr>
        <w:t>fiscal auxiliar</w:t>
      </w:r>
      <w:r w:rsidRPr="00975C02">
        <w:rPr>
          <w:sz w:val="20"/>
          <w:szCs w:val="20"/>
          <w:lang w:val="es-ES"/>
        </w:rPr>
        <w:t xml:space="preserve"> del Ministerio Público y que éste “no hizo uso de sus derechos por no haber saco</w:t>
      </w:r>
      <w:r w:rsidR="00B97EA2" w:rsidRPr="00975C02">
        <w:rPr>
          <w:sz w:val="20"/>
          <w:szCs w:val="20"/>
          <w:lang w:val="es-ES"/>
        </w:rPr>
        <w:t xml:space="preserve"> [</w:t>
      </w:r>
      <w:r w:rsidR="00B97EA2" w:rsidRPr="00975C02">
        <w:rPr>
          <w:i/>
          <w:sz w:val="20"/>
          <w:szCs w:val="20"/>
          <w:lang w:val="es-ES"/>
        </w:rPr>
        <w:t>sic</w:t>
      </w:r>
      <w:r w:rsidR="00B97EA2" w:rsidRPr="00975C02">
        <w:rPr>
          <w:sz w:val="20"/>
          <w:szCs w:val="20"/>
          <w:lang w:val="es-ES"/>
        </w:rPr>
        <w:t>]</w:t>
      </w:r>
      <w:r w:rsidRPr="00975C02">
        <w:rPr>
          <w:sz w:val="20"/>
          <w:szCs w:val="20"/>
          <w:lang w:val="es-ES"/>
        </w:rPr>
        <w:t xml:space="preserve"> el traslado ni expresado agravios”</w:t>
      </w:r>
      <w:r w:rsidRPr="00975C02">
        <w:rPr>
          <w:sz w:val="20"/>
          <w:szCs w:val="20"/>
          <w:vertAlign w:val="superscript"/>
          <w:lang w:val="es-ES"/>
        </w:rPr>
        <w:footnoteReference w:id="153"/>
      </w:r>
      <w:r w:rsidRPr="00975C02">
        <w:rPr>
          <w:sz w:val="20"/>
          <w:szCs w:val="20"/>
          <w:lang w:val="es-ES"/>
        </w:rPr>
        <w:t>.</w:t>
      </w:r>
    </w:p>
    <w:p w14:paraId="04118439" w14:textId="77777777" w:rsidR="00B5625C" w:rsidRPr="00975C02" w:rsidRDefault="00B5625C" w:rsidP="00B5625C">
      <w:pPr>
        <w:spacing w:line="240" w:lineRule="auto"/>
        <w:rPr>
          <w:sz w:val="20"/>
          <w:szCs w:val="20"/>
          <w:lang w:val="es-ES"/>
        </w:rPr>
      </w:pPr>
    </w:p>
    <w:p w14:paraId="2F0A1EED" w14:textId="6281DB11" w:rsidR="00B5625C" w:rsidRPr="00975C02" w:rsidRDefault="00B5625C" w:rsidP="005C77A8">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 xml:space="preserve">El 24 de octubre de 2007 la Sala de lo Penal del Tribunal de Apelaciones de la Circunscripción Norte de Matagalpa dictó sentencia rechazando los recursos de apelación. En consecuencia, declaró firme el Veredicto N° 33 y la inocencia del señor H.R.A. Además, agregó que contra dicha decisión no cabía ulterior recurso. Respecto al cohecho alegado, en la citada resolución se consideró, entre </w:t>
      </w:r>
      <w:r w:rsidR="00345370" w:rsidRPr="00975C02">
        <w:rPr>
          <w:sz w:val="20"/>
          <w:szCs w:val="20"/>
          <w:lang w:val="es-ES"/>
        </w:rPr>
        <w:t xml:space="preserve">otras </w:t>
      </w:r>
      <w:r w:rsidRPr="00975C02">
        <w:rPr>
          <w:sz w:val="20"/>
          <w:szCs w:val="20"/>
          <w:lang w:val="es-ES"/>
        </w:rPr>
        <w:t xml:space="preserve">cosas, que del acta de la inspección realizada en la cinta de video de la audiencia cuestionada se desprende que: </w:t>
      </w:r>
    </w:p>
    <w:p w14:paraId="325147FC" w14:textId="77777777" w:rsidR="00B5625C" w:rsidRPr="00975C02" w:rsidRDefault="00B5625C" w:rsidP="00B5625C">
      <w:pPr>
        <w:spacing w:line="240" w:lineRule="auto"/>
        <w:rPr>
          <w:sz w:val="20"/>
          <w:szCs w:val="20"/>
          <w:lang w:val="es-ES"/>
        </w:rPr>
      </w:pPr>
    </w:p>
    <w:p w14:paraId="734358DF" w14:textId="7DCEF02E" w:rsidR="00B5625C" w:rsidRPr="00975C02" w:rsidRDefault="00B5625C" w:rsidP="00B5625C">
      <w:pPr>
        <w:spacing w:line="240" w:lineRule="auto"/>
        <w:ind w:left="567" w:right="624"/>
        <w:rPr>
          <w:sz w:val="20"/>
          <w:szCs w:val="20"/>
          <w:lang w:val="es-ES"/>
        </w:rPr>
      </w:pPr>
      <w:r w:rsidRPr="00975C02">
        <w:rPr>
          <w:sz w:val="16"/>
          <w:szCs w:val="16"/>
          <w:lang w:val="es-ES"/>
        </w:rPr>
        <w:t xml:space="preserve">[…] a la juez de derecho, quien fungía como presidenta del tribunal de jurado, le fue entregado un papel rosado, a vista de las partes, que la representante del Ministerio </w:t>
      </w:r>
      <w:r w:rsidR="006406C9">
        <w:rPr>
          <w:sz w:val="16"/>
          <w:szCs w:val="16"/>
          <w:lang w:val="es-ES"/>
        </w:rPr>
        <w:t>[Público]</w:t>
      </w:r>
      <w:r w:rsidRPr="00975C02">
        <w:rPr>
          <w:sz w:val="16"/>
          <w:szCs w:val="16"/>
          <w:lang w:val="es-ES"/>
        </w:rPr>
        <w:t xml:space="preserve">, refirió renunciar a su intervención si no se le estaba poniendo atención, que se entrega un paquete color plateado del cual dos miembros del jurado ponen atención; sin embargo con esta inspección no se evidencia prueba que demuestre el cohecho a los miembros del jurado, por cuanto […] en la cinta que aporta debió observarse tanto la protesta del acusador como por la señora Procuradora actuante durante la audiencia del jurado […] situación inexistente en la audiencia descrita por Juez A-quo […] con cada una de las pruebas relacionadas al incidente no logra demostrar la causal de cohecho […] por cuanto las pruebas aportadas relatan incidencias que sucedieron a lo largo de la audiencia del jurado; sin embargo, tales incidencias son insuficientes para que esta </w:t>
      </w:r>
      <w:r w:rsidR="001301C4" w:rsidRPr="00975C02">
        <w:rPr>
          <w:sz w:val="16"/>
          <w:szCs w:val="16"/>
          <w:lang w:val="es-ES"/>
        </w:rPr>
        <w:t>S</w:t>
      </w:r>
      <w:r w:rsidRPr="00975C02">
        <w:rPr>
          <w:sz w:val="16"/>
          <w:szCs w:val="16"/>
          <w:lang w:val="es-ES"/>
        </w:rPr>
        <w:t>ala tenga por acreditado que el jurado recibió dádiva, promesa o recompensa por el veredicto dictado a favor del procesado, debiendo la parte incidentista acreditar en que consiste la dádiva, recompensa, quien la entregó, en qué lugar, a quien se le entregó, de qué manera la recibió el tribunal de jurado […]</w:t>
      </w:r>
      <w:r w:rsidRPr="00975C02">
        <w:rPr>
          <w:sz w:val="16"/>
          <w:szCs w:val="16"/>
          <w:vertAlign w:val="superscript"/>
          <w:lang w:val="es-ES"/>
        </w:rPr>
        <w:footnoteReference w:id="154"/>
      </w:r>
      <w:r w:rsidRPr="00975C02">
        <w:rPr>
          <w:sz w:val="16"/>
          <w:szCs w:val="16"/>
          <w:lang w:val="es-ES"/>
        </w:rPr>
        <w:t>.</w:t>
      </w:r>
    </w:p>
    <w:p w14:paraId="79B56A67" w14:textId="77777777" w:rsidR="00B5625C" w:rsidRPr="00975C02" w:rsidRDefault="00B5625C" w:rsidP="00D644BC">
      <w:pPr>
        <w:tabs>
          <w:tab w:val="left" w:pos="567"/>
        </w:tabs>
        <w:spacing w:line="240" w:lineRule="auto"/>
        <w:rPr>
          <w:sz w:val="20"/>
          <w:szCs w:val="20"/>
          <w:lang w:val="es-ES"/>
        </w:rPr>
      </w:pPr>
    </w:p>
    <w:p w14:paraId="3FBFFA50" w14:textId="31F298E0" w:rsidR="00B5625C" w:rsidRPr="00975C02" w:rsidRDefault="00B5625C" w:rsidP="00D644BC">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 xml:space="preserve">La Sala </w:t>
      </w:r>
      <w:r w:rsidR="00345370" w:rsidRPr="00975C02">
        <w:rPr>
          <w:sz w:val="20"/>
          <w:szCs w:val="20"/>
          <w:lang w:val="es-ES"/>
        </w:rPr>
        <w:t xml:space="preserve">de lo Penal </w:t>
      </w:r>
      <w:r w:rsidRPr="00975C02">
        <w:rPr>
          <w:sz w:val="20"/>
          <w:szCs w:val="20"/>
          <w:lang w:val="es-ES"/>
        </w:rPr>
        <w:t xml:space="preserve">no </w:t>
      </w:r>
      <w:r w:rsidR="000C7392" w:rsidRPr="00975C02">
        <w:rPr>
          <w:sz w:val="20"/>
          <w:szCs w:val="20"/>
          <w:lang w:val="es-ES"/>
        </w:rPr>
        <w:t>habría visualizado el vi</w:t>
      </w:r>
      <w:r w:rsidRPr="00975C02">
        <w:rPr>
          <w:sz w:val="20"/>
          <w:szCs w:val="20"/>
          <w:lang w:val="es-ES"/>
        </w:rPr>
        <w:t>deo</w:t>
      </w:r>
      <w:r w:rsidR="00345370" w:rsidRPr="00975C02">
        <w:rPr>
          <w:sz w:val="20"/>
          <w:szCs w:val="20"/>
          <w:lang w:val="es-ES"/>
        </w:rPr>
        <w:t>, sino que sus afirmaciones se basaron en el acta (</w:t>
      </w:r>
      <w:r w:rsidR="00345370" w:rsidRPr="00975C02">
        <w:rPr>
          <w:i/>
          <w:sz w:val="20"/>
          <w:szCs w:val="20"/>
          <w:lang w:val="es-ES"/>
        </w:rPr>
        <w:t>supra</w:t>
      </w:r>
      <w:r w:rsidR="00345370" w:rsidRPr="00975C02">
        <w:rPr>
          <w:sz w:val="20"/>
          <w:szCs w:val="20"/>
          <w:lang w:val="es-ES"/>
        </w:rPr>
        <w:t xml:space="preserve"> párr. </w:t>
      </w:r>
      <w:r w:rsidR="000C7392" w:rsidRPr="00975C02">
        <w:rPr>
          <w:sz w:val="20"/>
          <w:szCs w:val="20"/>
          <w:lang w:val="es-ES"/>
        </w:rPr>
        <w:t>118</w:t>
      </w:r>
      <w:r w:rsidR="00345370" w:rsidRPr="00975C02">
        <w:rPr>
          <w:sz w:val="20"/>
          <w:szCs w:val="20"/>
          <w:lang w:val="es-ES"/>
        </w:rPr>
        <w:t xml:space="preserve">). </w:t>
      </w:r>
      <w:r w:rsidRPr="00975C02">
        <w:rPr>
          <w:sz w:val="20"/>
          <w:szCs w:val="20"/>
          <w:lang w:val="es-ES"/>
        </w:rPr>
        <w:t xml:space="preserve">El </w:t>
      </w:r>
      <w:r w:rsidR="00345370" w:rsidRPr="00975C02">
        <w:rPr>
          <w:sz w:val="20"/>
          <w:szCs w:val="20"/>
          <w:lang w:val="es-ES"/>
        </w:rPr>
        <w:t xml:space="preserve">referido </w:t>
      </w:r>
      <w:r w:rsidRPr="00975C02">
        <w:rPr>
          <w:sz w:val="20"/>
          <w:szCs w:val="20"/>
          <w:lang w:val="es-ES"/>
        </w:rPr>
        <w:t>v</w:t>
      </w:r>
      <w:r w:rsidR="000C7392" w:rsidRPr="00975C02">
        <w:rPr>
          <w:sz w:val="20"/>
          <w:szCs w:val="20"/>
          <w:lang w:val="es-ES"/>
        </w:rPr>
        <w:t>i</w:t>
      </w:r>
      <w:r w:rsidRPr="00975C02">
        <w:rPr>
          <w:sz w:val="20"/>
          <w:szCs w:val="20"/>
          <w:lang w:val="es-ES"/>
        </w:rPr>
        <w:t xml:space="preserve">deo no fue aportado </w:t>
      </w:r>
      <w:r w:rsidR="00345370" w:rsidRPr="00975C02">
        <w:rPr>
          <w:sz w:val="20"/>
          <w:szCs w:val="20"/>
          <w:lang w:val="es-ES"/>
        </w:rPr>
        <w:t xml:space="preserve">a esta Corte, </w:t>
      </w:r>
      <w:r w:rsidRPr="00975C02">
        <w:rPr>
          <w:sz w:val="20"/>
          <w:szCs w:val="20"/>
          <w:lang w:val="es-ES"/>
        </w:rPr>
        <w:t>a pesar de la solicitud de prueba para mejor resolver</w:t>
      </w:r>
      <w:r w:rsidR="00345370" w:rsidRPr="00975C02">
        <w:rPr>
          <w:sz w:val="20"/>
          <w:szCs w:val="20"/>
          <w:lang w:val="es-ES"/>
        </w:rPr>
        <w:t xml:space="preserve"> (</w:t>
      </w:r>
      <w:r w:rsidR="00345370" w:rsidRPr="00975C02">
        <w:rPr>
          <w:i/>
          <w:sz w:val="20"/>
          <w:szCs w:val="20"/>
          <w:lang w:val="es-ES"/>
        </w:rPr>
        <w:t>supra</w:t>
      </w:r>
      <w:r w:rsidR="000C7392" w:rsidRPr="00975C02">
        <w:rPr>
          <w:sz w:val="20"/>
          <w:szCs w:val="20"/>
          <w:lang w:val="es-ES"/>
        </w:rPr>
        <w:t xml:space="preserve"> párr. 12</w:t>
      </w:r>
      <w:r w:rsidR="00345370" w:rsidRPr="00975C02">
        <w:rPr>
          <w:sz w:val="20"/>
          <w:szCs w:val="20"/>
          <w:lang w:val="es-ES"/>
        </w:rPr>
        <w:t>)</w:t>
      </w:r>
      <w:r w:rsidRPr="00975C02">
        <w:rPr>
          <w:sz w:val="20"/>
          <w:szCs w:val="20"/>
          <w:lang w:val="es-ES"/>
        </w:rPr>
        <w:t>.</w:t>
      </w:r>
    </w:p>
    <w:p w14:paraId="42F2A382" w14:textId="77777777" w:rsidR="00B5625C" w:rsidRPr="00975C02" w:rsidRDefault="00B5625C" w:rsidP="00D644BC">
      <w:pPr>
        <w:tabs>
          <w:tab w:val="left" w:pos="567"/>
        </w:tabs>
        <w:spacing w:line="240" w:lineRule="auto"/>
        <w:rPr>
          <w:sz w:val="20"/>
          <w:szCs w:val="20"/>
          <w:lang w:val="es-ES"/>
        </w:rPr>
      </w:pPr>
    </w:p>
    <w:p w14:paraId="717780E6" w14:textId="77777777" w:rsidR="00B5625C" w:rsidRPr="00975C02" w:rsidRDefault="00B5625C" w:rsidP="005C77A8">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El señor H.R.A. falleció el 29 de agosto del año 2008</w:t>
      </w:r>
      <w:r w:rsidRPr="00975C02">
        <w:rPr>
          <w:sz w:val="20"/>
          <w:szCs w:val="20"/>
          <w:vertAlign w:val="superscript"/>
          <w:lang w:val="es-ES"/>
        </w:rPr>
        <w:footnoteReference w:id="155"/>
      </w:r>
      <w:r w:rsidRPr="00975C02">
        <w:rPr>
          <w:sz w:val="20"/>
          <w:szCs w:val="20"/>
          <w:lang w:val="es-ES"/>
        </w:rPr>
        <w:t>.</w:t>
      </w:r>
    </w:p>
    <w:p w14:paraId="1098ED1F" w14:textId="77777777" w:rsidR="00B5625C" w:rsidRPr="00975C02" w:rsidRDefault="00B5625C" w:rsidP="00B5625C">
      <w:pPr>
        <w:spacing w:line="240" w:lineRule="auto"/>
        <w:rPr>
          <w:sz w:val="20"/>
          <w:szCs w:val="20"/>
          <w:lang w:val="es-ES"/>
        </w:rPr>
      </w:pPr>
    </w:p>
    <w:p w14:paraId="55CD7196" w14:textId="6F9F0F2B" w:rsidR="00B5625C" w:rsidRPr="00975C02" w:rsidRDefault="00194A45" w:rsidP="002C415B">
      <w:pPr>
        <w:pStyle w:val="ListParagraph"/>
        <w:keepNext/>
        <w:keepLines/>
        <w:numPr>
          <w:ilvl w:val="0"/>
          <w:numId w:val="15"/>
        </w:numPr>
        <w:tabs>
          <w:tab w:val="left" w:pos="1134"/>
        </w:tabs>
        <w:spacing w:line="240" w:lineRule="auto"/>
        <w:outlineLvl w:val="1"/>
        <w:rPr>
          <w:rFonts w:eastAsia="MS Mincho"/>
          <w:b/>
          <w:bCs/>
          <w:i/>
          <w:sz w:val="20"/>
          <w:szCs w:val="20"/>
          <w:lang w:val="es-ES"/>
        </w:rPr>
      </w:pPr>
      <w:bookmarkStart w:id="113" w:name="_Toc514172623"/>
      <w:r>
        <w:rPr>
          <w:rFonts w:eastAsia="MS Mincho"/>
          <w:b/>
          <w:bCs/>
          <w:i/>
          <w:sz w:val="20"/>
          <w:szCs w:val="20"/>
          <w:lang w:val="es-ES"/>
        </w:rPr>
        <w:t>Las q</w:t>
      </w:r>
      <w:r w:rsidR="00B5625C" w:rsidRPr="00975C02">
        <w:rPr>
          <w:rFonts w:eastAsia="MS Mincho"/>
          <w:b/>
          <w:bCs/>
          <w:i/>
          <w:sz w:val="20"/>
          <w:szCs w:val="20"/>
          <w:lang w:val="es-ES"/>
        </w:rPr>
        <w:t xml:space="preserve">uejas presentadas por la señora V.P.C. por irregularidades en el transcurso de la investigación y </w:t>
      </w:r>
      <w:r w:rsidR="005145E9" w:rsidRPr="00975C02">
        <w:rPr>
          <w:rFonts w:eastAsia="MS Mincho"/>
          <w:b/>
          <w:bCs/>
          <w:i/>
          <w:sz w:val="20"/>
          <w:szCs w:val="20"/>
          <w:lang w:val="es-ES"/>
        </w:rPr>
        <w:t>d</w:t>
      </w:r>
      <w:r w:rsidR="00B5625C" w:rsidRPr="00975C02">
        <w:rPr>
          <w:rFonts w:eastAsia="MS Mincho"/>
          <w:b/>
          <w:bCs/>
          <w:i/>
          <w:sz w:val="20"/>
          <w:szCs w:val="20"/>
          <w:lang w:val="es-ES"/>
        </w:rPr>
        <w:t>el proceso</w:t>
      </w:r>
      <w:bookmarkEnd w:id="113"/>
    </w:p>
    <w:p w14:paraId="458B7197" w14:textId="77777777" w:rsidR="00B5625C" w:rsidRPr="00975C02" w:rsidRDefault="00B5625C" w:rsidP="00B5625C">
      <w:pPr>
        <w:spacing w:line="240" w:lineRule="auto"/>
        <w:rPr>
          <w:sz w:val="20"/>
          <w:szCs w:val="20"/>
          <w:lang w:val="es-ES"/>
        </w:rPr>
      </w:pPr>
    </w:p>
    <w:p w14:paraId="11918F7D" w14:textId="77777777" w:rsidR="00B5625C" w:rsidRPr="00975C02" w:rsidRDefault="00B5625C" w:rsidP="005C77A8">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Además de promover, a través de sus representantes legales, la acusación contra el señor H.R.A. durante el transcurso del proceso, la señora V.P.C. realizó otras gestiones con el objetivo de denunciar presuntas irregularidades en el transcurso de la investigación y del proceso.</w:t>
      </w:r>
    </w:p>
    <w:p w14:paraId="183A7BE4" w14:textId="77777777" w:rsidR="00B5625C" w:rsidRPr="00975C02" w:rsidRDefault="00B5625C" w:rsidP="00B5625C">
      <w:pPr>
        <w:tabs>
          <w:tab w:val="left" w:pos="567"/>
        </w:tabs>
        <w:spacing w:line="240" w:lineRule="auto"/>
        <w:rPr>
          <w:sz w:val="20"/>
          <w:szCs w:val="20"/>
          <w:lang w:val="es-ES"/>
        </w:rPr>
      </w:pPr>
    </w:p>
    <w:p w14:paraId="16AF8643" w14:textId="539455A4" w:rsidR="00B5625C" w:rsidRPr="00975C02" w:rsidRDefault="00B5625C" w:rsidP="002C415B">
      <w:pPr>
        <w:widowControl/>
        <w:numPr>
          <w:ilvl w:val="0"/>
          <w:numId w:val="9"/>
        </w:numPr>
        <w:adjustRightInd/>
        <w:spacing w:line="240" w:lineRule="auto"/>
        <w:jc w:val="left"/>
        <w:textAlignment w:val="auto"/>
        <w:rPr>
          <w:i/>
          <w:sz w:val="20"/>
          <w:szCs w:val="20"/>
          <w:lang w:val="es-ES"/>
        </w:rPr>
      </w:pPr>
      <w:r w:rsidRPr="00975C02">
        <w:rPr>
          <w:i/>
          <w:sz w:val="20"/>
          <w:szCs w:val="20"/>
          <w:lang w:val="es-ES"/>
        </w:rPr>
        <w:lastRenderedPageBreak/>
        <w:t>Quejas de V.P.C. contra el médico forense</w:t>
      </w:r>
    </w:p>
    <w:p w14:paraId="66BE872A" w14:textId="77777777" w:rsidR="00B5625C" w:rsidRPr="00975C02" w:rsidRDefault="00B5625C" w:rsidP="00B5625C">
      <w:pPr>
        <w:tabs>
          <w:tab w:val="left" w:pos="567"/>
        </w:tabs>
        <w:spacing w:line="240" w:lineRule="auto"/>
        <w:rPr>
          <w:sz w:val="20"/>
          <w:szCs w:val="20"/>
          <w:lang w:val="es-ES"/>
        </w:rPr>
      </w:pPr>
    </w:p>
    <w:p w14:paraId="36543365" w14:textId="77777777" w:rsidR="00B5625C" w:rsidRPr="00975C02" w:rsidRDefault="00B5625C" w:rsidP="005C77A8">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 xml:space="preserve">El 22 de noviembre de 2001 la señora V.P.C. presentó un escrito al Director del Sistema Local de Atención Integral en Salud (SILAIS) del departamento de Jinotega, mediante el cual denunció el comportamiento del </w:t>
      </w:r>
      <w:r w:rsidR="00A55D8D" w:rsidRPr="00975C02">
        <w:rPr>
          <w:sz w:val="20"/>
          <w:szCs w:val="20"/>
          <w:lang w:val="es-ES"/>
        </w:rPr>
        <w:t>médico forense</w:t>
      </w:r>
      <w:r w:rsidRPr="00975C02">
        <w:rPr>
          <w:sz w:val="20"/>
          <w:szCs w:val="20"/>
          <w:lang w:val="es-ES"/>
        </w:rPr>
        <w:t xml:space="preserve"> cuando realizó el examen médico a V.R.P.</w:t>
      </w:r>
      <w:r w:rsidRPr="00975C02">
        <w:rPr>
          <w:sz w:val="20"/>
          <w:szCs w:val="20"/>
          <w:vertAlign w:val="superscript"/>
          <w:lang w:val="es-ES"/>
        </w:rPr>
        <w:footnoteReference w:id="156"/>
      </w:r>
      <w:r w:rsidRPr="00975C02">
        <w:rPr>
          <w:sz w:val="20"/>
          <w:szCs w:val="20"/>
          <w:lang w:val="es-ES"/>
        </w:rPr>
        <w:t>. El 26 de noviembre de 2001 el SILAIS de Jinotega le informó que no podía tramitar la misma, toda vez que al ser médico forense nombrado por la Corte Suprema de Justicia no dependía del Ministerio de Salud, por lo que la queja debía interponerse ante la Corte Suprema de Justicia</w:t>
      </w:r>
      <w:r w:rsidRPr="00975C02">
        <w:rPr>
          <w:sz w:val="20"/>
          <w:szCs w:val="20"/>
          <w:vertAlign w:val="superscript"/>
          <w:lang w:val="es-ES"/>
        </w:rPr>
        <w:footnoteReference w:id="157"/>
      </w:r>
      <w:r w:rsidRPr="00975C02">
        <w:rPr>
          <w:sz w:val="20"/>
          <w:szCs w:val="20"/>
          <w:lang w:val="es-ES"/>
        </w:rPr>
        <w:t>.</w:t>
      </w:r>
    </w:p>
    <w:p w14:paraId="57447B10" w14:textId="77777777" w:rsidR="00B5625C" w:rsidRPr="00975C02" w:rsidRDefault="00B5625C" w:rsidP="00B5625C">
      <w:pPr>
        <w:tabs>
          <w:tab w:val="left" w:pos="567"/>
        </w:tabs>
        <w:spacing w:line="240" w:lineRule="auto"/>
        <w:rPr>
          <w:sz w:val="20"/>
          <w:szCs w:val="20"/>
          <w:lang w:val="es-ES"/>
        </w:rPr>
      </w:pPr>
    </w:p>
    <w:p w14:paraId="7931F8B0" w14:textId="3B057F3E" w:rsidR="00B5625C" w:rsidRPr="00975C02" w:rsidRDefault="00B5625C" w:rsidP="005C77A8">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El 30 de abril de 2002 la señora V.P.C. presentó una queja ante la Comisión Disciplinaria de la Corte Suprema de Justicia contra el médico forense</w:t>
      </w:r>
      <w:r w:rsidRPr="00975C02">
        <w:rPr>
          <w:sz w:val="20"/>
          <w:szCs w:val="20"/>
          <w:vertAlign w:val="superscript"/>
          <w:lang w:val="es-ES"/>
        </w:rPr>
        <w:footnoteReference w:id="158"/>
      </w:r>
      <w:r w:rsidRPr="00975C02">
        <w:rPr>
          <w:sz w:val="20"/>
          <w:szCs w:val="20"/>
          <w:lang w:val="es-ES"/>
        </w:rPr>
        <w:t>, lo cual fue reiterado el 22 de julio del mismo año</w:t>
      </w:r>
      <w:r w:rsidRPr="00975C02">
        <w:rPr>
          <w:sz w:val="20"/>
          <w:szCs w:val="20"/>
          <w:vertAlign w:val="superscript"/>
          <w:lang w:val="es-ES"/>
        </w:rPr>
        <w:footnoteReference w:id="159"/>
      </w:r>
      <w:r w:rsidRPr="00975C02">
        <w:rPr>
          <w:sz w:val="20"/>
          <w:szCs w:val="20"/>
          <w:lang w:val="es-ES"/>
        </w:rPr>
        <w:t xml:space="preserve">. El 1 de julio de 2003 la abogada de la señora V.P.C. presentó un oficio a la Comisión Disciplinaria de la Corte Suprema de Justicia, en el cual arguyó la parcialidad con que habría actuado el médico forense. Además, indicó que el hermano del citado médico participó en el proceso penal como testigo a favor del acusado y que interpuso </w:t>
      </w:r>
      <w:r w:rsidR="0079154A">
        <w:rPr>
          <w:sz w:val="20"/>
          <w:szCs w:val="20"/>
          <w:lang w:val="es-ES"/>
        </w:rPr>
        <w:t>una acción</w:t>
      </w:r>
      <w:r w:rsidRPr="00975C02">
        <w:rPr>
          <w:sz w:val="20"/>
          <w:szCs w:val="20"/>
          <w:lang w:val="es-ES"/>
        </w:rPr>
        <w:t xml:space="preserve"> penal por injuria</w:t>
      </w:r>
      <w:r w:rsidR="001301C4" w:rsidRPr="00975C02">
        <w:rPr>
          <w:sz w:val="20"/>
          <w:szCs w:val="20"/>
          <w:lang w:val="es-ES"/>
        </w:rPr>
        <w:t xml:space="preserve">s y </w:t>
      </w:r>
      <w:r w:rsidR="00D66702" w:rsidRPr="00975C02">
        <w:rPr>
          <w:sz w:val="20"/>
          <w:szCs w:val="20"/>
          <w:lang w:val="es-ES"/>
        </w:rPr>
        <w:t>calumnias</w:t>
      </w:r>
      <w:r w:rsidRPr="00975C02">
        <w:rPr>
          <w:sz w:val="20"/>
          <w:szCs w:val="20"/>
          <w:lang w:val="es-ES"/>
        </w:rPr>
        <w:t xml:space="preserve"> contra V.P.C.</w:t>
      </w:r>
      <w:r w:rsidRPr="00975C02">
        <w:rPr>
          <w:sz w:val="20"/>
          <w:szCs w:val="20"/>
          <w:vertAlign w:val="superscript"/>
          <w:lang w:val="es-ES"/>
        </w:rPr>
        <w:footnoteReference w:id="160"/>
      </w:r>
      <w:r w:rsidRPr="00975C02">
        <w:rPr>
          <w:sz w:val="20"/>
          <w:szCs w:val="20"/>
          <w:lang w:val="es-ES"/>
        </w:rPr>
        <w:t xml:space="preserve"> Según indicó el Estado, dicha queja no se habría tramitado por falta de pruebas y, por ende, se ordenó su archivo.</w:t>
      </w:r>
    </w:p>
    <w:p w14:paraId="0D1E7D03" w14:textId="77777777" w:rsidR="00B5625C" w:rsidRPr="00975C02" w:rsidRDefault="00B5625C" w:rsidP="00B5625C">
      <w:pPr>
        <w:widowControl/>
        <w:adjustRightInd/>
        <w:spacing w:line="240" w:lineRule="auto"/>
        <w:textAlignment w:val="auto"/>
        <w:rPr>
          <w:sz w:val="20"/>
          <w:szCs w:val="20"/>
          <w:lang w:val="es-ES"/>
        </w:rPr>
      </w:pPr>
    </w:p>
    <w:p w14:paraId="65AEA658" w14:textId="53335E0A" w:rsidR="00B5625C" w:rsidRPr="00975C02" w:rsidRDefault="00B5625C" w:rsidP="002C415B">
      <w:pPr>
        <w:widowControl/>
        <w:numPr>
          <w:ilvl w:val="0"/>
          <w:numId w:val="9"/>
        </w:numPr>
        <w:adjustRightInd/>
        <w:spacing w:line="240" w:lineRule="auto"/>
        <w:jc w:val="left"/>
        <w:textAlignment w:val="auto"/>
        <w:rPr>
          <w:i/>
          <w:sz w:val="20"/>
          <w:szCs w:val="20"/>
          <w:lang w:val="es-ES"/>
        </w:rPr>
      </w:pPr>
      <w:r w:rsidRPr="00975C02">
        <w:rPr>
          <w:i/>
          <w:sz w:val="20"/>
          <w:szCs w:val="20"/>
          <w:lang w:val="es-ES"/>
        </w:rPr>
        <w:t>Quejas de V.P.C. contra la fiscal auxiliar</w:t>
      </w:r>
      <w:r w:rsidR="00C929CA" w:rsidRPr="00975C02">
        <w:rPr>
          <w:i/>
          <w:sz w:val="20"/>
          <w:szCs w:val="20"/>
          <w:lang w:val="es-ES"/>
        </w:rPr>
        <w:t xml:space="preserve"> departamental</w:t>
      </w:r>
    </w:p>
    <w:p w14:paraId="78305808" w14:textId="77777777" w:rsidR="00B5625C" w:rsidRPr="00975C02" w:rsidRDefault="00B5625C" w:rsidP="00B5625C">
      <w:pPr>
        <w:tabs>
          <w:tab w:val="left" w:pos="567"/>
        </w:tabs>
        <w:spacing w:line="240" w:lineRule="auto"/>
        <w:rPr>
          <w:i/>
          <w:sz w:val="20"/>
          <w:szCs w:val="20"/>
          <w:lang w:val="es-ES"/>
        </w:rPr>
      </w:pPr>
    </w:p>
    <w:p w14:paraId="71AE117B" w14:textId="5002F14A" w:rsidR="00B5625C" w:rsidRPr="00975C02" w:rsidRDefault="00B5625C" w:rsidP="005C77A8">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El 17 de julio de 2002 la señora V.P.C. dirigió escrito al Fiscal General de la República, presentando queja contra la fiscal auxiliar</w:t>
      </w:r>
      <w:r w:rsidR="00C929CA" w:rsidRPr="00975C02">
        <w:rPr>
          <w:sz w:val="20"/>
          <w:szCs w:val="20"/>
          <w:lang w:val="es-ES"/>
        </w:rPr>
        <w:t xml:space="preserve"> departamental</w:t>
      </w:r>
      <w:r w:rsidRPr="00975C02">
        <w:rPr>
          <w:sz w:val="20"/>
          <w:szCs w:val="20"/>
          <w:lang w:val="es-ES"/>
        </w:rPr>
        <w:t>, denunciando actuación negligente por parte de la funcionaria durante el proceso penal por violación sexual</w:t>
      </w:r>
      <w:r w:rsidR="00AD523C" w:rsidRPr="00975C02">
        <w:rPr>
          <w:sz w:val="20"/>
          <w:szCs w:val="20"/>
          <w:vertAlign w:val="superscript"/>
          <w:lang w:val="es-ES"/>
        </w:rPr>
        <w:footnoteReference w:id="161"/>
      </w:r>
      <w:r w:rsidRPr="00975C02">
        <w:rPr>
          <w:sz w:val="20"/>
          <w:szCs w:val="20"/>
          <w:lang w:val="es-ES"/>
        </w:rPr>
        <w:t>. La queja fue reiterada posteriormente, el 29 de julio</w:t>
      </w:r>
      <w:r w:rsidRPr="00975C02">
        <w:rPr>
          <w:sz w:val="20"/>
          <w:szCs w:val="20"/>
          <w:vertAlign w:val="superscript"/>
          <w:lang w:val="es-ES"/>
        </w:rPr>
        <w:footnoteReference w:id="162"/>
      </w:r>
      <w:r w:rsidRPr="00975C02">
        <w:rPr>
          <w:sz w:val="20"/>
          <w:szCs w:val="20"/>
          <w:lang w:val="es-ES"/>
        </w:rPr>
        <w:t xml:space="preserve"> y el 26 de agosto de 2002</w:t>
      </w:r>
      <w:r w:rsidRPr="00975C02">
        <w:rPr>
          <w:sz w:val="20"/>
          <w:szCs w:val="20"/>
          <w:vertAlign w:val="superscript"/>
          <w:lang w:val="es-ES"/>
        </w:rPr>
        <w:footnoteReference w:id="163"/>
      </w:r>
      <w:r w:rsidRPr="00975C02">
        <w:rPr>
          <w:sz w:val="20"/>
          <w:szCs w:val="20"/>
          <w:lang w:val="es-ES"/>
        </w:rPr>
        <w:t>, ante de la falta de respuesta de la primera.</w:t>
      </w:r>
    </w:p>
    <w:p w14:paraId="3DE18F26" w14:textId="77777777" w:rsidR="00B5625C" w:rsidRPr="00975C02" w:rsidRDefault="00B5625C" w:rsidP="00B5625C">
      <w:pPr>
        <w:tabs>
          <w:tab w:val="left" w:pos="567"/>
        </w:tabs>
        <w:spacing w:line="240" w:lineRule="auto"/>
        <w:rPr>
          <w:sz w:val="20"/>
          <w:szCs w:val="20"/>
          <w:lang w:val="es-ES"/>
        </w:rPr>
      </w:pPr>
    </w:p>
    <w:p w14:paraId="113D7B33" w14:textId="1BEF93F1" w:rsidR="00B5625C" w:rsidRPr="00975C02" w:rsidRDefault="00B5625C" w:rsidP="005C77A8">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El 21 de octubre de 2002 la señora V.P.C. presentó una queja contra la fiscal auxiliar del Departamento de Jinotega ante la Inspectoría de la Fiscalía General de la República aduciendo que la fiscal del caso no se apersonó al proceso en segunda instancia</w:t>
      </w:r>
      <w:r w:rsidR="009B7559" w:rsidRPr="00975C02">
        <w:rPr>
          <w:sz w:val="20"/>
          <w:szCs w:val="20"/>
          <w:vertAlign w:val="superscript"/>
          <w:lang w:val="es-ES"/>
        </w:rPr>
        <w:footnoteReference w:id="164"/>
      </w:r>
      <w:r w:rsidRPr="00975C02">
        <w:rPr>
          <w:sz w:val="20"/>
          <w:szCs w:val="20"/>
          <w:lang w:val="es-ES"/>
        </w:rPr>
        <w:t>. En esta línea, sostuvo que la fiscal no garantizó los derechos de su hija. No obstante ello, el Estado informó que no se habría presentado ninguna queja por la señora V.P.C. contra la referida fiscal en el año 2002</w:t>
      </w:r>
      <w:r w:rsidRPr="00975C02">
        <w:rPr>
          <w:sz w:val="20"/>
          <w:szCs w:val="20"/>
          <w:vertAlign w:val="superscript"/>
          <w:lang w:val="es-ES"/>
        </w:rPr>
        <w:footnoteReference w:id="165"/>
      </w:r>
      <w:r w:rsidRPr="00975C02">
        <w:rPr>
          <w:sz w:val="20"/>
          <w:szCs w:val="20"/>
          <w:lang w:val="es-ES"/>
        </w:rPr>
        <w:t>. No hay constancia sobre</w:t>
      </w:r>
      <w:r w:rsidR="00B5341A" w:rsidRPr="00975C02">
        <w:rPr>
          <w:sz w:val="20"/>
          <w:szCs w:val="20"/>
          <w:lang w:val="es-ES"/>
        </w:rPr>
        <w:t xml:space="preserve"> el trámite de</w:t>
      </w:r>
      <w:r w:rsidRPr="00975C02">
        <w:rPr>
          <w:sz w:val="20"/>
          <w:szCs w:val="20"/>
          <w:lang w:val="es-ES"/>
        </w:rPr>
        <w:t xml:space="preserve"> este proceso.</w:t>
      </w:r>
    </w:p>
    <w:p w14:paraId="7EAC178F" w14:textId="77777777" w:rsidR="00B5625C" w:rsidRPr="00975C02" w:rsidRDefault="00B5625C" w:rsidP="00B5625C">
      <w:pPr>
        <w:tabs>
          <w:tab w:val="left" w:pos="567"/>
        </w:tabs>
        <w:spacing w:line="240" w:lineRule="auto"/>
        <w:rPr>
          <w:sz w:val="20"/>
          <w:szCs w:val="20"/>
          <w:lang w:val="es-ES"/>
        </w:rPr>
      </w:pPr>
    </w:p>
    <w:p w14:paraId="2B10C675" w14:textId="510B3D92" w:rsidR="00B5625C" w:rsidRPr="00975C02" w:rsidRDefault="00B5625C" w:rsidP="005C77A8">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 xml:space="preserve">El 8 de noviembre de 2002 la señora V.P.C. presentó una queja contra la fiscal auxiliar </w:t>
      </w:r>
      <w:r w:rsidR="009B7559" w:rsidRPr="00975C02">
        <w:rPr>
          <w:sz w:val="20"/>
          <w:szCs w:val="20"/>
          <w:lang w:val="es-ES"/>
        </w:rPr>
        <w:t xml:space="preserve">departamental </w:t>
      </w:r>
      <w:r w:rsidRPr="00975C02">
        <w:rPr>
          <w:sz w:val="20"/>
          <w:szCs w:val="20"/>
          <w:lang w:val="es-ES"/>
        </w:rPr>
        <w:t>ante la Comisión Disciplinaria de la Corte Suprema de Justicia</w:t>
      </w:r>
      <w:r w:rsidRPr="00975C02">
        <w:rPr>
          <w:sz w:val="20"/>
          <w:szCs w:val="20"/>
          <w:vertAlign w:val="superscript"/>
          <w:lang w:val="es-ES"/>
        </w:rPr>
        <w:footnoteReference w:id="166"/>
      </w:r>
      <w:r w:rsidRPr="00975C02">
        <w:rPr>
          <w:sz w:val="20"/>
          <w:szCs w:val="20"/>
          <w:lang w:val="es-ES"/>
        </w:rPr>
        <w:t>. La referida Comisión Disciplinaria resolvió oficiar al Fiscal General de la República respecto a la queja interpuesta en contra de la misma, el cual fue recibido en dicha dependencia el 20 de enero de 2003</w:t>
      </w:r>
      <w:r w:rsidRPr="00975C02">
        <w:rPr>
          <w:sz w:val="20"/>
          <w:szCs w:val="20"/>
          <w:vertAlign w:val="superscript"/>
          <w:lang w:val="es-ES"/>
        </w:rPr>
        <w:footnoteReference w:id="167"/>
      </w:r>
      <w:r w:rsidRPr="00975C02">
        <w:rPr>
          <w:sz w:val="20"/>
          <w:szCs w:val="20"/>
          <w:lang w:val="es-ES"/>
        </w:rPr>
        <w:t>. No hay constancia sobre el trámite de este proceso.</w:t>
      </w:r>
    </w:p>
    <w:p w14:paraId="3D9A3392" w14:textId="77777777" w:rsidR="00B5625C" w:rsidRPr="00975C02" w:rsidRDefault="00B5625C" w:rsidP="00B5625C">
      <w:pPr>
        <w:tabs>
          <w:tab w:val="left" w:pos="567"/>
        </w:tabs>
        <w:spacing w:line="240" w:lineRule="auto"/>
        <w:rPr>
          <w:sz w:val="20"/>
          <w:szCs w:val="20"/>
          <w:lang w:val="es-ES"/>
        </w:rPr>
      </w:pPr>
    </w:p>
    <w:p w14:paraId="5FB9434D" w14:textId="10945148" w:rsidR="00B5625C" w:rsidRPr="00975C02" w:rsidRDefault="00B5625C" w:rsidP="00EB57B3">
      <w:pPr>
        <w:widowControl/>
        <w:numPr>
          <w:ilvl w:val="0"/>
          <w:numId w:val="9"/>
        </w:numPr>
        <w:adjustRightInd/>
        <w:spacing w:line="240" w:lineRule="auto"/>
        <w:jc w:val="left"/>
        <w:textAlignment w:val="auto"/>
        <w:rPr>
          <w:i/>
          <w:sz w:val="20"/>
          <w:szCs w:val="20"/>
          <w:lang w:val="es-ES"/>
        </w:rPr>
      </w:pPr>
      <w:r w:rsidRPr="00975C02">
        <w:rPr>
          <w:i/>
          <w:sz w:val="20"/>
          <w:szCs w:val="20"/>
          <w:lang w:val="es-ES"/>
        </w:rPr>
        <w:t>Queja de V.P.C. contra la jueza</w:t>
      </w:r>
      <w:r w:rsidR="00EB57B3" w:rsidRPr="00975C02">
        <w:rPr>
          <w:i/>
          <w:sz w:val="20"/>
          <w:szCs w:val="20"/>
          <w:lang w:val="es-ES"/>
        </w:rPr>
        <w:t xml:space="preserve"> a cargo del proceso y la jueza de derecho que fungió como presidenta del Tribunal de Jurados</w:t>
      </w:r>
    </w:p>
    <w:p w14:paraId="6157C3F4" w14:textId="77777777" w:rsidR="00B5625C" w:rsidRPr="00975C02" w:rsidRDefault="00B5625C" w:rsidP="00B5625C">
      <w:pPr>
        <w:widowControl/>
        <w:adjustRightInd/>
        <w:spacing w:line="240" w:lineRule="auto"/>
        <w:textAlignment w:val="auto"/>
        <w:rPr>
          <w:sz w:val="20"/>
          <w:szCs w:val="20"/>
          <w:lang w:val="es-ES"/>
        </w:rPr>
      </w:pPr>
    </w:p>
    <w:p w14:paraId="7F053F74" w14:textId="77777777" w:rsidR="00B5625C" w:rsidRPr="00975C02" w:rsidRDefault="00B5625C" w:rsidP="005C77A8">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El 8 de noviembre de 2002 la señora V.P.C. presentó una queja ante la Comisión Disciplinaria de la Corte Suprema de Justicia alegando las irregularidades presuntamente cometidas por la jueza a cargo del proceso y por la jueza de derecho que fungió como presidenta del Tribunal de Jurados. Agregó, además, que una de las magistradas permitió que la defensa del señor H.R.A. se refiriera a ella y a su hija en términos inmorales</w:t>
      </w:r>
      <w:r w:rsidRPr="00975C02">
        <w:rPr>
          <w:sz w:val="20"/>
          <w:szCs w:val="20"/>
          <w:vertAlign w:val="superscript"/>
          <w:lang w:val="es-ES"/>
        </w:rPr>
        <w:footnoteReference w:id="168"/>
      </w:r>
      <w:r w:rsidRPr="00975C02">
        <w:rPr>
          <w:sz w:val="20"/>
          <w:szCs w:val="20"/>
          <w:lang w:val="es-ES"/>
        </w:rPr>
        <w:t>.</w:t>
      </w:r>
    </w:p>
    <w:p w14:paraId="076040DA" w14:textId="77777777" w:rsidR="00B5625C" w:rsidRPr="00975C02" w:rsidRDefault="00B5625C" w:rsidP="00B5625C">
      <w:pPr>
        <w:tabs>
          <w:tab w:val="left" w:pos="567"/>
        </w:tabs>
        <w:spacing w:line="240" w:lineRule="auto"/>
        <w:rPr>
          <w:sz w:val="20"/>
          <w:szCs w:val="20"/>
          <w:lang w:val="es-ES"/>
        </w:rPr>
      </w:pPr>
    </w:p>
    <w:p w14:paraId="12A49A7A" w14:textId="77777777" w:rsidR="00B5625C" w:rsidRPr="00975C02" w:rsidRDefault="00B5625C" w:rsidP="005C77A8">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Luego de que ambas juezas presentaran sus descargos, el 24 de febrero de 2003 la Comisión Disciplinaria de la Corte Suprema de Justicia resolvió archivar el expediente</w:t>
      </w:r>
      <w:r w:rsidRPr="00975C02">
        <w:rPr>
          <w:sz w:val="20"/>
          <w:szCs w:val="20"/>
          <w:vertAlign w:val="superscript"/>
          <w:lang w:val="es-ES"/>
        </w:rPr>
        <w:footnoteReference w:id="169"/>
      </w:r>
      <w:r w:rsidRPr="00975C02">
        <w:rPr>
          <w:sz w:val="20"/>
          <w:szCs w:val="20"/>
          <w:lang w:val="es-ES"/>
        </w:rPr>
        <w:t>.</w:t>
      </w:r>
    </w:p>
    <w:p w14:paraId="4FC70566" w14:textId="77777777" w:rsidR="00B5625C" w:rsidRPr="00975C02" w:rsidRDefault="00B5625C" w:rsidP="00B5625C">
      <w:pPr>
        <w:spacing w:line="240" w:lineRule="auto"/>
        <w:rPr>
          <w:sz w:val="20"/>
          <w:szCs w:val="20"/>
          <w:lang w:val="es-ES"/>
        </w:rPr>
      </w:pPr>
    </w:p>
    <w:p w14:paraId="2126F40C" w14:textId="5C3D113A" w:rsidR="00B5625C" w:rsidRPr="00975C02" w:rsidRDefault="00D05EE6" w:rsidP="002C415B">
      <w:pPr>
        <w:pStyle w:val="ListParagraph"/>
        <w:keepNext/>
        <w:keepLines/>
        <w:numPr>
          <w:ilvl w:val="0"/>
          <w:numId w:val="15"/>
        </w:numPr>
        <w:tabs>
          <w:tab w:val="left" w:pos="1276"/>
        </w:tabs>
        <w:spacing w:line="240" w:lineRule="auto"/>
        <w:outlineLvl w:val="1"/>
        <w:rPr>
          <w:rFonts w:eastAsia="MS Mincho"/>
          <w:b/>
          <w:bCs/>
          <w:i/>
          <w:sz w:val="20"/>
          <w:szCs w:val="20"/>
          <w:lang w:val="es-ES"/>
        </w:rPr>
      </w:pPr>
      <w:r w:rsidRPr="00975C02">
        <w:rPr>
          <w:rFonts w:eastAsia="MS Mincho"/>
          <w:b/>
          <w:bCs/>
          <w:i/>
          <w:sz w:val="20"/>
          <w:szCs w:val="20"/>
          <w:lang w:val="es-ES"/>
        </w:rPr>
        <w:tab/>
      </w:r>
      <w:bookmarkStart w:id="114" w:name="_Toc514172624"/>
      <w:r w:rsidR="00B5625C" w:rsidRPr="00975C02">
        <w:rPr>
          <w:rFonts w:eastAsia="MS Mincho"/>
          <w:b/>
          <w:bCs/>
          <w:i/>
          <w:sz w:val="20"/>
          <w:szCs w:val="20"/>
          <w:lang w:val="es-ES"/>
        </w:rPr>
        <w:t xml:space="preserve">Las </w:t>
      </w:r>
      <w:r w:rsidR="00115986" w:rsidRPr="00975C02">
        <w:rPr>
          <w:rFonts w:eastAsia="MS Mincho"/>
          <w:b/>
          <w:bCs/>
          <w:i/>
          <w:sz w:val="20"/>
          <w:szCs w:val="20"/>
          <w:lang w:val="es-ES"/>
        </w:rPr>
        <w:t>acciones intentadas</w:t>
      </w:r>
      <w:r w:rsidR="00B5625C" w:rsidRPr="00975C02">
        <w:rPr>
          <w:rFonts w:eastAsia="MS Mincho"/>
          <w:b/>
          <w:bCs/>
          <w:i/>
          <w:sz w:val="20"/>
          <w:szCs w:val="20"/>
          <w:lang w:val="es-ES"/>
        </w:rPr>
        <w:t xml:space="preserve"> contra la señora V.P.C. y sus familiares</w:t>
      </w:r>
      <w:bookmarkEnd w:id="114"/>
    </w:p>
    <w:p w14:paraId="6E6D299A" w14:textId="77777777" w:rsidR="00B5625C" w:rsidRPr="00975C02" w:rsidRDefault="00B5625C" w:rsidP="00B5625C">
      <w:pPr>
        <w:spacing w:line="240" w:lineRule="auto"/>
        <w:rPr>
          <w:sz w:val="20"/>
          <w:szCs w:val="20"/>
          <w:lang w:val="es-ES"/>
        </w:rPr>
      </w:pPr>
    </w:p>
    <w:p w14:paraId="6CE1F074" w14:textId="4C615EBB" w:rsidR="00F63EBB" w:rsidRPr="00975C02" w:rsidRDefault="008F3B13" w:rsidP="00F63EBB">
      <w:pPr>
        <w:numPr>
          <w:ilvl w:val="0"/>
          <w:numId w:val="2"/>
        </w:numPr>
        <w:tabs>
          <w:tab w:val="left" w:pos="567"/>
          <w:tab w:val="num" w:pos="12305"/>
        </w:tabs>
        <w:spacing w:line="240" w:lineRule="auto"/>
        <w:ind w:left="0" w:firstLine="0"/>
        <w:rPr>
          <w:rFonts w:cs="Arial"/>
          <w:color w:val="000000"/>
          <w:sz w:val="20"/>
          <w:szCs w:val="20"/>
          <w:lang w:val="es-ES"/>
        </w:rPr>
      </w:pPr>
      <w:r w:rsidRPr="00975C02">
        <w:rPr>
          <w:sz w:val="20"/>
          <w:szCs w:val="20"/>
          <w:lang w:val="es-ES"/>
        </w:rPr>
        <w:t>A raíz de las quejas presentadas por V.P.C., la fiscal auxiliar</w:t>
      </w:r>
      <w:r w:rsidR="002D499C" w:rsidRPr="00975C02">
        <w:rPr>
          <w:sz w:val="20"/>
          <w:szCs w:val="20"/>
          <w:lang w:val="es-ES"/>
        </w:rPr>
        <w:t xml:space="preserve"> departamental</w:t>
      </w:r>
      <w:r w:rsidRPr="00975C02">
        <w:rPr>
          <w:sz w:val="20"/>
          <w:szCs w:val="20"/>
          <w:vertAlign w:val="superscript"/>
          <w:lang w:val="es-ES"/>
        </w:rPr>
        <w:footnoteReference w:id="170"/>
      </w:r>
      <w:r w:rsidRPr="00975C02">
        <w:rPr>
          <w:sz w:val="20"/>
          <w:szCs w:val="20"/>
          <w:lang w:val="es-ES"/>
        </w:rPr>
        <w:t>, el médico forense</w:t>
      </w:r>
      <w:r w:rsidRPr="00975C02">
        <w:rPr>
          <w:rFonts w:cs="Arial"/>
          <w:sz w:val="20"/>
          <w:szCs w:val="20"/>
          <w:vertAlign w:val="superscript"/>
          <w:lang w:val="es-ES"/>
        </w:rPr>
        <w:footnoteReference w:id="171"/>
      </w:r>
      <w:r w:rsidRPr="00975C02">
        <w:rPr>
          <w:sz w:val="20"/>
          <w:szCs w:val="20"/>
          <w:lang w:val="es-ES"/>
        </w:rPr>
        <w:t>, una integrante del Tribunal de Jurado</w:t>
      </w:r>
      <w:r w:rsidR="003C0254" w:rsidRPr="00975C02">
        <w:rPr>
          <w:sz w:val="20"/>
          <w:szCs w:val="20"/>
          <w:lang w:val="es-ES"/>
        </w:rPr>
        <w:t>s</w:t>
      </w:r>
      <w:r w:rsidRPr="00975C02">
        <w:rPr>
          <w:sz w:val="20"/>
          <w:szCs w:val="20"/>
          <w:vertAlign w:val="superscript"/>
          <w:lang w:val="es-ES"/>
        </w:rPr>
        <w:footnoteReference w:id="172"/>
      </w:r>
      <w:r w:rsidR="001E47AC" w:rsidRPr="00975C02">
        <w:rPr>
          <w:sz w:val="20"/>
          <w:szCs w:val="20"/>
          <w:lang w:val="es-ES"/>
        </w:rPr>
        <w:t xml:space="preserve"> y </w:t>
      </w:r>
      <w:r w:rsidRPr="00975C02">
        <w:rPr>
          <w:sz w:val="20"/>
          <w:szCs w:val="20"/>
          <w:lang w:val="es-ES"/>
        </w:rPr>
        <w:t xml:space="preserve">la jueza de derecho y presidenta del Tribunal </w:t>
      </w:r>
      <w:r w:rsidRPr="00975C02">
        <w:rPr>
          <w:sz w:val="20"/>
          <w:szCs w:val="20"/>
          <w:lang w:val="es-ES"/>
        </w:rPr>
        <w:lastRenderedPageBreak/>
        <w:t>de Jurado</w:t>
      </w:r>
      <w:r w:rsidR="003C0254" w:rsidRPr="00975C02">
        <w:rPr>
          <w:sz w:val="20"/>
          <w:szCs w:val="20"/>
          <w:lang w:val="es-ES"/>
        </w:rPr>
        <w:t>s</w:t>
      </w:r>
      <w:r w:rsidRPr="00975C02">
        <w:rPr>
          <w:rFonts w:cs="Arial"/>
          <w:sz w:val="20"/>
          <w:szCs w:val="20"/>
          <w:vertAlign w:val="superscript"/>
          <w:lang w:val="es-ES"/>
        </w:rPr>
        <w:footnoteReference w:id="173"/>
      </w:r>
      <w:r w:rsidRPr="00975C02">
        <w:rPr>
          <w:sz w:val="20"/>
          <w:szCs w:val="20"/>
          <w:lang w:val="es-ES"/>
        </w:rPr>
        <w:t xml:space="preserve">, </w:t>
      </w:r>
      <w:r w:rsidR="001E47AC" w:rsidRPr="00975C02">
        <w:rPr>
          <w:sz w:val="20"/>
          <w:szCs w:val="20"/>
          <w:lang w:val="es-ES"/>
        </w:rPr>
        <w:t>p</w:t>
      </w:r>
      <w:r w:rsidRPr="00975C02">
        <w:rPr>
          <w:sz w:val="20"/>
          <w:szCs w:val="20"/>
          <w:lang w:val="es-ES"/>
        </w:rPr>
        <w:t xml:space="preserve">resentaron </w:t>
      </w:r>
      <w:r w:rsidR="0048423A" w:rsidRPr="00975C02">
        <w:rPr>
          <w:sz w:val="20"/>
          <w:szCs w:val="20"/>
          <w:lang w:val="es-ES"/>
        </w:rPr>
        <w:t xml:space="preserve">acciones </w:t>
      </w:r>
      <w:r w:rsidRPr="00975C02">
        <w:rPr>
          <w:sz w:val="20"/>
          <w:szCs w:val="20"/>
          <w:lang w:val="es-ES"/>
        </w:rPr>
        <w:t xml:space="preserve">contra V.P.C. y sus familiares </w:t>
      </w:r>
      <w:r w:rsidR="00B5625C" w:rsidRPr="00975C02">
        <w:rPr>
          <w:sz w:val="20"/>
          <w:szCs w:val="20"/>
          <w:lang w:val="es-ES"/>
        </w:rPr>
        <w:t>por los delitos de injurias y calumnias</w:t>
      </w:r>
      <w:r w:rsidR="001E47AC" w:rsidRPr="00975C02">
        <w:rPr>
          <w:sz w:val="20"/>
          <w:szCs w:val="20"/>
          <w:lang w:val="es-ES"/>
        </w:rPr>
        <w:t xml:space="preserve">. Los abogados que apoyaron legalmente dichas </w:t>
      </w:r>
      <w:r w:rsidR="0048423A" w:rsidRPr="00975C02">
        <w:rPr>
          <w:sz w:val="20"/>
          <w:szCs w:val="20"/>
          <w:lang w:val="es-ES"/>
        </w:rPr>
        <w:t xml:space="preserve">acciones </w:t>
      </w:r>
      <w:r w:rsidR="001E47AC" w:rsidRPr="00975C02">
        <w:rPr>
          <w:sz w:val="20"/>
          <w:szCs w:val="20"/>
          <w:lang w:val="es-ES"/>
        </w:rPr>
        <w:t>se encontraban relacionados con el imputado.</w:t>
      </w:r>
      <w:r w:rsidR="00F63EBB" w:rsidRPr="00975C02">
        <w:rPr>
          <w:sz w:val="20"/>
          <w:szCs w:val="20"/>
          <w:lang w:val="es-ES"/>
        </w:rPr>
        <w:t xml:space="preserve"> Entre ellos, </w:t>
      </w:r>
      <w:r w:rsidR="00F63EBB" w:rsidRPr="00975C02">
        <w:rPr>
          <w:rFonts w:cs="Arial"/>
          <w:color w:val="000000"/>
          <w:sz w:val="20"/>
          <w:szCs w:val="20"/>
          <w:lang w:val="es-ES"/>
        </w:rPr>
        <w:t>el hermano del médico forense, quien era persona conocida de H.R.A. y declaró como testigo en el proceso a favor del acusado</w:t>
      </w:r>
      <w:r w:rsidR="00F63EBB" w:rsidRPr="00975C02">
        <w:rPr>
          <w:rStyle w:val="FootnoteReference"/>
          <w:rFonts w:cs="Arial"/>
          <w:color w:val="000000"/>
          <w:sz w:val="20"/>
          <w:szCs w:val="20"/>
          <w:lang w:val="es-ES"/>
        </w:rPr>
        <w:footnoteReference w:id="174"/>
      </w:r>
      <w:r w:rsidR="00F63EBB" w:rsidRPr="00975C02">
        <w:rPr>
          <w:rFonts w:cs="Arial"/>
          <w:color w:val="000000"/>
          <w:sz w:val="20"/>
          <w:szCs w:val="20"/>
          <w:lang w:val="es-ES"/>
        </w:rPr>
        <w:t>.</w:t>
      </w:r>
    </w:p>
    <w:p w14:paraId="32D2878E" w14:textId="77777777" w:rsidR="00B5625C" w:rsidRPr="00975C02" w:rsidRDefault="00B5625C" w:rsidP="00B5625C">
      <w:pPr>
        <w:spacing w:line="240" w:lineRule="auto"/>
        <w:rPr>
          <w:sz w:val="20"/>
          <w:szCs w:val="20"/>
          <w:lang w:val="es-ES"/>
        </w:rPr>
      </w:pPr>
    </w:p>
    <w:p w14:paraId="51A71E56" w14:textId="77777777" w:rsidR="00B5625C" w:rsidRPr="00975C02" w:rsidRDefault="00B5625C" w:rsidP="00963AF3">
      <w:pPr>
        <w:pStyle w:val="ListParagraph"/>
        <w:keepNext/>
        <w:keepLines/>
        <w:numPr>
          <w:ilvl w:val="0"/>
          <w:numId w:val="15"/>
        </w:numPr>
        <w:tabs>
          <w:tab w:val="left" w:pos="1276"/>
        </w:tabs>
        <w:spacing w:line="240" w:lineRule="auto"/>
        <w:outlineLvl w:val="1"/>
        <w:rPr>
          <w:rFonts w:eastAsia="MS Mincho"/>
          <w:b/>
          <w:bCs/>
          <w:i/>
          <w:sz w:val="20"/>
          <w:szCs w:val="20"/>
          <w:lang w:val="es-ES"/>
        </w:rPr>
      </w:pPr>
      <w:bookmarkStart w:id="115" w:name="_Toc514172625"/>
      <w:r w:rsidRPr="00975C02">
        <w:rPr>
          <w:rFonts w:eastAsia="MS Mincho"/>
          <w:b/>
          <w:bCs/>
          <w:i/>
          <w:sz w:val="20"/>
          <w:szCs w:val="20"/>
          <w:lang w:val="es-ES"/>
        </w:rPr>
        <w:t>La salida de la señora V.P.C. junto a sus hijas a los Estados Unidos de América</w:t>
      </w:r>
      <w:bookmarkEnd w:id="115"/>
    </w:p>
    <w:p w14:paraId="1343BB96" w14:textId="77777777" w:rsidR="00B5625C" w:rsidRPr="00975C02" w:rsidRDefault="00B5625C" w:rsidP="00B5625C">
      <w:pPr>
        <w:widowControl/>
        <w:adjustRightInd/>
        <w:spacing w:line="240" w:lineRule="auto"/>
        <w:ind w:left="1418"/>
        <w:textAlignment w:val="auto"/>
        <w:rPr>
          <w:b/>
          <w:i/>
          <w:sz w:val="20"/>
          <w:szCs w:val="20"/>
          <w:lang w:val="es-ES"/>
        </w:rPr>
      </w:pPr>
    </w:p>
    <w:p w14:paraId="28802403" w14:textId="3DCDE413" w:rsidR="00B5625C" w:rsidRPr="00975C02" w:rsidRDefault="00B5625C" w:rsidP="005C77A8">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El 6 de diciembre de 2002 la señora V.P.C. salió de Nicaragua junto con sus dos hijas V.R.P. y N.R.P.</w:t>
      </w:r>
      <w:r w:rsidRPr="00975C02">
        <w:rPr>
          <w:sz w:val="20"/>
          <w:szCs w:val="20"/>
          <w:vertAlign w:val="superscript"/>
          <w:lang w:val="es-ES"/>
        </w:rPr>
        <w:footnoteReference w:id="175"/>
      </w:r>
      <w:r w:rsidRPr="00975C02">
        <w:rPr>
          <w:sz w:val="20"/>
          <w:szCs w:val="20"/>
          <w:lang w:val="es-ES"/>
        </w:rPr>
        <w:t xml:space="preserve">, e ingresó a </w:t>
      </w:r>
      <w:r w:rsidR="00063C4E" w:rsidRPr="00975C02">
        <w:rPr>
          <w:sz w:val="20"/>
          <w:szCs w:val="20"/>
          <w:lang w:val="es-ES"/>
        </w:rPr>
        <w:t xml:space="preserve">los </w:t>
      </w:r>
      <w:r w:rsidRPr="00975C02">
        <w:rPr>
          <w:sz w:val="20"/>
          <w:szCs w:val="20"/>
          <w:lang w:val="es-ES"/>
        </w:rPr>
        <w:t>Estados Unidos donde se les concedió el asilo</w:t>
      </w:r>
      <w:r w:rsidRPr="00975C02">
        <w:rPr>
          <w:sz w:val="20"/>
          <w:szCs w:val="20"/>
          <w:vertAlign w:val="superscript"/>
          <w:lang w:val="es-ES"/>
        </w:rPr>
        <w:footnoteReference w:id="176"/>
      </w:r>
      <w:r w:rsidRPr="00975C02">
        <w:rPr>
          <w:sz w:val="20"/>
          <w:szCs w:val="20"/>
          <w:lang w:val="es-ES"/>
        </w:rPr>
        <w:t>.</w:t>
      </w:r>
    </w:p>
    <w:p w14:paraId="56F25B9C" w14:textId="77777777" w:rsidR="00B5625C" w:rsidRPr="00975C02" w:rsidRDefault="00B5625C" w:rsidP="00B5625C">
      <w:pPr>
        <w:spacing w:line="240" w:lineRule="auto"/>
        <w:rPr>
          <w:sz w:val="20"/>
          <w:szCs w:val="20"/>
          <w:lang w:val="es-ES"/>
        </w:rPr>
      </w:pPr>
    </w:p>
    <w:p w14:paraId="2AB14551" w14:textId="77777777" w:rsidR="00B5625C" w:rsidRPr="00975C02" w:rsidRDefault="00B5625C" w:rsidP="005C77A8">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 xml:space="preserve">Una vez radicadas en </w:t>
      </w:r>
      <w:r w:rsidR="005C77A8" w:rsidRPr="00975C02">
        <w:rPr>
          <w:sz w:val="20"/>
          <w:szCs w:val="20"/>
          <w:lang w:val="es-ES"/>
        </w:rPr>
        <w:t>los Estados Unidos</w:t>
      </w:r>
      <w:r w:rsidRPr="00975C02">
        <w:rPr>
          <w:sz w:val="20"/>
          <w:szCs w:val="20"/>
          <w:lang w:val="es-ES"/>
        </w:rPr>
        <w:t>, la niña V.R.P. inició un tratamiento psiquiátrico en el mes de octubre de 2003 debido a “sus severos síntomas relacionados con el abuso sexual que sufrió”</w:t>
      </w:r>
      <w:r w:rsidRPr="00975C02">
        <w:rPr>
          <w:sz w:val="20"/>
          <w:szCs w:val="20"/>
          <w:vertAlign w:val="superscript"/>
          <w:lang w:val="es-ES"/>
        </w:rPr>
        <w:footnoteReference w:id="177"/>
      </w:r>
      <w:r w:rsidRPr="00975C02">
        <w:rPr>
          <w:sz w:val="20"/>
          <w:szCs w:val="20"/>
          <w:lang w:val="es-ES"/>
        </w:rPr>
        <w:t>. Tales síntomas consistían en depresión, ansiedad, hipervigilancia, y comportamiento automutilatorio.</w:t>
      </w:r>
    </w:p>
    <w:p w14:paraId="6DBCFF80" w14:textId="77777777" w:rsidR="00B5625C" w:rsidRPr="00975C02" w:rsidRDefault="00B5625C" w:rsidP="00B5625C">
      <w:pPr>
        <w:tabs>
          <w:tab w:val="left" w:pos="567"/>
        </w:tabs>
        <w:spacing w:line="240" w:lineRule="auto"/>
        <w:rPr>
          <w:sz w:val="20"/>
          <w:szCs w:val="20"/>
          <w:lang w:val="es-ES"/>
        </w:rPr>
      </w:pPr>
    </w:p>
    <w:p w14:paraId="06A2D1DB" w14:textId="1EB38326" w:rsidR="00B5625C" w:rsidRPr="00975C02" w:rsidRDefault="00B5625C" w:rsidP="005C77A8">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 xml:space="preserve">En el año 2003 cuando se encontraba ya instalada en </w:t>
      </w:r>
      <w:r w:rsidR="00063C4E" w:rsidRPr="00975C02">
        <w:rPr>
          <w:sz w:val="20"/>
          <w:szCs w:val="20"/>
          <w:lang w:val="es-ES"/>
        </w:rPr>
        <w:t xml:space="preserve">los </w:t>
      </w:r>
      <w:r w:rsidRPr="00975C02">
        <w:rPr>
          <w:sz w:val="20"/>
          <w:szCs w:val="20"/>
          <w:lang w:val="es-ES"/>
        </w:rPr>
        <w:t>Estados Unidos, la señora V.P.C. manifestó que “h[abía] recibido un anónimo donde una persona [le] hac[ía] ver que ya sab[ía] dónde [se] enc[ontraba] y que pronto vendrá, ha intervenido la Oficina de Inspection Service Post Office, y el Departamento de Niños y Familia a través de Child Protective investigador, para proteger a mi hija de eventuales amenazas de muerte que pudieran llegar a materializarse, y todo por el descuido y abandono generalizado a que las autoridades judiciales nicaragüenses han sometido a toda una familia”</w:t>
      </w:r>
      <w:r w:rsidRPr="00975C02">
        <w:rPr>
          <w:sz w:val="20"/>
          <w:szCs w:val="20"/>
          <w:vertAlign w:val="superscript"/>
          <w:lang w:val="es-ES"/>
        </w:rPr>
        <w:footnoteReference w:id="178"/>
      </w:r>
      <w:r w:rsidRPr="00975C02">
        <w:rPr>
          <w:sz w:val="20"/>
          <w:szCs w:val="20"/>
          <w:lang w:val="es-ES"/>
        </w:rPr>
        <w:t>.</w:t>
      </w:r>
    </w:p>
    <w:p w14:paraId="2F5977E1" w14:textId="77777777" w:rsidR="00B5625C" w:rsidRPr="00975C02" w:rsidRDefault="00B5625C" w:rsidP="00B5625C">
      <w:pPr>
        <w:tabs>
          <w:tab w:val="left" w:pos="567"/>
        </w:tabs>
        <w:spacing w:line="240" w:lineRule="auto"/>
        <w:rPr>
          <w:sz w:val="20"/>
          <w:szCs w:val="20"/>
          <w:lang w:val="es-ES"/>
        </w:rPr>
      </w:pPr>
    </w:p>
    <w:p w14:paraId="1658CADB" w14:textId="6D21F5A9" w:rsidR="00B5625C" w:rsidRPr="00975C02" w:rsidRDefault="00B5625C" w:rsidP="005C77A8">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Con posterioridad, el 1 de abril de 2008 la niña V.R.P. tuvo que ser hospitalizada en la ciudad de Miami durante</w:t>
      </w:r>
      <w:r w:rsidR="00332E34" w:rsidRPr="00975C02">
        <w:rPr>
          <w:sz w:val="20"/>
          <w:szCs w:val="20"/>
          <w:lang w:val="es-ES"/>
        </w:rPr>
        <w:t xml:space="preserve"> más de</w:t>
      </w:r>
      <w:r w:rsidRPr="00975C02">
        <w:rPr>
          <w:sz w:val="20"/>
          <w:szCs w:val="20"/>
          <w:lang w:val="es-ES"/>
        </w:rPr>
        <w:t xml:space="preserve"> quince días debido a su tratamiento frente a la depresión post-traumática</w:t>
      </w:r>
      <w:r w:rsidRPr="00975C02">
        <w:rPr>
          <w:sz w:val="20"/>
          <w:szCs w:val="20"/>
          <w:vertAlign w:val="superscript"/>
          <w:lang w:val="es-ES"/>
        </w:rPr>
        <w:footnoteReference w:id="179"/>
      </w:r>
      <w:r w:rsidRPr="00975C02">
        <w:rPr>
          <w:sz w:val="20"/>
          <w:szCs w:val="20"/>
          <w:lang w:val="es-ES"/>
        </w:rPr>
        <w:t xml:space="preserve">. La afectación psicológica de la niña ya había sido señalada mediante diagnósticos e informes psicológicos y psiquiátricos realizados en Nicaragua durante y después del proceso penal </w:t>
      </w:r>
      <w:r w:rsidRPr="00975C02">
        <w:rPr>
          <w:sz w:val="20"/>
          <w:szCs w:val="20"/>
          <w:lang w:val="es-ES"/>
        </w:rPr>
        <w:lastRenderedPageBreak/>
        <w:t>por violación sexual</w:t>
      </w:r>
      <w:r w:rsidRPr="00975C02">
        <w:rPr>
          <w:sz w:val="20"/>
          <w:szCs w:val="20"/>
          <w:vertAlign w:val="superscript"/>
          <w:lang w:val="es-ES"/>
        </w:rPr>
        <w:footnoteReference w:id="180"/>
      </w:r>
      <w:r w:rsidRPr="00975C02">
        <w:rPr>
          <w:sz w:val="20"/>
          <w:szCs w:val="20"/>
          <w:lang w:val="es-ES"/>
        </w:rPr>
        <w:t>.</w:t>
      </w:r>
    </w:p>
    <w:p w14:paraId="676AFE69" w14:textId="77777777" w:rsidR="00B5625C" w:rsidRPr="00975C02" w:rsidRDefault="00B5625C" w:rsidP="00B5625C">
      <w:pPr>
        <w:spacing w:line="240" w:lineRule="auto"/>
        <w:rPr>
          <w:sz w:val="20"/>
          <w:szCs w:val="20"/>
          <w:lang w:val="es-ES"/>
        </w:rPr>
      </w:pPr>
    </w:p>
    <w:p w14:paraId="0EAEED98" w14:textId="77777777" w:rsidR="00B5625C" w:rsidRPr="00975C02" w:rsidRDefault="00B5625C" w:rsidP="005C77A8">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Luego de su salida, la señora V.P.C. ha regresado en dos oportunidades a Nicaragua, mientras que V.R.P. nunca ha retornado</w:t>
      </w:r>
      <w:r w:rsidRPr="00975C02">
        <w:rPr>
          <w:sz w:val="20"/>
          <w:szCs w:val="20"/>
          <w:vertAlign w:val="superscript"/>
          <w:lang w:val="es-ES"/>
        </w:rPr>
        <w:footnoteReference w:id="181"/>
      </w:r>
      <w:r w:rsidRPr="00975C02">
        <w:rPr>
          <w:sz w:val="20"/>
          <w:szCs w:val="20"/>
          <w:lang w:val="es-ES"/>
        </w:rPr>
        <w:t>.</w:t>
      </w:r>
    </w:p>
    <w:p w14:paraId="67DDA5D3" w14:textId="77777777" w:rsidR="00B5625C" w:rsidRPr="00975C02" w:rsidRDefault="00B5625C" w:rsidP="00B5625C">
      <w:pPr>
        <w:widowControl/>
        <w:adjustRightInd/>
        <w:spacing w:line="240" w:lineRule="auto"/>
        <w:jc w:val="left"/>
        <w:textAlignment w:val="auto"/>
        <w:rPr>
          <w:rFonts w:cs="Verdana"/>
          <w:b/>
          <w:bCs/>
          <w:caps/>
          <w:snapToGrid w:val="0"/>
          <w:sz w:val="20"/>
          <w:szCs w:val="20"/>
          <w:lang w:val="es-ES"/>
        </w:rPr>
      </w:pPr>
    </w:p>
    <w:p w14:paraId="3D2F860A" w14:textId="77777777" w:rsidR="00B5625C" w:rsidRPr="00975C02" w:rsidRDefault="00B5625C" w:rsidP="00B5625C">
      <w:pPr>
        <w:keepNext/>
        <w:keepLines/>
        <w:tabs>
          <w:tab w:val="left" w:pos="851"/>
        </w:tabs>
        <w:spacing w:line="240" w:lineRule="auto"/>
        <w:jc w:val="center"/>
        <w:outlineLvl w:val="0"/>
        <w:rPr>
          <w:rFonts w:cs="Verdana"/>
          <w:b/>
          <w:bCs/>
          <w:caps/>
          <w:snapToGrid w:val="0"/>
          <w:sz w:val="20"/>
          <w:szCs w:val="20"/>
          <w:lang w:val="es-ES"/>
        </w:rPr>
      </w:pPr>
      <w:bookmarkStart w:id="116" w:name="_Toc514172626"/>
      <w:r w:rsidRPr="00975C02">
        <w:rPr>
          <w:rFonts w:cs="Verdana"/>
          <w:b/>
          <w:bCs/>
          <w:caps/>
          <w:snapToGrid w:val="0"/>
          <w:sz w:val="20"/>
          <w:szCs w:val="20"/>
          <w:lang w:val="es-ES"/>
        </w:rPr>
        <w:t>vIii</w:t>
      </w:r>
      <w:r w:rsidRPr="00975C02">
        <w:rPr>
          <w:rFonts w:cs="Verdana"/>
          <w:b/>
          <w:bCs/>
          <w:caps/>
          <w:snapToGrid w:val="0"/>
          <w:sz w:val="20"/>
          <w:szCs w:val="20"/>
          <w:lang w:val="es-ES"/>
        </w:rPr>
        <w:br/>
        <w:t>FONDO</w:t>
      </w:r>
      <w:bookmarkEnd w:id="100"/>
      <w:bookmarkEnd w:id="101"/>
      <w:bookmarkEnd w:id="102"/>
      <w:bookmarkEnd w:id="116"/>
    </w:p>
    <w:p w14:paraId="6336072C" w14:textId="77777777" w:rsidR="00B5625C" w:rsidRPr="00975C02" w:rsidRDefault="00B5625C" w:rsidP="00B5625C">
      <w:pPr>
        <w:spacing w:line="240" w:lineRule="auto"/>
        <w:rPr>
          <w:rFonts w:cs="Verdana"/>
          <w:bCs/>
          <w:caps/>
          <w:snapToGrid w:val="0"/>
          <w:sz w:val="20"/>
          <w:szCs w:val="20"/>
          <w:lang w:val="es-ES"/>
        </w:rPr>
      </w:pPr>
    </w:p>
    <w:p w14:paraId="2ABDFF26" w14:textId="7713BC5B" w:rsidR="007D1BE9" w:rsidRPr="00975C02" w:rsidRDefault="0027432F" w:rsidP="007D1BE9">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 xml:space="preserve">En el presente capítulo, la Corte abordará el examen de fondo del caso. </w:t>
      </w:r>
      <w:r w:rsidR="00C91DFD" w:rsidRPr="00975C02">
        <w:rPr>
          <w:kern w:val="2"/>
          <w:sz w:val="20"/>
          <w:szCs w:val="20"/>
          <w:lang w:val="es-ES" w:eastAsia="en-US"/>
        </w:rPr>
        <w:t xml:space="preserve">La Corte se encuentra llamada en el presente caso a analizar la </w:t>
      </w:r>
      <w:r w:rsidR="00F70FC2" w:rsidRPr="00975C02">
        <w:rPr>
          <w:kern w:val="2"/>
          <w:sz w:val="20"/>
          <w:szCs w:val="20"/>
          <w:lang w:val="es-ES" w:eastAsia="en-US"/>
        </w:rPr>
        <w:t xml:space="preserve">alegada </w:t>
      </w:r>
      <w:r w:rsidR="00C91DFD" w:rsidRPr="00975C02">
        <w:rPr>
          <w:kern w:val="2"/>
          <w:sz w:val="20"/>
          <w:szCs w:val="20"/>
          <w:lang w:val="es-ES" w:eastAsia="en-US"/>
        </w:rPr>
        <w:t xml:space="preserve">responsabilidad internacional del Estado con base en sus obligaciones internacionales derivadas de la Convención Americana, y de manera particular de la Convención de Belém do Pará, en el caso de una niña quien fue víctima de violación sexual </w:t>
      </w:r>
      <w:r w:rsidR="00F70FC2" w:rsidRPr="00975C02">
        <w:rPr>
          <w:kern w:val="2"/>
          <w:sz w:val="20"/>
          <w:szCs w:val="20"/>
          <w:lang w:val="es-ES" w:eastAsia="en-US"/>
        </w:rPr>
        <w:t xml:space="preserve">a la edad de ocho años, cometida </w:t>
      </w:r>
      <w:r w:rsidR="00C91DFD" w:rsidRPr="00975C02">
        <w:rPr>
          <w:kern w:val="2"/>
          <w:sz w:val="20"/>
          <w:szCs w:val="20"/>
          <w:lang w:val="es-ES" w:eastAsia="en-US"/>
        </w:rPr>
        <w:t>por</w:t>
      </w:r>
      <w:r w:rsidR="00F70FC2" w:rsidRPr="00975C02">
        <w:rPr>
          <w:kern w:val="2"/>
          <w:sz w:val="20"/>
          <w:szCs w:val="20"/>
          <w:lang w:val="es-ES" w:eastAsia="en-US"/>
        </w:rPr>
        <w:t xml:space="preserve"> parte de</w:t>
      </w:r>
      <w:r w:rsidR="00C91DFD" w:rsidRPr="00975C02">
        <w:rPr>
          <w:kern w:val="2"/>
          <w:sz w:val="20"/>
          <w:szCs w:val="20"/>
          <w:lang w:val="es-ES" w:eastAsia="en-US"/>
        </w:rPr>
        <w:t xml:space="preserve"> un actor no estatal. </w:t>
      </w:r>
      <w:r w:rsidR="00C91DFD" w:rsidRPr="00975C02">
        <w:rPr>
          <w:sz w:val="20"/>
          <w:szCs w:val="20"/>
          <w:lang w:val="es-ES"/>
        </w:rPr>
        <w:t>De acuerdo a los alegatos presentados,</w:t>
      </w:r>
      <w:r w:rsidR="007D1BE9" w:rsidRPr="00975C02">
        <w:rPr>
          <w:sz w:val="20"/>
          <w:szCs w:val="20"/>
          <w:lang w:val="es-ES"/>
        </w:rPr>
        <w:t xml:space="preserve"> la responsabilidad internacional del Estado de Nicaragua </w:t>
      </w:r>
      <w:r w:rsidR="009017A9" w:rsidRPr="00975C02">
        <w:rPr>
          <w:sz w:val="20"/>
          <w:szCs w:val="20"/>
          <w:lang w:val="es-ES"/>
        </w:rPr>
        <w:t xml:space="preserve">se habría configurado por </w:t>
      </w:r>
      <w:r w:rsidR="00C91DFD" w:rsidRPr="00975C02">
        <w:rPr>
          <w:sz w:val="20"/>
          <w:szCs w:val="20"/>
          <w:lang w:val="es-ES"/>
        </w:rPr>
        <w:t>una serie de</w:t>
      </w:r>
      <w:r w:rsidR="007D1BE9" w:rsidRPr="00975C02">
        <w:rPr>
          <w:sz w:val="20"/>
          <w:szCs w:val="20"/>
          <w:lang w:val="es-ES"/>
        </w:rPr>
        <w:t xml:space="preserve"> acciones y omisiones estatales frente a la violación sexual</w:t>
      </w:r>
      <w:r w:rsidR="00C91DFD" w:rsidRPr="00975C02">
        <w:rPr>
          <w:sz w:val="20"/>
          <w:szCs w:val="20"/>
          <w:lang w:val="es-ES"/>
        </w:rPr>
        <w:t>, que no habrían respetado el deber de debida diligencia reforzad</w:t>
      </w:r>
      <w:r w:rsidR="00F70FC2" w:rsidRPr="00975C02">
        <w:rPr>
          <w:sz w:val="20"/>
          <w:szCs w:val="20"/>
          <w:lang w:val="es-ES"/>
        </w:rPr>
        <w:t>a</w:t>
      </w:r>
      <w:r w:rsidR="00C91DFD" w:rsidRPr="00975C02">
        <w:rPr>
          <w:sz w:val="20"/>
          <w:szCs w:val="20"/>
          <w:lang w:val="es-ES"/>
        </w:rPr>
        <w:t xml:space="preserve"> y</w:t>
      </w:r>
      <w:r w:rsidR="00F70FC2" w:rsidRPr="00975C02">
        <w:rPr>
          <w:sz w:val="20"/>
          <w:szCs w:val="20"/>
          <w:lang w:val="es-ES"/>
        </w:rPr>
        <w:t xml:space="preserve"> protección especial, y</w:t>
      </w:r>
      <w:r w:rsidR="00C91DFD" w:rsidRPr="00975C02">
        <w:rPr>
          <w:sz w:val="20"/>
          <w:szCs w:val="20"/>
          <w:lang w:val="es-ES"/>
        </w:rPr>
        <w:t xml:space="preserve"> que habrían tenido tal entidad que provoca</w:t>
      </w:r>
      <w:r w:rsidR="001213BE" w:rsidRPr="00975C02">
        <w:rPr>
          <w:sz w:val="20"/>
          <w:szCs w:val="20"/>
          <w:lang w:val="es-ES"/>
        </w:rPr>
        <w:t>ron</w:t>
      </w:r>
      <w:r w:rsidR="00C91DFD" w:rsidRPr="00975C02">
        <w:rPr>
          <w:sz w:val="20"/>
          <w:szCs w:val="20"/>
          <w:lang w:val="es-ES"/>
        </w:rPr>
        <w:t xml:space="preserve"> una situación de revictimización con grave afectación a </w:t>
      </w:r>
      <w:r w:rsidR="0088117D" w:rsidRPr="00975C02">
        <w:rPr>
          <w:sz w:val="20"/>
          <w:szCs w:val="20"/>
          <w:lang w:val="es-ES"/>
        </w:rPr>
        <w:t>diversos</w:t>
      </w:r>
      <w:r w:rsidR="00C91DFD" w:rsidRPr="00975C02">
        <w:rPr>
          <w:sz w:val="20"/>
          <w:szCs w:val="20"/>
          <w:lang w:val="es-ES"/>
        </w:rPr>
        <w:t xml:space="preserve"> derechos de las presuntas víctimas</w:t>
      </w:r>
      <w:r w:rsidR="007D1BE9" w:rsidRPr="00975C02">
        <w:rPr>
          <w:sz w:val="20"/>
          <w:szCs w:val="20"/>
          <w:lang w:val="es-ES"/>
        </w:rPr>
        <w:t>.</w:t>
      </w:r>
    </w:p>
    <w:p w14:paraId="55F21850" w14:textId="77777777" w:rsidR="007D1BE9" w:rsidRPr="00975C02" w:rsidRDefault="007D1BE9" w:rsidP="007D1BE9">
      <w:pPr>
        <w:tabs>
          <w:tab w:val="left" w:pos="567"/>
        </w:tabs>
        <w:spacing w:line="240" w:lineRule="auto"/>
        <w:rPr>
          <w:sz w:val="20"/>
          <w:szCs w:val="20"/>
          <w:lang w:val="es-ES"/>
        </w:rPr>
      </w:pPr>
    </w:p>
    <w:p w14:paraId="439BA827" w14:textId="3BAB35D0" w:rsidR="00B5625C" w:rsidRPr="00975C02" w:rsidRDefault="0027432F" w:rsidP="005C77A8">
      <w:pPr>
        <w:numPr>
          <w:ilvl w:val="0"/>
          <w:numId w:val="2"/>
        </w:numPr>
        <w:tabs>
          <w:tab w:val="left" w:pos="567"/>
          <w:tab w:val="num" w:pos="12305"/>
        </w:tabs>
        <w:spacing w:line="240" w:lineRule="auto"/>
        <w:ind w:left="0" w:firstLine="0"/>
        <w:rPr>
          <w:rFonts w:cs="Verdana"/>
          <w:bCs/>
          <w:caps/>
          <w:snapToGrid w:val="0"/>
          <w:sz w:val="20"/>
          <w:szCs w:val="20"/>
          <w:lang w:val="es-ES"/>
        </w:rPr>
      </w:pPr>
      <w:r w:rsidRPr="00975C02">
        <w:rPr>
          <w:sz w:val="20"/>
          <w:szCs w:val="20"/>
          <w:lang w:val="es-ES"/>
        </w:rPr>
        <w:t>Por consiguiente</w:t>
      </w:r>
      <w:r w:rsidR="00B5625C" w:rsidRPr="00975C02">
        <w:rPr>
          <w:sz w:val="20"/>
          <w:szCs w:val="20"/>
          <w:lang w:val="es-ES"/>
        </w:rPr>
        <w:t>,</w:t>
      </w:r>
      <w:r w:rsidRPr="00975C02">
        <w:rPr>
          <w:sz w:val="20"/>
          <w:szCs w:val="20"/>
          <w:lang w:val="es-ES"/>
        </w:rPr>
        <w:t xml:space="preserve"> a fin de abordar los alegatos presentados, la </w:t>
      </w:r>
      <w:r w:rsidR="00B5625C" w:rsidRPr="00975C02">
        <w:rPr>
          <w:sz w:val="20"/>
          <w:szCs w:val="20"/>
          <w:lang w:val="es-ES"/>
        </w:rPr>
        <w:t xml:space="preserve">Corte </w:t>
      </w:r>
      <w:r w:rsidRPr="00975C02">
        <w:rPr>
          <w:sz w:val="20"/>
          <w:szCs w:val="20"/>
          <w:lang w:val="es-ES"/>
        </w:rPr>
        <w:t xml:space="preserve">procederá de la siguiente manera: en primer lugar, </w:t>
      </w:r>
      <w:r w:rsidR="00B5625C" w:rsidRPr="00975C02">
        <w:rPr>
          <w:sz w:val="20"/>
          <w:szCs w:val="20"/>
          <w:lang w:val="es-ES"/>
        </w:rPr>
        <w:t>examinará todos los alegatos referidos a la obligación de investigar y</w:t>
      </w:r>
      <w:r w:rsidRPr="00975C02">
        <w:rPr>
          <w:sz w:val="20"/>
          <w:szCs w:val="20"/>
          <w:lang w:val="es-ES"/>
        </w:rPr>
        <w:t xml:space="preserve"> el deber de debida diligencia reforzad</w:t>
      </w:r>
      <w:r w:rsidR="00941023" w:rsidRPr="00975C02">
        <w:rPr>
          <w:sz w:val="20"/>
          <w:szCs w:val="20"/>
          <w:lang w:val="es-ES"/>
        </w:rPr>
        <w:t>a y protección especial</w:t>
      </w:r>
      <w:r w:rsidRPr="00975C02">
        <w:rPr>
          <w:sz w:val="20"/>
          <w:szCs w:val="20"/>
          <w:lang w:val="es-ES"/>
        </w:rPr>
        <w:t>, así como lo referido a</w:t>
      </w:r>
      <w:r w:rsidRPr="00975C02">
        <w:rPr>
          <w:rFonts w:eastAsia="MS Mincho"/>
          <w:sz w:val="20"/>
          <w:szCs w:val="20"/>
          <w:lang w:val="es-ES"/>
        </w:rPr>
        <w:t xml:space="preserve"> las garantías judiciales en el caso de juicio por jurados y el plazo razonable, junto con las </w:t>
      </w:r>
      <w:r w:rsidRPr="00975C02">
        <w:rPr>
          <w:sz w:val="20"/>
          <w:szCs w:val="20"/>
          <w:lang w:val="es-ES"/>
        </w:rPr>
        <w:t>obligaciones previstas en el artículo 7</w:t>
      </w:r>
      <w:r w:rsidR="006347FA" w:rsidRPr="00975C02">
        <w:rPr>
          <w:sz w:val="20"/>
          <w:szCs w:val="20"/>
          <w:lang w:val="es-ES"/>
        </w:rPr>
        <w:t>.</w:t>
      </w:r>
      <w:r w:rsidRPr="00975C02">
        <w:rPr>
          <w:rFonts w:eastAsia="MS Mincho"/>
          <w:sz w:val="20"/>
          <w:szCs w:val="20"/>
          <w:lang w:val="es-ES"/>
        </w:rPr>
        <w:t xml:space="preserve">b) </w:t>
      </w:r>
      <w:r w:rsidRPr="00975C02">
        <w:rPr>
          <w:sz w:val="20"/>
          <w:szCs w:val="20"/>
          <w:lang w:val="es-ES"/>
        </w:rPr>
        <w:t>de la Convención de Belém do Pará</w:t>
      </w:r>
      <w:r w:rsidRPr="00975C02">
        <w:rPr>
          <w:rFonts w:eastAsia="MS Mincho"/>
          <w:sz w:val="20"/>
          <w:szCs w:val="20"/>
          <w:lang w:val="es-ES"/>
        </w:rPr>
        <w:t>.</w:t>
      </w:r>
      <w:r w:rsidR="00B5625C" w:rsidRPr="00975C02">
        <w:rPr>
          <w:rFonts w:eastAsia="MS Mincho"/>
          <w:sz w:val="20"/>
          <w:szCs w:val="20"/>
          <w:lang w:val="es-ES"/>
        </w:rPr>
        <w:t xml:space="preserve"> </w:t>
      </w:r>
      <w:r w:rsidRPr="00975C02">
        <w:rPr>
          <w:sz w:val="20"/>
          <w:szCs w:val="20"/>
          <w:lang w:val="es-ES"/>
        </w:rPr>
        <w:t>Posteriormente</w:t>
      </w:r>
      <w:r w:rsidR="00355ED9" w:rsidRPr="00975C02">
        <w:rPr>
          <w:sz w:val="20"/>
          <w:szCs w:val="20"/>
          <w:lang w:val="es-ES"/>
        </w:rPr>
        <w:t xml:space="preserve">, </w:t>
      </w:r>
      <w:r w:rsidRPr="00975C02">
        <w:rPr>
          <w:sz w:val="20"/>
          <w:szCs w:val="20"/>
          <w:lang w:val="es-ES"/>
        </w:rPr>
        <w:t>estudiará</w:t>
      </w:r>
      <w:r w:rsidR="00355ED9" w:rsidRPr="00975C02">
        <w:rPr>
          <w:sz w:val="20"/>
          <w:szCs w:val="20"/>
          <w:lang w:val="es-ES"/>
        </w:rPr>
        <w:t xml:space="preserve"> los alegatos relativos a la supuesta discriminación </w:t>
      </w:r>
      <w:r w:rsidR="009C2AF2" w:rsidRPr="00975C02">
        <w:rPr>
          <w:sz w:val="20"/>
          <w:szCs w:val="20"/>
          <w:lang w:val="es-ES"/>
        </w:rPr>
        <w:t xml:space="preserve">en el acceso a la justicia </w:t>
      </w:r>
      <w:r w:rsidR="00355ED9" w:rsidRPr="00975C02">
        <w:rPr>
          <w:sz w:val="20"/>
          <w:szCs w:val="20"/>
          <w:lang w:val="es-ES"/>
        </w:rPr>
        <w:t xml:space="preserve">basada en </w:t>
      </w:r>
      <w:r w:rsidR="009C2AF2" w:rsidRPr="00975C02">
        <w:rPr>
          <w:sz w:val="20"/>
          <w:szCs w:val="20"/>
          <w:lang w:val="es-ES"/>
        </w:rPr>
        <w:t xml:space="preserve">motivos de sexo y género, así como en la condición de persona en desarrollo de la </w:t>
      </w:r>
      <w:r w:rsidR="00941023" w:rsidRPr="00975C02">
        <w:rPr>
          <w:sz w:val="20"/>
          <w:szCs w:val="20"/>
          <w:lang w:val="es-ES"/>
        </w:rPr>
        <w:t xml:space="preserve">presunta </w:t>
      </w:r>
      <w:r w:rsidR="009C2AF2" w:rsidRPr="00975C02">
        <w:rPr>
          <w:sz w:val="20"/>
          <w:szCs w:val="20"/>
          <w:lang w:val="es-ES"/>
        </w:rPr>
        <w:t>víctima</w:t>
      </w:r>
      <w:r w:rsidR="00355ED9" w:rsidRPr="00975C02">
        <w:rPr>
          <w:sz w:val="20"/>
          <w:szCs w:val="20"/>
          <w:lang w:val="es-ES"/>
        </w:rPr>
        <w:t>, en los términos de</w:t>
      </w:r>
      <w:r w:rsidR="00941023" w:rsidRPr="00975C02">
        <w:rPr>
          <w:sz w:val="20"/>
          <w:szCs w:val="20"/>
          <w:lang w:val="es-ES"/>
        </w:rPr>
        <w:t xml:space="preserve"> </w:t>
      </w:r>
      <w:r w:rsidR="00355ED9" w:rsidRPr="00975C02">
        <w:rPr>
          <w:sz w:val="20"/>
          <w:szCs w:val="20"/>
          <w:lang w:val="es-ES"/>
        </w:rPr>
        <w:t>l</w:t>
      </w:r>
      <w:r w:rsidR="00941023" w:rsidRPr="00975C02">
        <w:rPr>
          <w:sz w:val="20"/>
          <w:szCs w:val="20"/>
          <w:lang w:val="es-ES"/>
        </w:rPr>
        <w:t>os</w:t>
      </w:r>
      <w:r w:rsidR="00355ED9" w:rsidRPr="00975C02">
        <w:rPr>
          <w:sz w:val="20"/>
          <w:szCs w:val="20"/>
          <w:lang w:val="es-ES"/>
        </w:rPr>
        <w:t xml:space="preserve"> artículo</w:t>
      </w:r>
      <w:r w:rsidR="00941023" w:rsidRPr="00975C02">
        <w:rPr>
          <w:sz w:val="20"/>
          <w:szCs w:val="20"/>
          <w:lang w:val="es-ES"/>
        </w:rPr>
        <w:t>s</w:t>
      </w:r>
      <w:r w:rsidR="00355ED9" w:rsidRPr="00975C02">
        <w:rPr>
          <w:sz w:val="20"/>
          <w:szCs w:val="20"/>
          <w:lang w:val="es-ES"/>
        </w:rPr>
        <w:t xml:space="preserve"> 1.1</w:t>
      </w:r>
      <w:r w:rsidR="00941023" w:rsidRPr="00975C02">
        <w:rPr>
          <w:sz w:val="20"/>
          <w:szCs w:val="20"/>
          <w:lang w:val="es-ES"/>
        </w:rPr>
        <w:t xml:space="preserve"> y 24</w:t>
      </w:r>
      <w:r w:rsidR="00355ED9" w:rsidRPr="00975C02">
        <w:rPr>
          <w:sz w:val="20"/>
          <w:szCs w:val="20"/>
          <w:lang w:val="es-ES"/>
        </w:rPr>
        <w:t xml:space="preserve"> de la Convención Americana</w:t>
      </w:r>
      <w:r w:rsidRPr="00975C02">
        <w:rPr>
          <w:sz w:val="20"/>
          <w:szCs w:val="20"/>
          <w:lang w:val="es-ES"/>
        </w:rPr>
        <w:t xml:space="preserve">, </w:t>
      </w:r>
      <w:r w:rsidR="009C2AF2" w:rsidRPr="00975C02">
        <w:rPr>
          <w:sz w:val="20"/>
          <w:szCs w:val="20"/>
          <w:lang w:val="es-ES"/>
        </w:rPr>
        <w:t xml:space="preserve">y se referirá a </w:t>
      </w:r>
      <w:r w:rsidRPr="00975C02">
        <w:rPr>
          <w:sz w:val="20"/>
          <w:szCs w:val="20"/>
          <w:lang w:val="es-ES"/>
        </w:rPr>
        <w:t>la alegada situación de revictimización en la niña y su núcleo familiar</w:t>
      </w:r>
      <w:r w:rsidR="00355ED9" w:rsidRPr="00975C02">
        <w:rPr>
          <w:sz w:val="20"/>
          <w:szCs w:val="20"/>
          <w:lang w:val="es-ES"/>
        </w:rPr>
        <w:t xml:space="preserve">. </w:t>
      </w:r>
      <w:r w:rsidRPr="00975C02">
        <w:rPr>
          <w:rFonts w:eastAsia="MS Mincho"/>
          <w:sz w:val="20"/>
          <w:szCs w:val="20"/>
          <w:lang w:val="es-ES"/>
        </w:rPr>
        <w:t>Luego</w:t>
      </w:r>
      <w:r w:rsidR="00B5625C" w:rsidRPr="00975C02">
        <w:rPr>
          <w:rFonts w:eastAsia="MS Mincho"/>
          <w:sz w:val="20"/>
          <w:szCs w:val="20"/>
          <w:lang w:val="es-ES"/>
        </w:rPr>
        <w:t xml:space="preserve">, la Corte </w:t>
      </w:r>
      <w:r w:rsidR="00B5625C" w:rsidRPr="00975C02">
        <w:rPr>
          <w:sz w:val="20"/>
          <w:szCs w:val="20"/>
          <w:lang w:val="es-ES"/>
        </w:rPr>
        <w:t>considerará los alegatos de la</w:t>
      </w:r>
      <w:r w:rsidR="00355ED9" w:rsidRPr="00975C02">
        <w:rPr>
          <w:sz w:val="20"/>
          <w:szCs w:val="20"/>
          <w:lang w:val="es-ES"/>
        </w:rPr>
        <w:t>s</w:t>
      </w:r>
      <w:r w:rsidR="00B5625C" w:rsidRPr="00975C02">
        <w:rPr>
          <w:sz w:val="20"/>
          <w:szCs w:val="20"/>
          <w:lang w:val="es-ES"/>
        </w:rPr>
        <w:t xml:space="preserve"> representante</w:t>
      </w:r>
      <w:r w:rsidR="00355ED9" w:rsidRPr="00975C02">
        <w:rPr>
          <w:sz w:val="20"/>
          <w:szCs w:val="20"/>
          <w:lang w:val="es-ES"/>
        </w:rPr>
        <w:t>s</w:t>
      </w:r>
      <w:r w:rsidR="00B5625C" w:rsidRPr="00975C02">
        <w:rPr>
          <w:sz w:val="20"/>
          <w:szCs w:val="20"/>
          <w:lang w:val="es-ES"/>
        </w:rPr>
        <w:t xml:space="preserve"> respecto de</w:t>
      </w:r>
      <w:r w:rsidR="00355ED9" w:rsidRPr="00975C02">
        <w:rPr>
          <w:sz w:val="20"/>
          <w:szCs w:val="20"/>
          <w:lang w:val="es-ES"/>
        </w:rPr>
        <w:t xml:space="preserve"> </w:t>
      </w:r>
      <w:r w:rsidR="00B5625C" w:rsidRPr="00975C02">
        <w:rPr>
          <w:sz w:val="20"/>
          <w:szCs w:val="20"/>
          <w:lang w:val="es-ES"/>
        </w:rPr>
        <w:t>l</w:t>
      </w:r>
      <w:r w:rsidR="00355ED9" w:rsidRPr="00975C02">
        <w:rPr>
          <w:sz w:val="20"/>
          <w:szCs w:val="20"/>
          <w:lang w:val="es-ES"/>
        </w:rPr>
        <w:t>os</w:t>
      </w:r>
      <w:r w:rsidR="00B5625C" w:rsidRPr="00975C02">
        <w:rPr>
          <w:sz w:val="20"/>
          <w:szCs w:val="20"/>
          <w:lang w:val="es-ES"/>
        </w:rPr>
        <w:t xml:space="preserve"> artículo</w:t>
      </w:r>
      <w:r w:rsidR="00355ED9" w:rsidRPr="00975C02">
        <w:rPr>
          <w:sz w:val="20"/>
          <w:szCs w:val="20"/>
          <w:lang w:val="es-ES"/>
        </w:rPr>
        <w:t>s</w:t>
      </w:r>
      <w:r w:rsidR="00B5625C" w:rsidRPr="00975C02">
        <w:rPr>
          <w:sz w:val="20"/>
          <w:szCs w:val="20"/>
          <w:lang w:val="es-ES"/>
        </w:rPr>
        <w:t xml:space="preserve"> </w:t>
      </w:r>
      <w:r w:rsidR="00941023" w:rsidRPr="00975C02">
        <w:rPr>
          <w:sz w:val="20"/>
          <w:szCs w:val="20"/>
          <w:lang w:val="es-ES"/>
        </w:rPr>
        <w:t xml:space="preserve">12.1, 17.1, 19 y </w:t>
      </w:r>
      <w:r w:rsidR="00B5625C" w:rsidRPr="00975C02">
        <w:rPr>
          <w:sz w:val="20"/>
          <w:szCs w:val="20"/>
          <w:lang w:val="es-ES"/>
        </w:rPr>
        <w:t>22</w:t>
      </w:r>
      <w:r w:rsidR="00941023" w:rsidRPr="00975C02">
        <w:rPr>
          <w:sz w:val="20"/>
          <w:szCs w:val="20"/>
          <w:lang w:val="es-ES"/>
        </w:rPr>
        <w:t>.1</w:t>
      </w:r>
      <w:r w:rsidR="00B5625C" w:rsidRPr="00975C02">
        <w:rPr>
          <w:sz w:val="20"/>
          <w:szCs w:val="20"/>
          <w:lang w:val="es-ES"/>
        </w:rPr>
        <w:t xml:space="preserve"> de la Convención Americana</w:t>
      </w:r>
      <w:r w:rsidR="00B5625C" w:rsidRPr="00975C02">
        <w:rPr>
          <w:rFonts w:eastAsia="MS Mincho"/>
          <w:sz w:val="20"/>
          <w:szCs w:val="20"/>
          <w:lang w:val="es-ES"/>
        </w:rPr>
        <w:t>. Finalmente, abordará las alegadas violaciones a la integridad personal de los familiares</w:t>
      </w:r>
      <w:r w:rsidRPr="00975C02">
        <w:rPr>
          <w:rFonts w:eastAsia="MS Mincho"/>
          <w:sz w:val="20"/>
          <w:szCs w:val="20"/>
          <w:lang w:val="es-ES"/>
        </w:rPr>
        <w:t xml:space="preserve"> bajo el artículo 5 de la Convención Americana</w:t>
      </w:r>
      <w:r w:rsidR="00B5625C" w:rsidRPr="00975C02">
        <w:rPr>
          <w:rFonts w:eastAsia="MS Mincho"/>
          <w:sz w:val="20"/>
          <w:szCs w:val="20"/>
          <w:lang w:val="es-ES"/>
        </w:rPr>
        <w:t>.</w:t>
      </w:r>
    </w:p>
    <w:p w14:paraId="458EBA02" w14:textId="77777777" w:rsidR="00B5625C" w:rsidRPr="00975C02" w:rsidRDefault="00B5625C" w:rsidP="00B5625C">
      <w:pPr>
        <w:spacing w:line="240" w:lineRule="auto"/>
        <w:rPr>
          <w:rFonts w:cs="Verdana"/>
          <w:bCs/>
          <w:caps/>
          <w:snapToGrid w:val="0"/>
          <w:sz w:val="20"/>
          <w:szCs w:val="20"/>
          <w:lang w:val="es-ES"/>
        </w:rPr>
      </w:pPr>
    </w:p>
    <w:p w14:paraId="0F82B067" w14:textId="728711D3" w:rsidR="005E1546" w:rsidRPr="00975C02" w:rsidRDefault="00B5625C" w:rsidP="005E1546">
      <w:pPr>
        <w:keepNext/>
        <w:keepLines/>
        <w:widowControl/>
        <w:tabs>
          <w:tab w:val="left" w:pos="851"/>
        </w:tabs>
        <w:autoSpaceDE w:val="0"/>
        <w:autoSpaceDN w:val="0"/>
        <w:adjustRightInd/>
        <w:spacing w:line="240" w:lineRule="auto"/>
        <w:jc w:val="center"/>
        <w:textAlignment w:val="auto"/>
        <w:outlineLvl w:val="0"/>
        <w:rPr>
          <w:rFonts w:cs="Arial"/>
          <w:b/>
          <w:bCs/>
          <w:caps/>
          <w:kern w:val="2"/>
          <w:sz w:val="20"/>
          <w:szCs w:val="20"/>
          <w:lang w:val="es-ES" w:eastAsia="en-US"/>
        </w:rPr>
      </w:pPr>
      <w:bookmarkStart w:id="117" w:name="_Toc438113890"/>
      <w:bookmarkStart w:id="118" w:name="_Toc495658671"/>
      <w:bookmarkStart w:id="119" w:name="_Toc514172627"/>
      <w:r w:rsidRPr="00975C02">
        <w:rPr>
          <w:rFonts w:cs="Arial"/>
          <w:b/>
          <w:bCs/>
          <w:caps/>
          <w:kern w:val="2"/>
          <w:sz w:val="20"/>
          <w:szCs w:val="20"/>
          <w:lang w:val="es-ES" w:eastAsia="en-US"/>
        </w:rPr>
        <w:lastRenderedPageBreak/>
        <w:t>VIII-1</w:t>
      </w:r>
      <w:r w:rsidRPr="00975C02">
        <w:rPr>
          <w:rFonts w:cs="Arial"/>
          <w:b/>
          <w:bCs/>
          <w:caps/>
          <w:kern w:val="2"/>
          <w:sz w:val="20"/>
          <w:szCs w:val="20"/>
          <w:lang w:val="es-ES" w:eastAsia="en-US"/>
        </w:rPr>
        <w:br/>
        <w:t>derechoS A LA INTEGRIDAD personal</w:t>
      </w:r>
      <w:r w:rsidRPr="00975C02">
        <w:rPr>
          <w:rFonts w:cs="Arial"/>
          <w:b/>
          <w:bCs/>
          <w:caps/>
          <w:kern w:val="2"/>
          <w:sz w:val="20"/>
          <w:szCs w:val="20"/>
          <w:vertAlign w:val="superscript"/>
          <w:lang w:val="es-ES" w:eastAsia="en-US"/>
        </w:rPr>
        <w:footnoteReference w:id="182"/>
      </w:r>
      <w:r w:rsidRPr="00975C02">
        <w:rPr>
          <w:rFonts w:cs="Arial"/>
          <w:b/>
          <w:bCs/>
          <w:caps/>
          <w:kern w:val="2"/>
          <w:sz w:val="20"/>
          <w:szCs w:val="20"/>
          <w:lang w:val="es-ES" w:eastAsia="en-US"/>
        </w:rPr>
        <w:t>, a la vida privada y familiar</w:t>
      </w:r>
      <w:r w:rsidRPr="00975C02">
        <w:rPr>
          <w:rFonts w:cs="Arial"/>
          <w:b/>
          <w:bCs/>
          <w:caps/>
          <w:kern w:val="2"/>
          <w:sz w:val="20"/>
          <w:szCs w:val="20"/>
          <w:vertAlign w:val="superscript"/>
          <w:lang w:val="es-ES" w:eastAsia="en-US"/>
        </w:rPr>
        <w:footnoteReference w:id="183"/>
      </w:r>
      <w:r w:rsidRPr="00975C02">
        <w:rPr>
          <w:rFonts w:cs="Arial"/>
          <w:b/>
          <w:bCs/>
          <w:caps/>
          <w:kern w:val="2"/>
          <w:sz w:val="20"/>
          <w:szCs w:val="20"/>
          <w:lang w:val="es-ES" w:eastAsia="en-US"/>
        </w:rPr>
        <w:t>, a los derechos de</w:t>
      </w:r>
      <w:r w:rsidR="00FB1497" w:rsidRPr="00975C02">
        <w:rPr>
          <w:rFonts w:cs="Arial"/>
          <w:b/>
          <w:bCs/>
          <w:caps/>
          <w:kern w:val="2"/>
          <w:sz w:val="20"/>
          <w:szCs w:val="20"/>
          <w:lang w:val="es-ES" w:eastAsia="en-US"/>
        </w:rPr>
        <w:t xml:space="preserve"> </w:t>
      </w:r>
      <w:r w:rsidRPr="00975C02">
        <w:rPr>
          <w:rFonts w:cs="Arial"/>
          <w:b/>
          <w:bCs/>
          <w:caps/>
          <w:kern w:val="2"/>
          <w:sz w:val="20"/>
          <w:szCs w:val="20"/>
          <w:lang w:val="es-ES" w:eastAsia="en-US"/>
        </w:rPr>
        <w:t>l</w:t>
      </w:r>
      <w:r w:rsidR="00FB1497" w:rsidRPr="00975C02">
        <w:rPr>
          <w:rFonts w:cs="Arial"/>
          <w:b/>
          <w:bCs/>
          <w:caps/>
          <w:kern w:val="2"/>
          <w:sz w:val="20"/>
          <w:szCs w:val="20"/>
          <w:lang w:val="es-ES" w:eastAsia="en-US"/>
        </w:rPr>
        <w:t>A</w:t>
      </w:r>
      <w:r w:rsidRPr="00975C02">
        <w:rPr>
          <w:rFonts w:cs="Arial"/>
          <w:b/>
          <w:bCs/>
          <w:caps/>
          <w:kern w:val="2"/>
          <w:sz w:val="20"/>
          <w:szCs w:val="20"/>
          <w:lang w:val="es-ES" w:eastAsia="en-US"/>
        </w:rPr>
        <w:t xml:space="preserve"> niñ</w:t>
      </w:r>
      <w:r w:rsidR="00FB1497" w:rsidRPr="00975C02">
        <w:rPr>
          <w:rFonts w:cs="Arial"/>
          <w:b/>
          <w:bCs/>
          <w:caps/>
          <w:kern w:val="2"/>
          <w:sz w:val="20"/>
          <w:szCs w:val="20"/>
          <w:lang w:val="es-ES" w:eastAsia="en-US"/>
        </w:rPr>
        <w:t>A</w:t>
      </w:r>
      <w:r w:rsidRPr="00975C02">
        <w:rPr>
          <w:rFonts w:cs="Arial"/>
          <w:b/>
          <w:bCs/>
          <w:caps/>
          <w:kern w:val="2"/>
          <w:sz w:val="20"/>
          <w:szCs w:val="20"/>
          <w:vertAlign w:val="superscript"/>
          <w:lang w:val="es-ES" w:eastAsia="en-US"/>
        </w:rPr>
        <w:footnoteReference w:id="184"/>
      </w:r>
      <w:r w:rsidR="00DD008E" w:rsidRPr="00975C02">
        <w:rPr>
          <w:rFonts w:cs="Arial"/>
          <w:b/>
          <w:bCs/>
          <w:caps/>
          <w:kern w:val="2"/>
          <w:sz w:val="20"/>
          <w:szCs w:val="20"/>
          <w:lang w:val="es-ES" w:eastAsia="en-US"/>
        </w:rPr>
        <w:t>,</w:t>
      </w:r>
      <w:r w:rsidRPr="00975C02">
        <w:rPr>
          <w:rFonts w:cs="Arial"/>
          <w:b/>
          <w:bCs/>
          <w:caps/>
          <w:kern w:val="2"/>
          <w:sz w:val="20"/>
          <w:szCs w:val="20"/>
          <w:lang w:val="es-ES" w:eastAsia="en-US"/>
        </w:rPr>
        <w:t xml:space="preserve"> </w:t>
      </w:r>
      <w:r w:rsidR="00E56062" w:rsidRPr="00975C02">
        <w:rPr>
          <w:rFonts w:cs="Arial"/>
          <w:b/>
          <w:bCs/>
          <w:caps/>
          <w:kern w:val="2"/>
          <w:sz w:val="20"/>
          <w:szCs w:val="20"/>
          <w:lang w:val="es-ES" w:eastAsia="en-US"/>
        </w:rPr>
        <w:t>A LA IGUALDAD ante LA LEY</w:t>
      </w:r>
      <w:r w:rsidR="00E56062" w:rsidRPr="00975C02">
        <w:rPr>
          <w:rStyle w:val="FootnoteReference"/>
          <w:rFonts w:cs="Arial"/>
          <w:b/>
          <w:bCs/>
          <w:caps/>
          <w:kern w:val="2"/>
          <w:sz w:val="20"/>
          <w:szCs w:val="20"/>
          <w:lang w:val="es-ES" w:eastAsia="en-US"/>
        </w:rPr>
        <w:footnoteReference w:id="185"/>
      </w:r>
      <w:r w:rsidR="00E56062" w:rsidRPr="00975C02">
        <w:rPr>
          <w:rFonts w:cs="Arial"/>
          <w:b/>
          <w:bCs/>
          <w:caps/>
          <w:kern w:val="2"/>
          <w:sz w:val="20"/>
          <w:szCs w:val="20"/>
          <w:lang w:val="es-ES" w:eastAsia="en-US"/>
        </w:rPr>
        <w:t xml:space="preserve">, </w:t>
      </w:r>
      <w:r w:rsidR="00DD008E" w:rsidRPr="00975C02">
        <w:rPr>
          <w:rFonts w:cs="Verdana"/>
          <w:b/>
          <w:bCs/>
          <w:caps/>
          <w:snapToGrid w:val="0"/>
          <w:sz w:val="20"/>
          <w:szCs w:val="20"/>
          <w:lang w:val="es-ES"/>
        </w:rPr>
        <w:t>A LAS GARANTÍAS JUDICIALES</w:t>
      </w:r>
      <w:r w:rsidR="00DD008E" w:rsidRPr="00975C02">
        <w:rPr>
          <w:rFonts w:cs="Verdana"/>
          <w:b/>
          <w:bCs/>
          <w:caps/>
          <w:snapToGrid w:val="0"/>
          <w:sz w:val="20"/>
          <w:szCs w:val="20"/>
          <w:vertAlign w:val="superscript"/>
          <w:lang w:val="es-ES"/>
        </w:rPr>
        <w:footnoteReference w:id="186"/>
      </w:r>
      <w:r w:rsidR="00DD008E" w:rsidRPr="00975C02">
        <w:rPr>
          <w:rFonts w:cs="Verdana"/>
          <w:b/>
          <w:bCs/>
          <w:caps/>
          <w:snapToGrid w:val="0"/>
          <w:sz w:val="20"/>
          <w:szCs w:val="20"/>
          <w:lang w:val="es-ES"/>
        </w:rPr>
        <w:t xml:space="preserve"> Y A LA PROTECCIÓN JUDICIAL</w:t>
      </w:r>
      <w:r w:rsidR="00DD008E" w:rsidRPr="00975C02">
        <w:rPr>
          <w:rFonts w:cs="Verdana"/>
          <w:b/>
          <w:bCs/>
          <w:caps/>
          <w:snapToGrid w:val="0"/>
          <w:sz w:val="20"/>
          <w:szCs w:val="20"/>
          <w:vertAlign w:val="superscript"/>
          <w:lang w:val="es-ES"/>
        </w:rPr>
        <w:footnoteReference w:id="187"/>
      </w:r>
      <w:r w:rsidR="00DD008E" w:rsidRPr="00975C02">
        <w:rPr>
          <w:rFonts w:cs="Verdana"/>
          <w:b/>
          <w:bCs/>
          <w:caps/>
          <w:snapToGrid w:val="0"/>
          <w:sz w:val="20"/>
          <w:szCs w:val="20"/>
          <w:lang w:val="es-ES"/>
        </w:rPr>
        <w:t>, EN RELACIÓN CON LAS OBLIGACIONES DE RESPETAR Y GARANTIZAR LOS DERECHOS y de no discriminar</w:t>
      </w:r>
      <w:r w:rsidR="00DD008E" w:rsidRPr="00975C02">
        <w:rPr>
          <w:rFonts w:cs="Verdana"/>
          <w:b/>
          <w:bCs/>
          <w:caps/>
          <w:snapToGrid w:val="0"/>
          <w:sz w:val="20"/>
          <w:szCs w:val="20"/>
          <w:vertAlign w:val="superscript"/>
          <w:lang w:val="es-ES"/>
        </w:rPr>
        <w:footnoteReference w:id="188"/>
      </w:r>
      <w:bookmarkEnd w:id="117"/>
      <w:bookmarkEnd w:id="118"/>
      <w:r w:rsidRPr="00975C02">
        <w:rPr>
          <w:rFonts w:cs="Arial"/>
          <w:b/>
          <w:bCs/>
          <w:caps/>
          <w:kern w:val="2"/>
          <w:sz w:val="20"/>
          <w:szCs w:val="20"/>
          <w:lang w:val="es-ES" w:eastAsia="en-US"/>
        </w:rPr>
        <w:t>, así como con el artículo 7</w:t>
      </w:r>
      <w:r w:rsidR="00B85083" w:rsidRPr="00975C02">
        <w:rPr>
          <w:rFonts w:cs="Arial"/>
          <w:b/>
          <w:bCs/>
          <w:caps/>
          <w:kern w:val="2"/>
          <w:sz w:val="20"/>
          <w:szCs w:val="20"/>
          <w:lang w:val="es-ES" w:eastAsia="en-US"/>
        </w:rPr>
        <w:t>.B)</w:t>
      </w:r>
      <w:r w:rsidRPr="00975C02">
        <w:rPr>
          <w:rFonts w:cs="Arial"/>
          <w:b/>
          <w:bCs/>
          <w:caps/>
          <w:kern w:val="2"/>
          <w:sz w:val="20"/>
          <w:szCs w:val="20"/>
          <w:lang w:val="es-ES" w:eastAsia="en-US"/>
        </w:rPr>
        <w:t xml:space="preserve"> de la convención de belém do pará</w:t>
      </w:r>
      <w:r w:rsidRPr="00975C02">
        <w:rPr>
          <w:rFonts w:cs="Arial"/>
          <w:b/>
          <w:bCs/>
          <w:caps/>
          <w:kern w:val="2"/>
          <w:sz w:val="20"/>
          <w:szCs w:val="20"/>
          <w:vertAlign w:val="superscript"/>
          <w:lang w:val="es-ES" w:eastAsia="en-US"/>
        </w:rPr>
        <w:footnoteReference w:id="189"/>
      </w:r>
      <w:bookmarkEnd w:id="119"/>
    </w:p>
    <w:p w14:paraId="23B61272" w14:textId="77777777" w:rsidR="00B5625C" w:rsidRPr="00975C02" w:rsidRDefault="00B5625C" w:rsidP="00B5625C">
      <w:pPr>
        <w:widowControl/>
        <w:autoSpaceDE w:val="0"/>
        <w:autoSpaceDN w:val="0"/>
        <w:adjustRightInd/>
        <w:spacing w:line="240" w:lineRule="auto"/>
        <w:jc w:val="left"/>
        <w:textAlignment w:val="auto"/>
        <w:rPr>
          <w:rFonts w:eastAsiaTheme="minorHAnsi" w:cs="Arial"/>
          <w:kern w:val="2"/>
          <w:sz w:val="20"/>
          <w:szCs w:val="20"/>
          <w:lang w:val="es-ES" w:eastAsia="en-US"/>
        </w:rPr>
      </w:pPr>
    </w:p>
    <w:p w14:paraId="1AEE6DA4" w14:textId="78992A69" w:rsidR="002C415B" w:rsidRPr="00975C02" w:rsidRDefault="002C415B" w:rsidP="002C415B">
      <w:pPr>
        <w:numPr>
          <w:ilvl w:val="0"/>
          <w:numId w:val="2"/>
        </w:numPr>
        <w:tabs>
          <w:tab w:val="left" w:pos="567"/>
          <w:tab w:val="num" w:pos="12305"/>
        </w:tabs>
        <w:spacing w:line="240" w:lineRule="auto"/>
        <w:ind w:left="0" w:firstLine="0"/>
        <w:rPr>
          <w:rFonts w:eastAsiaTheme="minorHAnsi" w:cs="Arial"/>
          <w:kern w:val="2"/>
          <w:sz w:val="20"/>
          <w:szCs w:val="20"/>
          <w:lang w:val="es-ES" w:eastAsia="en-US"/>
        </w:rPr>
      </w:pPr>
      <w:r w:rsidRPr="00975C02">
        <w:rPr>
          <w:rFonts w:eastAsiaTheme="minorHAnsi" w:cs="Arial"/>
          <w:kern w:val="2"/>
          <w:sz w:val="20"/>
          <w:szCs w:val="20"/>
          <w:lang w:val="es-ES" w:eastAsia="en-US"/>
        </w:rPr>
        <w:t xml:space="preserve">La Corte dividirá su análisis en </w:t>
      </w:r>
      <w:r w:rsidR="00E06B26" w:rsidRPr="00975C02">
        <w:rPr>
          <w:rFonts w:eastAsiaTheme="minorHAnsi" w:cs="Arial"/>
          <w:kern w:val="2"/>
          <w:sz w:val="20"/>
          <w:szCs w:val="20"/>
          <w:lang w:val="es-ES" w:eastAsia="en-US"/>
        </w:rPr>
        <w:t xml:space="preserve">cuatro </w:t>
      </w:r>
      <w:r w:rsidRPr="00975C02">
        <w:rPr>
          <w:rFonts w:eastAsiaTheme="minorHAnsi" w:cs="Arial"/>
          <w:kern w:val="2"/>
          <w:sz w:val="20"/>
          <w:szCs w:val="20"/>
          <w:lang w:val="es-ES" w:eastAsia="en-US"/>
        </w:rPr>
        <w:t>apartados. En primer lugar, la Corte</w:t>
      </w:r>
      <w:r w:rsidR="001155C5" w:rsidRPr="00975C02">
        <w:rPr>
          <w:rFonts w:eastAsiaTheme="minorHAnsi" w:cs="Arial"/>
          <w:kern w:val="2"/>
          <w:sz w:val="20"/>
          <w:szCs w:val="20"/>
          <w:lang w:val="es-ES" w:eastAsia="en-US"/>
        </w:rPr>
        <w:t xml:space="preserve"> </w:t>
      </w:r>
      <w:r w:rsidR="001155C5" w:rsidRPr="00975C02">
        <w:rPr>
          <w:kern w:val="2"/>
          <w:sz w:val="20"/>
          <w:szCs w:val="20"/>
          <w:lang w:val="es-ES" w:eastAsia="en-US"/>
        </w:rPr>
        <w:t>centrará su análisis sobre la cuestión de si las investigaciones y el proceso penal iniciados a nivel interno por el Estado, debido a la denuncia por violación sexual interpuesta por la madre de V.R.P., cumplieron con</w:t>
      </w:r>
      <w:r w:rsidR="001155C5" w:rsidRPr="00975C02">
        <w:rPr>
          <w:rFonts w:eastAsiaTheme="minorHAnsi" w:cs="Arial"/>
          <w:kern w:val="2"/>
          <w:sz w:val="20"/>
          <w:szCs w:val="20"/>
          <w:lang w:val="es-ES" w:eastAsia="en-US"/>
        </w:rPr>
        <w:t xml:space="preserve"> el deber de debida diligencia reforzad</w:t>
      </w:r>
      <w:r w:rsidR="00B85083" w:rsidRPr="00975C02">
        <w:rPr>
          <w:rFonts w:eastAsiaTheme="minorHAnsi" w:cs="Arial"/>
          <w:kern w:val="2"/>
          <w:sz w:val="20"/>
          <w:szCs w:val="20"/>
          <w:lang w:val="es-ES" w:eastAsia="en-US"/>
        </w:rPr>
        <w:t>a y de no revictimización</w:t>
      </w:r>
      <w:r w:rsidR="001155C5" w:rsidRPr="00975C02">
        <w:rPr>
          <w:rFonts w:eastAsiaTheme="minorHAnsi" w:cs="Arial"/>
          <w:kern w:val="2"/>
          <w:sz w:val="20"/>
          <w:szCs w:val="20"/>
          <w:lang w:val="es-ES" w:eastAsia="en-US"/>
        </w:rPr>
        <w:t xml:space="preserve"> en investigaciones y procesos penales por violencia sexual en perjuicio de una niña</w:t>
      </w:r>
      <w:r w:rsidR="001155C5" w:rsidRPr="00975C02">
        <w:rPr>
          <w:kern w:val="2"/>
          <w:sz w:val="20"/>
          <w:szCs w:val="20"/>
          <w:vertAlign w:val="superscript"/>
          <w:lang w:val="es-ES" w:eastAsia="en-US"/>
        </w:rPr>
        <w:footnoteReference w:id="190"/>
      </w:r>
      <w:r w:rsidR="00B93409" w:rsidRPr="00975C02">
        <w:rPr>
          <w:rFonts w:eastAsiaTheme="minorHAnsi" w:cs="Arial"/>
          <w:kern w:val="2"/>
          <w:sz w:val="20"/>
          <w:szCs w:val="20"/>
          <w:lang w:val="es-ES" w:eastAsia="en-US"/>
        </w:rPr>
        <w:t>. Asimismo, analizará</w:t>
      </w:r>
      <w:r w:rsidR="001155C5" w:rsidRPr="00975C02">
        <w:rPr>
          <w:kern w:val="2"/>
          <w:sz w:val="20"/>
          <w:szCs w:val="20"/>
          <w:lang w:val="es-ES" w:eastAsia="en-US"/>
        </w:rPr>
        <w:t xml:space="preserve"> si Nicaragua actuó con perspectiva de género </w:t>
      </w:r>
      <w:r w:rsidR="00B85083" w:rsidRPr="00975C02">
        <w:rPr>
          <w:kern w:val="2"/>
          <w:sz w:val="20"/>
          <w:szCs w:val="20"/>
          <w:lang w:val="es-ES" w:eastAsia="en-US"/>
        </w:rPr>
        <w:t>y niñez</w:t>
      </w:r>
      <w:r w:rsidR="003654BF" w:rsidRPr="00975C02">
        <w:rPr>
          <w:kern w:val="2"/>
          <w:sz w:val="20"/>
          <w:szCs w:val="20"/>
          <w:lang w:val="es-ES" w:eastAsia="en-US"/>
        </w:rPr>
        <w:t xml:space="preserve"> </w:t>
      </w:r>
      <w:r w:rsidR="00B93409" w:rsidRPr="00975C02">
        <w:rPr>
          <w:kern w:val="2"/>
          <w:sz w:val="20"/>
          <w:szCs w:val="20"/>
          <w:lang w:val="es-ES" w:eastAsia="en-US"/>
        </w:rPr>
        <w:t>y adoptó las medidas de protección especial requerida</w:t>
      </w:r>
      <w:r w:rsidR="002179B0" w:rsidRPr="00975C02">
        <w:rPr>
          <w:kern w:val="2"/>
          <w:sz w:val="20"/>
          <w:szCs w:val="20"/>
          <w:lang w:val="es-ES" w:eastAsia="en-US"/>
        </w:rPr>
        <w:t>s</w:t>
      </w:r>
      <w:r w:rsidR="00B93409" w:rsidRPr="00975C02">
        <w:rPr>
          <w:kern w:val="2"/>
          <w:sz w:val="20"/>
          <w:szCs w:val="20"/>
          <w:lang w:val="es-ES" w:eastAsia="en-US"/>
        </w:rPr>
        <w:t xml:space="preserve"> para garantizar los derechos de V.R.P. en el desarrollo </w:t>
      </w:r>
      <w:r w:rsidR="003654BF" w:rsidRPr="00975C02">
        <w:rPr>
          <w:kern w:val="2"/>
          <w:sz w:val="20"/>
          <w:szCs w:val="20"/>
          <w:lang w:val="es-ES" w:eastAsia="en-US"/>
        </w:rPr>
        <w:t>de la investigación y proceso penal por los hechos de este caso</w:t>
      </w:r>
      <w:r w:rsidR="001155C5" w:rsidRPr="00975C02">
        <w:rPr>
          <w:kern w:val="2"/>
          <w:sz w:val="20"/>
          <w:szCs w:val="20"/>
          <w:lang w:val="es-ES" w:eastAsia="en-US"/>
        </w:rPr>
        <w:t xml:space="preserve">. </w:t>
      </w:r>
      <w:r w:rsidRPr="00975C02">
        <w:rPr>
          <w:rFonts w:eastAsiaTheme="minorHAnsi" w:cs="Arial"/>
          <w:kern w:val="2"/>
          <w:sz w:val="20"/>
          <w:szCs w:val="20"/>
          <w:lang w:val="es-ES" w:eastAsia="en-US"/>
        </w:rPr>
        <w:t xml:space="preserve">Luego, </w:t>
      </w:r>
      <w:r w:rsidR="002179B0" w:rsidRPr="00975C02">
        <w:rPr>
          <w:rFonts w:eastAsiaTheme="minorHAnsi" w:cs="Arial"/>
          <w:kern w:val="2"/>
          <w:sz w:val="20"/>
          <w:szCs w:val="20"/>
          <w:lang w:val="es-ES" w:eastAsia="en-US"/>
        </w:rPr>
        <w:t xml:space="preserve">la Corte </w:t>
      </w:r>
      <w:r w:rsidR="003654BF" w:rsidRPr="00975C02">
        <w:rPr>
          <w:rFonts w:eastAsiaTheme="minorHAnsi" w:cs="Arial"/>
          <w:kern w:val="2"/>
          <w:sz w:val="20"/>
          <w:szCs w:val="20"/>
          <w:lang w:val="es-ES" w:eastAsia="en-US"/>
        </w:rPr>
        <w:t>examinará</w:t>
      </w:r>
      <w:r w:rsidRPr="00975C02">
        <w:rPr>
          <w:rFonts w:eastAsiaTheme="minorHAnsi" w:cs="Arial"/>
          <w:kern w:val="2"/>
          <w:sz w:val="20"/>
          <w:szCs w:val="20"/>
          <w:lang w:val="es-ES" w:eastAsia="en-US"/>
        </w:rPr>
        <w:t xml:space="preserve"> lo relativo a la aplicabilidad de las exigencias del debido proceso al modelo de juicio por jurados</w:t>
      </w:r>
      <w:r w:rsidR="003654BF" w:rsidRPr="00975C02">
        <w:rPr>
          <w:rFonts w:eastAsiaTheme="minorHAnsi" w:cs="Arial"/>
          <w:kern w:val="2"/>
          <w:sz w:val="20"/>
          <w:szCs w:val="20"/>
          <w:lang w:val="es-ES" w:eastAsia="en-US"/>
        </w:rPr>
        <w:t xml:space="preserve"> vigente en Nicaragua al momento de los hechos y </w:t>
      </w:r>
      <w:r w:rsidR="003654BF" w:rsidRPr="00975C02">
        <w:rPr>
          <w:sz w:val="20"/>
          <w:szCs w:val="20"/>
          <w:lang w:val="es-ES"/>
        </w:rPr>
        <w:t xml:space="preserve">las alegadas violaciones a la garantía de imparcialidad y </w:t>
      </w:r>
      <w:r w:rsidR="00B91FA4" w:rsidRPr="00975C02">
        <w:rPr>
          <w:sz w:val="20"/>
          <w:szCs w:val="20"/>
          <w:lang w:val="es-ES"/>
        </w:rPr>
        <w:t>a</w:t>
      </w:r>
      <w:r w:rsidR="003654BF" w:rsidRPr="00975C02">
        <w:rPr>
          <w:sz w:val="20"/>
          <w:szCs w:val="20"/>
          <w:lang w:val="es-ES"/>
        </w:rPr>
        <w:t>l deber de motivar, así como en lo atinente al plazo razonable.</w:t>
      </w:r>
      <w:r w:rsidRPr="00975C02">
        <w:rPr>
          <w:rFonts w:eastAsiaTheme="minorHAnsi" w:cs="Arial"/>
          <w:kern w:val="2"/>
          <w:sz w:val="20"/>
          <w:szCs w:val="20"/>
          <w:lang w:val="es-ES" w:eastAsia="en-US"/>
        </w:rPr>
        <w:t xml:space="preserve"> </w:t>
      </w:r>
      <w:r w:rsidR="0082289B" w:rsidRPr="00975C02">
        <w:rPr>
          <w:rFonts w:eastAsiaTheme="minorHAnsi" w:cs="Arial"/>
          <w:kern w:val="2"/>
          <w:sz w:val="20"/>
          <w:szCs w:val="20"/>
          <w:lang w:val="es-ES" w:eastAsia="en-US"/>
        </w:rPr>
        <w:t>Finalmente</w:t>
      </w:r>
      <w:r w:rsidRPr="00975C02">
        <w:rPr>
          <w:rFonts w:eastAsiaTheme="minorHAnsi" w:cs="Arial"/>
          <w:kern w:val="2"/>
          <w:sz w:val="20"/>
          <w:szCs w:val="20"/>
          <w:lang w:val="es-ES" w:eastAsia="en-US"/>
        </w:rPr>
        <w:t>, desarrollará las exigencias debidas para garantizar un acceso a la justicia en términos igualitarios para una niña víctima de violencia sexual</w:t>
      </w:r>
      <w:r w:rsidR="0082289B" w:rsidRPr="00975C02">
        <w:rPr>
          <w:rFonts w:eastAsiaTheme="minorHAnsi" w:cs="Arial"/>
          <w:kern w:val="2"/>
          <w:sz w:val="20"/>
          <w:szCs w:val="20"/>
          <w:lang w:val="es-ES" w:eastAsia="en-US"/>
        </w:rPr>
        <w:t xml:space="preserve"> y</w:t>
      </w:r>
      <w:r w:rsidR="004A12EC" w:rsidRPr="00975C02">
        <w:rPr>
          <w:rFonts w:eastAsiaTheme="minorHAnsi" w:cs="Arial"/>
          <w:kern w:val="2"/>
          <w:sz w:val="20"/>
          <w:szCs w:val="20"/>
          <w:lang w:val="es-ES" w:eastAsia="en-US"/>
        </w:rPr>
        <w:t xml:space="preserve"> se referirá a la revictimización como una forma de violencia institucional.</w:t>
      </w:r>
    </w:p>
    <w:p w14:paraId="47F0F855" w14:textId="77777777" w:rsidR="002C415B" w:rsidRPr="00975C02" w:rsidRDefault="002C415B" w:rsidP="00B5625C">
      <w:pPr>
        <w:widowControl/>
        <w:autoSpaceDE w:val="0"/>
        <w:autoSpaceDN w:val="0"/>
        <w:adjustRightInd/>
        <w:spacing w:line="240" w:lineRule="auto"/>
        <w:jc w:val="left"/>
        <w:textAlignment w:val="auto"/>
        <w:rPr>
          <w:rFonts w:eastAsiaTheme="minorHAnsi" w:cs="Arial"/>
          <w:kern w:val="2"/>
          <w:sz w:val="20"/>
          <w:szCs w:val="20"/>
          <w:lang w:val="es-ES" w:eastAsia="en-US"/>
        </w:rPr>
      </w:pPr>
    </w:p>
    <w:p w14:paraId="0273A0DC" w14:textId="23FA2566" w:rsidR="002C415B" w:rsidRPr="00975C02" w:rsidRDefault="002C415B" w:rsidP="002C415B">
      <w:pPr>
        <w:pStyle w:val="ListParagraph"/>
        <w:keepNext/>
        <w:keepLines/>
        <w:widowControl/>
        <w:numPr>
          <w:ilvl w:val="0"/>
          <w:numId w:val="16"/>
        </w:numPr>
        <w:tabs>
          <w:tab w:val="left" w:pos="1134"/>
        </w:tabs>
        <w:autoSpaceDE w:val="0"/>
        <w:autoSpaceDN w:val="0"/>
        <w:adjustRightInd/>
        <w:spacing w:line="240" w:lineRule="auto"/>
        <w:ind w:left="1134" w:hanging="567"/>
        <w:textAlignment w:val="auto"/>
        <w:outlineLvl w:val="1"/>
        <w:rPr>
          <w:rFonts w:eastAsia="MS Mincho" w:cs="Arial"/>
          <w:b/>
          <w:bCs/>
          <w:i/>
          <w:kern w:val="2"/>
          <w:sz w:val="20"/>
          <w:szCs w:val="20"/>
          <w:lang w:val="es-ES" w:eastAsia="en-US"/>
        </w:rPr>
      </w:pPr>
      <w:bookmarkStart w:id="120" w:name="_Toc514172628"/>
      <w:r w:rsidRPr="00975C02">
        <w:rPr>
          <w:rFonts w:eastAsia="MS Mincho" w:cs="Arial"/>
          <w:b/>
          <w:bCs/>
          <w:i/>
          <w:kern w:val="2"/>
          <w:sz w:val="20"/>
          <w:szCs w:val="20"/>
          <w:lang w:val="es-ES" w:eastAsia="en-US"/>
        </w:rPr>
        <w:t>Debida diligencia reforzada</w:t>
      </w:r>
      <w:r w:rsidR="00E06B26" w:rsidRPr="00975C02">
        <w:rPr>
          <w:rFonts w:eastAsia="MS Mincho" w:cs="Arial"/>
          <w:b/>
          <w:bCs/>
          <w:i/>
          <w:kern w:val="2"/>
          <w:sz w:val="20"/>
          <w:szCs w:val="20"/>
          <w:lang w:val="es-ES" w:eastAsia="en-US"/>
        </w:rPr>
        <w:t xml:space="preserve"> y protección especial</w:t>
      </w:r>
      <w:r w:rsidR="0061671A" w:rsidRPr="00975C02">
        <w:rPr>
          <w:rFonts w:eastAsia="MS Mincho" w:cs="Arial"/>
          <w:b/>
          <w:bCs/>
          <w:i/>
          <w:kern w:val="2"/>
          <w:sz w:val="20"/>
          <w:szCs w:val="20"/>
          <w:lang w:val="es-ES" w:eastAsia="en-US"/>
        </w:rPr>
        <w:t xml:space="preserve"> </w:t>
      </w:r>
      <w:r w:rsidRPr="00975C02">
        <w:rPr>
          <w:rFonts w:eastAsia="MS Mincho" w:cs="Arial"/>
          <w:b/>
          <w:bCs/>
          <w:i/>
          <w:kern w:val="2"/>
          <w:sz w:val="20"/>
          <w:szCs w:val="20"/>
          <w:lang w:val="es-ES" w:eastAsia="en-US"/>
        </w:rPr>
        <w:t>en investigaciones y procesos penales por violencia sexual en perjuicio de niñas, niños o adolescentes</w:t>
      </w:r>
      <w:r w:rsidR="00C21068" w:rsidRPr="00975C02">
        <w:rPr>
          <w:rFonts w:eastAsia="MS Mincho" w:cs="Arial"/>
          <w:b/>
          <w:bCs/>
          <w:i/>
          <w:kern w:val="2"/>
          <w:sz w:val="20"/>
          <w:szCs w:val="20"/>
          <w:lang w:val="es-ES" w:eastAsia="en-US"/>
        </w:rPr>
        <w:t xml:space="preserve"> y deber de no revictimización</w:t>
      </w:r>
      <w:bookmarkEnd w:id="120"/>
    </w:p>
    <w:p w14:paraId="28EED271" w14:textId="77777777" w:rsidR="002C415B" w:rsidRPr="00975C02" w:rsidRDefault="002C415B" w:rsidP="00B5625C">
      <w:pPr>
        <w:widowControl/>
        <w:autoSpaceDE w:val="0"/>
        <w:autoSpaceDN w:val="0"/>
        <w:adjustRightInd/>
        <w:spacing w:line="240" w:lineRule="auto"/>
        <w:jc w:val="left"/>
        <w:textAlignment w:val="auto"/>
        <w:rPr>
          <w:rFonts w:eastAsiaTheme="minorHAnsi" w:cs="Arial"/>
          <w:kern w:val="2"/>
          <w:sz w:val="20"/>
          <w:szCs w:val="20"/>
          <w:lang w:val="es-ES" w:eastAsia="en-US"/>
        </w:rPr>
      </w:pPr>
    </w:p>
    <w:p w14:paraId="6D0C0D92" w14:textId="77777777" w:rsidR="00B5625C" w:rsidRPr="00975C02" w:rsidRDefault="00B5625C" w:rsidP="00A92F94">
      <w:pPr>
        <w:pStyle w:val="Heading2"/>
        <w:tabs>
          <w:tab w:val="left" w:pos="1843"/>
        </w:tabs>
        <w:spacing w:before="0" w:line="240" w:lineRule="auto"/>
        <w:ind w:left="1134"/>
        <w:rPr>
          <w:rFonts w:ascii="Verdana" w:hAnsi="Verdana"/>
          <w:b w:val="0"/>
          <w:i/>
          <w:color w:val="auto"/>
          <w:sz w:val="20"/>
          <w:szCs w:val="20"/>
          <w:lang w:val="es-ES"/>
        </w:rPr>
      </w:pPr>
      <w:bookmarkStart w:id="121" w:name="_Toc495658672"/>
      <w:bookmarkStart w:id="122" w:name="_Toc514172629"/>
      <w:r w:rsidRPr="00975C02">
        <w:rPr>
          <w:rFonts w:ascii="Verdana" w:hAnsi="Verdana"/>
          <w:b w:val="0"/>
          <w:i/>
          <w:color w:val="auto"/>
          <w:sz w:val="20"/>
          <w:szCs w:val="20"/>
          <w:lang w:val="es-ES"/>
        </w:rPr>
        <w:lastRenderedPageBreak/>
        <w:t>A.</w:t>
      </w:r>
      <w:r w:rsidR="002C415B" w:rsidRPr="00975C02">
        <w:rPr>
          <w:rFonts w:ascii="Verdana" w:hAnsi="Verdana"/>
          <w:b w:val="0"/>
          <w:i/>
          <w:color w:val="auto"/>
          <w:sz w:val="20"/>
          <w:szCs w:val="20"/>
          <w:lang w:val="es-ES"/>
        </w:rPr>
        <w:t>1</w:t>
      </w:r>
      <w:r w:rsidRPr="00975C02">
        <w:rPr>
          <w:rFonts w:ascii="Verdana" w:hAnsi="Verdana"/>
          <w:b w:val="0"/>
          <w:i/>
          <w:color w:val="auto"/>
          <w:sz w:val="20"/>
          <w:szCs w:val="20"/>
          <w:lang w:val="es-ES"/>
        </w:rPr>
        <w:tab/>
        <w:t>Argumentos de las partes y de la Comisión</w:t>
      </w:r>
      <w:bookmarkEnd w:id="121"/>
      <w:bookmarkEnd w:id="122"/>
    </w:p>
    <w:p w14:paraId="027186B0" w14:textId="77777777" w:rsidR="00B5625C" w:rsidRPr="00975C02" w:rsidRDefault="00B5625C" w:rsidP="00B5625C">
      <w:pPr>
        <w:widowControl/>
        <w:autoSpaceDE w:val="0"/>
        <w:autoSpaceDN w:val="0"/>
        <w:adjustRightInd/>
        <w:spacing w:line="240" w:lineRule="auto"/>
        <w:jc w:val="left"/>
        <w:textAlignment w:val="auto"/>
        <w:rPr>
          <w:rFonts w:eastAsiaTheme="minorHAnsi" w:cs="Arial"/>
          <w:kern w:val="2"/>
          <w:sz w:val="20"/>
          <w:szCs w:val="20"/>
          <w:lang w:val="es-ES" w:eastAsia="en-US"/>
        </w:rPr>
      </w:pPr>
    </w:p>
    <w:p w14:paraId="5848D019" w14:textId="6781ED80" w:rsidR="00B5625C" w:rsidRPr="00975C02" w:rsidRDefault="00B5625C" w:rsidP="00FB1497">
      <w:pPr>
        <w:numPr>
          <w:ilvl w:val="0"/>
          <w:numId w:val="2"/>
        </w:numPr>
        <w:tabs>
          <w:tab w:val="left" w:pos="567"/>
          <w:tab w:val="num" w:pos="12305"/>
        </w:tabs>
        <w:spacing w:line="240" w:lineRule="auto"/>
        <w:ind w:left="0" w:firstLine="0"/>
        <w:rPr>
          <w:kern w:val="2"/>
          <w:sz w:val="20"/>
          <w:szCs w:val="20"/>
          <w:lang w:val="es-ES" w:eastAsia="en-US"/>
        </w:rPr>
      </w:pPr>
      <w:r w:rsidRPr="00975C02">
        <w:rPr>
          <w:sz w:val="20"/>
          <w:szCs w:val="20"/>
          <w:lang w:val="es-ES"/>
        </w:rPr>
        <w:t>La</w:t>
      </w:r>
      <w:r w:rsidRPr="00975C02">
        <w:rPr>
          <w:kern w:val="2"/>
          <w:sz w:val="20"/>
          <w:szCs w:val="20"/>
          <w:lang w:val="es-ES" w:eastAsia="en-US"/>
        </w:rPr>
        <w:t xml:space="preserve"> </w:t>
      </w:r>
      <w:r w:rsidRPr="00975C02">
        <w:rPr>
          <w:b/>
          <w:i/>
          <w:kern w:val="2"/>
          <w:sz w:val="20"/>
          <w:szCs w:val="20"/>
          <w:lang w:val="es-ES" w:eastAsia="en-US"/>
        </w:rPr>
        <w:t>Comisión</w:t>
      </w:r>
      <w:r w:rsidRPr="00975C02">
        <w:rPr>
          <w:kern w:val="2"/>
          <w:sz w:val="20"/>
          <w:szCs w:val="20"/>
          <w:lang w:val="es-ES" w:eastAsia="en-US"/>
        </w:rPr>
        <w:t xml:space="preserve"> consideró que el proceso judicial seguido por la violación sexual en contra de la niña V.R.P. no fue realizado con la debida diligencia a efectos de esclarecer los hechos y sancionar a la persona responsable. La Comisión estimó que</w:t>
      </w:r>
      <w:r w:rsidR="00FA24CE" w:rsidRPr="00975C02">
        <w:rPr>
          <w:kern w:val="2"/>
          <w:sz w:val="20"/>
          <w:szCs w:val="20"/>
          <w:lang w:val="es-ES" w:eastAsia="en-US"/>
        </w:rPr>
        <w:t>,</w:t>
      </w:r>
      <w:r w:rsidRPr="00975C02">
        <w:rPr>
          <w:kern w:val="2"/>
          <w:sz w:val="20"/>
          <w:szCs w:val="20"/>
          <w:lang w:val="es-ES" w:eastAsia="en-US"/>
        </w:rPr>
        <w:t xml:space="preserve"> debido a las omisiones e </w:t>
      </w:r>
      <w:r w:rsidRPr="00975C02">
        <w:rPr>
          <w:sz w:val="20"/>
          <w:szCs w:val="20"/>
          <w:lang w:val="es-ES"/>
        </w:rPr>
        <w:t>irregularidades</w:t>
      </w:r>
      <w:r w:rsidRPr="00975C02">
        <w:rPr>
          <w:kern w:val="2"/>
          <w:sz w:val="20"/>
          <w:szCs w:val="20"/>
          <w:lang w:val="es-ES" w:eastAsia="en-US"/>
        </w:rPr>
        <w:t xml:space="preserve"> en la investigación, el Estado no garantizó los derechos a la integridad personal, vida privada, dignidad y autonomía de V.R.P., sino que, por la manera en que se llevó a cabo la investigación y la consecuente impunidad en que se encuentran los hechos, el Estado materializó violaciones adicionales a la integridad personal de V.R.P., así como a aspectos esenciales de su vida privada, dignidad y autonomía. La Comisión consideró que el presente caso era emblemático de la situación de violencia institucional y la desprotección y revictimización por parte del Estado en contra de mujeres y niñas víctimas de violencia y violación sexual que acuden al sistema de justicia. La Comisión alegó que, debido a las circunstancias particulares del caso</w:t>
      </w:r>
      <w:r w:rsidR="00FA24CE" w:rsidRPr="00975C02">
        <w:rPr>
          <w:kern w:val="2"/>
          <w:sz w:val="20"/>
          <w:szCs w:val="20"/>
          <w:lang w:val="es-ES" w:eastAsia="en-US"/>
        </w:rPr>
        <w:t>, se</w:t>
      </w:r>
      <w:r w:rsidRPr="00975C02">
        <w:rPr>
          <w:kern w:val="2"/>
          <w:sz w:val="20"/>
          <w:szCs w:val="20"/>
          <w:lang w:val="es-ES" w:eastAsia="en-US"/>
        </w:rPr>
        <w:t xml:space="preserve"> exigía los más rigurosos estándares de actuación por parte de las autoridades, tanto en la investigación como para generar una situación de protección a la víctima y su familia, que evitara a toda costa su revictimización y procurara su reintegración. Conforme a lo señalado por la Comisión, el Estado no habría cumplido con estas obligaciones reforzadas en consideración del </w:t>
      </w:r>
      <w:r w:rsidR="006C1836" w:rsidRPr="00975C02">
        <w:rPr>
          <w:kern w:val="2"/>
          <w:sz w:val="20"/>
          <w:szCs w:val="20"/>
          <w:lang w:val="es-ES" w:eastAsia="en-US"/>
        </w:rPr>
        <w:t>interés superior de la niña</w:t>
      </w:r>
      <w:r w:rsidRPr="00975C02">
        <w:rPr>
          <w:kern w:val="2"/>
          <w:sz w:val="20"/>
          <w:szCs w:val="20"/>
          <w:lang w:val="es-ES" w:eastAsia="en-US"/>
        </w:rPr>
        <w:t xml:space="preserve"> y su derecho a ser escuchad</w:t>
      </w:r>
      <w:r w:rsidR="001E5369" w:rsidRPr="00975C02">
        <w:rPr>
          <w:kern w:val="2"/>
          <w:sz w:val="20"/>
          <w:szCs w:val="20"/>
          <w:lang w:val="es-ES" w:eastAsia="en-US"/>
        </w:rPr>
        <w:t>a</w:t>
      </w:r>
      <w:r w:rsidRPr="00975C02">
        <w:rPr>
          <w:kern w:val="2"/>
          <w:sz w:val="20"/>
          <w:szCs w:val="20"/>
          <w:lang w:val="es-ES" w:eastAsia="en-US"/>
        </w:rPr>
        <w:t>.</w:t>
      </w:r>
    </w:p>
    <w:p w14:paraId="7C6437D5" w14:textId="77777777" w:rsidR="00B5625C" w:rsidRPr="00975C02" w:rsidRDefault="00B5625C" w:rsidP="00B5625C">
      <w:pPr>
        <w:widowControl/>
        <w:adjustRightInd/>
        <w:spacing w:line="240" w:lineRule="auto"/>
        <w:textAlignment w:val="auto"/>
        <w:rPr>
          <w:kern w:val="2"/>
          <w:sz w:val="20"/>
          <w:szCs w:val="20"/>
          <w:lang w:val="es-ES" w:eastAsia="en-US"/>
        </w:rPr>
      </w:pPr>
    </w:p>
    <w:p w14:paraId="2BBED4AD" w14:textId="61A50AB0" w:rsidR="00B5625C" w:rsidRPr="00975C02" w:rsidRDefault="00B5625C" w:rsidP="00FA24CE">
      <w:pPr>
        <w:numPr>
          <w:ilvl w:val="0"/>
          <w:numId w:val="2"/>
        </w:numPr>
        <w:tabs>
          <w:tab w:val="left" w:pos="567"/>
          <w:tab w:val="num" w:pos="12305"/>
        </w:tabs>
        <w:spacing w:line="240" w:lineRule="auto"/>
        <w:ind w:left="0" w:firstLine="0"/>
        <w:rPr>
          <w:kern w:val="2"/>
          <w:sz w:val="20"/>
          <w:szCs w:val="20"/>
          <w:lang w:val="es-ES" w:eastAsia="en-US"/>
        </w:rPr>
      </w:pPr>
      <w:r w:rsidRPr="00975C02">
        <w:rPr>
          <w:kern w:val="2"/>
          <w:sz w:val="20"/>
          <w:szCs w:val="20"/>
          <w:lang w:val="es-ES" w:eastAsia="en-US"/>
        </w:rPr>
        <w:t xml:space="preserve">En particular, resaltó que el Estado actuó en vulneración de la debida diligencia debido a que: a) a pesar de que a través de consultas médicas privadas se determinó que V.R.P. había sido víctima de agresión sexual, el Estado ordenó la realización de un nuevo examen médico, el cual además no fue realizado a la brevedad, y se intentó </w:t>
      </w:r>
      <w:r w:rsidR="00101AAD">
        <w:rPr>
          <w:kern w:val="2"/>
          <w:sz w:val="20"/>
          <w:szCs w:val="20"/>
          <w:lang w:val="es-ES" w:eastAsia="en-US"/>
        </w:rPr>
        <w:t>llevar a cabo</w:t>
      </w:r>
      <w:r w:rsidR="001E5369" w:rsidRPr="00975C02">
        <w:rPr>
          <w:kern w:val="2"/>
          <w:sz w:val="20"/>
          <w:szCs w:val="20"/>
          <w:lang w:val="es-ES" w:eastAsia="en-US"/>
        </w:rPr>
        <w:t xml:space="preserve"> </w:t>
      </w:r>
      <w:r w:rsidRPr="00975C02">
        <w:rPr>
          <w:kern w:val="2"/>
          <w:sz w:val="20"/>
          <w:szCs w:val="20"/>
          <w:lang w:val="es-ES" w:eastAsia="en-US"/>
        </w:rPr>
        <w:t>hasta en tres oportunidades, en vez de adoptar medidas para procurar que la información disponible hasta ese momento fuera relevante para el proceso; b) el trato recibido por parte del médico legista a cargo de realizar el examen médico a la niña, fue denigrante y violento, y el Estado no demostró que el médico en cuestión era imparcial, idóneo y estaba capacitado para realizar este tipo de exámenes a niñas víctimas de violencia sexual; c) la actuación irregular del médico, denunciada a nivel interno, constituyó un grave acto de revictimización y un nuevo hecho de violencia sexual contra V.R.P.</w:t>
      </w:r>
      <w:r w:rsidR="00B91FA4" w:rsidRPr="00975C02">
        <w:rPr>
          <w:kern w:val="2"/>
          <w:sz w:val="20"/>
          <w:szCs w:val="20"/>
          <w:lang w:val="es-ES" w:eastAsia="en-US"/>
        </w:rPr>
        <w:t>;</w:t>
      </w:r>
      <w:r w:rsidRPr="00975C02">
        <w:rPr>
          <w:kern w:val="2"/>
          <w:sz w:val="20"/>
          <w:szCs w:val="20"/>
          <w:lang w:val="es-ES" w:eastAsia="en-US"/>
        </w:rPr>
        <w:t xml:space="preserve"> d) el Estado no demostró haber ofrecido la posibilidad a V.R.P. y a su madre de manifestar su preferencia sobre el sexo del personal de salud que la atendería; e) el examen médico contó con la presencia injustificada de personal no médico, lo cual generó temor en V.R.P; f) no se justificó la absoluta </w:t>
      </w:r>
      <w:r w:rsidR="001E5369" w:rsidRPr="00975C02">
        <w:rPr>
          <w:kern w:val="2"/>
          <w:sz w:val="20"/>
          <w:szCs w:val="20"/>
          <w:lang w:val="es-ES" w:eastAsia="en-US"/>
        </w:rPr>
        <w:t xml:space="preserve">y estricta </w:t>
      </w:r>
      <w:r w:rsidRPr="00975C02">
        <w:rPr>
          <w:kern w:val="2"/>
          <w:sz w:val="20"/>
          <w:szCs w:val="20"/>
          <w:lang w:val="es-ES" w:eastAsia="en-US"/>
        </w:rPr>
        <w:t>necesidad de que V.R.P. tuviera que participar en la inspección ocular y la reconstrucción de los hechos, la cual además fue practicada de forma revictimizante, ya que la jueza le pidió a la niña que se colocara en la misma posición en la que, conforme a su relato, la habría puesto el agresor; g) no existe información sobre las medidas especiales adoptadas para proteger a V.R.P en su condición de niña víctima de violencia sexual ni si se le brindó acompañamiento psicológico durante la diligencia de la reconstrucción de los hechos; h) durante el proceso penal relacionado con la violación sexual de la niña, el Estado no brindó a V.R.P. los servicios de salud necesarios a efectos de resguardar su salud física y psicológica una vez conocidos los hechos por las autoridades, sustentándose en que Nicaragua era un Estado pobre, justificación que resulta incompatible con los principios del derecho internacional; i) el Estado tampoco brindó una protección especial materializada no solo en un acompañamiento durante el proceso sino también en medidas que procuraran su rehabilitación y reinserción en su entorno, así como el de su familia, y j) no existió una participación permanente y efectiva de entidad especializada alguna para proteger los derechos de V.R.P.</w:t>
      </w:r>
    </w:p>
    <w:p w14:paraId="52F1B2B5" w14:textId="77777777" w:rsidR="00B5625C" w:rsidRPr="00975C02" w:rsidRDefault="00B5625C" w:rsidP="00B5625C">
      <w:pPr>
        <w:widowControl/>
        <w:adjustRightInd/>
        <w:spacing w:line="240" w:lineRule="auto"/>
        <w:textAlignment w:val="auto"/>
        <w:rPr>
          <w:kern w:val="2"/>
          <w:sz w:val="20"/>
          <w:szCs w:val="20"/>
          <w:lang w:val="es-ES" w:eastAsia="en-US"/>
        </w:rPr>
      </w:pPr>
    </w:p>
    <w:p w14:paraId="1D61BCFF" w14:textId="7D4E2CEF" w:rsidR="00B5625C" w:rsidRPr="00975C02" w:rsidRDefault="00B5625C" w:rsidP="00FA24CE">
      <w:pPr>
        <w:numPr>
          <w:ilvl w:val="0"/>
          <w:numId w:val="2"/>
        </w:numPr>
        <w:tabs>
          <w:tab w:val="left" w:pos="567"/>
          <w:tab w:val="num" w:pos="12305"/>
        </w:tabs>
        <w:spacing w:line="240" w:lineRule="auto"/>
        <w:ind w:left="0" w:firstLine="0"/>
        <w:rPr>
          <w:kern w:val="2"/>
          <w:sz w:val="20"/>
          <w:szCs w:val="20"/>
          <w:lang w:val="es-ES" w:eastAsia="en-US"/>
        </w:rPr>
      </w:pPr>
      <w:r w:rsidRPr="00975C02">
        <w:rPr>
          <w:kern w:val="2"/>
          <w:sz w:val="20"/>
          <w:szCs w:val="20"/>
          <w:lang w:val="es-ES" w:eastAsia="en-US"/>
        </w:rPr>
        <w:t xml:space="preserve">Asimismo, la Comisión consideró que la falta de atención médica e integral, sumada a la situación de impunidad, agravó el estado de salud mental de V.R.P., generando que las secuelas tanto de la violación sexual como de la respuesta inadecuada de las autoridades estatales, se profundizaran. En este sentido, la Comisión observó que el Estado llevó a cabo un proceso penal plagado de falencias y formas de revictimización, al cual la niña tuvo que estar sometida durante parte significativa de su niñez. En consecuencia, la Comisión consideró que el Estado violó los </w:t>
      </w:r>
      <w:r w:rsidRPr="00975C02">
        <w:rPr>
          <w:kern w:val="2"/>
          <w:sz w:val="20"/>
          <w:szCs w:val="20"/>
          <w:lang w:val="es-ES" w:eastAsia="en-US"/>
        </w:rPr>
        <w:lastRenderedPageBreak/>
        <w:t>derechos a las garantías judiciales y protección judicial, establecidos en los artículos 8.1 y 25.1, en relación con el artículo 1.1 de la Convención Americana, así como el artículo 7.b) de la Convención de Belém do Pará en perjuicio de V.R.P y V.P.C. Asimismo, concluyó que el Estado incumplió su deber de garantía respecto de los derechos a la integridad personal, vida privada, dignidad y autonomía de V.R.P</w:t>
      </w:r>
      <w:r w:rsidR="00FA24CE" w:rsidRPr="00975C02">
        <w:rPr>
          <w:kern w:val="2"/>
          <w:sz w:val="20"/>
          <w:szCs w:val="20"/>
          <w:lang w:val="es-ES" w:eastAsia="en-US"/>
        </w:rPr>
        <w:t>.</w:t>
      </w:r>
      <w:r w:rsidRPr="00975C02">
        <w:rPr>
          <w:kern w:val="2"/>
          <w:sz w:val="20"/>
          <w:szCs w:val="20"/>
          <w:lang w:val="es-ES" w:eastAsia="en-US"/>
        </w:rPr>
        <w:t>, por lo que también es responsable por la violación de los artículos 5.1, 11.2 y 19 de la Convención Americana, en relación con el artículo 1.1 del mismo instrumento, en perjuicio de V.R.P.</w:t>
      </w:r>
    </w:p>
    <w:p w14:paraId="499C440D" w14:textId="77777777" w:rsidR="00B5625C" w:rsidRPr="00975C02" w:rsidRDefault="00B5625C" w:rsidP="00B5625C">
      <w:pPr>
        <w:widowControl/>
        <w:adjustRightInd/>
        <w:spacing w:line="240" w:lineRule="auto"/>
        <w:textAlignment w:val="auto"/>
        <w:rPr>
          <w:b/>
          <w:kern w:val="2"/>
          <w:sz w:val="20"/>
          <w:szCs w:val="20"/>
          <w:u w:val="single"/>
          <w:lang w:val="es-ES" w:eastAsia="en-US"/>
        </w:rPr>
      </w:pPr>
    </w:p>
    <w:p w14:paraId="0AEB7028" w14:textId="188DD4E6" w:rsidR="00B5625C" w:rsidRPr="00975C02" w:rsidRDefault="00B5625C" w:rsidP="00013EA6">
      <w:pPr>
        <w:widowControl/>
        <w:numPr>
          <w:ilvl w:val="0"/>
          <w:numId w:val="2"/>
        </w:numPr>
        <w:tabs>
          <w:tab w:val="left" w:pos="567"/>
          <w:tab w:val="num" w:pos="12305"/>
        </w:tabs>
        <w:adjustRightInd/>
        <w:spacing w:line="240" w:lineRule="auto"/>
        <w:ind w:left="0" w:firstLine="0"/>
        <w:textAlignment w:val="auto"/>
        <w:rPr>
          <w:kern w:val="2"/>
          <w:sz w:val="20"/>
          <w:szCs w:val="20"/>
          <w:lang w:val="es-ES" w:eastAsia="en-US"/>
        </w:rPr>
      </w:pPr>
      <w:r w:rsidRPr="00975C02">
        <w:rPr>
          <w:kern w:val="2"/>
          <w:sz w:val="20"/>
          <w:szCs w:val="20"/>
          <w:lang w:val="es-ES" w:eastAsia="en-US"/>
        </w:rPr>
        <w:t xml:space="preserve">Las </w:t>
      </w:r>
      <w:r w:rsidRPr="00975C02">
        <w:rPr>
          <w:b/>
          <w:i/>
          <w:kern w:val="2"/>
          <w:sz w:val="20"/>
          <w:szCs w:val="20"/>
          <w:lang w:val="es-ES" w:eastAsia="en-US"/>
        </w:rPr>
        <w:t xml:space="preserve">representantes </w:t>
      </w:r>
      <w:r w:rsidRPr="00975C02">
        <w:rPr>
          <w:kern w:val="2"/>
          <w:sz w:val="20"/>
          <w:szCs w:val="20"/>
          <w:lang w:val="es-ES" w:eastAsia="en-US"/>
        </w:rPr>
        <w:t>señalaron que el Estado no pudo darle respuestas efectivas a la</w:t>
      </w:r>
      <w:r w:rsidR="001E5369" w:rsidRPr="00975C02">
        <w:rPr>
          <w:kern w:val="2"/>
          <w:sz w:val="20"/>
          <w:szCs w:val="20"/>
          <w:lang w:val="es-ES" w:eastAsia="en-US"/>
        </w:rPr>
        <w:t xml:space="preserve"> presunta</w:t>
      </w:r>
      <w:r w:rsidRPr="00975C02">
        <w:rPr>
          <w:kern w:val="2"/>
          <w:sz w:val="20"/>
          <w:szCs w:val="20"/>
          <w:lang w:val="es-ES" w:eastAsia="en-US"/>
        </w:rPr>
        <w:t xml:space="preserve"> víctima. Asimismo, alegaron que el Estado incurrió directamente en vulneraciones a la integridad personal de la niña, ya que la expuso a una revictimización innecesaria e imprudente, al realizar una evaluación médica corporal en presencia de varias personas, inclusive ajenas a la investigación, afectando de esta manera la dignidad y vida privada de la niña V.R.P., y ejerciendo violencia psicológica y moral. Según las representantes, V.P.C. no solicitó la junta médica conformada para el primer examen médico, sino que lo habría hecho la jueza a cargo del caso.</w:t>
      </w:r>
      <w:r w:rsidR="00921115" w:rsidRPr="00975C02">
        <w:rPr>
          <w:b/>
          <w:kern w:val="2"/>
          <w:sz w:val="16"/>
          <w:szCs w:val="16"/>
          <w:lang w:val="es-ES" w:eastAsia="en-US"/>
        </w:rPr>
        <w:t xml:space="preserve"> </w:t>
      </w:r>
      <w:r w:rsidRPr="00975C02">
        <w:rPr>
          <w:kern w:val="2"/>
          <w:sz w:val="20"/>
          <w:szCs w:val="20"/>
          <w:lang w:val="es-ES" w:eastAsia="en-US"/>
        </w:rPr>
        <w:t>De igual manera, las representantes indicaron que la jueza del caso también revictimizó a V.R.P</w:t>
      </w:r>
      <w:r w:rsidR="00921115" w:rsidRPr="00975C02">
        <w:rPr>
          <w:kern w:val="2"/>
          <w:sz w:val="20"/>
          <w:szCs w:val="20"/>
          <w:lang w:val="es-ES" w:eastAsia="en-US"/>
        </w:rPr>
        <w:t>.</w:t>
      </w:r>
      <w:r w:rsidRPr="00975C02">
        <w:rPr>
          <w:kern w:val="2"/>
          <w:sz w:val="20"/>
          <w:szCs w:val="20"/>
          <w:lang w:val="es-ES" w:eastAsia="en-US"/>
        </w:rPr>
        <w:t xml:space="preserve"> durante la diligencia de la reconstrucción de los hechos, ya que le solicitó que se colocara en la posición en la fue violada y recreó la vivencia traumatizante de la niña. </w:t>
      </w:r>
      <w:r w:rsidR="006D6A5A" w:rsidRPr="00975C02">
        <w:rPr>
          <w:kern w:val="2"/>
          <w:sz w:val="20"/>
          <w:szCs w:val="20"/>
          <w:lang w:val="es-ES" w:eastAsia="en-US"/>
        </w:rPr>
        <w:t>Agregaron</w:t>
      </w:r>
      <w:r w:rsidRPr="00975C02">
        <w:rPr>
          <w:kern w:val="2"/>
          <w:sz w:val="20"/>
          <w:szCs w:val="20"/>
          <w:lang w:val="es-ES" w:eastAsia="en-US"/>
        </w:rPr>
        <w:t xml:space="preserve"> que, a pesar de que la madre solicitó la diligencia, correspondía al Estado determinar cuáles eran las medidas más protectoras a adoptar, y que la actuación de la diligencia no podía ser considerada como responsabilidad de V.P.C. Las representantes resaltaron la falta de especialización del médico forense y de la jueza para casos como el presente, ya que actuaron sin brindarle un trato adecuado a su condición, atendiendo al </w:t>
      </w:r>
      <w:r w:rsidR="006C1836" w:rsidRPr="00975C02">
        <w:rPr>
          <w:kern w:val="2"/>
          <w:sz w:val="20"/>
          <w:szCs w:val="20"/>
          <w:lang w:val="es-ES" w:eastAsia="en-US"/>
        </w:rPr>
        <w:t>interés superior de la niña</w:t>
      </w:r>
      <w:r w:rsidRPr="00975C02">
        <w:rPr>
          <w:kern w:val="2"/>
          <w:sz w:val="20"/>
          <w:szCs w:val="20"/>
          <w:lang w:val="es-ES" w:eastAsia="en-US"/>
        </w:rPr>
        <w:t>. Conforme a las representantes, el actuar del médico y de la jueza implicó someter nuevamente a V.R.P. a actos de violencia, sin que el Estado haya adoptado medidas especiales de protección y asistencia ante su condición de niña y mujer, haciéndola víctima de una doble agresión, la cual además constituyó violencia institucional</w:t>
      </w:r>
      <w:r w:rsidR="00B91FA4" w:rsidRPr="00975C02">
        <w:rPr>
          <w:kern w:val="2"/>
          <w:sz w:val="20"/>
          <w:szCs w:val="20"/>
          <w:lang w:val="es-ES" w:eastAsia="en-US"/>
        </w:rPr>
        <w:t>.</w:t>
      </w:r>
      <w:r w:rsidRPr="00975C02">
        <w:rPr>
          <w:b/>
          <w:kern w:val="2"/>
          <w:sz w:val="16"/>
          <w:szCs w:val="16"/>
          <w:lang w:val="es-ES" w:eastAsia="en-US"/>
        </w:rPr>
        <w:t xml:space="preserve"> </w:t>
      </w:r>
      <w:r w:rsidRPr="00975C02">
        <w:rPr>
          <w:kern w:val="2"/>
          <w:sz w:val="20"/>
          <w:szCs w:val="20"/>
          <w:lang w:val="es-ES" w:eastAsia="en-US"/>
        </w:rPr>
        <w:t>Consideraron que el Estado no veló por el interés superior de</w:t>
      </w:r>
      <w:r w:rsidR="00921115" w:rsidRPr="00975C02">
        <w:rPr>
          <w:kern w:val="2"/>
          <w:sz w:val="20"/>
          <w:szCs w:val="20"/>
          <w:lang w:val="es-ES" w:eastAsia="en-US"/>
        </w:rPr>
        <w:t xml:space="preserve"> </w:t>
      </w:r>
      <w:r w:rsidRPr="00975C02">
        <w:rPr>
          <w:kern w:val="2"/>
          <w:sz w:val="20"/>
          <w:szCs w:val="20"/>
          <w:lang w:val="es-ES" w:eastAsia="en-US"/>
        </w:rPr>
        <w:t>l</w:t>
      </w:r>
      <w:r w:rsidR="00921115" w:rsidRPr="00975C02">
        <w:rPr>
          <w:kern w:val="2"/>
          <w:sz w:val="20"/>
          <w:szCs w:val="20"/>
          <w:lang w:val="es-ES" w:eastAsia="en-US"/>
        </w:rPr>
        <w:t>a</w:t>
      </w:r>
      <w:r w:rsidRPr="00975C02">
        <w:rPr>
          <w:kern w:val="2"/>
          <w:sz w:val="20"/>
          <w:szCs w:val="20"/>
          <w:lang w:val="es-ES" w:eastAsia="en-US"/>
        </w:rPr>
        <w:t xml:space="preserve"> niñ</w:t>
      </w:r>
      <w:r w:rsidR="00921115" w:rsidRPr="00975C02">
        <w:rPr>
          <w:kern w:val="2"/>
          <w:sz w:val="20"/>
          <w:szCs w:val="20"/>
          <w:lang w:val="es-ES" w:eastAsia="en-US"/>
        </w:rPr>
        <w:t>a</w:t>
      </w:r>
      <w:r w:rsidRPr="00975C02">
        <w:rPr>
          <w:kern w:val="2"/>
          <w:sz w:val="20"/>
          <w:szCs w:val="20"/>
          <w:lang w:val="es-ES" w:eastAsia="en-US"/>
        </w:rPr>
        <w:t xml:space="preserve"> ni procuró la protección de V.R.P. para salvaguardar su posterior desarrollo, </w:t>
      </w:r>
      <w:r w:rsidR="005E1546" w:rsidRPr="00975C02">
        <w:rPr>
          <w:kern w:val="2"/>
          <w:sz w:val="20"/>
          <w:szCs w:val="20"/>
          <w:lang w:val="es-ES" w:eastAsia="en-US"/>
        </w:rPr>
        <w:t xml:space="preserve">incluyendo </w:t>
      </w:r>
      <w:r w:rsidR="005E1546" w:rsidRPr="00975C02">
        <w:rPr>
          <w:rFonts w:eastAsia="Calibri" w:cs="Arial"/>
          <w:kern w:val="2"/>
          <w:sz w:val="20"/>
          <w:szCs w:val="20"/>
          <w:lang w:val="es-ES" w:eastAsia="en-US"/>
        </w:rPr>
        <w:t>las atenciones necesarias tanto para su salud física (producto del virus del papiloma humano y de la condición de su cuerpo) como para su salud psíquica,</w:t>
      </w:r>
      <w:r w:rsidR="005E1546" w:rsidRPr="00975C02">
        <w:rPr>
          <w:kern w:val="2"/>
          <w:sz w:val="20"/>
          <w:szCs w:val="20"/>
          <w:lang w:val="es-ES" w:eastAsia="en-US"/>
        </w:rPr>
        <w:t xml:space="preserve"> </w:t>
      </w:r>
      <w:r w:rsidRPr="00975C02">
        <w:rPr>
          <w:kern w:val="2"/>
          <w:sz w:val="20"/>
          <w:szCs w:val="20"/>
          <w:lang w:val="es-ES" w:eastAsia="en-US"/>
        </w:rPr>
        <w:t>sino que más bien el Estado incentivó el trauma de la niña, en violación de su obligación de protección reforzada.</w:t>
      </w:r>
      <w:r w:rsidR="00013EA6" w:rsidRPr="00975C02">
        <w:rPr>
          <w:b/>
          <w:kern w:val="2"/>
          <w:sz w:val="16"/>
          <w:szCs w:val="16"/>
          <w:lang w:val="es-ES" w:eastAsia="en-US"/>
        </w:rPr>
        <w:t xml:space="preserve"> </w:t>
      </w:r>
      <w:r w:rsidRPr="00975C02">
        <w:rPr>
          <w:kern w:val="2"/>
          <w:sz w:val="20"/>
          <w:szCs w:val="20"/>
          <w:lang w:val="es-ES" w:eastAsia="en-US"/>
        </w:rPr>
        <w:t xml:space="preserve">Con </w:t>
      </w:r>
      <w:r w:rsidRPr="00975C02">
        <w:rPr>
          <w:rFonts w:eastAsia="Calibri" w:cs="Arial"/>
          <w:kern w:val="2"/>
          <w:sz w:val="20"/>
          <w:szCs w:val="20"/>
          <w:lang w:val="es-ES" w:eastAsia="en-US"/>
        </w:rPr>
        <w:t>base</w:t>
      </w:r>
      <w:r w:rsidRPr="00975C02">
        <w:rPr>
          <w:kern w:val="2"/>
          <w:sz w:val="20"/>
          <w:szCs w:val="20"/>
          <w:lang w:val="es-ES" w:eastAsia="en-US"/>
        </w:rPr>
        <w:t xml:space="preserve"> en lo alegado, las representantes concluyeron que el Estado violó los artículos 1.1, 5.1,</w:t>
      </w:r>
      <w:r w:rsidR="002E2D2E" w:rsidRPr="00975C02">
        <w:rPr>
          <w:kern w:val="2"/>
          <w:sz w:val="20"/>
          <w:szCs w:val="20"/>
          <w:lang w:val="es-ES" w:eastAsia="en-US"/>
        </w:rPr>
        <w:t xml:space="preserve"> 11,</w:t>
      </w:r>
      <w:r w:rsidRPr="00975C02">
        <w:rPr>
          <w:kern w:val="2"/>
          <w:sz w:val="20"/>
          <w:szCs w:val="20"/>
          <w:lang w:val="es-ES" w:eastAsia="en-US"/>
        </w:rPr>
        <w:t xml:space="preserve"> 19 y 24 de la Convención Americana, así como el artículo 7.b) de la Convención de Belém do Pará.</w:t>
      </w:r>
    </w:p>
    <w:p w14:paraId="053A6250" w14:textId="77777777" w:rsidR="00B5625C" w:rsidRPr="00975C02" w:rsidRDefault="00B5625C" w:rsidP="00B5625C">
      <w:pPr>
        <w:widowControl/>
        <w:adjustRightInd/>
        <w:spacing w:line="240" w:lineRule="auto"/>
        <w:textAlignment w:val="auto"/>
        <w:rPr>
          <w:b/>
          <w:i/>
          <w:kern w:val="2"/>
          <w:sz w:val="20"/>
          <w:szCs w:val="20"/>
          <w:u w:val="single"/>
          <w:lang w:val="es-ES" w:eastAsia="en-US"/>
        </w:rPr>
      </w:pPr>
    </w:p>
    <w:p w14:paraId="2BDA37E2" w14:textId="6989B592" w:rsidR="00B5625C" w:rsidRPr="00975C02" w:rsidRDefault="00B5625C" w:rsidP="005C0C42">
      <w:pPr>
        <w:widowControl/>
        <w:numPr>
          <w:ilvl w:val="0"/>
          <w:numId w:val="2"/>
        </w:numPr>
        <w:tabs>
          <w:tab w:val="left" w:pos="567"/>
          <w:tab w:val="num" w:pos="12305"/>
        </w:tabs>
        <w:adjustRightInd/>
        <w:spacing w:line="240" w:lineRule="auto"/>
        <w:ind w:left="0" w:firstLine="0"/>
        <w:textAlignment w:val="auto"/>
        <w:rPr>
          <w:b/>
          <w:kern w:val="2"/>
          <w:sz w:val="20"/>
          <w:szCs w:val="20"/>
          <w:lang w:val="es-ES" w:eastAsia="en-US"/>
        </w:rPr>
      </w:pPr>
      <w:r w:rsidRPr="00975C02">
        <w:rPr>
          <w:kern w:val="2"/>
          <w:sz w:val="20"/>
          <w:szCs w:val="20"/>
          <w:lang w:val="es-ES" w:eastAsia="en-US"/>
        </w:rPr>
        <w:t xml:space="preserve">El </w:t>
      </w:r>
      <w:r w:rsidRPr="00975C02">
        <w:rPr>
          <w:b/>
          <w:i/>
          <w:kern w:val="2"/>
          <w:sz w:val="20"/>
          <w:szCs w:val="20"/>
          <w:lang w:val="es-ES" w:eastAsia="en-US"/>
        </w:rPr>
        <w:t>Estado</w:t>
      </w:r>
      <w:r w:rsidRPr="00975C02">
        <w:rPr>
          <w:kern w:val="2"/>
          <w:sz w:val="20"/>
          <w:szCs w:val="20"/>
          <w:lang w:val="es-ES" w:eastAsia="en-US"/>
        </w:rPr>
        <w:t xml:space="preserve"> destacó que la violación sexual cometida en perjuicio de V.R.P. no fue cometida por un agente estatal ni por una persona que hubiere actuado con la aquiescencia del Estado y que</w:t>
      </w:r>
      <w:r w:rsidR="005C0C42" w:rsidRPr="00975C02">
        <w:rPr>
          <w:kern w:val="2"/>
          <w:sz w:val="20"/>
          <w:szCs w:val="20"/>
          <w:lang w:val="es-ES" w:eastAsia="en-US"/>
        </w:rPr>
        <w:t>,</w:t>
      </w:r>
      <w:r w:rsidRPr="00975C02">
        <w:rPr>
          <w:kern w:val="2"/>
          <w:sz w:val="20"/>
          <w:szCs w:val="20"/>
          <w:lang w:val="es-ES" w:eastAsia="en-US"/>
        </w:rPr>
        <w:t xml:space="preserve"> al ser la obligación de investigar de medios y no de resultados, la autoridad judicial </w:t>
      </w:r>
      <w:r w:rsidR="003C094D" w:rsidRPr="00975C02">
        <w:rPr>
          <w:kern w:val="2"/>
          <w:sz w:val="20"/>
          <w:szCs w:val="20"/>
          <w:lang w:val="es-ES" w:eastAsia="en-US"/>
        </w:rPr>
        <w:t>realiz</w:t>
      </w:r>
      <w:r w:rsidR="00B077C1" w:rsidRPr="00975C02">
        <w:rPr>
          <w:kern w:val="2"/>
          <w:sz w:val="20"/>
          <w:szCs w:val="20"/>
          <w:lang w:val="es-ES" w:eastAsia="en-US"/>
        </w:rPr>
        <w:t>ó una investigac</w:t>
      </w:r>
      <w:r w:rsidR="003C094D" w:rsidRPr="00975C02">
        <w:rPr>
          <w:kern w:val="2"/>
          <w:sz w:val="20"/>
          <w:szCs w:val="20"/>
          <w:lang w:val="es-ES" w:eastAsia="en-US"/>
        </w:rPr>
        <w:t xml:space="preserve">ión </w:t>
      </w:r>
      <w:r w:rsidRPr="00975C02">
        <w:rPr>
          <w:kern w:val="2"/>
          <w:sz w:val="20"/>
          <w:szCs w:val="20"/>
          <w:lang w:val="es-ES" w:eastAsia="en-US"/>
        </w:rPr>
        <w:t>diligen</w:t>
      </w:r>
      <w:r w:rsidR="003C094D" w:rsidRPr="00975C02">
        <w:rPr>
          <w:kern w:val="2"/>
          <w:sz w:val="20"/>
          <w:szCs w:val="20"/>
          <w:lang w:val="es-ES" w:eastAsia="en-US"/>
        </w:rPr>
        <w:t>te y efectiva</w:t>
      </w:r>
      <w:r w:rsidR="00B91FA4" w:rsidRPr="00975C02">
        <w:rPr>
          <w:kern w:val="2"/>
          <w:sz w:val="20"/>
          <w:szCs w:val="20"/>
          <w:lang w:val="es-ES" w:eastAsia="en-US"/>
        </w:rPr>
        <w:t>.</w:t>
      </w:r>
      <w:r w:rsidRPr="00975C02">
        <w:rPr>
          <w:kern w:val="2"/>
          <w:sz w:val="20"/>
          <w:szCs w:val="20"/>
          <w:lang w:val="es-ES" w:eastAsia="en-US"/>
        </w:rPr>
        <w:t xml:space="preserve"> Respecto a los exámenes médicos practicados dentro del proceso penal y la revictimización, señaló que no versaba en el expediente de tramitación ni en los escritos de V.P.C. dirigidos al Director del Hospital Victoria Motta ni en el expediente de queja contra el médico forense, las frases que se alegó que habría proferido en contra de la niña al momento de su evaluación. El Estado consideró que no existían comunicaciones que aseveraran que dichas expresiones fueron exteriorizadas por el médico, siendo “preocupante” para el Estado que se traigan a colación, después de muchos años, expresiones que no fueron documentadas. El Estado afirmó que la renuencia de V.R.P. a ser examinada no fue producto del actuar del médico forense, sino que obedecía a la situación traumática vivida por la niña, lo cual podía ser corroborado con los testimonios de los dos primeros médicos que la valoraron en consulta privada. Asimismo, el Estado alegó que durante la valoración médico forense estuvieron presentes los especialistas que la madre de la niña solicitó. En relación con la idoneidad, independencia e imparcialidad del personal médico que llevó a cabo dicha diligencia, el Estado afirmó que eran aptos para realizar dicha valoración pues cumplían con los requisitos y calidades para ser médicos forenses, conforme a la normativa interna vigente. El Estado señaló que</w:t>
      </w:r>
      <w:r w:rsidR="005C0C42" w:rsidRPr="00975C02">
        <w:rPr>
          <w:kern w:val="2"/>
          <w:sz w:val="20"/>
          <w:szCs w:val="20"/>
          <w:lang w:val="es-ES" w:eastAsia="en-US"/>
        </w:rPr>
        <w:t>,</w:t>
      </w:r>
      <w:r w:rsidRPr="00975C02">
        <w:rPr>
          <w:kern w:val="2"/>
          <w:sz w:val="20"/>
          <w:szCs w:val="20"/>
          <w:lang w:val="es-ES" w:eastAsia="en-US"/>
        </w:rPr>
        <w:t xml:space="preserve"> ante el alegado comportamiento del médico forense en </w:t>
      </w:r>
      <w:r w:rsidRPr="00975C02">
        <w:rPr>
          <w:kern w:val="2"/>
          <w:sz w:val="20"/>
          <w:szCs w:val="20"/>
          <w:lang w:val="es-ES" w:eastAsia="en-US"/>
        </w:rPr>
        <w:lastRenderedPageBreak/>
        <w:t>perjuicio de V.R.P.</w:t>
      </w:r>
      <w:r w:rsidR="005C0C42" w:rsidRPr="00975C02">
        <w:rPr>
          <w:kern w:val="2"/>
          <w:sz w:val="20"/>
          <w:szCs w:val="20"/>
          <w:lang w:val="es-ES" w:eastAsia="en-US"/>
        </w:rPr>
        <w:t>,</w:t>
      </w:r>
      <w:r w:rsidRPr="00975C02">
        <w:rPr>
          <w:kern w:val="2"/>
          <w:sz w:val="20"/>
          <w:szCs w:val="20"/>
          <w:lang w:val="es-ES" w:eastAsia="en-US"/>
        </w:rPr>
        <w:t xml:space="preserve"> se inició un proceso de queja </w:t>
      </w:r>
      <w:r w:rsidR="005C0C42" w:rsidRPr="00975C02">
        <w:rPr>
          <w:kern w:val="2"/>
          <w:sz w:val="20"/>
          <w:szCs w:val="20"/>
          <w:lang w:val="es-ES" w:eastAsia="en-US"/>
        </w:rPr>
        <w:t xml:space="preserve">la cual </w:t>
      </w:r>
      <w:r w:rsidRPr="00975C02">
        <w:rPr>
          <w:kern w:val="2"/>
          <w:sz w:val="20"/>
          <w:szCs w:val="20"/>
          <w:lang w:val="es-ES" w:eastAsia="en-US"/>
        </w:rPr>
        <w:t>no fue tramitada por falta de pruebas, y añadió que dicho médico ya no laboraba para el Poder Judicial debi</w:t>
      </w:r>
      <w:r w:rsidR="00622073" w:rsidRPr="00975C02">
        <w:rPr>
          <w:kern w:val="2"/>
          <w:sz w:val="20"/>
          <w:szCs w:val="20"/>
          <w:lang w:val="es-ES" w:eastAsia="en-US"/>
        </w:rPr>
        <w:t>do a su renuncia a dicho cargo.</w:t>
      </w:r>
    </w:p>
    <w:p w14:paraId="6D9EA201" w14:textId="77777777" w:rsidR="00B5625C" w:rsidRPr="00975C02" w:rsidRDefault="00B5625C" w:rsidP="00B5625C">
      <w:pPr>
        <w:widowControl/>
        <w:adjustRightInd/>
        <w:spacing w:line="240" w:lineRule="auto"/>
        <w:textAlignment w:val="auto"/>
        <w:rPr>
          <w:b/>
          <w:kern w:val="2"/>
          <w:sz w:val="20"/>
          <w:szCs w:val="20"/>
          <w:lang w:val="es-ES" w:eastAsia="en-US"/>
        </w:rPr>
      </w:pPr>
    </w:p>
    <w:p w14:paraId="79B9F672" w14:textId="78626957" w:rsidR="00B5625C" w:rsidRPr="00975C02" w:rsidRDefault="00B5625C" w:rsidP="005C0C42">
      <w:pPr>
        <w:widowControl/>
        <w:numPr>
          <w:ilvl w:val="0"/>
          <w:numId w:val="2"/>
        </w:numPr>
        <w:tabs>
          <w:tab w:val="left" w:pos="567"/>
          <w:tab w:val="num" w:pos="12305"/>
        </w:tabs>
        <w:adjustRightInd/>
        <w:spacing w:line="240" w:lineRule="auto"/>
        <w:ind w:left="0" w:firstLine="0"/>
        <w:textAlignment w:val="auto"/>
        <w:rPr>
          <w:kern w:val="2"/>
          <w:sz w:val="20"/>
          <w:szCs w:val="20"/>
          <w:lang w:val="es-ES" w:eastAsia="en-US"/>
        </w:rPr>
      </w:pPr>
      <w:r w:rsidRPr="00975C02">
        <w:rPr>
          <w:kern w:val="2"/>
          <w:sz w:val="20"/>
          <w:szCs w:val="20"/>
          <w:lang w:val="es-ES" w:eastAsia="en-US"/>
        </w:rPr>
        <w:t>En relación con la diligencia de inspección ocular y reconstrucción de los hechos, el Estado señaló que se realizó conforme a lo indicado en el código procesal de la época y a solicitud de V.P.C.</w:t>
      </w:r>
      <w:r w:rsidRPr="00975C02">
        <w:rPr>
          <w:b/>
          <w:kern w:val="2"/>
          <w:sz w:val="16"/>
          <w:szCs w:val="16"/>
          <w:lang w:val="es-ES" w:eastAsia="en-US"/>
        </w:rPr>
        <w:t xml:space="preserve"> </w:t>
      </w:r>
      <w:r w:rsidRPr="00975C02">
        <w:rPr>
          <w:kern w:val="2"/>
          <w:sz w:val="20"/>
          <w:szCs w:val="20"/>
          <w:lang w:val="es-ES" w:eastAsia="en-US"/>
        </w:rPr>
        <w:t xml:space="preserve">En dicha reconstrucción la niña estuvo acompañada por su madre V.P.C. y fue asistida por la psiquiatra asignada con el fin de darle seguimiento. El Estado manifestó que no constaba </w:t>
      </w:r>
      <w:r w:rsidR="00300C97">
        <w:rPr>
          <w:kern w:val="2"/>
          <w:sz w:val="20"/>
          <w:szCs w:val="20"/>
          <w:lang w:val="es-ES" w:eastAsia="en-US"/>
        </w:rPr>
        <w:t xml:space="preserve">en </w:t>
      </w:r>
      <w:r w:rsidRPr="00975C02">
        <w:rPr>
          <w:kern w:val="2"/>
          <w:sz w:val="20"/>
          <w:szCs w:val="20"/>
          <w:lang w:val="es-ES" w:eastAsia="en-US"/>
        </w:rPr>
        <w:t>el expediente la presencia del acusado durante dicha diligencia, medida</w:t>
      </w:r>
      <w:r w:rsidR="00B91FA4" w:rsidRPr="00975C02">
        <w:rPr>
          <w:kern w:val="2"/>
          <w:sz w:val="20"/>
          <w:szCs w:val="20"/>
          <w:lang w:val="es-ES" w:eastAsia="en-US"/>
        </w:rPr>
        <w:t xml:space="preserve"> que fue</w:t>
      </w:r>
      <w:r w:rsidRPr="00975C02">
        <w:rPr>
          <w:kern w:val="2"/>
          <w:sz w:val="20"/>
          <w:szCs w:val="20"/>
          <w:lang w:val="es-ES" w:eastAsia="en-US"/>
        </w:rPr>
        <w:t xml:space="preserve"> adoptada para salvaguardar la integridad de la </w:t>
      </w:r>
      <w:r w:rsidR="00F903D6" w:rsidRPr="00975C02">
        <w:rPr>
          <w:kern w:val="2"/>
          <w:sz w:val="20"/>
          <w:szCs w:val="20"/>
          <w:lang w:val="es-ES" w:eastAsia="en-US"/>
        </w:rPr>
        <w:t>niña</w:t>
      </w:r>
      <w:r w:rsidR="00B91FA4" w:rsidRPr="00975C02">
        <w:rPr>
          <w:kern w:val="2"/>
          <w:sz w:val="20"/>
          <w:szCs w:val="20"/>
          <w:lang w:val="es-ES" w:eastAsia="en-US"/>
        </w:rPr>
        <w:t>.</w:t>
      </w:r>
      <w:r w:rsidRPr="00975C02">
        <w:rPr>
          <w:kern w:val="2"/>
          <w:sz w:val="20"/>
          <w:szCs w:val="20"/>
          <w:lang w:val="es-ES" w:eastAsia="en-US"/>
        </w:rPr>
        <w:t xml:space="preserve"> El Estado, a su vez, negó la revictimización y la existencia de maltrato a la niña en dicho procedimiento.</w:t>
      </w:r>
    </w:p>
    <w:p w14:paraId="6E307DCE" w14:textId="77777777" w:rsidR="00B5625C" w:rsidRPr="00975C02" w:rsidRDefault="00B5625C" w:rsidP="00B5625C">
      <w:pPr>
        <w:widowControl/>
        <w:adjustRightInd/>
        <w:spacing w:line="240" w:lineRule="auto"/>
        <w:textAlignment w:val="auto"/>
        <w:rPr>
          <w:kern w:val="2"/>
          <w:sz w:val="20"/>
          <w:szCs w:val="20"/>
          <w:lang w:val="es-ES" w:eastAsia="en-US"/>
        </w:rPr>
      </w:pPr>
    </w:p>
    <w:p w14:paraId="5557348E" w14:textId="243221D0" w:rsidR="00B5625C" w:rsidRPr="00975C02" w:rsidRDefault="00B5625C" w:rsidP="005C0C42">
      <w:pPr>
        <w:widowControl/>
        <w:numPr>
          <w:ilvl w:val="0"/>
          <w:numId w:val="2"/>
        </w:numPr>
        <w:tabs>
          <w:tab w:val="left" w:pos="567"/>
          <w:tab w:val="num" w:pos="12305"/>
        </w:tabs>
        <w:adjustRightInd/>
        <w:spacing w:line="240" w:lineRule="auto"/>
        <w:ind w:left="0" w:firstLine="0"/>
        <w:textAlignment w:val="auto"/>
        <w:rPr>
          <w:rFonts w:eastAsia="Calibri" w:cs="Arial"/>
          <w:b/>
          <w:kern w:val="2"/>
          <w:sz w:val="20"/>
          <w:szCs w:val="20"/>
          <w:lang w:val="es-ES" w:eastAsia="en-US"/>
        </w:rPr>
      </w:pPr>
      <w:r w:rsidRPr="00975C02">
        <w:rPr>
          <w:kern w:val="2"/>
          <w:sz w:val="20"/>
          <w:szCs w:val="20"/>
          <w:lang w:val="es-ES" w:eastAsia="en-US"/>
        </w:rPr>
        <w:t xml:space="preserve">El Estado controvirtió la afirmación de que V.R.P. no habría recibido asistencia psicológica o psiquiátrica, ya que afirmó que la autoridad judicial ordenó, desde el primer momento en que tuvo conocimiento de la violación sexual, la intervención de una psiquiatra para valorar a V.R.P. Asimismo, destacó que se remitió a la niña al Instituto de Medicina Legal para su valoración física y psicológica, y se brindó el acompañamiento en la inspección ocular. </w:t>
      </w:r>
      <w:r w:rsidR="00537F77">
        <w:rPr>
          <w:rFonts w:eastAsia="Calibri" w:cs="Arial"/>
          <w:kern w:val="2"/>
          <w:sz w:val="20"/>
          <w:szCs w:val="20"/>
          <w:lang w:val="es-ES" w:eastAsia="en-US"/>
        </w:rPr>
        <w:t>Subrayó</w:t>
      </w:r>
      <w:r w:rsidRPr="00975C02">
        <w:rPr>
          <w:rFonts w:eastAsia="Calibri" w:cs="Arial"/>
          <w:kern w:val="2"/>
          <w:sz w:val="20"/>
          <w:szCs w:val="20"/>
          <w:lang w:val="es-ES" w:eastAsia="en-US"/>
        </w:rPr>
        <w:t xml:space="preserve"> que</w:t>
      </w:r>
      <w:r w:rsidR="003A51CB" w:rsidRPr="00975C02">
        <w:rPr>
          <w:rFonts w:eastAsia="Calibri" w:cs="Arial"/>
          <w:kern w:val="2"/>
          <w:sz w:val="20"/>
          <w:szCs w:val="20"/>
          <w:lang w:val="es-ES" w:eastAsia="en-US"/>
        </w:rPr>
        <w:t>,</w:t>
      </w:r>
      <w:r w:rsidRPr="00975C02">
        <w:rPr>
          <w:rFonts w:eastAsia="Calibri" w:cs="Arial"/>
          <w:kern w:val="2"/>
          <w:sz w:val="20"/>
          <w:szCs w:val="20"/>
          <w:lang w:val="es-ES" w:eastAsia="en-US"/>
        </w:rPr>
        <w:t xml:space="preserve"> en el caso en concreto, el Estado tomó las atenciones necesarias para la salud física y psíquica de V.R.P. </w:t>
      </w:r>
      <w:r w:rsidR="003A51CB" w:rsidRPr="00975C02">
        <w:rPr>
          <w:rFonts w:eastAsia="Calibri" w:cs="Arial"/>
          <w:kern w:val="2"/>
          <w:sz w:val="20"/>
          <w:szCs w:val="20"/>
          <w:lang w:val="es-ES" w:eastAsia="en-US"/>
        </w:rPr>
        <w:t>a través de</w:t>
      </w:r>
      <w:r w:rsidRPr="00975C02">
        <w:rPr>
          <w:rFonts w:eastAsia="Calibri" w:cs="Arial"/>
          <w:kern w:val="2"/>
          <w:sz w:val="20"/>
          <w:szCs w:val="20"/>
          <w:lang w:val="es-ES" w:eastAsia="en-US"/>
        </w:rPr>
        <w:t xml:space="preserve">l Hospital Victoria Motta. </w:t>
      </w:r>
      <w:r w:rsidRPr="00975C02">
        <w:rPr>
          <w:kern w:val="2"/>
          <w:sz w:val="20"/>
          <w:szCs w:val="20"/>
          <w:lang w:val="es-ES" w:eastAsia="en-US"/>
        </w:rPr>
        <w:t xml:space="preserve">El Estado señaló que la atención médica fue constante, sin embargo, no pudo ser brindada luego de que V.P.C. y su hija salieran del país, pues el Estado no tenía posibilidad de brindar el tratamiento recomendado fuera de Nicaragua, lo cual no </w:t>
      </w:r>
      <w:r w:rsidR="00213A4C">
        <w:rPr>
          <w:kern w:val="2"/>
          <w:sz w:val="20"/>
          <w:szCs w:val="20"/>
          <w:lang w:val="es-ES" w:eastAsia="en-US"/>
        </w:rPr>
        <w:t xml:space="preserve">le </w:t>
      </w:r>
      <w:r w:rsidRPr="00975C02">
        <w:rPr>
          <w:kern w:val="2"/>
          <w:sz w:val="20"/>
          <w:szCs w:val="20"/>
          <w:lang w:val="es-ES" w:eastAsia="en-US"/>
        </w:rPr>
        <w:t>sería imputable.</w:t>
      </w:r>
    </w:p>
    <w:p w14:paraId="0D881B02" w14:textId="77777777" w:rsidR="00B5625C" w:rsidRPr="00975C02" w:rsidRDefault="00B5625C" w:rsidP="00B5625C">
      <w:pPr>
        <w:widowControl/>
        <w:adjustRightInd/>
        <w:spacing w:line="240" w:lineRule="auto"/>
        <w:textAlignment w:val="auto"/>
        <w:rPr>
          <w:b/>
          <w:kern w:val="2"/>
          <w:sz w:val="20"/>
          <w:szCs w:val="20"/>
          <w:lang w:val="es-ES" w:eastAsia="en-US"/>
        </w:rPr>
      </w:pPr>
    </w:p>
    <w:p w14:paraId="3980D306" w14:textId="37C1540E" w:rsidR="00B5625C" w:rsidRPr="00975C02" w:rsidRDefault="00B5125C" w:rsidP="005C0C42">
      <w:pPr>
        <w:widowControl/>
        <w:numPr>
          <w:ilvl w:val="0"/>
          <w:numId w:val="2"/>
        </w:numPr>
        <w:tabs>
          <w:tab w:val="left" w:pos="567"/>
          <w:tab w:val="num" w:pos="12305"/>
        </w:tabs>
        <w:adjustRightInd/>
        <w:spacing w:line="240" w:lineRule="auto"/>
        <w:ind w:left="0" w:firstLine="0"/>
        <w:textAlignment w:val="auto"/>
        <w:rPr>
          <w:b/>
          <w:kern w:val="2"/>
          <w:sz w:val="20"/>
          <w:szCs w:val="20"/>
          <w:lang w:val="es-ES" w:eastAsia="en-US"/>
        </w:rPr>
      </w:pPr>
      <w:r w:rsidRPr="00975C02">
        <w:rPr>
          <w:kern w:val="2"/>
          <w:sz w:val="20"/>
          <w:szCs w:val="20"/>
          <w:lang w:val="es-ES" w:eastAsia="en-US"/>
        </w:rPr>
        <w:t>Finalmente, e</w:t>
      </w:r>
      <w:r w:rsidR="00B5625C" w:rsidRPr="00975C02">
        <w:rPr>
          <w:kern w:val="2"/>
          <w:sz w:val="20"/>
          <w:szCs w:val="20"/>
          <w:lang w:val="es-ES" w:eastAsia="en-US"/>
        </w:rPr>
        <w:t>l Estado señaló que</w:t>
      </w:r>
      <w:r w:rsidR="00A46B71" w:rsidRPr="00975C02">
        <w:rPr>
          <w:kern w:val="2"/>
          <w:sz w:val="20"/>
          <w:szCs w:val="20"/>
          <w:lang w:val="es-ES" w:eastAsia="en-US"/>
        </w:rPr>
        <w:t>,</w:t>
      </w:r>
      <w:r w:rsidR="00B5625C" w:rsidRPr="00975C02">
        <w:rPr>
          <w:kern w:val="2"/>
          <w:sz w:val="20"/>
          <w:szCs w:val="20"/>
          <w:lang w:val="es-ES" w:eastAsia="en-US"/>
        </w:rPr>
        <w:t xml:space="preserve"> en el presente caso</w:t>
      </w:r>
      <w:r w:rsidR="00A46B71" w:rsidRPr="00975C02">
        <w:rPr>
          <w:kern w:val="2"/>
          <w:sz w:val="20"/>
          <w:szCs w:val="20"/>
          <w:lang w:val="es-ES" w:eastAsia="en-US"/>
        </w:rPr>
        <w:t>,</w:t>
      </w:r>
      <w:r w:rsidR="00B5625C" w:rsidRPr="00975C02">
        <w:rPr>
          <w:kern w:val="2"/>
          <w:sz w:val="20"/>
          <w:szCs w:val="20"/>
          <w:lang w:val="es-ES" w:eastAsia="en-US"/>
        </w:rPr>
        <w:t xml:space="preserve"> cumplió con los estándares de debida diligencia en investigaciones por la comisión de delitos sexuales</w:t>
      </w:r>
      <w:r w:rsidR="00A46B71" w:rsidRPr="00975C02">
        <w:rPr>
          <w:kern w:val="2"/>
          <w:sz w:val="20"/>
          <w:szCs w:val="20"/>
          <w:lang w:val="es-ES" w:eastAsia="en-US"/>
        </w:rPr>
        <w:t>,</w:t>
      </w:r>
      <w:r w:rsidR="00B5625C" w:rsidRPr="00975C02">
        <w:rPr>
          <w:kern w:val="2"/>
          <w:sz w:val="20"/>
          <w:szCs w:val="20"/>
          <w:lang w:val="es-ES" w:eastAsia="en-US"/>
        </w:rPr>
        <w:t xml:space="preserve"> ya que: a) la declaración de V.R.P</w:t>
      </w:r>
      <w:r w:rsidR="00A46B71" w:rsidRPr="00975C02">
        <w:rPr>
          <w:kern w:val="2"/>
          <w:sz w:val="20"/>
          <w:szCs w:val="20"/>
          <w:lang w:val="es-ES" w:eastAsia="en-US"/>
        </w:rPr>
        <w:t>.</w:t>
      </w:r>
      <w:r w:rsidR="00B5625C" w:rsidRPr="00975C02">
        <w:rPr>
          <w:kern w:val="2"/>
          <w:sz w:val="20"/>
          <w:szCs w:val="20"/>
          <w:lang w:val="es-ES" w:eastAsia="en-US"/>
        </w:rPr>
        <w:t xml:space="preserve"> se llevó a cabo en un ambiente cómodo y seguro, se le brindó privacidad y confianza</w:t>
      </w:r>
      <w:r w:rsidR="00A46B71" w:rsidRPr="00975C02">
        <w:rPr>
          <w:kern w:val="2"/>
          <w:sz w:val="20"/>
          <w:szCs w:val="20"/>
          <w:lang w:val="es-ES" w:eastAsia="en-US"/>
        </w:rPr>
        <w:t>,</w:t>
      </w:r>
      <w:r w:rsidR="00B5625C" w:rsidRPr="00975C02">
        <w:rPr>
          <w:kern w:val="2"/>
          <w:sz w:val="20"/>
          <w:szCs w:val="20"/>
          <w:lang w:val="es-ES" w:eastAsia="en-US"/>
        </w:rPr>
        <w:t xml:space="preserve"> y contó con la presencia de su madre; b) la declaración de V.R.P</w:t>
      </w:r>
      <w:r w:rsidR="00A46B71" w:rsidRPr="00975C02">
        <w:rPr>
          <w:kern w:val="2"/>
          <w:sz w:val="20"/>
          <w:szCs w:val="20"/>
          <w:lang w:val="es-ES" w:eastAsia="en-US"/>
        </w:rPr>
        <w:t xml:space="preserve">. </w:t>
      </w:r>
      <w:r w:rsidR="00B5625C" w:rsidRPr="00975C02">
        <w:rPr>
          <w:kern w:val="2"/>
          <w:sz w:val="20"/>
          <w:szCs w:val="20"/>
          <w:lang w:val="es-ES" w:eastAsia="en-US"/>
        </w:rPr>
        <w:t>fue clara, precisa, tuvo libertad de expresar lo sucedido, no se le hicieron preguntas revictimizantes y no fue citada nuevamente para rendir declaración, limitando la necesidad de repetición; c) se le brindó atención médica, sanitaria y psicológica desde que se tuvo conocimiento del hecho, por lo que la psiquiatra asignada le dio seguimiento a la niña durante todo el procedimiento; d) inmediatamente después de presentada la denuncia se ordenó la realización del examen médico y psicológico a V.R.P.</w:t>
      </w:r>
      <w:r w:rsidR="00A46B71" w:rsidRPr="00975C02">
        <w:rPr>
          <w:kern w:val="2"/>
          <w:sz w:val="20"/>
          <w:szCs w:val="20"/>
          <w:lang w:val="es-ES" w:eastAsia="en-US"/>
        </w:rPr>
        <w:t xml:space="preserve"> por personal idóneo y capacitado</w:t>
      </w:r>
      <w:r w:rsidR="00B5625C" w:rsidRPr="00975C02">
        <w:rPr>
          <w:kern w:val="2"/>
          <w:sz w:val="20"/>
          <w:szCs w:val="20"/>
          <w:lang w:val="es-ES" w:eastAsia="en-US"/>
        </w:rPr>
        <w:t>; e) se llevaron a cabo una serie de actos investigativos y se detuvo al denunciado; f) se brindó acceso a asistencia jurídica gratuita; g) se mantuvo el proceso en reserva para preservar la privacidad de la víctima, y h) con el fin de evitar la revictimización, y conforme al informe de la psiquiatra</w:t>
      </w:r>
      <w:r w:rsidR="00A46B71" w:rsidRPr="00975C02">
        <w:rPr>
          <w:kern w:val="2"/>
          <w:sz w:val="20"/>
          <w:szCs w:val="20"/>
          <w:lang w:val="es-ES" w:eastAsia="en-US"/>
        </w:rPr>
        <w:t>,</w:t>
      </w:r>
      <w:r w:rsidR="00B5625C" w:rsidRPr="00975C02">
        <w:rPr>
          <w:kern w:val="2"/>
          <w:sz w:val="20"/>
          <w:szCs w:val="20"/>
          <w:lang w:val="es-ES" w:eastAsia="en-US"/>
        </w:rPr>
        <w:t xml:space="preserve"> mediante el cual se recomendó no permitir que la víctima siguiera encontrándose presente en los recuerdos del hecho, el Estado determinó que V.R.P. no compareciera más en el proceso interno.</w:t>
      </w:r>
    </w:p>
    <w:p w14:paraId="1E2C68F8" w14:textId="77777777" w:rsidR="00B5625C" w:rsidRPr="00975C02" w:rsidRDefault="00B5625C" w:rsidP="005C0C42">
      <w:pPr>
        <w:widowControl/>
        <w:adjustRightInd/>
        <w:spacing w:line="240" w:lineRule="auto"/>
        <w:textAlignment w:val="auto"/>
        <w:rPr>
          <w:b/>
          <w:kern w:val="2"/>
          <w:sz w:val="20"/>
          <w:szCs w:val="20"/>
          <w:lang w:val="es-ES" w:eastAsia="en-US"/>
        </w:rPr>
      </w:pPr>
    </w:p>
    <w:p w14:paraId="28C3B921" w14:textId="77777777" w:rsidR="00B5625C" w:rsidRPr="00975C02" w:rsidRDefault="00A92F94" w:rsidP="00A92F94">
      <w:pPr>
        <w:pStyle w:val="Heading2"/>
        <w:tabs>
          <w:tab w:val="left" w:pos="1843"/>
        </w:tabs>
        <w:spacing w:before="0" w:line="240" w:lineRule="auto"/>
        <w:ind w:left="1134"/>
        <w:rPr>
          <w:rFonts w:ascii="Verdana" w:hAnsi="Verdana"/>
          <w:b w:val="0"/>
          <w:i/>
          <w:color w:val="auto"/>
          <w:sz w:val="20"/>
          <w:szCs w:val="20"/>
          <w:lang w:val="es-ES"/>
        </w:rPr>
      </w:pPr>
      <w:bookmarkStart w:id="123" w:name="_Toc470180077"/>
      <w:bookmarkStart w:id="124" w:name="_Toc495658675"/>
      <w:bookmarkStart w:id="125" w:name="_Toc514172630"/>
      <w:r w:rsidRPr="00975C02">
        <w:rPr>
          <w:rFonts w:ascii="Verdana" w:hAnsi="Verdana"/>
          <w:b w:val="0"/>
          <w:i/>
          <w:color w:val="auto"/>
          <w:sz w:val="20"/>
          <w:szCs w:val="20"/>
          <w:lang w:val="es-ES"/>
        </w:rPr>
        <w:t>A</w:t>
      </w:r>
      <w:r w:rsidR="00B5625C" w:rsidRPr="00975C02">
        <w:rPr>
          <w:rFonts w:ascii="Verdana" w:hAnsi="Verdana"/>
          <w:b w:val="0"/>
          <w:i/>
          <w:color w:val="auto"/>
          <w:sz w:val="20"/>
          <w:szCs w:val="20"/>
          <w:lang w:val="es-ES"/>
        </w:rPr>
        <w:t>.</w:t>
      </w:r>
      <w:r w:rsidR="00A20472" w:rsidRPr="00975C02">
        <w:rPr>
          <w:rFonts w:ascii="Verdana" w:hAnsi="Verdana"/>
          <w:b w:val="0"/>
          <w:i/>
          <w:color w:val="auto"/>
          <w:sz w:val="20"/>
          <w:szCs w:val="20"/>
          <w:lang w:val="es-ES"/>
        </w:rPr>
        <w:t>2</w:t>
      </w:r>
      <w:r w:rsidR="00B5625C" w:rsidRPr="00975C02">
        <w:rPr>
          <w:rFonts w:ascii="Verdana" w:hAnsi="Verdana"/>
          <w:b w:val="0"/>
          <w:i/>
          <w:color w:val="auto"/>
          <w:sz w:val="20"/>
          <w:szCs w:val="20"/>
          <w:lang w:val="es-ES"/>
        </w:rPr>
        <w:tab/>
        <w:t>Consideraciones de la Corte</w:t>
      </w:r>
      <w:bookmarkEnd w:id="123"/>
      <w:bookmarkEnd w:id="124"/>
      <w:bookmarkEnd w:id="125"/>
    </w:p>
    <w:p w14:paraId="77A1E1F4" w14:textId="77777777" w:rsidR="00B5625C" w:rsidRPr="00975C02" w:rsidRDefault="00B5625C" w:rsidP="00B5625C">
      <w:pPr>
        <w:widowControl/>
        <w:autoSpaceDE w:val="0"/>
        <w:autoSpaceDN w:val="0"/>
        <w:adjustRightInd/>
        <w:spacing w:line="240" w:lineRule="auto"/>
        <w:jc w:val="left"/>
        <w:textAlignment w:val="auto"/>
        <w:rPr>
          <w:rFonts w:eastAsiaTheme="minorHAnsi" w:cs="Arial"/>
          <w:kern w:val="2"/>
          <w:sz w:val="20"/>
          <w:szCs w:val="20"/>
          <w:lang w:val="es-ES" w:eastAsia="en-US"/>
        </w:rPr>
      </w:pPr>
    </w:p>
    <w:p w14:paraId="18664BF9" w14:textId="6385FED9" w:rsidR="00B5625C" w:rsidRPr="00975C02" w:rsidRDefault="00B5625C" w:rsidP="005C0C42">
      <w:pPr>
        <w:widowControl/>
        <w:numPr>
          <w:ilvl w:val="0"/>
          <w:numId w:val="2"/>
        </w:numPr>
        <w:tabs>
          <w:tab w:val="left" w:pos="567"/>
          <w:tab w:val="num" w:pos="12305"/>
        </w:tabs>
        <w:adjustRightInd/>
        <w:spacing w:line="240" w:lineRule="auto"/>
        <w:ind w:left="0" w:firstLine="0"/>
        <w:textAlignment w:val="auto"/>
        <w:rPr>
          <w:rFonts w:eastAsia="Calibri"/>
          <w:b/>
          <w:kern w:val="2"/>
          <w:sz w:val="20"/>
          <w:szCs w:val="20"/>
          <w:lang w:val="es-ES" w:eastAsia="en-US"/>
        </w:rPr>
      </w:pPr>
      <w:r w:rsidRPr="00975C02">
        <w:rPr>
          <w:kern w:val="2"/>
          <w:sz w:val="20"/>
          <w:szCs w:val="20"/>
          <w:lang w:val="es-ES" w:eastAsia="en-US"/>
        </w:rPr>
        <w:t>La</w:t>
      </w:r>
      <w:r w:rsidRPr="00975C02">
        <w:rPr>
          <w:rFonts w:eastAsia="Calibri"/>
          <w:kern w:val="2"/>
          <w:sz w:val="20"/>
          <w:szCs w:val="20"/>
          <w:lang w:val="es-ES" w:eastAsia="en-US"/>
        </w:rPr>
        <w:t xml:space="preserve"> Corte ha </w:t>
      </w:r>
      <w:r w:rsidRPr="00975C02">
        <w:rPr>
          <w:kern w:val="2"/>
          <w:sz w:val="20"/>
          <w:szCs w:val="20"/>
          <w:lang w:val="es-ES" w:eastAsia="en-US"/>
        </w:rPr>
        <w:t>establecido</w:t>
      </w:r>
      <w:r w:rsidRPr="00975C02">
        <w:rPr>
          <w:rFonts w:eastAsia="Calibri"/>
          <w:kern w:val="2"/>
          <w:sz w:val="20"/>
          <w:szCs w:val="20"/>
          <w:lang w:val="es-ES" w:eastAsia="en-US"/>
        </w:rPr>
        <w:t xml:space="preserve"> que, de conformidad con la Convención Americana, los Estados Partes están </w:t>
      </w:r>
      <w:r w:rsidRPr="00975C02">
        <w:rPr>
          <w:kern w:val="2"/>
          <w:sz w:val="20"/>
          <w:szCs w:val="20"/>
          <w:lang w:val="es-ES" w:eastAsia="en-US"/>
        </w:rPr>
        <w:t>obligados</w:t>
      </w:r>
      <w:r w:rsidRPr="00975C02">
        <w:rPr>
          <w:rFonts w:eastAsia="Calibri"/>
          <w:kern w:val="2"/>
          <w:sz w:val="20"/>
          <w:szCs w:val="20"/>
          <w:lang w:val="es-ES" w:eastAsia="en-US"/>
        </w:rPr>
        <w:t xml:space="preserve"> a suministrar recursos judiciales efectivos a las víctimas de </w:t>
      </w:r>
      <w:r w:rsidRPr="00975C02">
        <w:rPr>
          <w:kern w:val="2"/>
          <w:sz w:val="20"/>
          <w:szCs w:val="20"/>
          <w:lang w:val="es-ES" w:eastAsia="en-US"/>
        </w:rPr>
        <w:t>violaciones</w:t>
      </w:r>
      <w:r w:rsidRPr="00975C02">
        <w:rPr>
          <w:rFonts w:eastAsia="Calibri"/>
          <w:kern w:val="2"/>
          <w:sz w:val="20"/>
          <w:szCs w:val="20"/>
          <w:lang w:val="es-ES" w:eastAsia="en-US"/>
        </w:rPr>
        <w:t xml:space="preserve"> </w:t>
      </w:r>
      <w:r w:rsidR="00A46B71" w:rsidRPr="00975C02">
        <w:rPr>
          <w:rFonts w:eastAsia="Calibri"/>
          <w:kern w:val="2"/>
          <w:sz w:val="20"/>
          <w:szCs w:val="20"/>
          <w:lang w:val="es-ES" w:eastAsia="en-US"/>
        </w:rPr>
        <w:t xml:space="preserve">a </w:t>
      </w:r>
      <w:r w:rsidRPr="00975C02">
        <w:rPr>
          <w:rFonts w:eastAsia="Calibri"/>
          <w:kern w:val="2"/>
          <w:sz w:val="20"/>
          <w:szCs w:val="20"/>
          <w:lang w:val="es-ES" w:eastAsia="en-US"/>
        </w:rPr>
        <w:t>los derechos humanos (artículo 25), recursos que deben ser sustanciados de conformidad con las reglas del debido proceso legal (artículo 8.1), todo ello dentro de la obligación general, a cargo de los mismos Estados, de garantizar el libre y pleno ejercicio de los derechos reconocidos por la Convención a toda persona que se encuentre bajo su jurisdicción (artículo 1.1)</w:t>
      </w:r>
      <w:r w:rsidRPr="00975C02">
        <w:rPr>
          <w:rFonts w:eastAsia="Calibri"/>
          <w:kern w:val="2"/>
          <w:sz w:val="20"/>
          <w:szCs w:val="20"/>
          <w:vertAlign w:val="superscript"/>
          <w:lang w:val="es-ES" w:eastAsia="en-US"/>
        </w:rPr>
        <w:footnoteReference w:id="191"/>
      </w:r>
      <w:r w:rsidRPr="00975C02">
        <w:rPr>
          <w:rFonts w:eastAsia="Calibri"/>
          <w:kern w:val="2"/>
          <w:sz w:val="20"/>
          <w:szCs w:val="20"/>
          <w:lang w:val="es-ES" w:eastAsia="en-US"/>
        </w:rPr>
        <w:t xml:space="preserve">. Asimismo, ha señalado que el derecho de acceso a la justicia debe asegurar, en tiempo razonable, el derecho de </w:t>
      </w:r>
      <w:r w:rsidRPr="00975C02">
        <w:rPr>
          <w:rFonts w:eastAsia="Calibri"/>
          <w:kern w:val="2"/>
          <w:sz w:val="20"/>
          <w:szCs w:val="20"/>
          <w:lang w:val="es-ES" w:eastAsia="en-US"/>
        </w:rPr>
        <w:lastRenderedPageBreak/>
        <w:t>las presuntas víctimas o sus familiares a que se haga todo lo necesario para conocer la verdad de lo sucedido e investigar, juzgar y, en su caso, sancionar a los eventuales responsables</w:t>
      </w:r>
      <w:r w:rsidRPr="00975C02">
        <w:rPr>
          <w:rFonts w:eastAsia="Calibri"/>
          <w:kern w:val="2"/>
          <w:sz w:val="20"/>
          <w:szCs w:val="20"/>
          <w:vertAlign w:val="superscript"/>
          <w:lang w:val="es-ES" w:eastAsia="en-US"/>
        </w:rPr>
        <w:footnoteReference w:id="192"/>
      </w:r>
      <w:r w:rsidRPr="00975C02">
        <w:rPr>
          <w:rFonts w:eastAsia="Calibri"/>
          <w:kern w:val="2"/>
          <w:sz w:val="20"/>
          <w:szCs w:val="20"/>
          <w:lang w:val="es-ES" w:eastAsia="en-US"/>
        </w:rPr>
        <w:t>.</w:t>
      </w:r>
    </w:p>
    <w:p w14:paraId="277D4C87" w14:textId="77777777" w:rsidR="00B5625C" w:rsidRPr="00975C02" w:rsidRDefault="00B5625C" w:rsidP="00B5625C">
      <w:pPr>
        <w:widowControl/>
        <w:adjustRightInd/>
        <w:spacing w:line="240" w:lineRule="auto"/>
        <w:jc w:val="left"/>
        <w:textAlignment w:val="auto"/>
        <w:rPr>
          <w:rFonts w:eastAsia="Calibri"/>
          <w:b/>
          <w:kern w:val="2"/>
          <w:sz w:val="20"/>
          <w:szCs w:val="20"/>
          <w:lang w:val="es-ES" w:eastAsia="en-US"/>
        </w:rPr>
      </w:pPr>
    </w:p>
    <w:p w14:paraId="0CED8BF2" w14:textId="3531C7A7" w:rsidR="00B5625C" w:rsidRPr="00975C02" w:rsidRDefault="00B5625C" w:rsidP="005C0C42">
      <w:pPr>
        <w:widowControl/>
        <w:numPr>
          <w:ilvl w:val="0"/>
          <w:numId w:val="2"/>
        </w:numPr>
        <w:tabs>
          <w:tab w:val="left" w:pos="567"/>
          <w:tab w:val="num" w:pos="12305"/>
        </w:tabs>
        <w:adjustRightInd/>
        <w:spacing w:line="240" w:lineRule="auto"/>
        <w:ind w:left="0" w:firstLine="0"/>
        <w:textAlignment w:val="auto"/>
        <w:rPr>
          <w:rFonts w:eastAsia="Calibri"/>
          <w:b/>
          <w:kern w:val="2"/>
          <w:sz w:val="20"/>
          <w:szCs w:val="20"/>
          <w:lang w:val="es-ES" w:eastAsia="en-US"/>
        </w:rPr>
      </w:pPr>
      <w:r w:rsidRPr="00975C02">
        <w:rPr>
          <w:rFonts w:eastAsia="Calibri" w:cs="Arial"/>
          <w:kern w:val="2"/>
          <w:sz w:val="20"/>
          <w:szCs w:val="20"/>
          <w:lang w:val="es-ES" w:eastAsia="en-US"/>
        </w:rPr>
        <w:t xml:space="preserve">La Corte </w:t>
      </w:r>
      <w:r w:rsidRPr="00975C02">
        <w:rPr>
          <w:kern w:val="2"/>
          <w:sz w:val="20"/>
          <w:szCs w:val="20"/>
          <w:lang w:val="es-ES" w:eastAsia="en-US"/>
        </w:rPr>
        <w:t>ha</w:t>
      </w:r>
      <w:r w:rsidRPr="00975C02">
        <w:rPr>
          <w:rFonts w:eastAsia="Calibri" w:cs="Arial"/>
          <w:kern w:val="2"/>
          <w:sz w:val="20"/>
          <w:szCs w:val="20"/>
          <w:lang w:val="es-ES" w:eastAsia="en-US"/>
        </w:rPr>
        <w:t xml:space="preserve"> señalado</w:t>
      </w:r>
      <w:r w:rsidR="00A46B71" w:rsidRPr="00975C02">
        <w:rPr>
          <w:rFonts w:eastAsia="Calibri" w:cs="Arial"/>
          <w:kern w:val="2"/>
          <w:sz w:val="20"/>
          <w:szCs w:val="20"/>
          <w:lang w:val="es-ES" w:eastAsia="en-US"/>
        </w:rPr>
        <w:t>,</w:t>
      </w:r>
      <w:r w:rsidRPr="00975C02">
        <w:rPr>
          <w:rFonts w:eastAsia="Calibri" w:cs="Arial"/>
          <w:kern w:val="2"/>
          <w:sz w:val="20"/>
          <w:szCs w:val="20"/>
          <w:lang w:val="es-ES" w:eastAsia="en-US"/>
        </w:rPr>
        <w:t xml:space="preserve"> en su jurisprudencia reiterada</w:t>
      </w:r>
      <w:r w:rsidR="00A46B71" w:rsidRPr="00975C02">
        <w:rPr>
          <w:rFonts w:eastAsia="Calibri" w:cs="Arial"/>
          <w:kern w:val="2"/>
          <w:sz w:val="20"/>
          <w:szCs w:val="20"/>
          <w:lang w:val="es-ES" w:eastAsia="en-US"/>
        </w:rPr>
        <w:t>,</w:t>
      </w:r>
      <w:r w:rsidRPr="00975C02">
        <w:rPr>
          <w:rFonts w:eastAsia="Calibri" w:cs="Arial"/>
          <w:kern w:val="2"/>
          <w:sz w:val="20"/>
          <w:szCs w:val="20"/>
          <w:lang w:val="es-ES" w:eastAsia="en-US"/>
        </w:rPr>
        <w:t xml:space="preserve"> que el deber de investigar es una obligación de medio y no de resultado, que debe ser asumida por el Estado como un deber jurídico </w:t>
      </w:r>
      <w:r w:rsidRPr="00975C02">
        <w:rPr>
          <w:kern w:val="2"/>
          <w:sz w:val="20"/>
          <w:szCs w:val="20"/>
          <w:lang w:val="es-ES" w:eastAsia="en-US"/>
        </w:rPr>
        <w:t>propio</w:t>
      </w:r>
      <w:r w:rsidRPr="00975C02">
        <w:rPr>
          <w:rFonts w:eastAsia="Calibri" w:cs="Arial"/>
          <w:kern w:val="2"/>
          <w:sz w:val="20"/>
          <w:szCs w:val="20"/>
          <w:lang w:val="es-ES" w:eastAsia="en-US"/>
        </w:rPr>
        <w:t xml:space="preserve"> y no </w:t>
      </w:r>
      <w:r w:rsidRPr="00975C02">
        <w:rPr>
          <w:kern w:val="2"/>
          <w:sz w:val="20"/>
          <w:szCs w:val="20"/>
          <w:lang w:val="es-ES" w:eastAsia="en-US"/>
        </w:rPr>
        <w:t>como</w:t>
      </w:r>
      <w:r w:rsidRPr="00975C02">
        <w:rPr>
          <w:rFonts w:eastAsia="Calibri" w:cs="Arial"/>
          <w:kern w:val="2"/>
          <w:sz w:val="20"/>
          <w:szCs w:val="20"/>
          <w:lang w:val="es-ES" w:eastAsia="en-US"/>
        </w:rPr>
        <w:t xml:space="preserve"> una simple formalidad condenada de antemano a ser infructuosa, o como una mera gestión de </w:t>
      </w:r>
      <w:r w:rsidRPr="00975C02">
        <w:rPr>
          <w:rFonts w:eastAsia="Batang"/>
          <w:kern w:val="2"/>
          <w:sz w:val="20"/>
          <w:szCs w:val="20"/>
          <w:lang w:val="es-ES" w:eastAsia="en-US"/>
        </w:rPr>
        <w:t>intereses</w:t>
      </w:r>
      <w:r w:rsidRPr="00975C02">
        <w:rPr>
          <w:rFonts w:eastAsia="Calibri" w:cs="Arial"/>
          <w:kern w:val="2"/>
          <w:sz w:val="20"/>
          <w:szCs w:val="20"/>
          <w:lang w:val="es-ES" w:eastAsia="en-US"/>
        </w:rPr>
        <w:t xml:space="preserve"> particulares</w:t>
      </w:r>
      <w:r w:rsidRPr="00975C02">
        <w:rPr>
          <w:rFonts w:eastAsia="Calibri"/>
          <w:kern w:val="2"/>
          <w:sz w:val="20"/>
          <w:szCs w:val="20"/>
          <w:lang w:val="es-ES" w:eastAsia="es-MX"/>
        </w:rPr>
        <w:t xml:space="preserve">, que dependa de la iniciativa procesal de las víctimas o de sus familiares o de la aportación privada de </w:t>
      </w:r>
      <w:r w:rsidRPr="00975C02">
        <w:rPr>
          <w:rFonts w:eastAsia="Calibri"/>
          <w:kern w:val="2"/>
          <w:sz w:val="20"/>
          <w:szCs w:val="20"/>
          <w:lang w:val="es-ES" w:eastAsia="en-US"/>
        </w:rPr>
        <w:t>elementos</w:t>
      </w:r>
      <w:r w:rsidRPr="00975C02">
        <w:rPr>
          <w:rFonts w:eastAsia="Calibri"/>
          <w:kern w:val="2"/>
          <w:sz w:val="20"/>
          <w:szCs w:val="20"/>
          <w:lang w:val="es-ES" w:eastAsia="es-MX"/>
        </w:rPr>
        <w:t xml:space="preserve"> probatorios</w:t>
      </w:r>
      <w:r w:rsidRPr="00975C02">
        <w:rPr>
          <w:rFonts w:eastAsia="Calibri" w:cs="Arial"/>
          <w:kern w:val="2"/>
          <w:sz w:val="20"/>
          <w:szCs w:val="20"/>
          <w:lang w:val="es-ES" w:eastAsia="en-US"/>
        </w:rPr>
        <w:t xml:space="preserve">. La obligación referida se mantiene “cualquiera sea el agente al cual pueda eventualmente atribuirse la violación, aun los particulares, pues, si sus actos no son investigados con seriedad, resultarían, en cierto modo, auxiliados por el poder público, lo que </w:t>
      </w:r>
      <w:r w:rsidRPr="00975C02">
        <w:rPr>
          <w:rFonts w:eastAsia="Calibri"/>
          <w:kern w:val="2"/>
          <w:sz w:val="20"/>
          <w:szCs w:val="20"/>
          <w:lang w:val="es-ES" w:eastAsia="en-US"/>
        </w:rPr>
        <w:t>comprometería</w:t>
      </w:r>
      <w:r w:rsidRPr="00975C02">
        <w:rPr>
          <w:rFonts w:eastAsia="Calibri" w:cs="Arial"/>
          <w:kern w:val="2"/>
          <w:sz w:val="20"/>
          <w:szCs w:val="20"/>
          <w:lang w:val="es-ES" w:eastAsia="en-US"/>
        </w:rPr>
        <w:t xml:space="preserve"> la responsabilidad internacional del Estado”</w:t>
      </w:r>
      <w:r w:rsidRPr="00975C02">
        <w:rPr>
          <w:rFonts w:eastAsia="Calibri"/>
          <w:kern w:val="2"/>
          <w:sz w:val="20"/>
          <w:szCs w:val="20"/>
          <w:vertAlign w:val="superscript"/>
          <w:lang w:val="es-ES" w:eastAsia="en-US"/>
        </w:rPr>
        <w:footnoteReference w:id="193"/>
      </w:r>
      <w:r w:rsidRPr="00975C02">
        <w:rPr>
          <w:rFonts w:eastAsia="Calibri" w:cs="Arial"/>
          <w:kern w:val="2"/>
          <w:sz w:val="20"/>
          <w:szCs w:val="20"/>
          <w:lang w:val="es-ES" w:eastAsia="en-US"/>
        </w:rPr>
        <w:t xml:space="preserve">. Asimismo, </w:t>
      </w:r>
      <w:r w:rsidRPr="00975C02">
        <w:rPr>
          <w:rFonts w:eastAsia="Calibri"/>
          <w:kern w:val="2"/>
          <w:sz w:val="20"/>
          <w:szCs w:val="20"/>
          <w:lang w:val="es-ES" w:eastAsia="en-US"/>
        </w:rPr>
        <w:t>la debida diligencia exige que el órgano que investiga lleve a cabo todas aquellas actuaciones y averiguaciones necesarias para procurar el resultado que se persigue. De otro modo, la investigación no es efectiva en los términos de la Convención</w:t>
      </w:r>
      <w:r w:rsidRPr="00975C02">
        <w:rPr>
          <w:rFonts w:eastAsia="Calibri"/>
          <w:kern w:val="2"/>
          <w:sz w:val="20"/>
          <w:szCs w:val="20"/>
          <w:vertAlign w:val="superscript"/>
          <w:lang w:val="es-ES" w:eastAsia="en-US"/>
        </w:rPr>
        <w:footnoteReference w:id="194"/>
      </w:r>
      <w:r w:rsidRPr="00975C02">
        <w:rPr>
          <w:rFonts w:eastAsia="Calibri"/>
          <w:kern w:val="2"/>
          <w:sz w:val="20"/>
          <w:szCs w:val="20"/>
          <w:lang w:val="es-ES" w:eastAsia="en-US"/>
        </w:rPr>
        <w:t>.</w:t>
      </w:r>
    </w:p>
    <w:p w14:paraId="101E7F89" w14:textId="77777777" w:rsidR="00B5625C" w:rsidRPr="00975C02" w:rsidRDefault="00B5625C" w:rsidP="00B5625C">
      <w:pPr>
        <w:widowControl/>
        <w:adjustRightInd/>
        <w:spacing w:line="240" w:lineRule="auto"/>
        <w:ind w:left="720"/>
        <w:jc w:val="left"/>
        <w:textAlignment w:val="auto"/>
        <w:rPr>
          <w:rFonts w:eastAsia="Calibri"/>
          <w:b/>
          <w:kern w:val="2"/>
          <w:sz w:val="20"/>
          <w:szCs w:val="20"/>
          <w:lang w:val="es-ES" w:eastAsia="en-US"/>
        </w:rPr>
      </w:pPr>
    </w:p>
    <w:p w14:paraId="7D0F5C38" w14:textId="7738E7FF" w:rsidR="008E1F78" w:rsidRPr="00975C02" w:rsidRDefault="00B5625C" w:rsidP="00E7485E">
      <w:pPr>
        <w:widowControl/>
        <w:numPr>
          <w:ilvl w:val="0"/>
          <w:numId w:val="2"/>
        </w:numPr>
        <w:tabs>
          <w:tab w:val="left" w:pos="567"/>
          <w:tab w:val="num" w:pos="12305"/>
        </w:tabs>
        <w:adjustRightInd/>
        <w:spacing w:line="240" w:lineRule="auto"/>
        <w:ind w:left="0" w:firstLine="0"/>
        <w:textAlignment w:val="auto"/>
        <w:rPr>
          <w:rFonts w:eastAsia="Calibri"/>
          <w:b/>
          <w:kern w:val="2"/>
          <w:sz w:val="20"/>
          <w:szCs w:val="20"/>
          <w:lang w:val="es-ES" w:eastAsia="en-US"/>
        </w:rPr>
      </w:pPr>
      <w:r w:rsidRPr="00975C02">
        <w:rPr>
          <w:kern w:val="2"/>
          <w:sz w:val="20"/>
          <w:szCs w:val="20"/>
          <w:lang w:val="es-ES" w:eastAsia="en-US"/>
        </w:rPr>
        <w:t>Por</w:t>
      </w:r>
      <w:r w:rsidRPr="00975C02">
        <w:rPr>
          <w:rFonts w:eastAsia="Batang"/>
          <w:bCs/>
          <w:kern w:val="2"/>
          <w:sz w:val="20"/>
          <w:szCs w:val="20"/>
          <w:lang w:val="es-ES" w:eastAsia="en-US"/>
        </w:rPr>
        <w:t xml:space="preserve"> otra parte, la </w:t>
      </w:r>
      <w:r w:rsidRPr="00975C02">
        <w:rPr>
          <w:bCs/>
          <w:kern w:val="2"/>
          <w:sz w:val="20"/>
          <w:szCs w:val="20"/>
          <w:lang w:val="es-ES" w:eastAsia="en-US"/>
        </w:rPr>
        <w:t xml:space="preserve">Corte recuerda que, en casos de violencia contra la mujer, las obligaciones </w:t>
      </w:r>
      <w:r w:rsidRPr="00975C02">
        <w:rPr>
          <w:kern w:val="2"/>
          <w:sz w:val="20"/>
          <w:szCs w:val="20"/>
          <w:lang w:val="es-ES" w:eastAsia="en-US"/>
        </w:rPr>
        <w:t>generales</w:t>
      </w:r>
      <w:r w:rsidRPr="00975C02">
        <w:rPr>
          <w:bCs/>
          <w:kern w:val="2"/>
          <w:sz w:val="20"/>
          <w:szCs w:val="20"/>
          <w:lang w:val="es-ES" w:eastAsia="en-US"/>
        </w:rPr>
        <w:t xml:space="preserve"> </w:t>
      </w:r>
      <w:r w:rsidRPr="00975C02">
        <w:rPr>
          <w:rFonts w:eastAsia="Calibri"/>
          <w:kern w:val="2"/>
          <w:sz w:val="20"/>
          <w:szCs w:val="20"/>
          <w:lang w:val="es-ES" w:eastAsia="es-MX"/>
        </w:rPr>
        <w:t>establecidas</w:t>
      </w:r>
      <w:r w:rsidRPr="00975C02">
        <w:rPr>
          <w:bCs/>
          <w:kern w:val="2"/>
          <w:sz w:val="20"/>
          <w:szCs w:val="20"/>
          <w:lang w:val="es-ES" w:eastAsia="en-US"/>
        </w:rPr>
        <w:t xml:space="preserve"> en los artículos 8 y 25 de la Convención Americana se complementan y refuerzan para aquellos Estados que son Parte, con las obligaciones derivadas del tratado interamericano específico, la Convención de Belém do Pará. </w:t>
      </w:r>
      <w:r w:rsidR="008E1F78" w:rsidRPr="00975C02">
        <w:rPr>
          <w:bCs/>
          <w:kern w:val="2"/>
          <w:sz w:val="20"/>
          <w:szCs w:val="20"/>
          <w:lang w:val="es-ES" w:eastAsia="en-US"/>
        </w:rPr>
        <w:t>En su artículo 7.b</w:t>
      </w:r>
      <w:r w:rsidR="0019703C" w:rsidRPr="00975C02">
        <w:rPr>
          <w:bCs/>
          <w:kern w:val="2"/>
          <w:sz w:val="20"/>
          <w:szCs w:val="20"/>
          <w:lang w:val="es-ES" w:eastAsia="en-US"/>
        </w:rPr>
        <w:t>)</w:t>
      </w:r>
      <w:r w:rsidR="001B5E43" w:rsidRPr="00975C02">
        <w:rPr>
          <w:bCs/>
          <w:kern w:val="2"/>
          <w:sz w:val="20"/>
          <w:szCs w:val="20"/>
          <w:lang w:val="es-ES" w:eastAsia="en-US"/>
        </w:rPr>
        <w:t>,</w:t>
      </w:r>
      <w:r w:rsidR="008E1F78" w:rsidRPr="00975C02">
        <w:rPr>
          <w:bCs/>
          <w:kern w:val="2"/>
          <w:sz w:val="20"/>
          <w:szCs w:val="20"/>
          <w:lang w:val="es-ES" w:eastAsia="en-US"/>
        </w:rPr>
        <w:t xml:space="preserve"> dicha Convención obliga de manera específica a los Estados Partes a utilizar </w:t>
      </w:r>
      <w:r w:rsidR="008E1F78" w:rsidRPr="00975C02">
        <w:rPr>
          <w:kern w:val="2"/>
          <w:sz w:val="20"/>
          <w:szCs w:val="20"/>
          <w:lang w:val="es-ES" w:eastAsia="en-US"/>
        </w:rPr>
        <w:t>la</w:t>
      </w:r>
      <w:r w:rsidR="008E1F78" w:rsidRPr="00975C02">
        <w:rPr>
          <w:bCs/>
          <w:kern w:val="2"/>
          <w:sz w:val="20"/>
          <w:szCs w:val="20"/>
          <w:lang w:val="es-ES" w:eastAsia="en-US"/>
        </w:rPr>
        <w:t xml:space="preserve"> debida diligencia para prevenir, sancionar y erradicar la violencia contra la mujer. De </w:t>
      </w:r>
      <w:r w:rsidR="0019703C" w:rsidRPr="00975C02">
        <w:rPr>
          <w:bCs/>
          <w:kern w:val="2"/>
          <w:sz w:val="20"/>
          <w:szCs w:val="20"/>
          <w:lang w:val="es-ES" w:eastAsia="en-US"/>
        </w:rPr>
        <w:t>este</w:t>
      </w:r>
      <w:r w:rsidR="008E1F78" w:rsidRPr="00975C02">
        <w:rPr>
          <w:bCs/>
          <w:kern w:val="2"/>
          <w:sz w:val="20"/>
          <w:szCs w:val="20"/>
          <w:lang w:val="es-ES" w:eastAsia="en-US"/>
        </w:rPr>
        <w:t xml:space="preserve"> modo, ante un acto de violencia contra una mujer, sea cometida por un agente estatal o por un particular, resulta especialmente importante que las autoridades a cargo de la investigación la lleven adelante con determinación y eficacia, teniendo en cuenta el deber de la sociedad de rechazar la violencia contra las mujeres y las obligaciones del Estado de erradicarla y de brindar confianza a las víctimas en las instituciones estatales para su protección</w:t>
      </w:r>
      <w:r w:rsidR="00FB7337" w:rsidRPr="00975C02">
        <w:rPr>
          <w:bCs/>
          <w:kern w:val="2"/>
          <w:sz w:val="20"/>
          <w:szCs w:val="20"/>
          <w:vertAlign w:val="superscript"/>
          <w:lang w:val="es-ES" w:eastAsia="en-US"/>
        </w:rPr>
        <w:footnoteReference w:id="195"/>
      </w:r>
      <w:r w:rsidR="008E1F78" w:rsidRPr="00975C02">
        <w:rPr>
          <w:bCs/>
          <w:kern w:val="2"/>
          <w:sz w:val="20"/>
          <w:szCs w:val="20"/>
          <w:lang w:val="es-ES" w:eastAsia="en-US"/>
        </w:rPr>
        <w:t>.</w:t>
      </w:r>
    </w:p>
    <w:p w14:paraId="5151CC0D" w14:textId="77777777" w:rsidR="008E1F78" w:rsidRPr="00975C02" w:rsidRDefault="008E1F78" w:rsidP="008E1F78">
      <w:pPr>
        <w:widowControl/>
        <w:tabs>
          <w:tab w:val="left" w:pos="567"/>
        </w:tabs>
        <w:adjustRightInd/>
        <w:spacing w:line="240" w:lineRule="auto"/>
        <w:textAlignment w:val="auto"/>
        <w:rPr>
          <w:rFonts w:eastAsia="Calibri"/>
          <w:b/>
          <w:kern w:val="2"/>
          <w:sz w:val="20"/>
          <w:szCs w:val="20"/>
          <w:lang w:val="es-ES" w:eastAsia="en-US"/>
        </w:rPr>
      </w:pPr>
    </w:p>
    <w:p w14:paraId="4A0DE45E" w14:textId="19B1DFE5" w:rsidR="00B5625C" w:rsidRPr="00975C02" w:rsidRDefault="00B5625C" w:rsidP="00E7485E">
      <w:pPr>
        <w:widowControl/>
        <w:numPr>
          <w:ilvl w:val="0"/>
          <w:numId w:val="2"/>
        </w:numPr>
        <w:tabs>
          <w:tab w:val="left" w:pos="567"/>
          <w:tab w:val="num" w:pos="12305"/>
        </w:tabs>
        <w:adjustRightInd/>
        <w:spacing w:line="240" w:lineRule="auto"/>
        <w:ind w:left="0" w:firstLine="0"/>
        <w:textAlignment w:val="auto"/>
        <w:rPr>
          <w:rFonts w:eastAsia="Calibri"/>
          <w:b/>
          <w:kern w:val="2"/>
          <w:sz w:val="20"/>
          <w:szCs w:val="20"/>
          <w:lang w:val="es-ES" w:eastAsia="en-US"/>
        </w:rPr>
      </w:pPr>
      <w:r w:rsidRPr="00975C02">
        <w:rPr>
          <w:sz w:val="20"/>
          <w:szCs w:val="20"/>
          <w:lang w:val="es-ES" w:eastAsia="en-US"/>
        </w:rPr>
        <w:t>En este sentido, el Tribunal ha establecido que los Estados deben adoptar medidas integrales para cumplir con la debida diligencia. En particular, deben contar con un adecuado marco jurídico de protección, con una aplicación efectiva del mismo y con políticas de prevención y prácticas que permitan actuar de una manera eficaz ante las denuncias. La estrategia de prevención debe ser integral, es decir, debe prevenir los factores de riesgo y</w:t>
      </w:r>
      <w:r w:rsidR="00E4195E" w:rsidRPr="00975C02">
        <w:rPr>
          <w:sz w:val="20"/>
          <w:szCs w:val="20"/>
          <w:lang w:val="es-ES" w:eastAsia="en-US"/>
        </w:rPr>
        <w:t>,</w:t>
      </w:r>
      <w:r w:rsidRPr="00975C02">
        <w:rPr>
          <w:sz w:val="20"/>
          <w:szCs w:val="20"/>
          <w:lang w:val="es-ES" w:eastAsia="en-US"/>
        </w:rPr>
        <w:t xml:space="preserve"> a la vez</w:t>
      </w:r>
      <w:r w:rsidR="00E4195E" w:rsidRPr="00975C02">
        <w:rPr>
          <w:sz w:val="20"/>
          <w:szCs w:val="20"/>
          <w:lang w:val="es-ES" w:eastAsia="en-US"/>
        </w:rPr>
        <w:t>,</w:t>
      </w:r>
      <w:r w:rsidRPr="00975C02">
        <w:rPr>
          <w:sz w:val="20"/>
          <w:szCs w:val="20"/>
          <w:lang w:val="es-ES" w:eastAsia="en-US"/>
        </w:rPr>
        <w:t xml:space="preserve"> fortalecer las instituciones para que puedan proporcionar una respuesta efectiva</w:t>
      </w:r>
      <w:r w:rsidRPr="00975C02">
        <w:rPr>
          <w:sz w:val="20"/>
          <w:szCs w:val="20"/>
          <w:vertAlign w:val="superscript"/>
          <w:lang w:val="es-ES" w:eastAsia="en-US"/>
        </w:rPr>
        <w:footnoteReference w:id="196"/>
      </w:r>
      <w:r w:rsidRPr="00975C02">
        <w:rPr>
          <w:sz w:val="20"/>
          <w:szCs w:val="20"/>
          <w:lang w:val="es-ES" w:eastAsia="en-US"/>
        </w:rPr>
        <w:t>.</w:t>
      </w:r>
    </w:p>
    <w:p w14:paraId="11FEB53B" w14:textId="77777777" w:rsidR="00B5625C" w:rsidRPr="00975C02" w:rsidRDefault="00B5625C" w:rsidP="00F23EC8">
      <w:pPr>
        <w:widowControl/>
        <w:tabs>
          <w:tab w:val="left" w:pos="567"/>
        </w:tabs>
        <w:adjustRightInd/>
        <w:spacing w:line="240" w:lineRule="auto"/>
        <w:textAlignment w:val="auto"/>
        <w:rPr>
          <w:bCs/>
          <w:kern w:val="2"/>
          <w:sz w:val="22"/>
          <w:szCs w:val="20"/>
          <w:lang w:val="es-ES" w:eastAsia="en-US"/>
        </w:rPr>
      </w:pPr>
    </w:p>
    <w:p w14:paraId="737B4C0E" w14:textId="718414B0" w:rsidR="0018538B" w:rsidRPr="00975C02" w:rsidRDefault="00F23EC8" w:rsidP="0018538B">
      <w:pPr>
        <w:widowControl/>
        <w:numPr>
          <w:ilvl w:val="0"/>
          <w:numId w:val="2"/>
        </w:numPr>
        <w:tabs>
          <w:tab w:val="left" w:pos="567"/>
          <w:tab w:val="num" w:pos="12305"/>
        </w:tabs>
        <w:adjustRightInd/>
        <w:spacing w:line="240" w:lineRule="auto"/>
        <w:ind w:left="0" w:firstLine="0"/>
        <w:textAlignment w:val="auto"/>
        <w:rPr>
          <w:b/>
          <w:kern w:val="2"/>
          <w:sz w:val="20"/>
          <w:szCs w:val="20"/>
          <w:lang w:val="es-ES" w:eastAsia="en-US"/>
        </w:rPr>
      </w:pPr>
      <w:r w:rsidRPr="00975C02">
        <w:rPr>
          <w:rFonts w:eastAsia="Batang"/>
          <w:kern w:val="2"/>
          <w:sz w:val="20"/>
          <w:szCs w:val="20"/>
          <w:lang w:val="es-ES" w:eastAsia="en-US"/>
        </w:rPr>
        <w:t>P</w:t>
      </w:r>
      <w:r w:rsidR="00B5625C" w:rsidRPr="00975C02">
        <w:rPr>
          <w:rFonts w:eastAsia="Batang"/>
          <w:kern w:val="2"/>
          <w:sz w:val="20"/>
          <w:szCs w:val="20"/>
          <w:lang w:val="es-ES" w:eastAsia="en-US"/>
        </w:rPr>
        <w:t>ara casos de violencia</w:t>
      </w:r>
      <w:r w:rsidR="009A0F59" w:rsidRPr="00975C02">
        <w:rPr>
          <w:rFonts w:eastAsia="Batang"/>
          <w:kern w:val="2"/>
          <w:sz w:val="20"/>
          <w:szCs w:val="20"/>
          <w:lang w:val="es-ES" w:eastAsia="en-US"/>
        </w:rPr>
        <w:t xml:space="preserve"> y violación</w:t>
      </w:r>
      <w:r w:rsidR="00B5625C" w:rsidRPr="00975C02">
        <w:rPr>
          <w:rFonts w:eastAsia="Batang"/>
          <w:kern w:val="2"/>
          <w:sz w:val="20"/>
          <w:szCs w:val="20"/>
          <w:lang w:val="es-ES" w:eastAsia="en-US"/>
        </w:rPr>
        <w:t xml:space="preserve"> sexual en contra de mujeres adultas, la Corte ha establecido una serie de criterios que los Estados deben seguir para que las investigaciones y procesos penales incoados sean sustanciados con la debida diligencia</w:t>
      </w:r>
      <w:r w:rsidR="003A005E" w:rsidRPr="00975C02">
        <w:rPr>
          <w:rFonts w:eastAsia="Batang"/>
          <w:kern w:val="2"/>
          <w:sz w:val="20"/>
          <w:szCs w:val="20"/>
          <w:vertAlign w:val="superscript"/>
          <w:lang w:val="es-ES" w:eastAsia="en-US"/>
        </w:rPr>
        <w:footnoteReference w:id="197"/>
      </w:r>
      <w:r w:rsidR="00B5625C" w:rsidRPr="00975C02">
        <w:rPr>
          <w:rFonts w:eastAsia="Batang"/>
          <w:kern w:val="2"/>
          <w:sz w:val="20"/>
          <w:szCs w:val="20"/>
          <w:lang w:val="es-ES" w:eastAsia="en-US"/>
        </w:rPr>
        <w:t xml:space="preserve">. En el presente caso, la </w:t>
      </w:r>
      <w:r w:rsidR="00B5625C" w:rsidRPr="00975C02">
        <w:rPr>
          <w:rFonts w:eastAsia="Batang"/>
          <w:kern w:val="2"/>
          <w:sz w:val="20"/>
          <w:szCs w:val="20"/>
          <w:lang w:val="es-ES" w:eastAsia="en-US"/>
        </w:rPr>
        <w:lastRenderedPageBreak/>
        <w:t>Corte tiene la oportunidad de referirse a la obligación que tiene un Estado cuando las investigaciones y proceso penal se dan en el marco de un caso de violació</w:t>
      </w:r>
      <w:r w:rsidR="00BE5576" w:rsidRPr="00975C02">
        <w:rPr>
          <w:rFonts w:eastAsia="Batang"/>
          <w:kern w:val="2"/>
          <w:sz w:val="20"/>
          <w:szCs w:val="20"/>
          <w:lang w:val="es-ES" w:eastAsia="en-US"/>
        </w:rPr>
        <w:t xml:space="preserve">n sexual </w:t>
      </w:r>
      <w:r w:rsidR="009A0F59" w:rsidRPr="00975C02">
        <w:rPr>
          <w:rFonts w:eastAsia="Batang"/>
          <w:kern w:val="2"/>
          <w:sz w:val="20"/>
          <w:szCs w:val="20"/>
          <w:lang w:val="es-ES" w:eastAsia="en-US"/>
        </w:rPr>
        <w:t xml:space="preserve">cometida </w:t>
      </w:r>
      <w:r w:rsidR="00BE5576" w:rsidRPr="00975C02">
        <w:rPr>
          <w:rFonts w:eastAsia="Batang"/>
          <w:kern w:val="2"/>
          <w:sz w:val="20"/>
          <w:szCs w:val="20"/>
          <w:lang w:val="es-ES" w:eastAsia="en-US"/>
        </w:rPr>
        <w:t>en contra de una niña.</w:t>
      </w:r>
      <w:r w:rsidR="002D1A5B" w:rsidRPr="00975C02">
        <w:rPr>
          <w:rFonts w:eastAsia="Batang"/>
          <w:kern w:val="2"/>
          <w:sz w:val="20"/>
          <w:szCs w:val="20"/>
          <w:lang w:val="es-ES" w:eastAsia="en-US"/>
        </w:rPr>
        <w:t xml:space="preserve"> Por ende, la Corte adoptará un enfoque interseccional que tenga en cuenta la condición de género y edad de la niña.</w:t>
      </w:r>
    </w:p>
    <w:p w14:paraId="5C21BB0E" w14:textId="77777777" w:rsidR="00BE5576" w:rsidRPr="00975C02" w:rsidRDefault="00BE5576" w:rsidP="00BE5576">
      <w:pPr>
        <w:widowControl/>
        <w:tabs>
          <w:tab w:val="left" w:pos="567"/>
        </w:tabs>
        <w:adjustRightInd/>
        <w:spacing w:line="240" w:lineRule="auto"/>
        <w:textAlignment w:val="auto"/>
        <w:rPr>
          <w:b/>
          <w:kern w:val="2"/>
          <w:sz w:val="20"/>
          <w:szCs w:val="20"/>
          <w:lang w:val="es-ES" w:eastAsia="en-US"/>
        </w:rPr>
      </w:pPr>
    </w:p>
    <w:p w14:paraId="1511FF99" w14:textId="72FC30BD" w:rsidR="00237B54" w:rsidRPr="00975C02" w:rsidRDefault="00B5625C" w:rsidP="00237B54">
      <w:pPr>
        <w:widowControl/>
        <w:numPr>
          <w:ilvl w:val="0"/>
          <w:numId w:val="2"/>
        </w:numPr>
        <w:tabs>
          <w:tab w:val="left" w:pos="567"/>
          <w:tab w:val="num" w:pos="12305"/>
        </w:tabs>
        <w:adjustRightInd/>
        <w:spacing w:line="240" w:lineRule="auto"/>
        <w:ind w:left="0" w:firstLine="0"/>
        <w:textAlignment w:val="auto"/>
        <w:rPr>
          <w:kern w:val="2"/>
          <w:sz w:val="20"/>
          <w:szCs w:val="20"/>
          <w:lang w:val="es-ES" w:eastAsia="en-US"/>
        </w:rPr>
      </w:pPr>
      <w:r w:rsidRPr="00975C02">
        <w:rPr>
          <w:rFonts w:eastAsia="Batang"/>
          <w:kern w:val="2"/>
          <w:sz w:val="20"/>
          <w:szCs w:val="20"/>
          <w:lang w:val="es-ES" w:eastAsia="en-US"/>
        </w:rPr>
        <w:t>La Corte considera que, sin perjuicio de los estándares establecidos en casos de violencia</w:t>
      </w:r>
      <w:r w:rsidR="001844E5" w:rsidRPr="00975C02">
        <w:rPr>
          <w:rFonts w:eastAsia="Batang"/>
          <w:kern w:val="2"/>
          <w:sz w:val="20"/>
          <w:szCs w:val="20"/>
          <w:lang w:val="es-ES" w:eastAsia="en-US"/>
        </w:rPr>
        <w:t xml:space="preserve"> y violación</w:t>
      </w:r>
      <w:r w:rsidRPr="00975C02">
        <w:rPr>
          <w:rFonts w:eastAsia="Batang"/>
          <w:kern w:val="2"/>
          <w:sz w:val="20"/>
          <w:szCs w:val="20"/>
          <w:lang w:val="es-ES" w:eastAsia="en-US"/>
        </w:rPr>
        <w:t xml:space="preserve"> sexual contra mujeres adultas, los Estados deben adoptar</w:t>
      </w:r>
      <w:r w:rsidR="00BA71D7">
        <w:rPr>
          <w:rFonts w:eastAsia="Batang"/>
          <w:kern w:val="2"/>
          <w:sz w:val="20"/>
          <w:szCs w:val="20"/>
          <w:lang w:val="es-ES" w:eastAsia="en-US"/>
        </w:rPr>
        <w:t>,</w:t>
      </w:r>
      <w:r w:rsidRPr="00975C02">
        <w:rPr>
          <w:rFonts w:eastAsia="Batang"/>
          <w:kern w:val="2"/>
          <w:sz w:val="20"/>
          <w:szCs w:val="20"/>
          <w:lang w:val="es-ES" w:eastAsia="en-US"/>
        </w:rPr>
        <w:t xml:space="preserve"> </w:t>
      </w:r>
      <w:r w:rsidR="003E3AA9" w:rsidRPr="00975C02">
        <w:rPr>
          <w:rFonts w:eastAsia="Batang"/>
          <w:kern w:val="2"/>
          <w:sz w:val="20"/>
          <w:szCs w:val="20"/>
          <w:lang w:val="es-ES" w:eastAsia="en-US"/>
        </w:rPr>
        <w:t xml:space="preserve">en el </w:t>
      </w:r>
      <w:r w:rsidR="003E3AA9" w:rsidRPr="00975C02">
        <w:rPr>
          <w:kern w:val="2"/>
          <w:sz w:val="20"/>
          <w:szCs w:val="20"/>
          <w:lang w:val="es-ES" w:eastAsia="en-US"/>
        </w:rPr>
        <w:t xml:space="preserve">marco del </w:t>
      </w:r>
      <w:r w:rsidR="003E3AA9" w:rsidRPr="00975C02">
        <w:rPr>
          <w:sz w:val="20"/>
          <w:szCs w:val="20"/>
          <w:lang w:val="es-ES" w:eastAsia="en-US"/>
        </w:rPr>
        <w:t>acatamiento</w:t>
      </w:r>
      <w:r w:rsidR="003E3AA9" w:rsidRPr="00975C02">
        <w:rPr>
          <w:kern w:val="2"/>
          <w:sz w:val="20"/>
          <w:szCs w:val="20"/>
          <w:lang w:val="es-ES" w:eastAsia="en-US"/>
        </w:rPr>
        <w:t xml:space="preserve"> del artículo 19 de la Convención Americana</w:t>
      </w:r>
      <w:r w:rsidR="00BA71D7">
        <w:rPr>
          <w:kern w:val="2"/>
          <w:sz w:val="20"/>
          <w:szCs w:val="20"/>
          <w:lang w:val="es-ES" w:eastAsia="en-US"/>
        </w:rPr>
        <w:t>,</w:t>
      </w:r>
      <w:r w:rsidR="003E3AA9" w:rsidRPr="00975C02">
        <w:rPr>
          <w:rFonts w:eastAsia="Batang"/>
          <w:kern w:val="2"/>
          <w:sz w:val="20"/>
          <w:szCs w:val="20"/>
          <w:lang w:val="es-ES" w:eastAsia="en-US"/>
        </w:rPr>
        <w:t xml:space="preserve"> </w:t>
      </w:r>
      <w:r w:rsidRPr="00975C02">
        <w:rPr>
          <w:rFonts w:eastAsia="Batang"/>
          <w:kern w:val="2"/>
          <w:sz w:val="20"/>
          <w:szCs w:val="20"/>
          <w:lang w:val="es-ES" w:eastAsia="en-US"/>
        </w:rPr>
        <w:t>medidas particularizadas y especiales en casos donde la víctima es una niña, niño o adolescente, sobre todo ante la ocurrencia de un acto de violencia sexual y</w:t>
      </w:r>
      <w:r w:rsidR="0003552A" w:rsidRPr="00975C02">
        <w:rPr>
          <w:rFonts w:eastAsia="Batang"/>
          <w:kern w:val="2"/>
          <w:sz w:val="20"/>
          <w:szCs w:val="20"/>
          <w:lang w:val="es-ES" w:eastAsia="en-US"/>
        </w:rPr>
        <w:t>,</w:t>
      </w:r>
      <w:r w:rsidRPr="00975C02">
        <w:rPr>
          <w:rFonts w:eastAsia="Batang"/>
          <w:kern w:val="2"/>
          <w:sz w:val="20"/>
          <w:szCs w:val="20"/>
          <w:lang w:val="es-ES" w:eastAsia="en-US"/>
        </w:rPr>
        <w:t xml:space="preserve"> más aún</w:t>
      </w:r>
      <w:r w:rsidR="0003552A" w:rsidRPr="00975C02">
        <w:rPr>
          <w:rFonts w:eastAsia="Batang"/>
          <w:kern w:val="2"/>
          <w:sz w:val="20"/>
          <w:szCs w:val="20"/>
          <w:lang w:val="es-ES" w:eastAsia="en-US"/>
        </w:rPr>
        <w:t>,</w:t>
      </w:r>
      <w:r w:rsidRPr="00975C02">
        <w:rPr>
          <w:rFonts w:eastAsia="Batang"/>
          <w:kern w:val="2"/>
          <w:sz w:val="20"/>
          <w:szCs w:val="20"/>
          <w:lang w:val="es-ES" w:eastAsia="en-US"/>
        </w:rPr>
        <w:t xml:space="preserve"> en</w:t>
      </w:r>
      <w:r w:rsidR="003A005E" w:rsidRPr="00975C02">
        <w:rPr>
          <w:rFonts w:eastAsia="Batang"/>
          <w:kern w:val="2"/>
          <w:sz w:val="20"/>
          <w:szCs w:val="20"/>
          <w:lang w:val="es-ES" w:eastAsia="en-US"/>
        </w:rPr>
        <w:t xml:space="preserve"> casos de violaci</w:t>
      </w:r>
      <w:r w:rsidR="0003552A" w:rsidRPr="00975C02">
        <w:rPr>
          <w:rFonts w:eastAsia="Batang"/>
          <w:kern w:val="2"/>
          <w:sz w:val="20"/>
          <w:szCs w:val="20"/>
          <w:lang w:val="es-ES" w:eastAsia="en-US"/>
        </w:rPr>
        <w:t>ó</w:t>
      </w:r>
      <w:r w:rsidR="003A005E" w:rsidRPr="00975C02">
        <w:rPr>
          <w:rFonts w:eastAsia="Batang"/>
          <w:kern w:val="2"/>
          <w:sz w:val="20"/>
          <w:szCs w:val="20"/>
          <w:lang w:val="es-ES" w:eastAsia="en-US"/>
        </w:rPr>
        <w:t>n sexual.</w:t>
      </w:r>
      <w:r w:rsidR="00BE5576" w:rsidRPr="00975C02">
        <w:rPr>
          <w:rFonts w:eastAsia="Batang"/>
          <w:kern w:val="2"/>
          <w:sz w:val="20"/>
          <w:szCs w:val="20"/>
          <w:lang w:val="es-ES" w:eastAsia="en-US"/>
        </w:rPr>
        <w:t xml:space="preserve"> </w:t>
      </w:r>
      <w:r w:rsidR="00237B54" w:rsidRPr="00975C02">
        <w:rPr>
          <w:rFonts w:eastAsia="Batang"/>
          <w:kern w:val="2"/>
          <w:sz w:val="20"/>
          <w:szCs w:val="20"/>
          <w:lang w:val="es-ES" w:eastAsia="en-US"/>
        </w:rPr>
        <w:t>En consecuencia, en el marco del presente caso, y a</w:t>
      </w:r>
      <w:r w:rsidR="00237B54" w:rsidRPr="00975C02">
        <w:rPr>
          <w:sz w:val="20"/>
          <w:szCs w:val="20"/>
          <w:lang w:val="es-ES" w:eastAsia="en-US"/>
        </w:rPr>
        <w:t xml:space="preserve"> lo </w:t>
      </w:r>
      <w:r w:rsidR="00237B54" w:rsidRPr="00975C02">
        <w:rPr>
          <w:kern w:val="2"/>
          <w:sz w:val="20"/>
          <w:szCs w:val="20"/>
          <w:lang w:val="es-ES" w:eastAsia="en-US"/>
        </w:rPr>
        <w:t>largo</w:t>
      </w:r>
      <w:r w:rsidR="00237B54" w:rsidRPr="00975C02">
        <w:rPr>
          <w:sz w:val="20"/>
          <w:szCs w:val="20"/>
          <w:lang w:val="es-ES" w:eastAsia="en-US"/>
        </w:rPr>
        <w:t xml:space="preserve"> de la presente Sentencia, el Tribunal analizará las presuntas violaciones a derechos en </w:t>
      </w:r>
      <w:r w:rsidR="007571E8">
        <w:rPr>
          <w:sz w:val="20"/>
          <w:szCs w:val="20"/>
          <w:lang w:val="es-ES" w:eastAsia="en-US"/>
        </w:rPr>
        <w:t>perjuicio de</w:t>
      </w:r>
      <w:r w:rsidR="00237B54" w:rsidRPr="00975C02">
        <w:rPr>
          <w:sz w:val="20"/>
          <w:szCs w:val="20"/>
          <w:lang w:val="es-ES" w:eastAsia="en-US"/>
        </w:rPr>
        <w:t xml:space="preserve"> una niña, no solo con base en </w:t>
      </w:r>
      <w:r w:rsidR="00237B54" w:rsidRPr="00975C02">
        <w:rPr>
          <w:rFonts w:eastAsia="Batang"/>
          <w:kern w:val="2"/>
          <w:sz w:val="20"/>
          <w:szCs w:val="20"/>
          <w:lang w:val="es-ES" w:eastAsia="en-US"/>
        </w:rPr>
        <w:t>los instrumentos internacionales de violencia contra la mujer,</w:t>
      </w:r>
      <w:r w:rsidR="00237B54" w:rsidRPr="00975C02">
        <w:rPr>
          <w:sz w:val="20"/>
          <w:szCs w:val="20"/>
          <w:lang w:val="es-ES" w:eastAsia="en-US"/>
        </w:rPr>
        <w:t xml:space="preserve"> sino que también los examinará “a la luz del </w:t>
      </w:r>
      <w:r w:rsidR="00237B54" w:rsidRPr="00975C02">
        <w:rPr>
          <w:i/>
          <w:iCs/>
          <w:sz w:val="20"/>
          <w:szCs w:val="20"/>
          <w:lang w:val="es-ES" w:eastAsia="en-US"/>
        </w:rPr>
        <w:t xml:space="preserve">corpus juris </w:t>
      </w:r>
      <w:r w:rsidR="00237B54" w:rsidRPr="00975C02">
        <w:rPr>
          <w:sz w:val="20"/>
          <w:szCs w:val="20"/>
          <w:lang w:val="es-ES" w:eastAsia="en-US"/>
        </w:rPr>
        <w:t>internacional de protección de los niños y las niñas”</w:t>
      </w:r>
      <w:r w:rsidR="00F64EC1" w:rsidRPr="00975C02">
        <w:rPr>
          <w:sz w:val="20"/>
          <w:szCs w:val="20"/>
          <w:lang w:val="es-ES" w:eastAsia="en-US"/>
        </w:rPr>
        <w:t xml:space="preserve"> (</w:t>
      </w:r>
      <w:r w:rsidR="00F64EC1" w:rsidRPr="00975C02">
        <w:rPr>
          <w:i/>
          <w:sz w:val="20"/>
          <w:szCs w:val="20"/>
          <w:lang w:val="es-ES" w:eastAsia="en-US"/>
        </w:rPr>
        <w:t>supra</w:t>
      </w:r>
      <w:r w:rsidR="000C7392" w:rsidRPr="00975C02">
        <w:rPr>
          <w:sz w:val="20"/>
          <w:szCs w:val="20"/>
          <w:lang w:val="es-ES" w:eastAsia="en-US"/>
        </w:rPr>
        <w:t xml:space="preserve"> párr. 42</w:t>
      </w:r>
      <w:r w:rsidR="00F64EC1" w:rsidRPr="00975C02">
        <w:rPr>
          <w:sz w:val="20"/>
          <w:szCs w:val="20"/>
          <w:lang w:val="es-ES" w:eastAsia="en-US"/>
        </w:rPr>
        <w:t>)</w:t>
      </w:r>
      <w:r w:rsidR="00237B54" w:rsidRPr="00975C02">
        <w:rPr>
          <w:sz w:val="20"/>
          <w:szCs w:val="20"/>
          <w:lang w:val="es-ES" w:eastAsia="en-US"/>
        </w:rPr>
        <w:t>, el cual</w:t>
      </w:r>
      <w:r w:rsidR="00237B54" w:rsidRPr="00975C02">
        <w:rPr>
          <w:i/>
          <w:iCs/>
          <w:sz w:val="20"/>
          <w:szCs w:val="20"/>
          <w:lang w:val="es-ES" w:eastAsia="en-US"/>
        </w:rPr>
        <w:t xml:space="preserve"> </w:t>
      </w:r>
      <w:r w:rsidR="00237B54" w:rsidRPr="00975C02">
        <w:rPr>
          <w:sz w:val="20"/>
          <w:szCs w:val="20"/>
          <w:lang w:val="es-ES" w:eastAsia="en-US"/>
        </w:rPr>
        <w:t>debe servir para definir el contenido y los alcances de las obligaciones que ha asumido el Estado cuando se analizan los derechos de las niñas</w:t>
      </w:r>
      <w:r w:rsidR="0003552A" w:rsidRPr="00975C02">
        <w:rPr>
          <w:sz w:val="20"/>
          <w:szCs w:val="20"/>
          <w:lang w:val="es-ES" w:eastAsia="en-US"/>
        </w:rPr>
        <w:t>,</w:t>
      </w:r>
      <w:r w:rsidR="00237B54" w:rsidRPr="00975C02">
        <w:rPr>
          <w:sz w:val="20"/>
          <w:szCs w:val="20"/>
          <w:lang w:val="es-ES" w:eastAsia="en-US"/>
        </w:rPr>
        <w:t xml:space="preserve"> niños</w:t>
      </w:r>
      <w:r w:rsidR="0003552A" w:rsidRPr="00975C02">
        <w:rPr>
          <w:sz w:val="20"/>
          <w:szCs w:val="20"/>
          <w:lang w:val="es-ES" w:eastAsia="en-US"/>
        </w:rPr>
        <w:t xml:space="preserve"> y adolescentes</w:t>
      </w:r>
      <w:r w:rsidR="00237B54" w:rsidRPr="00975C02">
        <w:rPr>
          <w:sz w:val="20"/>
          <w:szCs w:val="20"/>
          <w:vertAlign w:val="superscript"/>
          <w:lang w:val="es-ES" w:eastAsia="en-US"/>
        </w:rPr>
        <w:footnoteReference w:id="198"/>
      </w:r>
      <w:r w:rsidR="00237B54" w:rsidRPr="00975C02">
        <w:rPr>
          <w:sz w:val="20"/>
          <w:szCs w:val="20"/>
          <w:lang w:val="es-ES" w:eastAsia="en-US"/>
        </w:rPr>
        <w:t xml:space="preserve">, y en el caso particular, </w:t>
      </w:r>
      <w:r w:rsidR="00237B54" w:rsidRPr="00975C02">
        <w:rPr>
          <w:rFonts w:eastAsia="Batang"/>
          <w:kern w:val="2"/>
          <w:sz w:val="20"/>
          <w:szCs w:val="20"/>
          <w:lang w:val="es-ES" w:eastAsia="en-US"/>
        </w:rPr>
        <w:t>de la obligación estatal reforzada de debida diligencia.</w:t>
      </w:r>
      <w:r w:rsidR="0078041F" w:rsidRPr="00975C02">
        <w:rPr>
          <w:rFonts w:eastAsia="Batang"/>
          <w:kern w:val="2"/>
          <w:sz w:val="20"/>
          <w:szCs w:val="20"/>
          <w:lang w:val="es-ES" w:eastAsia="en-US"/>
        </w:rPr>
        <w:t xml:space="preserve"> Asimismo, la Corte dará aplicación concreta a los cuatro principios rectores de la Convención sobre los Derechos del Niño</w:t>
      </w:r>
      <w:r w:rsidR="001B7672" w:rsidRPr="00975C02">
        <w:rPr>
          <w:rFonts w:eastAsia="Batang"/>
          <w:kern w:val="2"/>
          <w:sz w:val="20"/>
          <w:szCs w:val="20"/>
          <w:lang w:val="es-ES" w:eastAsia="en-US"/>
        </w:rPr>
        <w:t>, esto es el principio de no discriminación</w:t>
      </w:r>
      <w:r w:rsidR="001B7672" w:rsidRPr="00975C02">
        <w:rPr>
          <w:rFonts w:eastAsia="Batang"/>
          <w:kern w:val="2"/>
          <w:sz w:val="20"/>
          <w:szCs w:val="20"/>
          <w:vertAlign w:val="superscript"/>
          <w:lang w:val="es-ES" w:eastAsia="en-US"/>
        </w:rPr>
        <w:footnoteReference w:id="199"/>
      </w:r>
      <w:r w:rsidR="001B7672" w:rsidRPr="00975C02">
        <w:rPr>
          <w:rFonts w:eastAsia="Batang"/>
          <w:kern w:val="2"/>
          <w:sz w:val="20"/>
          <w:szCs w:val="20"/>
          <w:lang w:val="es-ES" w:eastAsia="en-US"/>
        </w:rPr>
        <w:t>, el principio del interés superior de la niña</w:t>
      </w:r>
      <w:r w:rsidR="001B7672" w:rsidRPr="00975C02">
        <w:rPr>
          <w:rFonts w:eastAsia="Batang"/>
          <w:kern w:val="2"/>
          <w:sz w:val="20"/>
          <w:szCs w:val="20"/>
          <w:vertAlign w:val="superscript"/>
          <w:lang w:val="es-ES" w:eastAsia="en-US"/>
        </w:rPr>
        <w:footnoteReference w:id="200"/>
      </w:r>
      <w:r w:rsidR="001B7672" w:rsidRPr="00975C02">
        <w:rPr>
          <w:rFonts w:eastAsia="Batang"/>
          <w:kern w:val="2"/>
          <w:sz w:val="20"/>
          <w:szCs w:val="20"/>
          <w:lang w:val="es-ES" w:eastAsia="en-US"/>
        </w:rPr>
        <w:t>, el principio de respeto al derecho a la vida, la supervivencia y el desarrollo</w:t>
      </w:r>
      <w:r w:rsidR="001B7672" w:rsidRPr="00975C02">
        <w:rPr>
          <w:rFonts w:eastAsia="Batang"/>
          <w:kern w:val="2"/>
          <w:sz w:val="20"/>
          <w:szCs w:val="20"/>
          <w:vertAlign w:val="superscript"/>
          <w:lang w:val="es-ES" w:eastAsia="en-US"/>
        </w:rPr>
        <w:footnoteReference w:id="201"/>
      </w:r>
      <w:r w:rsidR="001B7672" w:rsidRPr="00975C02">
        <w:rPr>
          <w:rFonts w:eastAsia="Batang"/>
          <w:kern w:val="2"/>
          <w:sz w:val="20"/>
          <w:szCs w:val="20"/>
          <w:lang w:val="es-ES" w:eastAsia="en-US"/>
        </w:rPr>
        <w:t>, y el principio de respeto a la opinión de la n</w:t>
      </w:r>
      <w:r w:rsidR="009B7960">
        <w:rPr>
          <w:rFonts w:eastAsia="Batang"/>
          <w:kern w:val="2"/>
          <w:sz w:val="20"/>
          <w:szCs w:val="20"/>
          <w:lang w:val="es-ES" w:eastAsia="en-US"/>
        </w:rPr>
        <w:t>iña en todo procedimiento que la</w:t>
      </w:r>
      <w:r w:rsidR="001B7672" w:rsidRPr="00975C02">
        <w:rPr>
          <w:rFonts w:eastAsia="Batang"/>
          <w:kern w:val="2"/>
          <w:sz w:val="20"/>
          <w:szCs w:val="20"/>
          <w:lang w:val="es-ES" w:eastAsia="en-US"/>
        </w:rPr>
        <w:t xml:space="preserve"> afecte, de modo que se </w:t>
      </w:r>
      <w:r w:rsidR="001B7672" w:rsidRPr="00975C02">
        <w:rPr>
          <w:rFonts w:eastAsia="Batang"/>
          <w:kern w:val="2"/>
          <w:sz w:val="20"/>
          <w:szCs w:val="20"/>
          <w:lang w:val="es-ES" w:eastAsia="en-US"/>
        </w:rPr>
        <w:lastRenderedPageBreak/>
        <w:t>garantice su participación</w:t>
      </w:r>
      <w:r w:rsidR="001B7672" w:rsidRPr="00975C02">
        <w:rPr>
          <w:rFonts w:eastAsia="Batang"/>
          <w:kern w:val="2"/>
          <w:sz w:val="20"/>
          <w:szCs w:val="20"/>
          <w:vertAlign w:val="superscript"/>
          <w:lang w:val="es-ES" w:eastAsia="en-US"/>
        </w:rPr>
        <w:footnoteReference w:id="202"/>
      </w:r>
      <w:r w:rsidR="001B7672" w:rsidRPr="00975C02">
        <w:rPr>
          <w:rFonts w:eastAsia="Batang"/>
          <w:kern w:val="2"/>
          <w:sz w:val="20"/>
          <w:szCs w:val="20"/>
          <w:lang w:val="es-ES" w:eastAsia="en-US"/>
        </w:rPr>
        <w:t>,</w:t>
      </w:r>
      <w:r w:rsidR="0078041F" w:rsidRPr="00975C02">
        <w:rPr>
          <w:rFonts w:eastAsia="Batang"/>
          <w:kern w:val="2"/>
          <w:sz w:val="20"/>
          <w:szCs w:val="20"/>
          <w:lang w:val="es-ES" w:eastAsia="en-US"/>
        </w:rPr>
        <w:t xml:space="preserve"> en lo que resulte pertinente para identificar las medidas especiales que son requeridas para dotar de efectividad a los derechos de niñas</w:t>
      </w:r>
      <w:r w:rsidR="0003552A" w:rsidRPr="00975C02">
        <w:rPr>
          <w:rFonts w:eastAsia="Batang"/>
          <w:kern w:val="2"/>
          <w:sz w:val="20"/>
          <w:szCs w:val="20"/>
          <w:lang w:val="es-ES" w:eastAsia="en-US"/>
        </w:rPr>
        <w:t>, niños y adolescentes</w:t>
      </w:r>
      <w:r w:rsidR="0078041F" w:rsidRPr="00975C02">
        <w:rPr>
          <w:rFonts w:eastAsia="Batang"/>
          <w:kern w:val="2"/>
          <w:sz w:val="20"/>
          <w:szCs w:val="20"/>
          <w:lang w:val="es-ES" w:eastAsia="en-US"/>
        </w:rPr>
        <w:t xml:space="preserve"> cuando son víctimas de delitos de violencia sexual.</w:t>
      </w:r>
    </w:p>
    <w:p w14:paraId="6E875F8E" w14:textId="77777777" w:rsidR="00237B54" w:rsidRPr="00975C02" w:rsidRDefault="00237B54" w:rsidP="00237B54">
      <w:pPr>
        <w:widowControl/>
        <w:tabs>
          <w:tab w:val="left" w:pos="567"/>
        </w:tabs>
        <w:adjustRightInd/>
        <w:spacing w:line="240" w:lineRule="auto"/>
        <w:textAlignment w:val="auto"/>
        <w:rPr>
          <w:kern w:val="2"/>
          <w:sz w:val="20"/>
          <w:szCs w:val="20"/>
          <w:lang w:val="es-ES" w:eastAsia="en-US"/>
        </w:rPr>
      </w:pPr>
    </w:p>
    <w:p w14:paraId="5A69B5A8" w14:textId="0143E593" w:rsidR="00C121FD" w:rsidRPr="00975C02" w:rsidRDefault="0099548A" w:rsidP="000063E6">
      <w:pPr>
        <w:widowControl/>
        <w:numPr>
          <w:ilvl w:val="0"/>
          <w:numId w:val="2"/>
        </w:numPr>
        <w:tabs>
          <w:tab w:val="left" w:pos="567"/>
          <w:tab w:val="num" w:pos="12305"/>
        </w:tabs>
        <w:adjustRightInd/>
        <w:spacing w:line="240" w:lineRule="auto"/>
        <w:ind w:left="0" w:firstLine="0"/>
        <w:textAlignment w:val="auto"/>
        <w:rPr>
          <w:kern w:val="2"/>
          <w:sz w:val="20"/>
          <w:szCs w:val="20"/>
          <w:lang w:val="es-ES" w:eastAsia="en-US"/>
        </w:rPr>
      </w:pPr>
      <w:r w:rsidRPr="00975C02">
        <w:rPr>
          <w:kern w:val="2"/>
          <w:sz w:val="20"/>
          <w:szCs w:val="20"/>
          <w:lang w:val="es-ES" w:eastAsia="en-US"/>
        </w:rPr>
        <w:t xml:space="preserve">Las medidas especiales de protección que el Estado debe adoptar se basan en el hecho </w:t>
      </w:r>
      <w:r w:rsidR="00837266" w:rsidRPr="00975C02">
        <w:rPr>
          <w:kern w:val="2"/>
          <w:sz w:val="20"/>
          <w:szCs w:val="20"/>
          <w:lang w:val="es-ES" w:eastAsia="en-US"/>
        </w:rPr>
        <w:t xml:space="preserve">de </w:t>
      </w:r>
      <w:r w:rsidRPr="00975C02">
        <w:rPr>
          <w:kern w:val="2"/>
          <w:sz w:val="20"/>
          <w:szCs w:val="20"/>
          <w:lang w:val="es-ES" w:eastAsia="en-US"/>
        </w:rPr>
        <w:t>que las niñas, niños y adolescentes se consideran más vulnerables a violaciones de derechos humanos, l</w:t>
      </w:r>
      <w:r w:rsidR="00D25E3F" w:rsidRPr="00975C02">
        <w:rPr>
          <w:kern w:val="2"/>
          <w:sz w:val="20"/>
          <w:szCs w:val="20"/>
          <w:lang w:val="es-ES" w:eastAsia="en-US"/>
        </w:rPr>
        <w:t>o</w:t>
      </w:r>
      <w:r w:rsidRPr="00975C02">
        <w:rPr>
          <w:kern w:val="2"/>
          <w:sz w:val="20"/>
          <w:szCs w:val="20"/>
          <w:lang w:val="es-ES" w:eastAsia="en-US"/>
        </w:rPr>
        <w:t xml:space="preserve"> </w:t>
      </w:r>
      <w:r w:rsidR="00D25E3F" w:rsidRPr="00975C02">
        <w:rPr>
          <w:kern w:val="2"/>
          <w:sz w:val="20"/>
          <w:szCs w:val="20"/>
          <w:lang w:val="es-ES" w:eastAsia="en-US"/>
        </w:rPr>
        <w:t xml:space="preserve">que </w:t>
      </w:r>
      <w:r w:rsidRPr="00975C02">
        <w:rPr>
          <w:kern w:val="2"/>
          <w:sz w:val="20"/>
          <w:szCs w:val="20"/>
          <w:lang w:val="es-ES" w:eastAsia="en-US"/>
        </w:rPr>
        <w:t xml:space="preserve">además </w:t>
      </w:r>
      <w:r w:rsidR="00D25E3F" w:rsidRPr="00975C02">
        <w:rPr>
          <w:kern w:val="2"/>
          <w:sz w:val="20"/>
          <w:szCs w:val="20"/>
          <w:lang w:val="es-ES" w:eastAsia="en-US"/>
        </w:rPr>
        <w:t xml:space="preserve">estará </w:t>
      </w:r>
      <w:r w:rsidRPr="00975C02">
        <w:rPr>
          <w:kern w:val="2"/>
          <w:sz w:val="20"/>
          <w:szCs w:val="20"/>
          <w:lang w:val="es-ES" w:eastAsia="en-US"/>
        </w:rPr>
        <w:t>determinad</w:t>
      </w:r>
      <w:r w:rsidR="00D25E3F" w:rsidRPr="00975C02">
        <w:rPr>
          <w:kern w:val="2"/>
          <w:sz w:val="20"/>
          <w:szCs w:val="20"/>
          <w:lang w:val="es-ES" w:eastAsia="en-US"/>
        </w:rPr>
        <w:t>o</w:t>
      </w:r>
      <w:r w:rsidRPr="00975C02">
        <w:rPr>
          <w:kern w:val="2"/>
          <w:sz w:val="20"/>
          <w:szCs w:val="20"/>
          <w:lang w:val="es-ES" w:eastAsia="en-US"/>
        </w:rPr>
        <w:t xml:space="preserve"> por distintos factores, </w:t>
      </w:r>
      <w:r w:rsidR="00711811">
        <w:rPr>
          <w:kern w:val="2"/>
          <w:sz w:val="20"/>
          <w:szCs w:val="20"/>
          <w:lang w:val="es-ES" w:eastAsia="en-US"/>
        </w:rPr>
        <w:t xml:space="preserve">como </w:t>
      </w:r>
      <w:r w:rsidRPr="00975C02">
        <w:rPr>
          <w:kern w:val="2"/>
          <w:sz w:val="20"/>
          <w:szCs w:val="20"/>
          <w:lang w:val="es-ES" w:eastAsia="en-US"/>
        </w:rPr>
        <w:t>la edad, las condiciones particulares de cada uno, su grado de desarrollo y madurez</w:t>
      </w:r>
      <w:r w:rsidR="00875827" w:rsidRPr="00975C02">
        <w:rPr>
          <w:kern w:val="2"/>
          <w:sz w:val="20"/>
          <w:szCs w:val="20"/>
          <w:vertAlign w:val="superscript"/>
          <w:lang w:val="es-ES" w:eastAsia="en-US"/>
        </w:rPr>
        <w:footnoteReference w:id="203"/>
      </w:r>
      <w:r w:rsidRPr="00975C02">
        <w:rPr>
          <w:kern w:val="2"/>
          <w:sz w:val="20"/>
          <w:szCs w:val="20"/>
          <w:lang w:val="es-ES" w:eastAsia="en-US"/>
        </w:rPr>
        <w:t>, entre otros</w:t>
      </w:r>
      <w:r w:rsidR="00237B54" w:rsidRPr="00975C02">
        <w:rPr>
          <w:kern w:val="2"/>
          <w:sz w:val="20"/>
          <w:szCs w:val="20"/>
          <w:vertAlign w:val="superscript"/>
          <w:lang w:val="es-ES" w:eastAsia="en-US"/>
        </w:rPr>
        <w:footnoteReference w:id="204"/>
      </w:r>
      <w:r w:rsidRPr="00975C02">
        <w:rPr>
          <w:kern w:val="2"/>
          <w:sz w:val="20"/>
          <w:szCs w:val="20"/>
          <w:lang w:val="es-ES" w:eastAsia="en-US"/>
        </w:rPr>
        <w:t xml:space="preserve">. </w:t>
      </w:r>
      <w:r w:rsidR="001D133A" w:rsidRPr="00975C02">
        <w:rPr>
          <w:kern w:val="2"/>
          <w:sz w:val="20"/>
          <w:szCs w:val="20"/>
          <w:lang w:val="es-ES"/>
        </w:rPr>
        <w:t>En el caso de las niñas, dicha vulnerabilidad a violaciones de derechos humanos puede verse enmarcada y potenciada, debido a factores de discriminación histórica</w:t>
      </w:r>
      <w:r w:rsidR="001D133A" w:rsidRPr="00975C02">
        <w:rPr>
          <w:rStyle w:val="FootnoteReference"/>
          <w:rFonts w:eastAsia="MS ????"/>
          <w:kern w:val="2"/>
          <w:sz w:val="20"/>
          <w:szCs w:val="20"/>
          <w:lang w:val="es-ES"/>
        </w:rPr>
        <w:footnoteReference w:id="205"/>
      </w:r>
      <w:r w:rsidR="001D133A" w:rsidRPr="00975C02">
        <w:rPr>
          <w:kern w:val="2"/>
          <w:sz w:val="20"/>
          <w:szCs w:val="20"/>
          <w:lang w:val="es-ES"/>
        </w:rPr>
        <w:t xml:space="preserve"> que han contribuido a que las mujeres</w:t>
      </w:r>
      <w:r w:rsidR="00DD5247" w:rsidRPr="00975C02">
        <w:rPr>
          <w:kern w:val="2"/>
          <w:sz w:val="20"/>
          <w:szCs w:val="20"/>
          <w:lang w:val="es-ES"/>
        </w:rPr>
        <w:t xml:space="preserve"> y niñas</w:t>
      </w:r>
      <w:r w:rsidR="001D133A" w:rsidRPr="00975C02">
        <w:rPr>
          <w:kern w:val="2"/>
          <w:sz w:val="20"/>
          <w:szCs w:val="20"/>
          <w:lang w:val="es-ES"/>
        </w:rPr>
        <w:t xml:space="preserve"> sufran mayores índices de violencia sexual, especialmente en la esfera familiar</w:t>
      </w:r>
      <w:r w:rsidR="001D133A" w:rsidRPr="00975C02">
        <w:rPr>
          <w:rStyle w:val="FootnoteReference"/>
          <w:rFonts w:eastAsia="MS ????"/>
          <w:kern w:val="2"/>
          <w:sz w:val="20"/>
          <w:szCs w:val="20"/>
          <w:lang w:val="es-ES"/>
        </w:rPr>
        <w:footnoteReference w:id="206"/>
      </w:r>
      <w:r w:rsidR="001D133A" w:rsidRPr="00975C02">
        <w:rPr>
          <w:kern w:val="2"/>
          <w:sz w:val="20"/>
          <w:szCs w:val="20"/>
          <w:lang w:val="es-ES"/>
        </w:rPr>
        <w:t>.</w:t>
      </w:r>
      <w:r w:rsidR="00D25E3F" w:rsidRPr="00975C02">
        <w:rPr>
          <w:kern w:val="2"/>
          <w:sz w:val="20"/>
          <w:szCs w:val="20"/>
          <w:lang w:val="es-ES"/>
        </w:rPr>
        <w:t xml:space="preserve"> En lo que </w:t>
      </w:r>
      <w:r w:rsidR="00D25E3F" w:rsidRPr="00975C02">
        <w:rPr>
          <w:kern w:val="2"/>
          <w:sz w:val="20"/>
          <w:szCs w:val="20"/>
          <w:lang w:val="es-ES"/>
        </w:rPr>
        <w:lastRenderedPageBreak/>
        <w:t xml:space="preserve">se refiere a la respuesta institucional con miras a garantizar el acceso a la justicia para </w:t>
      </w:r>
      <w:r w:rsidR="00C5112D" w:rsidRPr="00975C02">
        <w:rPr>
          <w:kern w:val="2"/>
          <w:sz w:val="20"/>
          <w:szCs w:val="20"/>
          <w:lang w:val="es-ES"/>
        </w:rPr>
        <w:t>víctimas de violencia sexual</w:t>
      </w:r>
      <w:r w:rsidR="00D25E3F" w:rsidRPr="00975C02">
        <w:rPr>
          <w:rFonts w:cs="Univers-Light"/>
          <w:sz w:val="20"/>
          <w:szCs w:val="20"/>
          <w:lang w:val="es-ES"/>
        </w:rPr>
        <w:t>, este Tribunal nota que las niñas, niños y adolescentes pueden enfrentarse a diversos obstáculos y barreras de índole jurídico y económico que menoscaban el principio de su autonomía progresiva</w:t>
      </w:r>
      <w:r w:rsidR="00837266" w:rsidRPr="00975C02">
        <w:rPr>
          <w:rFonts w:cs="Univers-Light"/>
          <w:sz w:val="20"/>
          <w:szCs w:val="20"/>
          <w:lang w:val="es-ES"/>
        </w:rPr>
        <w:t>,</w:t>
      </w:r>
      <w:r w:rsidR="00D25E3F" w:rsidRPr="00975C02">
        <w:rPr>
          <w:rFonts w:cs="Univers-Light"/>
          <w:sz w:val="20"/>
          <w:szCs w:val="20"/>
          <w:lang w:val="es-ES"/>
        </w:rPr>
        <w:t xml:space="preserve"> como sujetos de derechos</w:t>
      </w:r>
      <w:r w:rsidR="00837266" w:rsidRPr="00975C02">
        <w:rPr>
          <w:rFonts w:cs="Univers-Light"/>
          <w:sz w:val="20"/>
          <w:szCs w:val="20"/>
          <w:lang w:val="es-ES"/>
        </w:rPr>
        <w:t>,</w:t>
      </w:r>
      <w:r w:rsidR="00D25E3F" w:rsidRPr="00975C02">
        <w:rPr>
          <w:rFonts w:cs="Univers-Light"/>
          <w:sz w:val="20"/>
          <w:szCs w:val="20"/>
          <w:lang w:val="es-ES"/>
        </w:rPr>
        <w:t xml:space="preserve"> o que no garantizan una asistencia técnica jurídica que permita hacer valer sus derechos e intereses en los procesos que los conciernen. Estos obstáculos no solo contribuyen a la denegación de justicia</w:t>
      </w:r>
      <w:r w:rsidR="00837266" w:rsidRPr="00975C02">
        <w:rPr>
          <w:rFonts w:cs="Univers-Light"/>
          <w:sz w:val="20"/>
          <w:szCs w:val="20"/>
          <w:lang w:val="es-ES"/>
        </w:rPr>
        <w:t>,</w:t>
      </w:r>
      <w:r w:rsidR="00D25E3F" w:rsidRPr="00975C02">
        <w:rPr>
          <w:rFonts w:cs="Univers-Light"/>
          <w:sz w:val="20"/>
          <w:szCs w:val="20"/>
          <w:lang w:val="es-ES"/>
        </w:rPr>
        <w:t xml:space="preserve"> sino que resultan discriminatorios</w:t>
      </w:r>
      <w:r w:rsidR="00837266" w:rsidRPr="00975C02">
        <w:rPr>
          <w:rFonts w:cs="Univers-Light"/>
          <w:sz w:val="20"/>
          <w:szCs w:val="20"/>
          <w:lang w:val="es-ES"/>
        </w:rPr>
        <w:t>,</w:t>
      </w:r>
      <w:r w:rsidR="00D25E3F" w:rsidRPr="00975C02">
        <w:rPr>
          <w:rFonts w:cs="Univers-Light"/>
          <w:sz w:val="20"/>
          <w:szCs w:val="20"/>
          <w:lang w:val="es-ES"/>
        </w:rPr>
        <w:t xml:space="preserve"> puesto que no permiten que se ejerza el derec</w:t>
      </w:r>
      <w:r w:rsidR="0081511A">
        <w:rPr>
          <w:rFonts w:cs="Univers-Light"/>
          <w:sz w:val="20"/>
          <w:szCs w:val="20"/>
          <w:lang w:val="es-ES"/>
        </w:rPr>
        <w:t>ho de</w:t>
      </w:r>
      <w:r w:rsidR="00D25E3F" w:rsidRPr="00975C02">
        <w:rPr>
          <w:rFonts w:cs="Univers-Light"/>
          <w:sz w:val="20"/>
          <w:szCs w:val="20"/>
          <w:lang w:val="es-ES"/>
        </w:rPr>
        <w:t xml:space="preserve"> acceso a la justicia en condiciones de igualdad.</w:t>
      </w:r>
      <w:r w:rsidR="001D133A" w:rsidRPr="00975C02">
        <w:rPr>
          <w:kern w:val="2"/>
          <w:sz w:val="20"/>
          <w:szCs w:val="20"/>
          <w:lang w:val="es-ES"/>
        </w:rPr>
        <w:t xml:space="preserve"> </w:t>
      </w:r>
      <w:r w:rsidRPr="00975C02">
        <w:rPr>
          <w:kern w:val="2"/>
          <w:sz w:val="20"/>
          <w:szCs w:val="20"/>
          <w:lang w:val="es-ES" w:eastAsia="en-US"/>
        </w:rPr>
        <w:t xml:space="preserve">De lo anterior se colige que el deber de garantía adquiere especial intensidad </w:t>
      </w:r>
      <w:r w:rsidR="00C121FD" w:rsidRPr="00975C02">
        <w:rPr>
          <w:kern w:val="2"/>
          <w:sz w:val="20"/>
          <w:szCs w:val="20"/>
          <w:lang w:val="es-ES" w:eastAsia="en-US"/>
        </w:rPr>
        <w:t>cuando las niñas son víctimas de un delito de violencia sexual y participan en las investigaciones y procesos penales, como en el presente caso.</w:t>
      </w:r>
    </w:p>
    <w:p w14:paraId="246ADD9A" w14:textId="77777777" w:rsidR="00C121FD" w:rsidRPr="00975C02" w:rsidRDefault="00C121FD" w:rsidP="004317CE">
      <w:pPr>
        <w:widowControl/>
        <w:tabs>
          <w:tab w:val="left" w:pos="567"/>
        </w:tabs>
        <w:adjustRightInd/>
        <w:spacing w:line="240" w:lineRule="auto"/>
        <w:textAlignment w:val="auto"/>
        <w:rPr>
          <w:kern w:val="2"/>
          <w:sz w:val="20"/>
          <w:szCs w:val="20"/>
          <w:lang w:val="es-ES" w:eastAsia="en-US"/>
        </w:rPr>
      </w:pPr>
    </w:p>
    <w:p w14:paraId="32C4222E" w14:textId="77777777" w:rsidR="00C121FD" w:rsidRPr="00975C02" w:rsidRDefault="00C121FD" w:rsidP="0060210B">
      <w:pPr>
        <w:widowControl/>
        <w:numPr>
          <w:ilvl w:val="0"/>
          <w:numId w:val="2"/>
        </w:numPr>
        <w:tabs>
          <w:tab w:val="left" w:pos="567"/>
          <w:tab w:val="num" w:pos="12305"/>
        </w:tabs>
        <w:adjustRightInd/>
        <w:spacing w:line="240" w:lineRule="auto"/>
        <w:ind w:left="0" w:firstLine="0"/>
        <w:textAlignment w:val="auto"/>
        <w:rPr>
          <w:kern w:val="2"/>
          <w:sz w:val="20"/>
          <w:szCs w:val="20"/>
          <w:lang w:val="es-ES" w:eastAsia="en-US"/>
        </w:rPr>
      </w:pPr>
      <w:r w:rsidRPr="00975C02">
        <w:rPr>
          <w:bCs/>
          <w:kern w:val="2"/>
          <w:sz w:val="20"/>
          <w:szCs w:val="20"/>
          <w:lang w:val="es-ES" w:eastAsia="en-US"/>
        </w:rPr>
        <w:t xml:space="preserve">Al efecto, es pertinente precisar que la propia Convención de Belém do Pará consideró pertinente resaltar que las </w:t>
      </w:r>
      <w:r w:rsidRPr="00975C02">
        <w:rPr>
          <w:rFonts w:cs="Tahoma"/>
          <w:sz w:val="20"/>
          <w:szCs w:val="20"/>
          <w:shd w:val="clear" w:color="auto" w:fill="FFFFFF"/>
          <w:lang w:val="es-ES" w:eastAsia="en-US"/>
        </w:rPr>
        <w:t>políticas estatales orientadas a prevenir, sancionar y erradicar la violencia contra la mujer, debían tener en cuenta la situación de vulnerabilidad a la violencia que podría sufrir una niña o adolescente. Dicha Convención</w:t>
      </w:r>
      <w:r w:rsidRPr="00975C02">
        <w:rPr>
          <w:kern w:val="2"/>
          <w:sz w:val="20"/>
          <w:szCs w:val="20"/>
          <w:lang w:val="es-ES" w:eastAsia="en-US"/>
        </w:rPr>
        <w:t xml:space="preserve"> </w:t>
      </w:r>
      <w:r w:rsidRPr="00975C02">
        <w:rPr>
          <w:bCs/>
          <w:kern w:val="2"/>
          <w:sz w:val="20"/>
          <w:szCs w:val="20"/>
          <w:lang w:val="es-ES" w:eastAsia="en-US"/>
        </w:rPr>
        <w:t xml:space="preserve">establece en su artículo 9 que </w:t>
      </w:r>
      <w:r w:rsidRPr="00975C02">
        <w:rPr>
          <w:rFonts w:cs="Tahoma"/>
          <w:kern w:val="2"/>
          <w:sz w:val="20"/>
          <w:szCs w:val="20"/>
          <w:shd w:val="clear" w:color="auto" w:fill="FFFFFF"/>
          <w:lang w:val="es-ES" w:eastAsia="en-US"/>
        </w:rPr>
        <w:t>los Estados Partes tendrán especialmente en cuenta la situación de vulnerabilidad a la violencia que pueda sufrir la mujer en razón de ser una persona menor de 18 años de edad, por lo que los casos en los que una niña o adolescente sea víctima de violencia contra la mujer, en particular violencia o violación sexual, las autoridades estatales deberán tener particular cuidado en el desarrollo de las investigaciones y procesos a nivel interno, así como al momento de adoptar medidas de protección y de acompañamiento durante el proceso, y después del mismo, con el fin de lograr la rehabilitación y reinserción de la víctima.</w:t>
      </w:r>
    </w:p>
    <w:p w14:paraId="29601242" w14:textId="77777777" w:rsidR="000063E6" w:rsidRPr="00975C02" w:rsidRDefault="000063E6" w:rsidP="009B3EBD">
      <w:pPr>
        <w:spacing w:line="240" w:lineRule="auto"/>
        <w:rPr>
          <w:kern w:val="2"/>
          <w:sz w:val="20"/>
          <w:szCs w:val="20"/>
          <w:lang w:val="es-ES" w:eastAsia="en-US"/>
        </w:rPr>
      </w:pPr>
    </w:p>
    <w:p w14:paraId="65A935C2" w14:textId="0C65E182" w:rsidR="009B3EBD" w:rsidRPr="00975C02" w:rsidRDefault="00A92F94" w:rsidP="00A92F94">
      <w:pPr>
        <w:pStyle w:val="Heading3"/>
        <w:rPr>
          <w:b w:val="0"/>
          <w:i/>
        </w:rPr>
      </w:pPr>
      <w:bookmarkStart w:id="126" w:name="_Toc514172631"/>
      <w:r w:rsidRPr="00975C02">
        <w:rPr>
          <w:b w:val="0"/>
          <w:i/>
        </w:rPr>
        <w:t>A</w:t>
      </w:r>
      <w:r w:rsidR="00F977EC" w:rsidRPr="00975C02">
        <w:rPr>
          <w:b w:val="0"/>
          <w:i/>
          <w:lang w:eastAsia="es-CR"/>
        </w:rPr>
        <w:t xml:space="preserve">.2.a </w:t>
      </w:r>
      <w:r w:rsidR="00CB0E00" w:rsidRPr="00975C02">
        <w:rPr>
          <w:b w:val="0"/>
          <w:i/>
          <w:lang w:eastAsia="es-CR"/>
        </w:rPr>
        <w:tab/>
        <w:t>Los c</w:t>
      </w:r>
      <w:r w:rsidR="009B3EBD" w:rsidRPr="00975C02">
        <w:rPr>
          <w:b w:val="0"/>
          <w:i/>
          <w:lang w:eastAsia="es-CR"/>
        </w:rPr>
        <w:t>omponentes esenciales del deber de debida diligencia reforzad</w:t>
      </w:r>
      <w:r w:rsidR="00E06B26" w:rsidRPr="00975C02">
        <w:rPr>
          <w:b w:val="0"/>
          <w:i/>
          <w:lang w:eastAsia="es-CR"/>
        </w:rPr>
        <w:t>a y protección especial</w:t>
      </w:r>
      <w:bookmarkEnd w:id="126"/>
    </w:p>
    <w:p w14:paraId="27802DC4" w14:textId="77777777" w:rsidR="009B3EBD" w:rsidRPr="00975C02" w:rsidRDefault="009B3EBD" w:rsidP="009B3EBD">
      <w:pPr>
        <w:spacing w:line="240" w:lineRule="auto"/>
        <w:rPr>
          <w:kern w:val="2"/>
          <w:sz w:val="20"/>
          <w:szCs w:val="20"/>
          <w:lang w:val="es-ES" w:eastAsia="en-US"/>
        </w:rPr>
      </w:pPr>
    </w:p>
    <w:p w14:paraId="7B688D52" w14:textId="01B6A0C1" w:rsidR="0060210B" w:rsidRPr="00975C02" w:rsidRDefault="0099548A" w:rsidP="00DF3D71">
      <w:pPr>
        <w:widowControl/>
        <w:numPr>
          <w:ilvl w:val="0"/>
          <w:numId w:val="2"/>
        </w:numPr>
        <w:tabs>
          <w:tab w:val="left" w:pos="567"/>
          <w:tab w:val="num" w:pos="12305"/>
        </w:tabs>
        <w:adjustRightInd/>
        <w:spacing w:line="240" w:lineRule="auto"/>
        <w:ind w:left="0" w:firstLine="0"/>
        <w:textAlignment w:val="auto"/>
        <w:rPr>
          <w:sz w:val="20"/>
          <w:szCs w:val="20"/>
          <w:lang w:val="es-ES"/>
        </w:rPr>
      </w:pPr>
      <w:r w:rsidRPr="00975C02">
        <w:rPr>
          <w:kern w:val="2"/>
          <w:sz w:val="20"/>
          <w:szCs w:val="20"/>
          <w:lang w:val="es-ES" w:eastAsia="en-US"/>
        </w:rPr>
        <w:t>La especial intensidad mencionada se traduce</w:t>
      </w:r>
      <w:r w:rsidR="00C121FD" w:rsidRPr="00975C02">
        <w:rPr>
          <w:kern w:val="2"/>
          <w:sz w:val="20"/>
          <w:szCs w:val="20"/>
          <w:lang w:val="es-ES" w:eastAsia="en-US"/>
        </w:rPr>
        <w:t xml:space="preserve"> en el deber estatal </w:t>
      </w:r>
      <w:r w:rsidR="00E12FC5" w:rsidRPr="00975C02">
        <w:rPr>
          <w:kern w:val="2"/>
          <w:sz w:val="20"/>
          <w:szCs w:val="20"/>
          <w:lang w:val="es-ES" w:eastAsia="en-US"/>
        </w:rPr>
        <w:t>de organizar e</w:t>
      </w:r>
      <w:r w:rsidRPr="00975C02">
        <w:rPr>
          <w:kern w:val="2"/>
          <w:sz w:val="20"/>
          <w:szCs w:val="20"/>
          <w:lang w:val="es-ES" w:eastAsia="en-US"/>
        </w:rPr>
        <w:t>l sistema de justicia,</w:t>
      </w:r>
      <w:r w:rsidR="00E12FC5" w:rsidRPr="00975C02">
        <w:rPr>
          <w:kern w:val="2"/>
          <w:sz w:val="20"/>
          <w:szCs w:val="20"/>
          <w:lang w:val="es-ES" w:eastAsia="en-US"/>
        </w:rPr>
        <w:t xml:space="preserve"> de forma tal que el</w:t>
      </w:r>
      <w:r w:rsidRPr="00975C02">
        <w:rPr>
          <w:kern w:val="2"/>
          <w:sz w:val="20"/>
          <w:szCs w:val="20"/>
          <w:lang w:val="es-ES" w:eastAsia="en-US"/>
        </w:rPr>
        <w:t xml:space="preserve"> actuar de las autoridades conforme a la debida diligencia </w:t>
      </w:r>
      <w:r w:rsidR="00E12FC5" w:rsidRPr="00975C02">
        <w:rPr>
          <w:kern w:val="2"/>
          <w:sz w:val="20"/>
          <w:szCs w:val="20"/>
          <w:lang w:val="es-ES" w:eastAsia="en-US"/>
        </w:rPr>
        <w:t>implique</w:t>
      </w:r>
      <w:r w:rsidRPr="00975C02">
        <w:rPr>
          <w:kern w:val="2"/>
          <w:sz w:val="20"/>
          <w:szCs w:val="20"/>
          <w:lang w:val="es-ES" w:eastAsia="en-US"/>
        </w:rPr>
        <w:t xml:space="preserve"> la adopción de una serie de medidas y el desarrollo de un proceso adaptado a l</w:t>
      </w:r>
      <w:r w:rsidR="00C20629" w:rsidRPr="00975C02">
        <w:rPr>
          <w:kern w:val="2"/>
          <w:sz w:val="20"/>
          <w:szCs w:val="20"/>
          <w:lang w:val="es-ES" w:eastAsia="en-US"/>
        </w:rPr>
        <w:t>a</w:t>
      </w:r>
      <w:r w:rsidRPr="00975C02">
        <w:rPr>
          <w:kern w:val="2"/>
          <w:sz w:val="20"/>
          <w:szCs w:val="20"/>
          <w:lang w:val="es-ES" w:eastAsia="en-US"/>
        </w:rPr>
        <w:t>s niñ</w:t>
      </w:r>
      <w:r w:rsidR="00C20629" w:rsidRPr="00975C02">
        <w:rPr>
          <w:kern w:val="2"/>
          <w:sz w:val="20"/>
          <w:szCs w:val="20"/>
          <w:lang w:val="es-ES" w:eastAsia="en-US"/>
        </w:rPr>
        <w:t>a</w:t>
      </w:r>
      <w:r w:rsidRPr="00975C02">
        <w:rPr>
          <w:kern w:val="2"/>
          <w:sz w:val="20"/>
          <w:szCs w:val="20"/>
          <w:lang w:val="es-ES" w:eastAsia="en-US"/>
        </w:rPr>
        <w:t>s, niñ</w:t>
      </w:r>
      <w:r w:rsidR="00C20629" w:rsidRPr="00975C02">
        <w:rPr>
          <w:kern w:val="2"/>
          <w:sz w:val="20"/>
          <w:szCs w:val="20"/>
          <w:lang w:val="es-ES" w:eastAsia="en-US"/>
        </w:rPr>
        <w:t>o</w:t>
      </w:r>
      <w:r w:rsidRPr="00975C02">
        <w:rPr>
          <w:kern w:val="2"/>
          <w:sz w:val="20"/>
          <w:szCs w:val="20"/>
          <w:lang w:val="es-ES" w:eastAsia="en-US"/>
        </w:rPr>
        <w:t>s y adolescentes.</w:t>
      </w:r>
      <w:r w:rsidR="00E24907" w:rsidRPr="00975C02">
        <w:rPr>
          <w:kern w:val="2"/>
          <w:sz w:val="20"/>
          <w:szCs w:val="20"/>
          <w:lang w:val="es-ES" w:eastAsia="en-US"/>
        </w:rPr>
        <w:t xml:space="preserve"> La Corte ya ha indicado que la protección especial derivada del artículo 19 de la Convención implica que la observancia por parte del Estado de las garantías de debido proceso se traduce en algunas garantías o componentes diferenciados en el caso de niñas</w:t>
      </w:r>
      <w:r w:rsidR="00C20629" w:rsidRPr="00975C02">
        <w:rPr>
          <w:kern w:val="2"/>
          <w:sz w:val="20"/>
          <w:szCs w:val="20"/>
          <w:lang w:val="es-ES" w:eastAsia="en-US"/>
        </w:rPr>
        <w:t>,</w:t>
      </w:r>
      <w:r w:rsidR="00E24907" w:rsidRPr="00975C02">
        <w:rPr>
          <w:kern w:val="2"/>
          <w:sz w:val="20"/>
          <w:szCs w:val="20"/>
          <w:lang w:val="es-ES" w:eastAsia="en-US"/>
        </w:rPr>
        <w:t xml:space="preserve"> niños</w:t>
      </w:r>
      <w:r w:rsidR="00C20629" w:rsidRPr="00975C02">
        <w:rPr>
          <w:kern w:val="2"/>
          <w:sz w:val="20"/>
          <w:szCs w:val="20"/>
          <w:lang w:val="es-ES" w:eastAsia="en-US"/>
        </w:rPr>
        <w:t xml:space="preserve"> y adolescentes</w:t>
      </w:r>
      <w:r w:rsidR="00E24907" w:rsidRPr="00975C02">
        <w:rPr>
          <w:kern w:val="2"/>
          <w:sz w:val="20"/>
          <w:szCs w:val="20"/>
          <w:lang w:val="es-ES" w:eastAsia="en-US"/>
        </w:rPr>
        <w:t xml:space="preserve">, que se fundan en el reconocimiento de que su participación en un proceso </w:t>
      </w:r>
      <w:r w:rsidR="00E24907" w:rsidRPr="00975C02">
        <w:rPr>
          <w:rFonts w:eastAsia="Arial" w:cs="Arial"/>
          <w:sz w:val="20"/>
          <w:szCs w:val="20"/>
          <w:lang w:val="es-ES"/>
        </w:rPr>
        <w:t>no se da en las mismas condiciones que un adulto</w:t>
      </w:r>
      <w:r w:rsidR="00E24907" w:rsidRPr="00975C02">
        <w:rPr>
          <w:sz w:val="20"/>
          <w:szCs w:val="20"/>
          <w:vertAlign w:val="superscript"/>
          <w:lang w:val="es-ES"/>
        </w:rPr>
        <w:footnoteReference w:id="207"/>
      </w:r>
      <w:r w:rsidR="00E24907" w:rsidRPr="00975C02">
        <w:rPr>
          <w:rFonts w:eastAsia="Arial" w:cs="Arial"/>
          <w:sz w:val="20"/>
          <w:szCs w:val="20"/>
          <w:lang w:val="es-ES"/>
        </w:rPr>
        <w:t xml:space="preserve">. </w:t>
      </w:r>
      <w:r w:rsidRPr="00975C02">
        <w:rPr>
          <w:kern w:val="2"/>
          <w:sz w:val="20"/>
          <w:szCs w:val="20"/>
          <w:lang w:val="es-ES" w:eastAsia="en-US"/>
        </w:rPr>
        <w:t>El sistema de justicia adaptado a l</w:t>
      </w:r>
      <w:r w:rsidR="00C20629" w:rsidRPr="00975C02">
        <w:rPr>
          <w:kern w:val="2"/>
          <w:sz w:val="20"/>
          <w:szCs w:val="20"/>
          <w:lang w:val="es-ES" w:eastAsia="en-US"/>
        </w:rPr>
        <w:t>a</w:t>
      </w:r>
      <w:r w:rsidRPr="00975C02">
        <w:rPr>
          <w:kern w:val="2"/>
          <w:sz w:val="20"/>
          <w:szCs w:val="20"/>
          <w:lang w:val="es-ES" w:eastAsia="en-US"/>
        </w:rPr>
        <w:t>s niñ</w:t>
      </w:r>
      <w:r w:rsidR="00C20629" w:rsidRPr="00975C02">
        <w:rPr>
          <w:kern w:val="2"/>
          <w:sz w:val="20"/>
          <w:szCs w:val="20"/>
          <w:lang w:val="es-ES" w:eastAsia="en-US"/>
        </w:rPr>
        <w:t>a</w:t>
      </w:r>
      <w:r w:rsidRPr="00975C02">
        <w:rPr>
          <w:kern w:val="2"/>
          <w:sz w:val="20"/>
          <w:szCs w:val="20"/>
          <w:lang w:val="es-ES" w:eastAsia="en-US"/>
        </w:rPr>
        <w:t>s, niñ</w:t>
      </w:r>
      <w:r w:rsidR="00C20629" w:rsidRPr="00975C02">
        <w:rPr>
          <w:kern w:val="2"/>
          <w:sz w:val="20"/>
          <w:szCs w:val="20"/>
          <w:lang w:val="es-ES" w:eastAsia="en-US"/>
        </w:rPr>
        <w:t>o</w:t>
      </w:r>
      <w:r w:rsidRPr="00975C02">
        <w:rPr>
          <w:kern w:val="2"/>
          <w:sz w:val="20"/>
          <w:szCs w:val="20"/>
          <w:lang w:val="es-ES" w:eastAsia="en-US"/>
        </w:rPr>
        <w:t>s y adolescentes importará que exista una justicia accesible y apropiada a cada uno de ellos, que tome en consideración no solo el principio del interés superior, sino también su derecho a la participación con base en sus capacidades en constante evolución, conforme a su edad, grado de madurez y nivel de comprensión, sin discriminación alguna.</w:t>
      </w:r>
      <w:r w:rsidR="00E407B9" w:rsidRPr="00975C02">
        <w:rPr>
          <w:position w:val="-1"/>
          <w:sz w:val="20"/>
          <w:szCs w:val="20"/>
          <w:lang w:val="es-ES"/>
        </w:rPr>
        <w:t xml:space="preserve"> </w:t>
      </w:r>
      <w:r w:rsidR="00E407B9" w:rsidRPr="00975C02">
        <w:rPr>
          <w:kern w:val="2"/>
          <w:sz w:val="20"/>
          <w:szCs w:val="20"/>
          <w:lang w:val="es-ES" w:eastAsia="en-US"/>
        </w:rPr>
        <w:t>En definitiva, tal y como lo ha sostenido anteriormente esta Corte, si bien el debido proceso y sus correlativas garantías son aplicables a todas las personas, en el caso de las niñas</w:t>
      </w:r>
      <w:r w:rsidR="00C20629" w:rsidRPr="00975C02">
        <w:rPr>
          <w:kern w:val="2"/>
          <w:sz w:val="20"/>
          <w:szCs w:val="20"/>
          <w:lang w:val="es-ES" w:eastAsia="en-US"/>
        </w:rPr>
        <w:t>,</w:t>
      </w:r>
      <w:r w:rsidR="00E407B9" w:rsidRPr="00975C02">
        <w:rPr>
          <w:kern w:val="2"/>
          <w:sz w:val="20"/>
          <w:szCs w:val="20"/>
          <w:lang w:val="es-ES" w:eastAsia="en-US"/>
        </w:rPr>
        <w:t xml:space="preserve"> niños</w:t>
      </w:r>
      <w:r w:rsidR="00C20629" w:rsidRPr="00975C02">
        <w:rPr>
          <w:kern w:val="2"/>
          <w:sz w:val="20"/>
          <w:szCs w:val="20"/>
          <w:lang w:val="es-ES" w:eastAsia="en-US"/>
        </w:rPr>
        <w:t xml:space="preserve"> y adolescentes</w:t>
      </w:r>
      <w:r w:rsidR="00E407B9" w:rsidRPr="00975C02">
        <w:rPr>
          <w:kern w:val="2"/>
          <w:sz w:val="20"/>
          <w:szCs w:val="20"/>
          <w:lang w:val="es-ES" w:eastAsia="en-US"/>
        </w:rPr>
        <w:t>, el ejercicio de aquéllos supone, por las condiciones especiales en las que se encuentran, la adopción de ciertas medidas específicas con el propósito de asegurar un acceso a la justicia en condiciones de igualdad, garantizar un efectivo debido proceso y velar por que el interés superior se erija en una consideración primordial en todas las decisiones administrativas o judiciales que se adopten</w:t>
      </w:r>
      <w:r w:rsidR="00E407B9" w:rsidRPr="00975C02">
        <w:rPr>
          <w:kern w:val="2"/>
          <w:sz w:val="20"/>
          <w:szCs w:val="20"/>
          <w:vertAlign w:val="superscript"/>
          <w:lang w:val="es-ES" w:eastAsia="en-US"/>
        </w:rPr>
        <w:footnoteReference w:id="208"/>
      </w:r>
      <w:r w:rsidR="00E407B9" w:rsidRPr="00975C02">
        <w:rPr>
          <w:kern w:val="2"/>
          <w:sz w:val="20"/>
          <w:szCs w:val="20"/>
          <w:lang w:val="es-ES" w:eastAsia="en-US"/>
        </w:rPr>
        <w:t>.</w:t>
      </w:r>
    </w:p>
    <w:p w14:paraId="750269D0" w14:textId="77777777" w:rsidR="00E407B9" w:rsidRPr="00975C02" w:rsidRDefault="00E407B9" w:rsidP="0060210B">
      <w:pPr>
        <w:widowControl/>
        <w:tabs>
          <w:tab w:val="left" w:pos="567"/>
        </w:tabs>
        <w:adjustRightInd/>
        <w:spacing w:line="240" w:lineRule="auto"/>
        <w:textAlignment w:val="auto"/>
        <w:rPr>
          <w:kern w:val="2"/>
          <w:sz w:val="20"/>
          <w:szCs w:val="20"/>
          <w:lang w:val="es-ES" w:eastAsia="en-US"/>
        </w:rPr>
      </w:pPr>
    </w:p>
    <w:p w14:paraId="78A24778" w14:textId="4871F0E8" w:rsidR="00B4532E" w:rsidRPr="00975C02" w:rsidRDefault="001B6F70" w:rsidP="00B4532E">
      <w:pPr>
        <w:widowControl/>
        <w:numPr>
          <w:ilvl w:val="0"/>
          <w:numId w:val="2"/>
        </w:numPr>
        <w:tabs>
          <w:tab w:val="left" w:pos="567"/>
          <w:tab w:val="num" w:pos="12305"/>
        </w:tabs>
        <w:adjustRightInd/>
        <w:spacing w:line="240" w:lineRule="auto"/>
        <w:ind w:left="0" w:firstLine="0"/>
        <w:textAlignment w:val="auto"/>
        <w:rPr>
          <w:kern w:val="2"/>
          <w:sz w:val="20"/>
          <w:szCs w:val="20"/>
          <w:lang w:val="es-ES" w:eastAsia="en-US"/>
        </w:rPr>
      </w:pPr>
      <w:r w:rsidRPr="00975C02">
        <w:rPr>
          <w:kern w:val="2"/>
          <w:sz w:val="20"/>
          <w:szCs w:val="20"/>
          <w:lang w:val="es-ES" w:eastAsia="en-US"/>
        </w:rPr>
        <w:t>La</w:t>
      </w:r>
      <w:r w:rsidRPr="00975C02">
        <w:rPr>
          <w:sz w:val="20"/>
          <w:szCs w:val="20"/>
          <w:lang w:val="es-ES"/>
        </w:rPr>
        <w:t xml:space="preserve"> Corte recuerda que los Estados tienen el deber de facilitar la posibilidad de que la niña</w:t>
      </w:r>
      <w:r w:rsidR="0036569C" w:rsidRPr="00975C02">
        <w:rPr>
          <w:sz w:val="20"/>
          <w:szCs w:val="20"/>
          <w:lang w:val="es-ES"/>
        </w:rPr>
        <w:t>,</w:t>
      </w:r>
      <w:r w:rsidRPr="00975C02">
        <w:rPr>
          <w:sz w:val="20"/>
          <w:szCs w:val="20"/>
          <w:lang w:val="es-ES"/>
        </w:rPr>
        <w:t xml:space="preserve"> niño </w:t>
      </w:r>
      <w:r w:rsidR="0036569C" w:rsidRPr="00975C02">
        <w:rPr>
          <w:sz w:val="20"/>
          <w:szCs w:val="20"/>
          <w:lang w:val="es-ES"/>
        </w:rPr>
        <w:t xml:space="preserve">o adolescente </w:t>
      </w:r>
      <w:r w:rsidRPr="00975C02">
        <w:rPr>
          <w:kern w:val="2"/>
          <w:sz w:val="20"/>
          <w:szCs w:val="20"/>
          <w:lang w:val="es-ES" w:eastAsia="en-US"/>
        </w:rPr>
        <w:t>participe</w:t>
      </w:r>
      <w:r w:rsidRPr="00975C02">
        <w:rPr>
          <w:sz w:val="20"/>
          <w:szCs w:val="20"/>
          <w:lang w:val="es-ES"/>
        </w:rPr>
        <w:t xml:space="preserve"> en todas y cada una de las diferentes etapas del proceso. A estos efectos, tendrá derecho a ser oído, con las debidas garantías y dentro de un plazo razonable</w:t>
      </w:r>
      <w:r w:rsidR="000A5724" w:rsidRPr="00975C02">
        <w:rPr>
          <w:sz w:val="20"/>
          <w:szCs w:val="20"/>
          <w:lang w:val="es-ES"/>
        </w:rPr>
        <w:t xml:space="preserve"> (</w:t>
      </w:r>
      <w:r w:rsidR="000A5724" w:rsidRPr="00975C02">
        <w:rPr>
          <w:i/>
          <w:sz w:val="20"/>
          <w:szCs w:val="20"/>
          <w:lang w:val="es-ES"/>
        </w:rPr>
        <w:t xml:space="preserve">infra </w:t>
      </w:r>
      <w:r w:rsidR="000A5724" w:rsidRPr="00975C02">
        <w:rPr>
          <w:sz w:val="20"/>
          <w:szCs w:val="20"/>
          <w:lang w:val="es-ES"/>
        </w:rPr>
        <w:t xml:space="preserve">párr. </w:t>
      </w:r>
      <w:r w:rsidR="000C7392" w:rsidRPr="00975C02">
        <w:rPr>
          <w:sz w:val="20"/>
          <w:szCs w:val="20"/>
          <w:lang w:val="es-ES"/>
        </w:rPr>
        <w:t>283</w:t>
      </w:r>
      <w:r w:rsidR="000A5724" w:rsidRPr="00975C02">
        <w:rPr>
          <w:sz w:val="20"/>
          <w:szCs w:val="20"/>
          <w:lang w:val="es-ES"/>
        </w:rPr>
        <w:t>)</w:t>
      </w:r>
      <w:r w:rsidRPr="00975C02">
        <w:rPr>
          <w:sz w:val="20"/>
          <w:szCs w:val="20"/>
          <w:lang w:val="es-ES"/>
        </w:rPr>
        <w:t xml:space="preserve">, por la autoridad competente. </w:t>
      </w:r>
      <w:r w:rsidRPr="00975C02">
        <w:rPr>
          <w:rFonts w:cs="Verdana"/>
          <w:sz w:val="20"/>
          <w:szCs w:val="20"/>
          <w:lang w:val="es-ES"/>
        </w:rPr>
        <w:t>Dicho derecho debe ser interpretado a la luz del artículo 12 de la Convención sobre los Derechos del Niño</w:t>
      </w:r>
      <w:r w:rsidRPr="00975C02">
        <w:rPr>
          <w:rStyle w:val="FootnoteReference"/>
          <w:sz w:val="20"/>
          <w:szCs w:val="20"/>
          <w:lang w:val="es-ES"/>
        </w:rPr>
        <w:footnoteReference w:id="209"/>
      </w:r>
      <w:r w:rsidRPr="00975C02">
        <w:rPr>
          <w:rFonts w:cs="Verdana"/>
          <w:sz w:val="20"/>
          <w:szCs w:val="20"/>
          <w:lang w:val="es-ES"/>
        </w:rPr>
        <w:t>, el cual contiene adecuadas previsiones, con el objeto de que la participación de la niña</w:t>
      </w:r>
      <w:r w:rsidR="009F0767" w:rsidRPr="00975C02">
        <w:rPr>
          <w:rFonts w:cs="Verdana"/>
          <w:sz w:val="20"/>
          <w:szCs w:val="20"/>
          <w:lang w:val="es-ES"/>
        </w:rPr>
        <w:t>,</w:t>
      </w:r>
      <w:r w:rsidRPr="00975C02">
        <w:rPr>
          <w:rFonts w:cs="Verdana"/>
          <w:sz w:val="20"/>
          <w:szCs w:val="20"/>
          <w:lang w:val="es-ES"/>
        </w:rPr>
        <w:t xml:space="preserve"> niño</w:t>
      </w:r>
      <w:r w:rsidR="009F0767" w:rsidRPr="00975C02">
        <w:rPr>
          <w:rFonts w:cs="Verdana"/>
          <w:sz w:val="20"/>
          <w:szCs w:val="20"/>
          <w:lang w:val="es-ES"/>
        </w:rPr>
        <w:t xml:space="preserve"> o adolescente</w:t>
      </w:r>
      <w:r w:rsidRPr="00975C02">
        <w:rPr>
          <w:rFonts w:cs="Verdana"/>
          <w:sz w:val="20"/>
          <w:szCs w:val="20"/>
          <w:lang w:val="es-ES"/>
        </w:rPr>
        <w:t xml:space="preserve"> se ajuste a su condición y no redunde en perjuicio de su interés genuino</w:t>
      </w:r>
      <w:r w:rsidRPr="00975C02">
        <w:rPr>
          <w:rStyle w:val="FootnoteReference"/>
          <w:rFonts w:cs="Verdana"/>
          <w:sz w:val="20"/>
          <w:szCs w:val="20"/>
          <w:lang w:val="es-ES"/>
        </w:rPr>
        <w:footnoteReference w:id="210"/>
      </w:r>
      <w:r w:rsidR="008C1AEC" w:rsidRPr="00975C02">
        <w:rPr>
          <w:rFonts w:cs="Verdana"/>
          <w:sz w:val="20"/>
          <w:szCs w:val="20"/>
          <w:lang w:val="es-ES"/>
        </w:rPr>
        <w:t>.</w:t>
      </w:r>
      <w:r w:rsidR="00D40FC5" w:rsidRPr="00975C02">
        <w:rPr>
          <w:rFonts w:cs="Verdana"/>
          <w:sz w:val="20"/>
          <w:szCs w:val="20"/>
          <w:lang w:val="es-ES"/>
        </w:rPr>
        <w:t xml:space="preserve"> En esta línea, </w:t>
      </w:r>
      <w:r w:rsidR="00B4532E" w:rsidRPr="00975C02">
        <w:rPr>
          <w:rFonts w:cs="Verdana"/>
          <w:sz w:val="20"/>
          <w:szCs w:val="20"/>
          <w:lang w:val="es-ES"/>
        </w:rPr>
        <w:t>el perito Cillero Bruñol indicó que, en la práctica, ello significa “disponer de un conjunto de condiciones, respecto a los interrogatorios, participación de los niños en todo tipo de diligencia en el proceso, realizar todas las actuaciones con su consentimiento y […] poder valorar las opiniones del niño de acuerdo a su entendimiento y madurez, pero siempre debiendo motivar la valoración que se ha hecho en las decisiones sobre la opinión del niño y en consideración de su interés superior”</w:t>
      </w:r>
      <w:r w:rsidR="00B4532E" w:rsidRPr="00975C02">
        <w:rPr>
          <w:rStyle w:val="FootnoteReference"/>
          <w:rFonts w:cs="Verdana"/>
          <w:sz w:val="20"/>
          <w:szCs w:val="20"/>
          <w:lang w:val="es-ES"/>
        </w:rPr>
        <w:footnoteReference w:id="211"/>
      </w:r>
      <w:r w:rsidR="00B4532E" w:rsidRPr="00975C02">
        <w:rPr>
          <w:rFonts w:cs="Verdana"/>
          <w:sz w:val="20"/>
          <w:szCs w:val="20"/>
          <w:lang w:val="es-ES"/>
        </w:rPr>
        <w:t>.</w:t>
      </w:r>
    </w:p>
    <w:p w14:paraId="049CD0FE" w14:textId="77777777" w:rsidR="00B4532E" w:rsidRPr="00975C02" w:rsidRDefault="00B4532E" w:rsidP="00B4532E">
      <w:pPr>
        <w:widowControl/>
        <w:tabs>
          <w:tab w:val="left" w:pos="567"/>
        </w:tabs>
        <w:adjustRightInd/>
        <w:spacing w:line="240" w:lineRule="auto"/>
        <w:textAlignment w:val="auto"/>
        <w:rPr>
          <w:kern w:val="2"/>
          <w:sz w:val="20"/>
          <w:szCs w:val="20"/>
          <w:lang w:val="es-ES" w:eastAsia="en-US"/>
        </w:rPr>
      </w:pPr>
    </w:p>
    <w:p w14:paraId="0F0A4045" w14:textId="476F1102" w:rsidR="00A148DD" w:rsidRPr="00975C02" w:rsidRDefault="00B5625C" w:rsidP="00C348D2">
      <w:pPr>
        <w:widowControl/>
        <w:numPr>
          <w:ilvl w:val="0"/>
          <w:numId w:val="2"/>
        </w:numPr>
        <w:tabs>
          <w:tab w:val="left" w:pos="567"/>
          <w:tab w:val="num" w:pos="12305"/>
        </w:tabs>
        <w:adjustRightInd/>
        <w:spacing w:line="240" w:lineRule="auto"/>
        <w:ind w:left="0" w:firstLine="0"/>
        <w:textAlignment w:val="auto"/>
        <w:rPr>
          <w:kern w:val="2"/>
          <w:sz w:val="20"/>
          <w:szCs w:val="20"/>
          <w:lang w:val="es-ES" w:eastAsia="en-US"/>
        </w:rPr>
      </w:pPr>
      <w:r w:rsidRPr="00975C02">
        <w:rPr>
          <w:kern w:val="2"/>
          <w:sz w:val="20"/>
          <w:szCs w:val="20"/>
          <w:lang w:val="es-ES" w:eastAsia="en-US"/>
        </w:rPr>
        <w:t>La participación de niñ</w:t>
      </w:r>
      <w:r w:rsidR="00512BEA" w:rsidRPr="00975C02">
        <w:rPr>
          <w:kern w:val="2"/>
          <w:sz w:val="20"/>
          <w:szCs w:val="20"/>
          <w:lang w:val="es-ES" w:eastAsia="en-US"/>
        </w:rPr>
        <w:t>a</w:t>
      </w:r>
      <w:r w:rsidRPr="00975C02">
        <w:rPr>
          <w:kern w:val="2"/>
          <w:sz w:val="20"/>
          <w:szCs w:val="20"/>
          <w:lang w:val="es-ES" w:eastAsia="en-US"/>
        </w:rPr>
        <w:t>s, niñ</w:t>
      </w:r>
      <w:r w:rsidR="00512BEA" w:rsidRPr="00975C02">
        <w:rPr>
          <w:kern w:val="2"/>
          <w:sz w:val="20"/>
          <w:szCs w:val="20"/>
          <w:lang w:val="es-ES" w:eastAsia="en-US"/>
        </w:rPr>
        <w:t>o</w:t>
      </w:r>
      <w:r w:rsidRPr="00975C02">
        <w:rPr>
          <w:kern w:val="2"/>
          <w:sz w:val="20"/>
          <w:szCs w:val="20"/>
          <w:lang w:val="es-ES" w:eastAsia="en-US"/>
        </w:rPr>
        <w:t xml:space="preserve">s y adolescentes víctimas de delitos en un proceso penal podría ser necesaria para contribuir con el desarrollo efectivo de dicho proceso, sobre todo cuando </w:t>
      </w:r>
      <w:r w:rsidR="00C97048" w:rsidRPr="00975C02">
        <w:rPr>
          <w:kern w:val="2"/>
          <w:sz w:val="20"/>
          <w:szCs w:val="20"/>
          <w:lang w:val="es-ES" w:eastAsia="en-US"/>
        </w:rPr>
        <w:t>no hay</w:t>
      </w:r>
      <w:r w:rsidR="00C0084C" w:rsidRPr="00975C02">
        <w:rPr>
          <w:kern w:val="2"/>
          <w:sz w:val="20"/>
          <w:szCs w:val="20"/>
          <w:lang w:val="es-ES" w:eastAsia="en-US"/>
        </w:rPr>
        <w:t xml:space="preserve"> otros</w:t>
      </w:r>
      <w:r w:rsidR="00C97048" w:rsidRPr="00975C02">
        <w:rPr>
          <w:kern w:val="2"/>
          <w:sz w:val="20"/>
          <w:szCs w:val="20"/>
          <w:lang w:val="es-ES" w:eastAsia="en-US"/>
        </w:rPr>
        <w:t xml:space="preserve"> </w:t>
      </w:r>
      <w:r w:rsidRPr="00975C02">
        <w:rPr>
          <w:kern w:val="2"/>
          <w:sz w:val="20"/>
          <w:szCs w:val="20"/>
          <w:lang w:val="es-ES" w:eastAsia="en-US"/>
        </w:rPr>
        <w:t>testigo</w:t>
      </w:r>
      <w:r w:rsidR="00C97048" w:rsidRPr="00975C02">
        <w:rPr>
          <w:kern w:val="2"/>
          <w:sz w:val="20"/>
          <w:szCs w:val="20"/>
          <w:lang w:val="es-ES" w:eastAsia="en-US"/>
        </w:rPr>
        <w:t>s</w:t>
      </w:r>
      <w:r w:rsidRPr="00975C02">
        <w:rPr>
          <w:kern w:val="2"/>
          <w:sz w:val="20"/>
          <w:szCs w:val="20"/>
          <w:lang w:val="es-ES" w:eastAsia="en-US"/>
        </w:rPr>
        <w:t xml:space="preserve"> de la comisión de</w:t>
      </w:r>
      <w:r w:rsidR="00C97048" w:rsidRPr="00975C02">
        <w:rPr>
          <w:kern w:val="2"/>
          <w:sz w:val="20"/>
          <w:szCs w:val="20"/>
          <w:lang w:val="es-ES" w:eastAsia="en-US"/>
        </w:rPr>
        <w:t>l</w:t>
      </w:r>
      <w:r w:rsidRPr="00975C02">
        <w:rPr>
          <w:kern w:val="2"/>
          <w:sz w:val="20"/>
          <w:szCs w:val="20"/>
          <w:lang w:val="es-ES" w:eastAsia="en-US"/>
        </w:rPr>
        <w:t xml:space="preserve"> delito. </w:t>
      </w:r>
      <w:r w:rsidR="006B7989" w:rsidRPr="00975C02">
        <w:rPr>
          <w:kern w:val="2"/>
          <w:sz w:val="20"/>
          <w:szCs w:val="20"/>
          <w:lang w:val="es-ES" w:eastAsia="en-US"/>
        </w:rPr>
        <w:t xml:space="preserve">Sin embargo, concebir tal participación sólo en </w:t>
      </w:r>
      <w:r w:rsidR="006B7989" w:rsidRPr="00975C02">
        <w:rPr>
          <w:rFonts w:cs="Verdana"/>
          <w:sz w:val="20"/>
          <w:szCs w:val="20"/>
          <w:lang w:val="es-ES"/>
        </w:rPr>
        <w:t>términos</w:t>
      </w:r>
      <w:r w:rsidR="006B7989" w:rsidRPr="00975C02">
        <w:rPr>
          <w:kern w:val="2"/>
          <w:sz w:val="20"/>
          <w:szCs w:val="20"/>
          <w:lang w:val="es-ES" w:eastAsia="en-US"/>
        </w:rPr>
        <w:t xml:space="preserve"> de la prueba que pueda aportar, no responde a su calidad de sujeto de derecho, ya que debería encontrarse legitimada a actuar en su propio interés como sujeto participante en el proceso.</w:t>
      </w:r>
      <w:r w:rsidR="00B859B8" w:rsidRPr="00975C02">
        <w:rPr>
          <w:kern w:val="2"/>
          <w:sz w:val="20"/>
          <w:szCs w:val="20"/>
          <w:lang w:val="es-ES" w:eastAsia="en-US"/>
        </w:rPr>
        <w:t xml:space="preserve"> </w:t>
      </w:r>
      <w:r w:rsidR="00A148DD" w:rsidRPr="00975C02">
        <w:rPr>
          <w:kern w:val="2"/>
          <w:sz w:val="20"/>
          <w:szCs w:val="20"/>
          <w:lang w:val="es-ES" w:eastAsia="en-US"/>
        </w:rPr>
        <w:t xml:space="preserve">Para ello, es necesario que </w:t>
      </w:r>
      <w:r w:rsidR="00A148DD" w:rsidRPr="00975C02">
        <w:rPr>
          <w:rFonts w:cs="Verdana"/>
          <w:sz w:val="20"/>
          <w:szCs w:val="20"/>
          <w:lang w:val="es-ES"/>
        </w:rPr>
        <w:t>se brinde a la niña</w:t>
      </w:r>
      <w:r w:rsidR="00512BEA" w:rsidRPr="00975C02">
        <w:rPr>
          <w:rFonts w:cs="Verdana"/>
          <w:sz w:val="20"/>
          <w:szCs w:val="20"/>
          <w:lang w:val="es-ES"/>
        </w:rPr>
        <w:t>,</w:t>
      </w:r>
      <w:r w:rsidR="00A148DD" w:rsidRPr="00975C02">
        <w:rPr>
          <w:rFonts w:cs="Verdana"/>
          <w:sz w:val="20"/>
          <w:szCs w:val="20"/>
          <w:lang w:val="es-ES"/>
        </w:rPr>
        <w:t xml:space="preserve"> niño</w:t>
      </w:r>
      <w:r w:rsidR="00512BEA" w:rsidRPr="00975C02">
        <w:rPr>
          <w:rFonts w:cs="Verdana"/>
          <w:sz w:val="20"/>
          <w:szCs w:val="20"/>
          <w:lang w:val="es-ES"/>
        </w:rPr>
        <w:t xml:space="preserve"> o adolescente</w:t>
      </w:r>
      <w:r w:rsidR="00C348D2" w:rsidRPr="00975C02">
        <w:rPr>
          <w:rFonts w:cs="Verdana"/>
          <w:sz w:val="20"/>
          <w:szCs w:val="20"/>
          <w:lang w:val="es-ES"/>
        </w:rPr>
        <w:t>, desde el inicio del proceso y durante todo el transcurso del mismo,</w:t>
      </w:r>
      <w:r w:rsidR="00A148DD" w:rsidRPr="00975C02">
        <w:rPr>
          <w:rFonts w:cs="Verdana"/>
          <w:sz w:val="20"/>
          <w:szCs w:val="20"/>
          <w:lang w:val="es-ES"/>
        </w:rPr>
        <w:t xml:space="preserve"> la información relativa a su </w:t>
      </w:r>
      <w:r w:rsidR="00C348D2" w:rsidRPr="00975C02">
        <w:rPr>
          <w:rFonts w:cs="Verdana"/>
          <w:sz w:val="20"/>
          <w:szCs w:val="20"/>
          <w:lang w:val="es-ES"/>
        </w:rPr>
        <w:t>procedimiento</w:t>
      </w:r>
      <w:r w:rsidR="00512BEA" w:rsidRPr="00975C02">
        <w:rPr>
          <w:rFonts w:cs="Verdana"/>
          <w:sz w:val="20"/>
          <w:szCs w:val="20"/>
          <w:lang w:val="es-ES"/>
        </w:rPr>
        <w:t>,</w:t>
      </w:r>
      <w:r w:rsidR="00A148DD" w:rsidRPr="00975C02">
        <w:rPr>
          <w:rFonts w:cs="Verdana"/>
          <w:sz w:val="20"/>
          <w:szCs w:val="20"/>
          <w:lang w:val="es-ES"/>
        </w:rPr>
        <w:t xml:space="preserve"> </w:t>
      </w:r>
      <w:r w:rsidR="00C348D2" w:rsidRPr="00975C02">
        <w:rPr>
          <w:rFonts w:cs="Verdana"/>
          <w:sz w:val="20"/>
          <w:szCs w:val="20"/>
          <w:lang w:val="es-ES"/>
        </w:rPr>
        <w:t>así como</w:t>
      </w:r>
      <w:r w:rsidR="00A148DD" w:rsidRPr="00975C02">
        <w:rPr>
          <w:rFonts w:cs="Verdana"/>
          <w:sz w:val="20"/>
          <w:szCs w:val="20"/>
          <w:lang w:val="es-ES"/>
        </w:rPr>
        <w:t xml:space="preserve"> sobre los servicios de asistencia jurídica</w:t>
      </w:r>
      <w:r w:rsidR="00C348D2" w:rsidRPr="00975C02">
        <w:rPr>
          <w:rFonts w:cs="Verdana"/>
          <w:sz w:val="20"/>
          <w:szCs w:val="20"/>
          <w:lang w:val="es-ES"/>
        </w:rPr>
        <w:t>, de salud y demás medidas de protección disponibles</w:t>
      </w:r>
      <w:r w:rsidR="00A148DD" w:rsidRPr="00975C02">
        <w:rPr>
          <w:rStyle w:val="FootnoteReference"/>
          <w:rFonts w:cs="Verdana"/>
          <w:sz w:val="20"/>
          <w:szCs w:val="20"/>
          <w:lang w:val="es-ES"/>
        </w:rPr>
        <w:footnoteReference w:id="212"/>
      </w:r>
      <w:r w:rsidR="00A148DD" w:rsidRPr="00975C02">
        <w:rPr>
          <w:rFonts w:cs="Verdana"/>
          <w:sz w:val="20"/>
          <w:szCs w:val="20"/>
          <w:lang w:val="es-ES"/>
        </w:rPr>
        <w:t>.</w:t>
      </w:r>
    </w:p>
    <w:p w14:paraId="1750600D" w14:textId="77777777" w:rsidR="00A148DD" w:rsidRPr="00975C02" w:rsidRDefault="00A148DD" w:rsidP="00A148DD">
      <w:pPr>
        <w:widowControl/>
        <w:tabs>
          <w:tab w:val="left" w:pos="567"/>
        </w:tabs>
        <w:adjustRightInd/>
        <w:spacing w:line="240" w:lineRule="auto"/>
        <w:textAlignment w:val="auto"/>
        <w:rPr>
          <w:kern w:val="2"/>
          <w:sz w:val="20"/>
          <w:szCs w:val="20"/>
          <w:lang w:val="es-ES" w:eastAsia="en-US"/>
        </w:rPr>
      </w:pPr>
    </w:p>
    <w:p w14:paraId="0181830E" w14:textId="1B000F30" w:rsidR="006B7989" w:rsidRPr="00975C02" w:rsidRDefault="00D050F0" w:rsidP="006B7989">
      <w:pPr>
        <w:widowControl/>
        <w:numPr>
          <w:ilvl w:val="0"/>
          <w:numId w:val="2"/>
        </w:numPr>
        <w:tabs>
          <w:tab w:val="left" w:pos="567"/>
          <w:tab w:val="num" w:pos="12305"/>
        </w:tabs>
        <w:adjustRightInd/>
        <w:spacing w:line="240" w:lineRule="auto"/>
        <w:ind w:left="0" w:firstLine="0"/>
        <w:textAlignment w:val="auto"/>
        <w:rPr>
          <w:kern w:val="2"/>
          <w:sz w:val="20"/>
          <w:szCs w:val="20"/>
          <w:lang w:val="es-ES" w:eastAsia="en-US"/>
        </w:rPr>
      </w:pPr>
      <w:r w:rsidRPr="00975C02">
        <w:rPr>
          <w:kern w:val="2"/>
          <w:sz w:val="20"/>
          <w:szCs w:val="20"/>
          <w:lang w:val="es-ES" w:eastAsia="en-US"/>
        </w:rPr>
        <w:t>La Corte considera que</w:t>
      </w:r>
      <w:r w:rsidR="00B859B8" w:rsidRPr="00975C02">
        <w:rPr>
          <w:kern w:val="2"/>
          <w:sz w:val="20"/>
          <w:szCs w:val="20"/>
          <w:lang w:val="es-ES" w:eastAsia="en-US"/>
        </w:rPr>
        <w:t xml:space="preserve"> u</w:t>
      </w:r>
      <w:r w:rsidR="006B7989" w:rsidRPr="00975C02">
        <w:rPr>
          <w:kern w:val="2"/>
          <w:sz w:val="20"/>
          <w:szCs w:val="20"/>
          <w:lang w:val="es-ES" w:eastAsia="en-US"/>
        </w:rPr>
        <w:t>na interpretación armónica e integral del derecho a ser oído de niñas, niños y adolescentes</w:t>
      </w:r>
      <w:r w:rsidRPr="00975C02">
        <w:rPr>
          <w:kern w:val="2"/>
          <w:sz w:val="20"/>
          <w:szCs w:val="20"/>
          <w:lang w:val="es-ES" w:eastAsia="en-US"/>
        </w:rPr>
        <w:t>,</w:t>
      </w:r>
      <w:r w:rsidR="006B7989" w:rsidRPr="00975C02">
        <w:rPr>
          <w:kern w:val="2"/>
          <w:sz w:val="20"/>
          <w:szCs w:val="20"/>
          <w:lang w:val="es-ES" w:eastAsia="en-US"/>
        </w:rPr>
        <w:t xml:space="preserve"> junto con el principio de autonomía progresiva</w:t>
      </w:r>
      <w:r w:rsidRPr="00975C02">
        <w:rPr>
          <w:kern w:val="2"/>
          <w:sz w:val="20"/>
          <w:szCs w:val="20"/>
          <w:lang w:val="es-ES" w:eastAsia="en-US"/>
        </w:rPr>
        <w:t>,</w:t>
      </w:r>
      <w:r w:rsidR="006B7989" w:rsidRPr="00975C02">
        <w:rPr>
          <w:kern w:val="2"/>
          <w:sz w:val="20"/>
          <w:szCs w:val="20"/>
          <w:lang w:val="es-ES" w:eastAsia="en-US"/>
        </w:rPr>
        <w:t xml:space="preserve"> </w:t>
      </w:r>
      <w:r w:rsidR="00DC1CE5" w:rsidRPr="00975C02">
        <w:rPr>
          <w:kern w:val="2"/>
          <w:sz w:val="20"/>
          <w:szCs w:val="20"/>
          <w:lang w:val="es-ES" w:eastAsia="en-US"/>
        </w:rPr>
        <w:t>conlleva a</w:t>
      </w:r>
      <w:r w:rsidR="006B7989" w:rsidRPr="00975C02">
        <w:rPr>
          <w:kern w:val="2"/>
          <w:sz w:val="20"/>
          <w:szCs w:val="20"/>
          <w:lang w:val="es-ES" w:eastAsia="en-US"/>
        </w:rPr>
        <w:t xml:space="preserve"> garantizar la asistencia jurídica de las niñas, niños y adolescentes víctimas en los procesos penales. En este sentido, el acceso a la justicia no solo implica habilitar los mecanismos necesarios para que las niñas, niños y adolescentes puedan denunciar</w:t>
      </w:r>
      <w:r w:rsidR="00B859B8" w:rsidRPr="00975C02">
        <w:rPr>
          <w:kern w:val="2"/>
          <w:sz w:val="20"/>
          <w:szCs w:val="20"/>
          <w:lang w:val="es-ES" w:eastAsia="en-US"/>
        </w:rPr>
        <w:t>,</w:t>
      </w:r>
      <w:r w:rsidR="006B7989" w:rsidRPr="00975C02">
        <w:rPr>
          <w:kern w:val="2"/>
          <w:sz w:val="20"/>
          <w:szCs w:val="20"/>
          <w:lang w:val="es-ES" w:eastAsia="en-US"/>
        </w:rPr>
        <w:t xml:space="preserve"> sino que incluye la posibilidad de que participen activamente en los procesos judiciales, con voz propia y asistencia letra</w:t>
      </w:r>
      <w:r w:rsidR="00B859B8" w:rsidRPr="00975C02">
        <w:rPr>
          <w:kern w:val="2"/>
          <w:sz w:val="20"/>
          <w:szCs w:val="20"/>
          <w:lang w:val="es-ES" w:eastAsia="en-US"/>
        </w:rPr>
        <w:t>da, en defensa de sus derechos, según la edad y grado de madurez</w:t>
      </w:r>
      <w:r w:rsidR="007B3EED" w:rsidRPr="00975C02">
        <w:rPr>
          <w:kern w:val="2"/>
          <w:sz w:val="20"/>
          <w:szCs w:val="20"/>
          <w:vertAlign w:val="superscript"/>
          <w:lang w:val="es-ES" w:eastAsia="en-US"/>
        </w:rPr>
        <w:footnoteReference w:id="213"/>
      </w:r>
      <w:r w:rsidR="00B859B8" w:rsidRPr="00975C02">
        <w:rPr>
          <w:kern w:val="2"/>
          <w:sz w:val="20"/>
          <w:szCs w:val="20"/>
          <w:lang w:val="es-ES" w:eastAsia="en-US"/>
        </w:rPr>
        <w:t>.</w:t>
      </w:r>
      <w:r w:rsidR="007B3EED" w:rsidRPr="00975C02">
        <w:rPr>
          <w:kern w:val="2"/>
          <w:sz w:val="20"/>
          <w:szCs w:val="20"/>
          <w:lang w:val="es-ES" w:eastAsia="en-US"/>
        </w:rPr>
        <w:t xml:space="preserve"> </w:t>
      </w:r>
      <w:r w:rsidR="006B7989" w:rsidRPr="00975C02">
        <w:rPr>
          <w:kern w:val="2"/>
          <w:sz w:val="20"/>
          <w:szCs w:val="20"/>
          <w:lang w:val="es-ES" w:eastAsia="en-US"/>
        </w:rPr>
        <w:t xml:space="preserve">Para sortear los obstáculos en el acceso a la </w:t>
      </w:r>
      <w:r w:rsidR="006B7989" w:rsidRPr="00975C02">
        <w:rPr>
          <w:kern w:val="2"/>
          <w:sz w:val="20"/>
          <w:szCs w:val="20"/>
          <w:lang w:val="es-ES" w:eastAsia="en-US"/>
        </w:rPr>
        <w:lastRenderedPageBreak/>
        <w:t>justicia</w:t>
      </w:r>
      <w:r w:rsidR="00C9789B" w:rsidRPr="00975C02">
        <w:rPr>
          <w:kern w:val="2"/>
          <w:sz w:val="20"/>
          <w:szCs w:val="20"/>
          <w:lang w:val="es-ES" w:eastAsia="en-US"/>
        </w:rPr>
        <w:t xml:space="preserve"> (</w:t>
      </w:r>
      <w:r w:rsidR="00C9789B" w:rsidRPr="00975C02">
        <w:rPr>
          <w:i/>
          <w:kern w:val="2"/>
          <w:sz w:val="20"/>
          <w:szCs w:val="20"/>
          <w:lang w:val="es-ES" w:eastAsia="en-US"/>
        </w:rPr>
        <w:t>supra</w:t>
      </w:r>
      <w:r w:rsidR="00C9789B" w:rsidRPr="00975C02">
        <w:rPr>
          <w:kern w:val="2"/>
          <w:sz w:val="20"/>
          <w:szCs w:val="20"/>
          <w:lang w:val="es-ES" w:eastAsia="en-US"/>
        </w:rPr>
        <w:t xml:space="preserve"> párr. </w:t>
      </w:r>
      <w:r w:rsidR="00342199" w:rsidRPr="00975C02">
        <w:rPr>
          <w:kern w:val="2"/>
          <w:sz w:val="20"/>
          <w:szCs w:val="20"/>
          <w:lang w:val="es-ES" w:eastAsia="en-US"/>
        </w:rPr>
        <w:t>156</w:t>
      </w:r>
      <w:r w:rsidR="00C9789B" w:rsidRPr="00975C02">
        <w:rPr>
          <w:kern w:val="2"/>
          <w:sz w:val="20"/>
          <w:szCs w:val="20"/>
          <w:lang w:val="es-ES" w:eastAsia="en-US"/>
        </w:rPr>
        <w:t>)</w:t>
      </w:r>
      <w:r w:rsidR="006B7989" w:rsidRPr="00975C02">
        <w:rPr>
          <w:kern w:val="2"/>
          <w:sz w:val="20"/>
          <w:szCs w:val="20"/>
          <w:lang w:val="es-ES" w:eastAsia="en-US"/>
        </w:rPr>
        <w:t>, la asistencia letrada</w:t>
      </w:r>
      <w:r w:rsidR="007B3EED" w:rsidRPr="00975C02">
        <w:rPr>
          <w:kern w:val="2"/>
          <w:sz w:val="20"/>
          <w:szCs w:val="20"/>
          <w:lang w:val="es-ES" w:eastAsia="en-US"/>
        </w:rPr>
        <w:t xml:space="preserve"> </w:t>
      </w:r>
      <w:r w:rsidR="007B3EED" w:rsidRPr="00975C02">
        <w:rPr>
          <w:sz w:val="20"/>
          <w:szCs w:val="20"/>
          <w:lang w:val="es-ES"/>
        </w:rPr>
        <w:t>de un abogado especializado en niñez y adolescencia, con facultades de constituirse en calidad de parte procesal, oponerse a medidas judiciales, interponer recursos y realizar todo otro acto procesal tendiente a defender sus derechos en el proceso,</w:t>
      </w:r>
      <w:r w:rsidR="006B7989" w:rsidRPr="00975C02">
        <w:rPr>
          <w:kern w:val="2"/>
          <w:sz w:val="20"/>
          <w:szCs w:val="20"/>
          <w:lang w:val="es-ES" w:eastAsia="en-US"/>
        </w:rPr>
        <w:t xml:space="preserve"> debe ser gratuita y proporcionada por el Estado, independientemente de los recursos económicos de sus progenitores y de las opiniones de éstos últimos</w:t>
      </w:r>
      <w:r w:rsidR="006B7989" w:rsidRPr="00975C02">
        <w:rPr>
          <w:kern w:val="2"/>
          <w:sz w:val="20"/>
          <w:szCs w:val="20"/>
          <w:vertAlign w:val="superscript"/>
          <w:lang w:val="es-ES" w:eastAsia="en-US"/>
        </w:rPr>
        <w:footnoteReference w:id="214"/>
      </w:r>
      <w:r w:rsidR="007B3EED" w:rsidRPr="00975C02">
        <w:rPr>
          <w:kern w:val="2"/>
          <w:sz w:val="20"/>
          <w:szCs w:val="20"/>
          <w:lang w:val="es-ES" w:eastAsia="en-US"/>
        </w:rPr>
        <w:t>.</w:t>
      </w:r>
    </w:p>
    <w:p w14:paraId="7A2EA030" w14:textId="77777777" w:rsidR="009E49EB" w:rsidRPr="00975C02" w:rsidRDefault="009E49EB" w:rsidP="00D644BC">
      <w:pPr>
        <w:widowControl/>
        <w:tabs>
          <w:tab w:val="left" w:pos="567"/>
        </w:tabs>
        <w:adjustRightInd/>
        <w:spacing w:line="240" w:lineRule="auto"/>
        <w:textAlignment w:val="auto"/>
        <w:rPr>
          <w:kern w:val="2"/>
          <w:sz w:val="20"/>
          <w:szCs w:val="20"/>
          <w:lang w:val="es-ES" w:eastAsia="en-US"/>
        </w:rPr>
      </w:pPr>
    </w:p>
    <w:p w14:paraId="608D69A1" w14:textId="77777777" w:rsidR="00C003A2" w:rsidRPr="00975C02" w:rsidRDefault="00C003A2" w:rsidP="00C003A2">
      <w:pPr>
        <w:pStyle w:val="ListParagraph"/>
        <w:widowControl/>
        <w:numPr>
          <w:ilvl w:val="0"/>
          <w:numId w:val="2"/>
        </w:numPr>
        <w:adjustRightInd/>
        <w:spacing w:line="240" w:lineRule="auto"/>
        <w:ind w:right="582"/>
        <w:textAlignment w:val="auto"/>
        <w:rPr>
          <w:kern w:val="2"/>
          <w:sz w:val="20"/>
          <w:szCs w:val="20"/>
          <w:lang w:val="es-ES" w:eastAsia="en-US"/>
        </w:rPr>
      </w:pPr>
      <w:r w:rsidRPr="00975C02">
        <w:rPr>
          <w:kern w:val="2"/>
          <w:sz w:val="20"/>
          <w:szCs w:val="20"/>
          <w:lang w:val="es-ES" w:eastAsia="en-US"/>
        </w:rPr>
        <w:t>Sobre el particular, el perito Cillero Bruñol, señaló que:</w:t>
      </w:r>
    </w:p>
    <w:p w14:paraId="2C1A3283" w14:textId="77777777" w:rsidR="00C003A2" w:rsidRPr="00975C02" w:rsidRDefault="00C003A2" w:rsidP="00C003A2">
      <w:pPr>
        <w:pStyle w:val="ListParagraph"/>
        <w:widowControl/>
        <w:adjustRightInd/>
        <w:spacing w:line="240" w:lineRule="auto"/>
        <w:ind w:left="825" w:right="582"/>
        <w:textAlignment w:val="auto"/>
        <w:rPr>
          <w:kern w:val="2"/>
          <w:sz w:val="18"/>
          <w:szCs w:val="18"/>
          <w:lang w:val="es-ES" w:eastAsia="en-US"/>
        </w:rPr>
      </w:pPr>
    </w:p>
    <w:p w14:paraId="0410958C" w14:textId="31B72275" w:rsidR="00C003A2" w:rsidRPr="00240256" w:rsidRDefault="00C003A2" w:rsidP="00C003A2">
      <w:pPr>
        <w:pStyle w:val="ListParagraph"/>
        <w:widowControl/>
        <w:adjustRightInd/>
        <w:spacing w:line="240" w:lineRule="auto"/>
        <w:ind w:left="825" w:right="582"/>
        <w:textAlignment w:val="auto"/>
        <w:rPr>
          <w:kern w:val="2"/>
          <w:sz w:val="16"/>
          <w:szCs w:val="16"/>
          <w:lang w:val="es-ES" w:eastAsia="en-US"/>
        </w:rPr>
      </w:pPr>
      <w:r w:rsidRPr="00240256">
        <w:rPr>
          <w:kern w:val="2"/>
          <w:sz w:val="16"/>
          <w:szCs w:val="16"/>
          <w:lang w:val="es-ES" w:eastAsia="en-US"/>
        </w:rPr>
        <w:t>[U]na cuestión fundamental que se ha ido imponiendo en toda América Latina […] es la representación judicial independiente de la niña […].</w:t>
      </w:r>
      <w:r w:rsidR="00D9072D" w:rsidRPr="00240256">
        <w:rPr>
          <w:kern w:val="2"/>
          <w:sz w:val="16"/>
          <w:szCs w:val="16"/>
          <w:lang w:val="es-ES" w:eastAsia="en-US"/>
        </w:rPr>
        <w:t>[D]</w:t>
      </w:r>
      <w:r w:rsidRPr="00240256">
        <w:rPr>
          <w:kern w:val="2"/>
          <w:sz w:val="16"/>
          <w:szCs w:val="16"/>
          <w:lang w:val="es-ES" w:eastAsia="en-US"/>
        </w:rPr>
        <w:t>ebe haber alguien, independientemente del fiscal del caso concreto en administración penal, […] que represente el interés de es</w:t>
      </w:r>
      <w:r w:rsidR="00CC63B1" w:rsidRPr="00240256">
        <w:rPr>
          <w:kern w:val="2"/>
          <w:sz w:val="16"/>
          <w:szCs w:val="16"/>
          <w:lang w:val="es-ES" w:eastAsia="en-US"/>
        </w:rPr>
        <w:t>[a]</w:t>
      </w:r>
      <w:r w:rsidRPr="00240256">
        <w:rPr>
          <w:kern w:val="2"/>
          <w:sz w:val="16"/>
          <w:szCs w:val="16"/>
          <w:lang w:val="es-ES" w:eastAsia="en-US"/>
        </w:rPr>
        <w:t xml:space="preserve"> niñ</w:t>
      </w:r>
      <w:r w:rsidR="00CC63B1" w:rsidRPr="00240256">
        <w:rPr>
          <w:kern w:val="2"/>
          <w:sz w:val="16"/>
          <w:szCs w:val="16"/>
          <w:lang w:val="es-ES" w:eastAsia="en-US"/>
        </w:rPr>
        <w:t>[a]</w:t>
      </w:r>
      <w:r w:rsidRPr="00240256">
        <w:rPr>
          <w:kern w:val="2"/>
          <w:sz w:val="16"/>
          <w:szCs w:val="16"/>
          <w:lang w:val="es-ES" w:eastAsia="en-US"/>
        </w:rPr>
        <w:t xml:space="preserve"> y</w:t>
      </w:r>
      <w:r w:rsidR="00D87E4C" w:rsidRPr="00240256">
        <w:rPr>
          <w:kern w:val="2"/>
          <w:sz w:val="16"/>
          <w:szCs w:val="16"/>
          <w:lang w:val="es-ES" w:eastAsia="en-US"/>
        </w:rPr>
        <w:t>,</w:t>
      </w:r>
      <w:r w:rsidRPr="00240256">
        <w:rPr>
          <w:kern w:val="2"/>
          <w:sz w:val="16"/>
          <w:szCs w:val="16"/>
          <w:lang w:val="es-ES" w:eastAsia="en-US"/>
        </w:rPr>
        <w:t xml:space="preserve"> además de eso, probablemente la existencia de órganos independientes no jurisdiccionales del tipo los ombudsperson que puedan efectivamente revisar estos casos</w:t>
      </w:r>
      <w:r w:rsidRPr="00240256">
        <w:rPr>
          <w:rStyle w:val="FootnoteReference"/>
          <w:kern w:val="2"/>
          <w:sz w:val="16"/>
          <w:szCs w:val="16"/>
          <w:lang w:val="es-ES" w:eastAsia="en-US"/>
        </w:rPr>
        <w:footnoteReference w:id="215"/>
      </w:r>
      <w:r w:rsidRPr="00240256">
        <w:rPr>
          <w:kern w:val="2"/>
          <w:sz w:val="16"/>
          <w:szCs w:val="16"/>
          <w:lang w:val="es-ES" w:eastAsia="en-US"/>
        </w:rPr>
        <w:t>.</w:t>
      </w:r>
    </w:p>
    <w:p w14:paraId="0B45DA0E" w14:textId="77777777" w:rsidR="006B7989" w:rsidRPr="00975C02" w:rsidRDefault="006B7989" w:rsidP="006B7989">
      <w:pPr>
        <w:widowControl/>
        <w:tabs>
          <w:tab w:val="left" w:pos="567"/>
        </w:tabs>
        <w:adjustRightInd/>
        <w:spacing w:line="240" w:lineRule="auto"/>
        <w:textAlignment w:val="auto"/>
        <w:rPr>
          <w:kern w:val="2"/>
          <w:sz w:val="20"/>
          <w:szCs w:val="20"/>
          <w:lang w:val="es-ES" w:eastAsia="en-US"/>
        </w:rPr>
      </w:pPr>
    </w:p>
    <w:p w14:paraId="11CAF56C" w14:textId="5A766EB0" w:rsidR="000D7043" w:rsidRPr="00975C02" w:rsidRDefault="00D931D9" w:rsidP="00E66786">
      <w:pPr>
        <w:widowControl/>
        <w:numPr>
          <w:ilvl w:val="0"/>
          <w:numId w:val="2"/>
        </w:numPr>
        <w:tabs>
          <w:tab w:val="left" w:pos="567"/>
          <w:tab w:val="num" w:pos="12305"/>
        </w:tabs>
        <w:adjustRightInd/>
        <w:spacing w:line="240" w:lineRule="auto"/>
        <w:ind w:left="0" w:firstLine="0"/>
        <w:textAlignment w:val="auto"/>
        <w:rPr>
          <w:kern w:val="2"/>
          <w:sz w:val="20"/>
          <w:szCs w:val="20"/>
          <w:lang w:val="es-ES" w:eastAsia="en-US"/>
        </w:rPr>
      </w:pPr>
      <w:r w:rsidRPr="00975C02">
        <w:rPr>
          <w:kern w:val="2"/>
          <w:sz w:val="20"/>
          <w:szCs w:val="20"/>
          <w:lang w:val="es-ES" w:eastAsia="en-US"/>
        </w:rPr>
        <w:t xml:space="preserve">La Corte advierte que </w:t>
      </w:r>
      <w:r w:rsidR="00B5625C" w:rsidRPr="00975C02">
        <w:rPr>
          <w:kern w:val="2"/>
          <w:sz w:val="20"/>
          <w:szCs w:val="20"/>
          <w:lang w:val="es-ES" w:eastAsia="en-US"/>
        </w:rPr>
        <w:t>l</w:t>
      </w:r>
      <w:r w:rsidR="00000AAF" w:rsidRPr="00975C02">
        <w:rPr>
          <w:kern w:val="2"/>
          <w:sz w:val="20"/>
          <w:szCs w:val="20"/>
          <w:lang w:val="es-ES" w:eastAsia="en-US"/>
        </w:rPr>
        <w:t>a</w:t>
      </w:r>
      <w:r w:rsidR="00B5625C" w:rsidRPr="00975C02">
        <w:rPr>
          <w:kern w:val="2"/>
          <w:sz w:val="20"/>
          <w:szCs w:val="20"/>
          <w:lang w:val="es-ES" w:eastAsia="en-US"/>
        </w:rPr>
        <w:t>s niñ</w:t>
      </w:r>
      <w:r w:rsidR="00000AAF" w:rsidRPr="00975C02">
        <w:rPr>
          <w:kern w:val="2"/>
          <w:sz w:val="20"/>
          <w:szCs w:val="20"/>
          <w:lang w:val="es-ES" w:eastAsia="en-US"/>
        </w:rPr>
        <w:t>a</w:t>
      </w:r>
      <w:r w:rsidR="00B5625C" w:rsidRPr="00975C02">
        <w:rPr>
          <w:kern w:val="2"/>
          <w:sz w:val="20"/>
          <w:szCs w:val="20"/>
          <w:lang w:val="es-ES" w:eastAsia="en-US"/>
        </w:rPr>
        <w:t>s, niñ</w:t>
      </w:r>
      <w:r w:rsidR="00000AAF" w:rsidRPr="00975C02">
        <w:rPr>
          <w:kern w:val="2"/>
          <w:sz w:val="20"/>
          <w:szCs w:val="20"/>
          <w:lang w:val="es-ES" w:eastAsia="en-US"/>
        </w:rPr>
        <w:t>o</w:t>
      </w:r>
      <w:r w:rsidR="00B5625C" w:rsidRPr="00975C02">
        <w:rPr>
          <w:kern w:val="2"/>
          <w:sz w:val="20"/>
          <w:szCs w:val="20"/>
          <w:lang w:val="es-ES" w:eastAsia="en-US"/>
        </w:rPr>
        <w:t>s y adolescentes víctimas, en particular de violencia sexual, pueden experimentar graves consecuencias físicas, psicológicas y emocionales causadas por el hecho violatorio de sus derechos</w:t>
      </w:r>
      <w:r w:rsidR="002404D0" w:rsidRPr="00975C02">
        <w:rPr>
          <w:kern w:val="2"/>
          <w:sz w:val="20"/>
          <w:szCs w:val="20"/>
          <w:lang w:val="es-ES" w:eastAsia="en-US"/>
        </w:rPr>
        <w:t>, así como</w:t>
      </w:r>
      <w:r w:rsidR="00B5625C" w:rsidRPr="00975C02">
        <w:rPr>
          <w:kern w:val="2"/>
          <w:sz w:val="20"/>
          <w:szCs w:val="20"/>
          <w:lang w:val="es-ES" w:eastAsia="en-US"/>
        </w:rPr>
        <w:t xml:space="preserve"> una nueva victimización a manos de los órganos del Estado a través de su participación en un proceso penal, cuya función es justamente la protección de sus derechos. En este sentido, si se estima que la participación de</w:t>
      </w:r>
      <w:r w:rsidR="00000AAF" w:rsidRPr="00975C02">
        <w:rPr>
          <w:kern w:val="2"/>
          <w:sz w:val="20"/>
          <w:szCs w:val="20"/>
          <w:lang w:val="es-ES" w:eastAsia="en-US"/>
        </w:rPr>
        <w:t xml:space="preserve"> </w:t>
      </w:r>
      <w:r w:rsidR="00B5625C" w:rsidRPr="00975C02">
        <w:rPr>
          <w:kern w:val="2"/>
          <w:sz w:val="20"/>
          <w:szCs w:val="20"/>
          <w:lang w:val="es-ES" w:eastAsia="en-US"/>
        </w:rPr>
        <w:t>l</w:t>
      </w:r>
      <w:r w:rsidR="00000AAF" w:rsidRPr="00975C02">
        <w:rPr>
          <w:kern w:val="2"/>
          <w:sz w:val="20"/>
          <w:szCs w:val="20"/>
          <w:lang w:val="es-ES" w:eastAsia="en-US"/>
        </w:rPr>
        <w:t>a</w:t>
      </w:r>
      <w:r w:rsidR="00B5625C" w:rsidRPr="00975C02">
        <w:rPr>
          <w:kern w:val="2"/>
          <w:sz w:val="20"/>
          <w:szCs w:val="20"/>
          <w:lang w:val="es-ES" w:eastAsia="en-US"/>
        </w:rPr>
        <w:t xml:space="preserve"> niñ</w:t>
      </w:r>
      <w:r w:rsidR="00000AAF" w:rsidRPr="00975C02">
        <w:rPr>
          <w:kern w:val="2"/>
          <w:sz w:val="20"/>
          <w:szCs w:val="20"/>
          <w:lang w:val="es-ES" w:eastAsia="en-US"/>
        </w:rPr>
        <w:t>a</w:t>
      </w:r>
      <w:r w:rsidR="00B5625C" w:rsidRPr="00975C02">
        <w:rPr>
          <w:kern w:val="2"/>
          <w:sz w:val="20"/>
          <w:szCs w:val="20"/>
          <w:lang w:val="es-ES" w:eastAsia="en-US"/>
        </w:rPr>
        <w:t>, niñ</w:t>
      </w:r>
      <w:r w:rsidR="00000AAF" w:rsidRPr="00975C02">
        <w:rPr>
          <w:kern w:val="2"/>
          <w:sz w:val="20"/>
          <w:szCs w:val="20"/>
          <w:lang w:val="es-ES" w:eastAsia="en-US"/>
        </w:rPr>
        <w:t>o</w:t>
      </w:r>
      <w:r w:rsidR="00B5625C" w:rsidRPr="00975C02">
        <w:rPr>
          <w:kern w:val="2"/>
          <w:sz w:val="20"/>
          <w:szCs w:val="20"/>
          <w:lang w:val="es-ES" w:eastAsia="en-US"/>
        </w:rPr>
        <w:t xml:space="preserve"> o adolescente es necesaria</w:t>
      </w:r>
      <w:r w:rsidR="003F51D3" w:rsidRPr="00975C02">
        <w:rPr>
          <w:kern w:val="2"/>
          <w:sz w:val="20"/>
          <w:szCs w:val="20"/>
          <w:lang w:val="es-ES" w:eastAsia="en-US"/>
        </w:rPr>
        <w:t xml:space="preserve"> y puede contribuir con la recolección de material probatorio, deberá evitarse en todo momento la revictimización y se limitará a las diligencias y actuaciones en donde su participación </w:t>
      </w:r>
      <w:r w:rsidRPr="00975C02">
        <w:rPr>
          <w:kern w:val="2"/>
          <w:sz w:val="20"/>
          <w:szCs w:val="20"/>
          <w:lang w:val="es-ES" w:eastAsia="en-US"/>
        </w:rPr>
        <w:t>s</w:t>
      </w:r>
      <w:r w:rsidR="003F51D3" w:rsidRPr="00975C02">
        <w:rPr>
          <w:kern w:val="2"/>
          <w:sz w:val="20"/>
          <w:szCs w:val="20"/>
          <w:lang w:val="es-ES" w:eastAsia="en-US"/>
        </w:rPr>
        <w:t xml:space="preserve">e estime estrictamente necesaria y </w:t>
      </w:r>
      <w:r w:rsidR="008420DB" w:rsidRPr="00975C02">
        <w:rPr>
          <w:kern w:val="2"/>
          <w:sz w:val="20"/>
          <w:szCs w:val="20"/>
          <w:lang w:val="es-ES" w:eastAsia="en-US"/>
        </w:rPr>
        <w:t xml:space="preserve">se </w:t>
      </w:r>
      <w:r w:rsidR="003F51D3" w:rsidRPr="00975C02">
        <w:rPr>
          <w:kern w:val="2"/>
          <w:sz w:val="20"/>
          <w:szCs w:val="20"/>
          <w:lang w:val="es-ES" w:eastAsia="en-US"/>
        </w:rPr>
        <w:t xml:space="preserve">evitará la </w:t>
      </w:r>
      <w:r w:rsidR="008420DB" w:rsidRPr="00975C02">
        <w:rPr>
          <w:kern w:val="2"/>
          <w:sz w:val="20"/>
          <w:szCs w:val="20"/>
          <w:lang w:val="es-ES" w:eastAsia="en-US"/>
        </w:rPr>
        <w:t xml:space="preserve">presencia e </w:t>
      </w:r>
      <w:r w:rsidR="003F51D3" w:rsidRPr="00975C02">
        <w:rPr>
          <w:kern w:val="2"/>
          <w:sz w:val="20"/>
          <w:szCs w:val="20"/>
          <w:lang w:val="es-ES" w:eastAsia="en-US"/>
        </w:rPr>
        <w:t>interacción de aquellos con su agresor en las diligencias que se ordenen</w:t>
      </w:r>
      <w:r w:rsidR="003F51D3" w:rsidRPr="00975C02">
        <w:rPr>
          <w:kern w:val="2"/>
          <w:sz w:val="20"/>
          <w:szCs w:val="20"/>
          <w:vertAlign w:val="superscript"/>
          <w:lang w:val="es-ES" w:eastAsia="en-US"/>
        </w:rPr>
        <w:footnoteReference w:id="216"/>
      </w:r>
      <w:r w:rsidR="003F51D3" w:rsidRPr="00975C02">
        <w:rPr>
          <w:kern w:val="2"/>
          <w:sz w:val="20"/>
          <w:szCs w:val="20"/>
          <w:lang w:val="es-ES" w:eastAsia="en-US"/>
        </w:rPr>
        <w:t>.</w:t>
      </w:r>
      <w:r w:rsidR="00B5625C" w:rsidRPr="00975C02">
        <w:rPr>
          <w:kern w:val="2"/>
          <w:sz w:val="20"/>
          <w:szCs w:val="20"/>
          <w:lang w:val="es-ES" w:eastAsia="en-US"/>
        </w:rPr>
        <w:t xml:space="preserve"> </w:t>
      </w:r>
      <w:r w:rsidR="000D7043" w:rsidRPr="00975C02">
        <w:rPr>
          <w:kern w:val="2"/>
          <w:sz w:val="20"/>
          <w:szCs w:val="20"/>
          <w:lang w:val="es-ES" w:eastAsia="en-US"/>
        </w:rPr>
        <w:t xml:space="preserve">Esta Corte ya ha destacado que la violación sexual es una experiencia sumamente traumática que puede tener severas consecuencias y causa gran daño físico y psicológico, que deja a la víctima “humillada física y emocionalmente”, situación difícilmente superable por el paso del tiempo, a diferencia de lo que acontece </w:t>
      </w:r>
      <w:r w:rsidR="00995B02" w:rsidRPr="00975C02">
        <w:rPr>
          <w:kern w:val="2"/>
          <w:sz w:val="20"/>
          <w:szCs w:val="20"/>
          <w:lang w:val="es-ES" w:eastAsia="en-US"/>
        </w:rPr>
        <w:t xml:space="preserve">con </w:t>
      </w:r>
      <w:r w:rsidR="000D7043" w:rsidRPr="00975C02">
        <w:rPr>
          <w:kern w:val="2"/>
          <w:sz w:val="20"/>
          <w:szCs w:val="20"/>
          <w:lang w:val="es-ES" w:eastAsia="en-US"/>
        </w:rPr>
        <w:t>otras experiencias traumáticas</w:t>
      </w:r>
      <w:r w:rsidR="000D7043" w:rsidRPr="00975C02">
        <w:rPr>
          <w:kern w:val="2"/>
          <w:sz w:val="20"/>
          <w:szCs w:val="20"/>
          <w:vertAlign w:val="superscript"/>
          <w:lang w:val="es-ES" w:eastAsia="en-US"/>
        </w:rPr>
        <w:footnoteReference w:id="217"/>
      </w:r>
      <w:r w:rsidR="000D7043" w:rsidRPr="00975C02">
        <w:rPr>
          <w:kern w:val="2"/>
          <w:sz w:val="20"/>
          <w:szCs w:val="20"/>
          <w:lang w:val="es-ES" w:eastAsia="en-US"/>
        </w:rPr>
        <w:t>. En el caso de las niñas</w:t>
      </w:r>
      <w:r w:rsidR="00995B02" w:rsidRPr="00975C02">
        <w:rPr>
          <w:kern w:val="2"/>
          <w:sz w:val="20"/>
          <w:szCs w:val="20"/>
          <w:lang w:val="es-ES" w:eastAsia="en-US"/>
        </w:rPr>
        <w:t>, niños y adolescentes</w:t>
      </w:r>
      <w:r w:rsidR="000D7043" w:rsidRPr="00975C02">
        <w:rPr>
          <w:kern w:val="2"/>
          <w:sz w:val="20"/>
          <w:szCs w:val="20"/>
          <w:lang w:val="es-ES" w:eastAsia="en-US"/>
        </w:rPr>
        <w:t xml:space="preserve"> víctimas de </w:t>
      </w:r>
      <w:r w:rsidR="00E004AB" w:rsidRPr="00975C02">
        <w:rPr>
          <w:kern w:val="2"/>
          <w:sz w:val="20"/>
          <w:szCs w:val="20"/>
          <w:lang w:val="es-ES" w:eastAsia="en-US"/>
        </w:rPr>
        <w:t>violencia</w:t>
      </w:r>
      <w:r w:rsidR="000D7043" w:rsidRPr="00975C02">
        <w:rPr>
          <w:kern w:val="2"/>
          <w:sz w:val="20"/>
          <w:szCs w:val="20"/>
          <w:lang w:val="es-ES" w:eastAsia="en-US"/>
        </w:rPr>
        <w:t xml:space="preserve"> sexual, este impacto podría verse severamente agravado, por lo que podrían sufrir un trauma emocional diferenciado de los adultos, y un impacto sumamente profundo, en particular cuando el agresor </w:t>
      </w:r>
      <w:r w:rsidR="00E66786" w:rsidRPr="00975C02">
        <w:rPr>
          <w:kern w:val="2"/>
          <w:sz w:val="20"/>
          <w:szCs w:val="20"/>
          <w:lang w:val="es-ES" w:eastAsia="en-US"/>
        </w:rPr>
        <w:t>mantiene un vínculo de confianza y autoridad con la víctima, como un progenitor</w:t>
      </w:r>
      <w:r w:rsidR="000D7043" w:rsidRPr="00975C02">
        <w:rPr>
          <w:kern w:val="2"/>
          <w:sz w:val="20"/>
          <w:szCs w:val="20"/>
          <w:lang w:val="es-ES" w:eastAsia="en-US"/>
        </w:rPr>
        <w:t xml:space="preserve">. </w:t>
      </w:r>
      <w:r w:rsidR="00A4555D" w:rsidRPr="00975C02">
        <w:rPr>
          <w:kern w:val="2"/>
          <w:sz w:val="20"/>
          <w:szCs w:val="20"/>
          <w:lang w:val="es-ES" w:eastAsia="en-US"/>
        </w:rPr>
        <w:t xml:space="preserve">En palabras del perito Stola, en casos </w:t>
      </w:r>
      <w:r w:rsidR="00A4555D" w:rsidRPr="00975C02">
        <w:rPr>
          <w:sz w:val="20"/>
          <w:szCs w:val="20"/>
          <w:lang w:val="es-ES"/>
        </w:rPr>
        <w:t>en donde el padre es el que concreta la agresión sexual, se produce una afectación terriblemente grave en la psiquis de la víctima, “porque aquella persona que debería cuidar ha producido una profunda destrucción, no solo a la niña, sino además a todo el grupo, porque es una agresión que todo el grupo la vive como una agresión familiar”</w:t>
      </w:r>
      <w:r w:rsidR="00A4555D" w:rsidRPr="00975C02">
        <w:rPr>
          <w:rStyle w:val="FootnoteReference"/>
          <w:sz w:val="20"/>
          <w:szCs w:val="20"/>
          <w:lang w:val="es-ES"/>
        </w:rPr>
        <w:footnoteReference w:id="218"/>
      </w:r>
      <w:r w:rsidR="00A4555D" w:rsidRPr="00975C02">
        <w:rPr>
          <w:sz w:val="20"/>
          <w:szCs w:val="20"/>
          <w:lang w:val="es-ES"/>
        </w:rPr>
        <w:t xml:space="preserve">. </w:t>
      </w:r>
      <w:r w:rsidR="000D7043" w:rsidRPr="00975C02">
        <w:rPr>
          <w:kern w:val="2"/>
          <w:sz w:val="20"/>
          <w:szCs w:val="20"/>
          <w:lang w:val="es-ES" w:eastAsia="en-US"/>
        </w:rPr>
        <w:t xml:space="preserve">Para ello, la Corte </w:t>
      </w:r>
      <w:r w:rsidR="00537F77">
        <w:rPr>
          <w:kern w:val="2"/>
          <w:sz w:val="20"/>
          <w:szCs w:val="20"/>
          <w:lang w:val="es-ES" w:eastAsia="en-US"/>
        </w:rPr>
        <w:t>subraya</w:t>
      </w:r>
      <w:r w:rsidR="000D7043" w:rsidRPr="00975C02">
        <w:rPr>
          <w:kern w:val="2"/>
          <w:sz w:val="20"/>
          <w:szCs w:val="20"/>
          <w:lang w:val="es-ES" w:eastAsia="en-US"/>
        </w:rPr>
        <w:t xml:space="preserve"> la importancia de la adopción de un protocolo de atención cuyo objetivo sea reducir las consecuencias sobre el bienestar </w:t>
      </w:r>
      <w:r w:rsidR="00C003A2" w:rsidRPr="00975C02">
        <w:rPr>
          <w:kern w:val="2"/>
          <w:sz w:val="20"/>
          <w:szCs w:val="20"/>
          <w:lang w:val="es-ES" w:eastAsia="en-US"/>
        </w:rPr>
        <w:t>bio</w:t>
      </w:r>
      <w:r w:rsidR="000D7043" w:rsidRPr="00975C02">
        <w:rPr>
          <w:kern w:val="2"/>
          <w:sz w:val="20"/>
          <w:szCs w:val="20"/>
          <w:lang w:val="es-ES" w:eastAsia="en-US"/>
        </w:rPr>
        <w:t>psico-social de la víctima</w:t>
      </w:r>
      <w:r w:rsidR="006F277B" w:rsidRPr="00975C02">
        <w:rPr>
          <w:rStyle w:val="FootnoteReference"/>
          <w:kern w:val="2"/>
          <w:sz w:val="20"/>
          <w:szCs w:val="20"/>
          <w:lang w:val="es-ES" w:eastAsia="en-US"/>
        </w:rPr>
        <w:footnoteReference w:id="219"/>
      </w:r>
      <w:r w:rsidR="000D7043" w:rsidRPr="00975C02">
        <w:rPr>
          <w:kern w:val="2"/>
          <w:sz w:val="20"/>
          <w:szCs w:val="20"/>
          <w:lang w:val="es-ES" w:eastAsia="en-US"/>
        </w:rPr>
        <w:t>.</w:t>
      </w:r>
    </w:p>
    <w:p w14:paraId="3235FBC3" w14:textId="77777777" w:rsidR="000D7043" w:rsidRPr="00975C02" w:rsidRDefault="000D7043" w:rsidP="008420DB">
      <w:pPr>
        <w:widowControl/>
        <w:tabs>
          <w:tab w:val="left" w:pos="567"/>
        </w:tabs>
        <w:adjustRightInd/>
        <w:spacing w:line="240" w:lineRule="auto"/>
        <w:textAlignment w:val="auto"/>
        <w:rPr>
          <w:kern w:val="2"/>
          <w:sz w:val="20"/>
          <w:szCs w:val="20"/>
          <w:lang w:val="es-ES" w:eastAsia="en-US"/>
        </w:rPr>
      </w:pPr>
    </w:p>
    <w:p w14:paraId="5C084546" w14:textId="5C078AE4" w:rsidR="00253F03" w:rsidRPr="00975C02" w:rsidRDefault="006C6911" w:rsidP="00253F03">
      <w:pPr>
        <w:widowControl/>
        <w:numPr>
          <w:ilvl w:val="0"/>
          <w:numId w:val="2"/>
        </w:numPr>
        <w:tabs>
          <w:tab w:val="left" w:pos="567"/>
          <w:tab w:val="num" w:pos="12305"/>
        </w:tabs>
        <w:adjustRightInd/>
        <w:spacing w:line="240" w:lineRule="auto"/>
        <w:ind w:left="0" w:firstLine="0"/>
        <w:textAlignment w:val="auto"/>
        <w:rPr>
          <w:b/>
          <w:kern w:val="2"/>
          <w:sz w:val="20"/>
          <w:szCs w:val="20"/>
          <w:lang w:val="es-ES" w:eastAsia="en-US"/>
        </w:rPr>
      </w:pPr>
      <w:r w:rsidRPr="00975C02">
        <w:rPr>
          <w:kern w:val="2"/>
          <w:sz w:val="20"/>
          <w:szCs w:val="20"/>
          <w:lang w:val="es-ES" w:eastAsia="en-US"/>
        </w:rPr>
        <w:t>Además, t</w:t>
      </w:r>
      <w:r w:rsidR="00B5625C" w:rsidRPr="00975C02">
        <w:rPr>
          <w:kern w:val="2"/>
          <w:sz w:val="20"/>
          <w:szCs w:val="20"/>
          <w:lang w:val="es-ES" w:eastAsia="en-US"/>
        </w:rPr>
        <w:t xml:space="preserve">omando en cuenta el </w:t>
      </w:r>
      <w:r w:rsidR="006C1836" w:rsidRPr="00975C02">
        <w:rPr>
          <w:kern w:val="2"/>
          <w:sz w:val="20"/>
          <w:szCs w:val="20"/>
          <w:lang w:val="es-ES" w:eastAsia="en-US"/>
        </w:rPr>
        <w:t>interés superior</w:t>
      </w:r>
      <w:r w:rsidRPr="00975C02">
        <w:rPr>
          <w:kern w:val="2"/>
          <w:sz w:val="20"/>
          <w:szCs w:val="20"/>
          <w:lang w:val="es-ES" w:eastAsia="en-US"/>
        </w:rPr>
        <w:t>,</w:t>
      </w:r>
      <w:r w:rsidR="00B5625C" w:rsidRPr="00975C02">
        <w:rPr>
          <w:kern w:val="2"/>
          <w:sz w:val="20"/>
          <w:szCs w:val="20"/>
          <w:lang w:val="es-ES" w:eastAsia="en-US"/>
        </w:rPr>
        <w:t xml:space="preserve"> no solo se debe evitar la revictimización</w:t>
      </w:r>
      <w:r w:rsidR="002404D0" w:rsidRPr="00975C02">
        <w:rPr>
          <w:kern w:val="2"/>
          <w:sz w:val="20"/>
          <w:szCs w:val="20"/>
          <w:lang w:val="es-ES" w:eastAsia="en-US"/>
        </w:rPr>
        <w:t>,</w:t>
      </w:r>
      <w:r w:rsidR="00B5625C" w:rsidRPr="00975C02">
        <w:rPr>
          <w:kern w:val="2"/>
          <w:sz w:val="20"/>
          <w:szCs w:val="20"/>
          <w:lang w:val="es-ES" w:eastAsia="en-US"/>
        </w:rPr>
        <w:t xml:space="preserve"> sino que</w:t>
      </w:r>
      <w:r w:rsidR="002B7B25">
        <w:rPr>
          <w:kern w:val="2"/>
          <w:sz w:val="20"/>
          <w:szCs w:val="20"/>
          <w:lang w:val="es-ES" w:eastAsia="en-US"/>
        </w:rPr>
        <w:t>,</w:t>
      </w:r>
      <w:r w:rsidR="00B5625C" w:rsidRPr="00975C02">
        <w:rPr>
          <w:kern w:val="2"/>
          <w:sz w:val="20"/>
          <w:szCs w:val="20"/>
          <w:lang w:val="es-ES" w:eastAsia="en-US"/>
        </w:rPr>
        <w:t xml:space="preserve"> a través de las protecciones especiales y acompañamiento</w:t>
      </w:r>
      <w:r w:rsidR="0052452C" w:rsidRPr="00975C02">
        <w:rPr>
          <w:kern w:val="2"/>
          <w:sz w:val="20"/>
          <w:szCs w:val="20"/>
          <w:lang w:val="es-ES" w:eastAsia="en-US"/>
        </w:rPr>
        <w:t xml:space="preserve"> especializado</w:t>
      </w:r>
      <w:r w:rsidR="002B7B25">
        <w:rPr>
          <w:kern w:val="2"/>
          <w:sz w:val="20"/>
          <w:szCs w:val="20"/>
          <w:lang w:val="es-ES" w:eastAsia="en-US"/>
        </w:rPr>
        <w:t>,</w:t>
      </w:r>
      <w:r w:rsidR="00B5625C" w:rsidRPr="00975C02">
        <w:rPr>
          <w:kern w:val="2"/>
          <w:sz w:val="20"/>
          <w:szCs w:val="20"/>
          <w:lang w:val="es-ES" w:eastAsia="en-US"/>
        </w:rPr>
        <w:t xml:space="preserve"> se </w:t>
      </w:r>
      <w:r w:rsidRPr="00975C02">
        <w:rPr>
          <w:kern w:val="2"/>
          <w:sz w:val="20"/>
          <w:szCs w:val="20"/>
          <w:lang w:val="es-ES" w:eastAsia="en-US"/>
        </w:rPr>
        <w:t>deberán</w:t>
      </w:r>
      <w:r w:rsidR="00B5625C" w:rsidRPr="00975C02">
        <w:rPr>
          <w:kern w:val="2"/>
          <w:sz w:val="20"/>
          <w:szCs w:val="20"/>
          <w:lang w:val="es-ES" w:eastAsia="en-US"/>
        </w:rPr>
        <w:t xml:space="preserve"> </w:t>
      </w:r>
      <w:r w:rsidR="002404D0" w:rsidRPr="00975C02">
        <w:rPr>
          <w:kern w:val="2"/>
          <w:sz w:val="20"/>
          <w:szCs w:val="20"/>
          <w:lang w:val="es-ES" w:eastAsia="en-US"/>
        </w:rPr>
        <w:t xml:space="preserve">generar las condiciones adecuadas </w:t>
      </w:r>
      <w:r w:rsidR="0098709C" w:rsidRPr="00975C02">
        <w:rPr>
          <w:kern w:val="2"/>
          <w:sz w:val="20"/>
          <w:szCs w:val="20"/>
          <w:lang w:val="es-ES" w:eastAsia="en-US"/>
        </w:rPr>
        <w:t>para que la niña</w:t>
      </w:r>
      <w:r w:rsidR="00D44FA1" w:rsidRPr="00975C02">
        <w:rPr>
          <w:kern w:val="2"/>
          <w:sz w:val="20"/>
          <w:szCs w:val="20"/>
          <w:lang w:val="es-ES" w:eastAsia="en-US"/>
        </w:rPr>
        <w:t>, niño o adolescente</w:t>
      </w:r>
      <w:r w:rsidR="0098709C" w:rsidRPr="00975C02">
        <w:rPr>
          <w:kern w:val="2"/>
          <w:sz w:val="20"/>
          <w:szCs w:val="20"/>
          <w:lang w:val="es-ES" w:eastAsia="en-US"/>
        </w:rPr>
        <w:t xml:space="preserve"> pueda</w:t>
      </w:r>
      <w:r w:rsidR="002404D0" w:rsidRPr="00975C02">
        <w:rPr>
          <w:kern w:val="2"/>
          <w:sz w:val="20"/>
          <w:szCs w:val="20"/>
          <w:lang w:val="es-ES" w:eastAsia="en-US"/>
        </w:rPr>
        <w:t xml:space="preserve"> participar de forma efectiva en</w:t>
      </w:r>
      <w:r w:rsidRPr="00975C02">
        <w:rPr>
          <w:kern w:val="2"/>
          <w:sz w:val="20"/>
          <w:szCs w:val="20"/>
          <w:lang w:val="es-ES" w:eastAsia="en-US"/>
        </w:rPr>
        <w:t xml:space="preserve"> el proceso penal.</w:t>
      </w:r>
      <w:r w:rsidR="008420DB" w:rsidRPr="00975C02">
        <w:rPr>
          <w:kern w:val="2"/>
          <w:sz w:val="20"/>
          <w:szCs w:val="20"/>
          <w:lang w:val="es-ES" w:eastAsia="en-US"/>
        </w:rPr>
        <w:t xml:space="preserve"> En este sentido, l</w:t>
      </w:r>
      <w:r w:rsidR="003F51D3" w:rsidRPr="00975C02">
        <w:rPr>
          <w:kern w:val="2"/>
          <w:sz w:val="20"/>
          <w:szCs w:val="20"/>
          <w:lang w:val="es-ES" w:eastAsia="en-US"/>
        </w:rPr>
        <w:t xml:space="preserve">a actuación estatal deberá estar encaminada a la protección reforzada de sus derechos, a través de la actuación multidisciplinaria y coordinada de las agencias estatales de protección y apoyo psicosocial, investigación y juzgamiento, </w:t>
      </w:r>
      <w:r w:rsidR="00833963" w:rsidRPr="00975C02">
        <w:rPr>
          <w:kern w:val="2"/>
          <w:sz w:val="20"/>
          <w:szCs w:val="20"/>
          <w:lang w:val="es-ES" w:eastAsia="en-US"/>
        </w:rPr>
        <w:t xml:space="preserve">entre ellas el </w:t>
      </w:r>
      <w:r w:rsidR="00D44FA1" w:rsidRPr="00975C02">
        <w:rPr>
          <w:kern w:val="2"/>
          <w:sz w:val="20"/>
          <w:szCs w:val="20"/>
          <w:lang w:val="es-ES" w:eastAsia="en-US"/>
        </w:rPr>
        <w:t>m</w:t>
      </w:r>
      <w:r w:rsidR="00833963" w:rsidRPr="00975C02">
        <w:rPr>
          <w:kern w:val="2"/>
          <w:sz w:val="20"/>
          <w:szCs w:val="20"/>
          <w:lang w:val="es-ES" w:eastAsia="en-US"/>
        </w:rPr>
        <w:t xml:space="preserve">inisterio </w:t>
      </w:r>
      <w:r w:rsidR="00D44FA1" w:rsidRPr="00975C02">
        <w:rPr>
          <w:kern w:val="2"/>
          <w:sz w:val="20"/>
          <w:szCs w:val="20"/>
          <w:lang w:val="es-ES" w:eastAsia="en-US"/>
        </w:rPr>
        <w:t>p</w:t>
      </w:r>
      <w:r w:rsidR="00833963" w:rsidRPr="00975C02">
        <w:rPr>
          <w:kern w:val="2"/>
          <w:sz w:val="20"/>
          <w:szCs w:val="20"/>
          <w:lang w:val="es-ES" w:eastAsia="en-US"/>
        </w:rPr>
        <w:t xml:space="preserve">úblico, las autoridades judiciales, los profesionales de salud, los servicios sociales y legales, la policía nacional, entre otros, </w:t>
      </w:r>
      <w:r w:rsidR="003F51D3" w:rsidRPr="00975C02">
        <w:rPr>
          <w:kern w:val="2"/>
          <w:sz w:val="20"/>
          <w:szCs w:val="20"/>
          <w:lang w:val="es-ES" w:eastAsia="en-US"/>
        </w:rPr>
        <w:t>desde que el Estado conozca la violación de sus derechos y de forma ininterrumpida, hasta que esos servicios dejen de ser necesarios, a fin de evitar que su participación en el proceso penal les cause nuevos perjuicios y traumas adicionales, revictimizándolos</w:t>
      </w:r>
      <w:r w:rsidR="00F03A93" w:rsidRPr="00975C02">
        <w:rPr>
          <w:rStyle w:val="FootnoteReference"/>
          <w:kern w:val="2"/>
          <w:sz w:val="20"/>
          <w:szCs w:val="20"/>
          <w:lang w:val="es-ES" w:eastAsia="en-US"/>
        </w:rPr>
        <w:footnoteReference w:id="220"/>
      </w:r>
      <w:r w:rsidR="003F51D3" w:rsidRPr="00975C02">
        <w:rPr>
          <w:kern w:val="2"/>
          <w:sz w:val="20"/>
          <w:szCs w:val="20"/>
          <w:lang w:val="es-ES" w:eastAsia="en-US"/>
        </w:rPr>
        <w:t>.</w:t>
      </w:r>
    </w:p>
    <w:p w14:paraId="44567BAD" w14:textId="77777777" w:rsidR="006B7989" w:rsidRPr="00975C02" w:rsidRDefault="006B7989" w:rsidP="006B7989">
      <w:pPr>
        <w:widowControl/>
        <w:tabs>
          <w:tab w:val="left" w:pos="567"/>
        </w:tabs>
        <w:adjustRightInd/>
        <w:spacing w:line="240" w:lineRule="auto"/>
        <w:textAlignment w:val="auto"/>
        <w:rPr>
          <w:b/>
          <w:kern w:val="2"/>
          <w:sz w:val="20"/>
          <w:szCs w:val="20"/>
          <w:lang w:val="es-ES" w:eastAsia="en-US"/>
        </w:rPr>
      </w:pPr>
    </w:p>
    <w:p w14:paraId="44D36F3E" w14:textId="3C09D64D" w:rsidR="00B5625C" w:rsidRPr="00975C02" w:rsidRDefault="003F4409" w:rsidP="00DF3D71">
      <w:pPr>
        <w:widowControl/>
        <w:numPr>
          <w:ilvl w:val="0"/>
          <w:numId w:val="2"/>
        </w:numPr>
        <w:tabs>
          <w:tab w:val="left" w:pos="567"/>
          <w:tab w:val="num" w:pos="12305"/>
        </w:tabs>
        <w:adjustRightInd/>
        <w:spacing w:line="240" w:lineRule="auto"/>
        <w:ind w:left="0" w:firstLine="0"/>
        <w:textAlignment w:val="auto"/>
        <w:rPr>
          <w:b/>
          <w:kern w:val="2"/>
          <w:sz w:val="20"/>
          <w:szCs w:val="20"/>
          <w:lang w:val="es-ES" w:eastAsia="en-US"/>
        </w:rPr>
      </w:pPr>
      <w:r w:rsidRPr="00975C02">
        <w:rPr>
          <w:kern w:val="2"/>
          <w:sz w:val="20"/>
          <w:szCs w:val="20"/>
          <w:lang w:val="es-ES" w:eastAsia="en-US"/>
        </w:rPr>
        <w:t xml:space="preserve">Por lo tanto, en casos de violencia sexual, el Estado deberá, una vez conocidos los hechos, brindar asistencia inmediata y profesional, tanto médica como psicológica </w:t>
      </w:r>
      <w:r w:rsidR="00D44FA1" w:rsidRPr="00975C02">
        <w:rPr>
          <w:kern w:val="2"/>
          <w:sz w:val="20"/>
          <w:szCs w:val="20"/>
          <w:lang w:val="es-ES" w:eastAsia="en-US"/>
        </w:rPr>
        <w:t>y/</w:t>
      </w:r>
      <w:r w:rsidRPr="00975C02">
        <w:rPr>
          <w:kern w:val="2"/>
          <w:sz w:val="20"/>
          <w:szCs w:val="20"/>
          <w:lang w:val="es-ES" w:eastAsia="en-US"/>
        </w:rPr>
        <w:t xml:space="preserve">o psiquiátrica, a cargo </w:t>
      </w:r>
      <w:r w:rsidRPr="00975C02">
        <w:rPr>
          <w:kern w:val="2"/>
          <w:sz w:val="20"/>
          <w:szCs w:val="20"/>
          <w:lang w:val="es-ES" w:eastAsia="en-US"/>
        </w:rPr>
        <w:lastRenderedPageBreak/>
        <w:t>de un profesional específicamente capacitado en la atención de víctimas de este tipo de delitos y con perspectiva de género</w:t>
      </w:r>
      <w:r w:rsidR="004B485B" w:rsidRPr="00975C02">
        <w:rPr>
          <w:kern w:val="2"/>
          <w:sz w:val="20"/>
          <w:szCs w:val="20"/>
          <w:lang w:val="es-ES" w:eastAsia="en-US"/>
        </w:rPr>
        <w:t xml:space="preserve"> y niñez</w:t>
      </w:r>
      <w:r w:rsidRPr="00975C02">
        <w:rPr>
          <w:kern w:val="2"/>
          <w:sz w:val="20"/>
          <w:szCs w:val="20"/>
          <w:vertAlign w:val="superscript"/>
          <w:lang w:val="es-ES" w:eastAsia="en-US"/>
        </w:rPr>
        <w:footnoteReference w:id="221"/>
      </w:r>
      <w:r w:rsidRPr="00975C02">
        <w:rPr>
          <w:kern w:val="2"/>
          <w:sz w:val="20"/>
          <w:szCs w:val="20"/>
          <w:lang w:val="es-ES" w:eastAsia="en-US"/>
        </w:rPr>
        <w:t>. El acompañamiento deberá mantenerse durante el proceso penal, procurando que sea el mismo profesional que atienda a la niña, niño o adolescente.</w:t>
      </w:r>
      <w:r w:rsidR="00C22431" w:rsidRPr="00975C02">
        <w:rPr>
          <w:kern w:val="2"/>
          <w:sz w:val="20"/>
          <w:szCs w:val="20"/>
          <w:lang w:val="es-ES" w:eastAsia="en-US"/>
        </w:rPr>
        <w:t xml:space="preserve"> </w:t>
      </w:r>
      <w:r w:rsidR="00CD012D" w:rsidRPr="00975C02">
        <w:rPr>
          <w:kern w:val="2"/>
          <w:sz w:val="20"/>
          <w:szCs w:val="20"/>
          <w:lang w:val="es-ES" w:eastAsia="en-US"/>
        </w:rPr>
        <w:t>Es trascendental que durante el proceso de justicia y los servicios de apoyo se tomen en cuenta, sin discriminación alguna, la edad, el nivel de madurez y de comprensión, el sexo, la orientación sexual, el nivel socioeconómico, las aptitudes y capacidades del niño, niña o adolescente, así como cualquier otro factor o necesidad especial en la que se encuentren</w:t>
      </w:r>
      <w:r w:rsidR="00CD012D" w:rsidRPr="00975C02">
        <w:rPr>
          <w:kern w:val="2"/>
          <w:sz w:val="20"/>
          <w:szCs w:val="20"/>
          <w:vertAlign w:val="superscript"/>
          <w:lang w:val="es-ES" w:eastAsia="en-US"/>
        </w:rPr>
        <w:footnoteReference w:id="222"/>
      </w:r>
      <w:r w:rsidR="00CD012D" w:rsidRPr="00975C02">
        <w:rPr>
          <w:kern w:val="2"/>
          <w:sz w:val="20"/>
          <w:szCs w:val="20"/>
          <w:lang w:val="es-ES" w:eastAsia="en-US"/>
        </w:rPr>
        <w:t>. Todo ello con el fin de brindar a la víctima el apoyo y los servicios necesarios</w:t>
      </w:r>
      <w:r w:rsidR="006602F6" w:rsidRPr="00975C02">
        <w:rPr>
          <w:kern w:val="2"/>
          <w:sz w:val="20"/>
          <w:szCs w:val="20"/>
          <w:lang w:val="es-ES" w:eastAsia="en-US"/>
        </w:rPr>
        <w:t>,</w:t>
      </w:r>
      <w:r w:rsidR="00CD012D" w:rsidRPr="00975C02">
        <w:rPr>
          <w:kern w:val="2"/>
          <w:sz w:val="20"/>
          <w:szCs w:val="20"/>
          <w:lang w:val="es-ES" w:eastAsia="en-US"/>
        </w:rPr>
        <w:t xml:space="preserve"> conforme a sus vivencias y entendimientos, y de acuerdo a las vulneraciones sufridas. Por ello, se entiende como necesaria la existencia de servicios y protección específicos </w:t>
      </w:r>
      <w:r w:rsidR="0098709C" w:rsidRPr="00975C02">
        <w:rPr>
          <w:kern w:val="2"/>
          <w:sz w:val="20"/>
          <w:szCs w:val="20"/>
          <w:lang w:val="es-ES" w:eastAsia="en-US"/>
        </w:rPr>
        <w:t>para las víctimas de</w:t>
      </w:r>
      <w:r w:rsidR="00CD012D" w:rsidRPr="00975C02">
        <w:rPr>
          <w:kern w:val="2"/>
          <w:sz w:val="20"/>
          <w:szCs w:val="20"/>
          <w:lang w:val="es-ES" w:eastAsia="en-US"/>
        </w:rPr>
        <w:t xml:space="preserve"> determinados delitos, como los referidos a agresiones sexuales, especialmente la violación sexual</w:t>
      </w:r>
      <w:r w:rsidR="00CD012D" w:rsidRPr="00975C02">
        <w:rPr>
          <w:kern w:val="2"/>
          <w:sz w:val="20"/>
          <w:szCs w:val="20"/>
          <w:vertAlign w:val="superscript"/>
          <w:lang w:val="es-ES" w:eastAsia="en-US"/>
        </w:rPr>
        <w:footnoteReference w:id="223"/>
      </w:r>
      <w:r w:rsidR="00CD012D" w:rsidRPr="00975C02">
        <w:rPr>
          <w:kern w:val="2"/>
          <w:sz w:val="20"/>
          <w:szCs w:val="20"/>
          <w:lang w:val="es-ES" w:eastAsia="en-US"/>
        </w:rPr>
        <w:t>.</w:t>
      </w:r>
    </w:p>
    <w:p w14:paraId="7E5F7DBA" w14:textId="77777777" w:rsidR="00F977EC" w:rsidRPr="00975C02" w:rsidRDefault="00F977EC" w:rsidP="00F977EC">
      <w:pPr>
        <w:widowControl/>
        <w:tabs>
          <w:tab w:val="left" w:pos="567"/>
        </w:tabs>
        <w:adjustRightInd/>
        <w:spacing w:line="240" w:lineRule="auto"/>
        <w:textAlignment w:val="auto"/>
        <w:rPr>
          <w:b/>
          <w:kern w:val="2"/>
          <w:sz w:val="20"/>
          <w:szCs w:val="20"/>
          <w:lang w:val="es-ES" w:eastAsia="en-US"/>
        </w:rPr>
      </w:pPr>
    </w:p>
    <w:p w14:paraId="30675177" w14:textId="3421EA5F" w:rsidR="00A954C6" w:rsidRPr="00975C02" w:rsidRDefault="00A954C6" w:rsidP="0030311C">
      <w:pPr>
        <w:widowControl/>
        <w:numPr>
          <w:ilvl w:val="0"/>
          <w:numId w:val="2"/>
        </w:numPr>
        <w:tabs>
          <w:tab w:val="left" w:pos="567"/>
          <w:tab w:val="num" w:pos="12305"/>
        </w:tabs>
        <w:adjustRightInd/>
        <w:spacing w:line="240" w:lineRule="auto"/>
        <w:ind w:left="0" w:firstLine="0"/>
        <w:textAlignment w:val="auto"/>
        <w:rPr>
          <w:kern w:val="2"/>
          <w:sz w:val="20"/>
          <w:szCs w:val="20"/>
          <w:lang w:val="es-ES" w:eastAsia="en-US"/>
        </w:rPr>
      </w:pPr>
      <w:r w:rsidRPr="00975C02">
        <w:rPr>
          <w:rFonts w:eastAsia="Arial" w:cs="Arial"/>
          <w:sz w:val="20"/>
          <w:szCs w:val="20"/>
          <w:lang w:val="es-ES"/>
        </w:rPr>
        <w:t>Por ende, a fin de asegurar efectivamente el derecho a ser oído, los Estados deben garantizar que el proceso se desarrolle en un entorno que no sea intimidatorio, hostil, insensible o inadecuado a la edad de la niña</w:t>
      </w:r>
      <w:r w:rsidR="006602F6" w:rsidRPr="00975C02">
        <w:rPr>
          <w:rFonts w:eastAsia="Arial" w:cs="Arial"/>
          <w:sz w:val="20"/>
          <w:szCs w:val="20"/>
          <w:lang w:val="es-ES"/>
        </w:rPr>
        <w:t>,</w:t>
      </w:r>
      <w:r w:rsidRPr="00975C02">
        <w:rPr>
          <w:rFonts w:eastAsia="Arial" w:cs="Arial"/>
          <w:sz w:val="20"/>
          <w:szCs w:val="20"/>
          <w:lang w:val="es-ES"/>
        </w:rPr>
        <w:t xml:space="preserve"> niño</w:t>
      </w:r>
      <w:r w:rsidR="006602F6" w:rsidRPr="00975C02">
        <w:rPr>
          <w:rFonts w:eastAsia="Arial" w:cs="Arial"/>
          <w:sz w:val="20"/>
          <w:szCs w:val="20"/>
          <w:lang w:val="es-ES"/>
        </w:rPr>
        <w:t xml:space="preserve"> o adolescente</w:t>
      </w:r>
      <w:r w:rsidRPr="00975C02">
        <w:rPr>
          <w:rFonts w:eastAsia="Arial" w:cs="Arial"/>
          <w:sz w:val="20"/>
          <w:szCs w:val="20"/>
          <w:lang w:val="es-ES"/>
        </w:rPr>
        <w:t xml:space="preserve"> y que el personal encargado de recibir el relato esté debidamente capacitado</w:t>
      </w:r>
      <w:r w:rsidRPr="00975C02">
        <w:rPr>
          <w:kern w:val="2"/>
          <w:sz w:val="20"/>
          <w:szCs w:val="20"/>
          <w:lang w:val="es-ES" w:eastAsia="en-US"/>
        </w:rPr>
        <w:t xml:space="preserve"> en la materia</w:t>
      </w:r>
      <w:r w:rsidRPr="00975C02">
        <w:rPr>
          <w:rFonts w:eastAsia="Arial" w:cs="Arial"/>
          <w:sz w:val="20"/>
          <w:szCs w:val="20"/>
          <w:lang w:val="es-ES"/>
        </w:rPr>
        <w:t xml:space="preserve">, de modo que </w:t>
      </w:r>
      <w:r w:rsidR="006602F6" w:rsidRPr="00975C02">
        <w:rPr>
          <w:rFonts w:eastAsia="Arial" w:cs="Arial"/>
          <w:sz w:val="20"/>
          <w:szCs w:val="20"/>
          <w:lang w:val="es-ES"/>
        </w:rPr>
        <w:t>aquél</w:t>
      </w:r>
      <w:r w:rsidRPr="00975C02">
        <w:rPr>
          <w:rFonts w:eastAsia="Arial" w:cs="Arial"/>
          <w:sz w:val="20"/>
          <w:szCs w:val="20"/>
          <w:lang w:val="es-ES"/>
        </w:rPr>
        <w:t xml:space="preserve"> se sienta respetado y seguro al momento de expresar su opinión en un entorno físico, psíquico y emocional adecuado</w:t>
      </w:r>
      <w:r w:rsidRPr="00975C02">
        <w:rPr>
          <w:rStyle w:val="FootnoteReference"/>
          <w:rFonts w:eastAsia="Arial" w:cs="Arial"/>
          <w:sz w:val="20"/>
          <w:szCs w:val="20"/>
          <w:lang w:val="es-ES"/>
        </w:rPr>
        <w:footnoteReference w:id="224"/>
      </w:r>
      <w:r w:rsidRPr="00975C02">
        <w:rPr>
          <w:rFonts w:eastAsia="Arial" w:cs="Arial"/>
          <w:sz w:val="20"/>
          <w:szCs w:val="20"/>
          <w:lang w:val="es-ES"/>
        </w:rPr>
        <w:t>.</w:t>
      </w:r>
      <w:r w:rsidR="0030311C" w:rsidRPr="00975C02">
        <w:rPr>
          <w:rFonts w:eastAsia="Arial" w:cs="Arial"/>
          <w:sz w:val="20"/>
          <w:szCs w:val="20"/>
          <w:lang w:val="es-ES"/>
        </w:rPr>
        <w:t xml:space="preserve"> </w:t>
      </w:r>
      <w:r w:rsidR="0030311C" w:rsidRPr="00975C02">
        <w:rPr>
          <w:kern w:val="2"/>
          <w:sz w:val="20"/>
          <w:szCs w:val="20"/>
          <w:lang w:val="es-ES" w:eastAsia="en-US"/>
        </w:rPr>
        <w:t xml:space="preserve">Las niñas, niños y adolescentes deberán ser tratados a lo largo del proceso penal con tacto y </w:t>
      </w:r>
      <w:r w:rsidR="0030311C" w:rsidRPr="00975C02">
        <w:rPr>
          <w:rFonts w:eastAsia="Arial" w:cs="Arial"/>
          <w:sz w:val="20"/>
          <w:szCs w:val="20"/>
          <w:lang w:val="es-ES"/>
        </w:rPr>
        <w:t>sensibilidad</w:t>
      </w:r>
      <w:r w:rsidR="00A87654" w:rsidRPr="00975C02">
        <w:rPr>
          <w:rStyle w:val="FootnoteReference"/>
          <w:rFonts w:eastAsia="Arial" w:cs="Arial"/>
          <w:sz w:val="20"/>
          <w:szCs w:val="20"/>
          <w:lang w:val="es-ES"/>
        </w:rPr>
        <w:footnoteReference w:id="225"/>
      </w:r>
      <w:r w:rsidR="0030311C" w:rsidRPr="00975C02">
        <w:rPr>
          <w:kern w:val="2"/>
          <w:sz w:val="20"/>
          <w:szCs w:val="20"/>
          <w:lang w:val="es-ES" w:eastAsia="en-US"/>
        </w:rPr>
        <w:t>.</w:t>
      </w:r>
      <w:r w:rsidR="008D0463" w:rsidRPr="00975C02">
        <w:rPr>
          <w:kern w:val="2"/>
          <w:sz w:val="20"/>
          <w:szCs w:val="20"/>
          <w:lang w:val="es-ES" w:eastAsia="en-US"/>
        </w:rPr>
        <w:t xml:space="preserve"> Se buscará explicarle la razón y utilidad de las diligencias a llevarse a cabo o la naturaleza de los peritajes a los cuales se le someterá, siempre con base en su edad, grado de madurez y desarrollo, y conforme a su derecho a la información</w:t>
      </w:r>
      <w:r w:rsidR="00A87654" w:rsidRPr="00975C02">
        <w:rPr>
          <w:rStyle w:val="FootnoteReference"/>
          <w:kern w:val="2"/>
          <w:sz w:val="20"/>
          <w:szCs w:val="20"/>
          <w:lang w:val="es-ES" w:eastAsia="en-US"/>
        </w:rPr>
        <w:footnoteReference w:id="226"/>
      </w:r>
      <w:r w:rsidR="008D0463" w:rsidRPr="00975C02">
        <w:rPr>
          <w:kern w:val="2"/>
          <w:sz w:val="20"/>
          <w:szCs w:val="20"/>
          <w:lang w:val="es-ES" w:eastAsia="en-US"/>
        </w:rPr>
        <w:t>.</w:t>
      </w:r>
    </w:p>
    <w:p w14:paraId="06AD16AE" w14:textId="77777777" w:rsidR="00A954C6" w:rsidRPr="00975C02" w:rsidRDefault="00A954C6" w:rsidP="00B5625C">
      <w:pPr>
        <w:widowControl/>
        <w:adjustRightInd/>
        <w:spacing w:line="240" w:lineRule="auto"/>
        <w:jc w:val="left"/>
        <w:textAlignment w:val="auto"/>
        <w:rPr>
          <w:b/>
          <w:kern w:val="2"/>
          <w:sz w:val="20"/>
          <w:szCs w:val="20"/>
          <w:lang w:val="es-ES" w:eastAsia="en-US"/>
        </w:rPr>
      </w:pPr>
    </w:p>
    <w:p w14:paraId="394BB986" w14:textId="4AE50E6D" w:rsidR="00422D55" w:rsidRPr="00975C02" w:rsidRDefault="00C22431" w:rsidP="00C22431">
      <w:pPr>
        <w:widowControl/>
        <w:numPr>
          <w:ilvl w:val="0"/>
          <w:numId w:val="2"/>
        </w:numPr>
        <w:tabs>
          <w:tab w:val="left" w:pos="567"/>
          <w:tab w:val="num" w:pos="12305"/>
        </w:tabs>
        <w:adjustRightInd/>
        <w:spacing w:line="240" w:lineRule="auto"/>
        <w:ind w:left="0" w:firstLine="0"/>
        <w:textAlignment w:val="auto"/>
        <w:rPr>
          <w:b/>
          <w:kern w:val="2"/>
          <w:sz w:val="20"/>
          <w:szCs w:val="20"/>
          <w:lang w:val="es-ES" w:eastAsia="en-US"/>
        </w:rPr>
      </w:pPr>
      <w:r w:rsidRPr="00975C02">
        <w:rPr>
          <w:kern w:val="2"/>
          <w:sz w:val="20"/>
          <w:szCs w:val="20"/>
          <w:lang w:val="es-ES" w:eastAsia="en-US"/>
        </w:rPr>
        <w:t>Las autoridades estatales deberán tomar en cuenta las opiniones de las víctimas, respetando en todo momento su intimidad y la confidencialidad de la información, de ser el caso, evitando en todo momento la participación de estos en una cantidad excesiva de intervenciones o su exposición al público, adoptando las medidas que sean necesarias para evitar su sufrimiento durante el proceso y causarle ulteriores daños</w:t>
      </w:r>
      <w:r w:rsidRPr="00975C02">
        <w:rPr>
          <w:kern w:val="2"/>
          <w:sz w:val="20"/>
          <w:szCs w:val="20"/>
          <w:vertAlign w:val="superscript"/>
          <w:lang w:val="es-ES" w:eastAsia="en-US"/>
        </w:rPr>
        <w:footnoteReference w:id="227"/>
      </w:r>
      <w:r w:rsidRPr="00975C02">
        <w:rPr>
          <w:kern w:val="2"/>
          <w:sz w:val="20"/>
          <w:szCs w:val="20"/>
          <w:lang w:val="es-ES" w:eastAsia="en-US"/>
        </w:rPr>
        <w:t xml:space="preserve">. </w:t>
      </w:r>
      <w:r w:rsidR="00422D55" w:rsidRPr="00975C02">
        <w:rPr>
          <w:kern w:val="2"/>
          <w:sz w:val="20"/>
          <w:szCs w:val="20"/>
          <w:lang w:val="es-ES" w:eastAsia="en-US"/>
        </w:rPr>
        <w:t>La exigencia de personal capacitado, incluyendo autoridades fiscales, judiciales, administrativas, personal de salud, en</w:t>
      </w:r>
      <w:r w:rsidR="006602F6" w:rsidRPr="00975C02">
        <w:rPr>
          <w:kern w:val="2"/>
          <w:sz w:val="20"/>
          <w:szCs w:val="20"/>
          <w:lang w:val="es-ES" w:eastAsia="en-US"/>
        </w:rPr>
        <w:t>tre</w:t>
      </w:r>
      <w:r w:rsidR="00422D55" w:rsidRPr="00975C02">
        <w:rPr>
          <w:kern w:val="2"/>
          <w:sz w:val="20"/>
          <w:szCs w:val="20"/>
          <w:lang w:val="es-ES" w:eastAsia="en-US"/>
        </w:rPr>
        <w:t xml:space="preserve"> otras, significará además que dicho </w:t>
      </w:r>
      <w:r w:rsidR="00422D55" w:rsidRPr="00975C02">
        <w:rPr>
          <w:kern w:val="2"/>
          <w:sz w:val="20"/>
          <w:szCs w:val="20"/>
          <w:lang w:val="es-ES" w:eastAsia="en-US"/>
        </w:rPr>
        <w:lastRenderedPageBreak/>
        <w:t>personal se comunicará con las niñas</w:t>
      </w:r>
      <w:r w:rsidR="006602F6" w:rsidRPr="00975C02">
        <w:rPr>
          <w:kern w:val="2"/>
          <w:sz w:val="20"/>
          <w:szCs w:val="20"/>
          <w:lang w:val="es-ES" w:eastAsia="en-US"/>
        </w:rPr>
        <w:t>, niños y adolescentes</w:t>
      </w:r>
      <w:r w:rsidR="00422D55" w:rsidRPr="00975C02">
        <w:rPr>
          <w:kern w:val="2"/>
          <w:sz w:val="20"/>
          <w:szCs w:val="20"/>
          <w:lang w:val="es-ES" w:eastAsia="en-US"/>
        </w:rPr>
        <w:t xml:space="preserve"> en un lenguaje adecuado y terminología conforme a su edad, que permitirán que relaten los hechos ocurridos o sus vivencias de la manera que elijan, sin la utilización de un lenguaje ofensivo, discriminatorio </w:t>
      </w:r>
      <w:r w:rsidR="006602F6" w:rsidRPr="00975C02">
        <w:rPr>
          <w:kern w:val="2"/>
          <w:sz w:val="20"/>
          <w:szCs w:val="20"/>
          <w:lang w:val="es-ES" w:eastAsia="en-US"/>
        </w:rPr>
        <w:t xml:space="preserve">o </w:t>
      </w:r>
      <w:r w:rsidR="00422D55" w:rsidRPr="00975C02">
        <w:rPr>
          <w:kern w:val="2"/>
          <w:sz w:val="20"/>
          <w:szCs w:val="20"/>
          <w:lang w:val="es-ES" w:eastAsia="en-US"/>
        </w:rPr>
        <w:t>estigmatizante</w:t>
      </w:r>
      <w:r w:rsidR="00422D55" w:rsidRPr="00975C02">
        <w:rPr>
          <w:kern w:val="2"/>
          <w:sz w:val="20"/>
          <w:szCs w:val="20"/>
          <w:vertAlign w:val="superscript"/>
          <w:lang w:val="es-ES" w:eastAsia="en-US"/>
        </w:rPr>
        <w:footnoteReference w:id="228"/>
      </w:r>
      <w:r w:rsidR="00422D55" w:rsidRPr="00975C02">
        <w:rPr>
          <w:kern w:val="2"/>
          <w:sz w:val="20"/>
          <w:szCs w:val="20"/>
          <w:lang w:val="es-ES" w:eastAsia="en-US"/>
        </w:rPr>
        <w:t>.</w:t>
      </w:r>
    </w:p>
    <w:p w14:paraId="291918E1" w14:textId="77777777" w:rsidR="00422D55" w:rsidRPr="00975C02" w:rsidRDefault="00422D55" w:rsidP="008C1277">
      <w:pPr>
        <w:widowControl/>
        <w:tabs>
          <w:tab w:val="left" w:pos="567"/>
        </w:tabs>
        <w:adjustRightInd/>
        <w:spacing w:line="240" w:lineRule="auto"/>
        <w:textAlignment w:val="auto"/>
        <w:rPr>
          <w:b/>
          <w:kern w:val="2"/>
          <w:sz w:val="20"/>
          <w:szCs w:val="20"/>
          <w:lang w:val="es-ES" w:eastAsia="en-US"/>
        </w:rPr>
      </w:pPr>
    </w:p>
    <w:p w14:paraId="42DC495A" w14:textId="020048AE" w:rsidR="001F3796" w:rsidRPr="00975C02" w:rsidRDefault="00B500E0" w:rsidP="008C1277">
      <w:pPr>
        <w:widowControl/>
        <w:numPr>
          <w:ilvl w:val="0"/>
          <w:numId w:val="2"/>
        </w:numPr>
        <w:tabs>
          <w:tab w:val="left" w:pos="567"/>
          <w:tab w:val="num" w:pos="12305"/>
        </w:tabs>
        <w:adjustRightInd/>
        <w:spacing w:line="240" w:lineRule="auto"/>
        <w:ind w:left="0" w:firstLine="0"/>
        <w:textAlignment w:val="auto"/>
        <w:rPr>
          <w:kern w:val="2"/>
          <w:sz w:val="20"/>
          <w:szCs w:val="20"/>
          <w:lang w:val="es-ES" w:eastAsia="en-US"/>
        </w:rPr>
      </w:pPr>
      <w:r w:rsidRPr="00975C02">
        <w:rPr>
          <w:kern w:val="2"/>
          <w:sz w:val="20"/>
          <w:szCs w:val="20"/>
          <w:lang w:val="es-ES" w:eastAsia="en-US"/>
        </w:rPr>
        <w:t xml:space="preserve">En esta línea, la Corte estima que, </w:t>
      </w:r>
      <w:r w:rsidR="00E07D1F" w:rsidRPr="00975C02">
        <w:rPr>
          <w:kern w:val="2"/>
          <w:sz w:val="20"/>
          <w:szCs w:val="20"/>
          <w:lang w:val="es-ES" w:eastAsia="en-US"/>
        </w:rPr>
        <w:t>de considerarse pertinente la declaración de la niña</w:t>
      </w:r>
      <w:r w:rsidR="006602F6" w:rsidRPr="00975C02">
        <w:rPr>
          <w:kern w:val="2"/>
          <w:sz w:val="20"/>
          <w:szCs w:val="20"/>
          <w:lang w:val="es-ES" w:eastAsia="en-US"/>
        </w:rPr>
        <w:t>, niño o adolescente</w:t>
      </w:r>
      <w:r w:rsidRPr="00975C02">
        <w:rPr>
          <w:kern w:val="2"/>
          <w:sz w:val="20"/>
          <w:szCs w:val="20"/>
          <w:lang w:val="es-ES" w:eastAsia="en-US"/>
        </w:rPr>
        <w:t xml:space="preserve"> en tanto víctima del delito</w:t>
      </w:r>
      <w:r w:rsidR="00E07D1F" w:rsidRPr="00975C02">
        <w:rPr>
          <w:kern w:val="2"/>
          <w:sz w:val="20"/>
          <w:szCs w:val="20"/>
          <w:lang w:val="es-ES" w:eastAsia="en-US"/>
        </w:rPr>
        <w:t xml:space="preserve">, </w:t>
      </w:r>
      <w:r w:rsidRPr="00975C02">
        <w:rPr>
          <w:kern w:val="2"/>
          <w:sz w:val="20"/>
          <w:szCs w:val="20"/>
          <w:lang w:val="es-ES" w:eastAsia="en-US"/>
        </w:rPr>
        <w:t xml:space="preserve">la </w:t>
      </w:r>
      <w:r w:rsidR="00E07D1F" w:rsidRPr="00975C02">
        <w:rPr>
          <w:kern w:val="2"/>
          <w:sz w:val="20"/>
          <w:szCs w:val="20"/>
          <w:lang w:val="es-ES" w:eastAsia="en-US"/>
        </w:rPr>
        <w:t xml:space="preserve">entrevista deberá llevarse a cabo por un psicólogo </w:t>
      </w:r>
      <w:r w:rsidR="00C951D1" w:rsidRPr="00975C02">
        <w:rPr>
          <w:kern w:val="2"/>
          <w:sz w:val="20"/>
          <w:szCs w:val="20"/>
          <w:lang w:val="es-ES" w:eastAsia="en-US"/>
        </w:rPr>
        <w:t xml:space="preserve">especializado </w:t>
      </w:r>
      <w:r w:rsidR="00E07D1F" w:rsidRPr="00975C02">
        <w:rPr>
          <w:kern w:val="2"/>
          <w:sz w:val="20"/>
          <w:szCs w:val="20"/>
          <w:lang w:val="es-ES" w:eastAsia="en-US"/>
        </w:rPr>
        <w:t xml:space="preserve">o </w:t>
      </w:r>
      <w:r w:rsidR="00C951D1" w:rsidRPr="00975C02">
        <w:rPr>
          <w:kern w:val="2"/>
          <w:sz w:val="20"/>
          <w:szCs w:val="20"/>
          <w:lang w:val="es-ES" w:eastAsia="en-US"/>
        </w:rPr>
        <w:t>un profesional de disciplinas afines debidamente capacitado en la toma de este tipo de declaraciones. Dicho profesional</w:t>
      </w:r>
      <w:r w:rsidR="00E07D1F" w:rsidRPr="00975C02">
        <w:rPr>
          <w:kern w:val="2"/>
          <w:sz w:val="20"/>
          <w:szCs w:val="20"/>
          <w:lang w:val="es-ES" w:eastAsia="en-US"/>
        </w:rPr>
        <w:t xml:space="preserve"> le permitirá a</w:t>
      </w:r>
      <w:r w:rsidRPr="00975C02">
        <w:rPr>
          <w:kern w:val="2"/>
          <w:sz w:val="20"/>
          <w:szCs w:val="20"/>
          <w:lang w:val="es-ES" w:eastAsia="en-US"/>
        </w:rPr>
        <w:t xml:space="preserve"> </w:t>
      </w:r>
      <w:r w:rsidR="00E07D1F" w:rsidRPr="00975C02">
        <w:rPr>
          <w:kern w:val="2"/>
          <w:sz w:val="20"/>
          <w:szCs w:val="20"/>
          <w:lang w:val="es-ES" w:eastAsia="en-US"/>
        </w:rPr>
        <w:t>l</w:t>
      </w:r>
      <w:r w:rsidRPr="00975C02">
        <w:rPr>
          <w:kern w:val="2"/>
          <w:sz w:val="20"/>
          <w:szCs w:val="20"/>
          <w:lang w:val="es-ES" w:eastAsia="en-US"/>
        </w:rPr>
        <w:t>a</w:t>
      </w:r>
      <w:r w:rsidR="00E07D1F" w:rsidRPr="00975C02">
        <w:rPr>
          <w:kern w:val="2"/>
          <w:sz w:val="20"/>
          <w:szCs w:val="20"/>
          <w:lang w:val="es-ES" w:eastAsia="en-US"/>
        </w:rPr>
        <w:t xml:space="preserve"> niña</w:t>
      </w:r>
      <w:r w:rsidR="006602F6" w:rsidRPr="00975C02">
        <w:rPr>
          <w:kern w:val="2"/>
          <w:sz w:val="20"/>
          <w:szCs w:val="20"/>
          <w:lang w:val="es-ES" w:eastAsia="en-US"/>
        </w:rPr>
        <w:t>, niño o adolescente</w:t>
      </w:r>
      <w:r w:rsidR="00E07D1F" w:rsidRPr="00975C02">
        <w:rPr>
          <w:kern w:val="2"/>
          <w:sz w:val="20"/>
          <w:szCs w:val="20"/>
          <w:lang w:val="es-ES" w:eastAsia="en-US"/>
        </w:rPr>
        <w:t xml:space="preserve"> expresarse de la manera que elija y de forma adaptada a </w:t>
      </w:r>
      <w:r w:rsidR="006602F6" w:rsidRPr="00975C02">
        <w:rPr>
          <w:kern w:val="2"/>
          <w:sz w:val="20"/>
          <w:szCs w:val="20"/>
          <w:lang w:val="es-ES" w:eastAsia="en-US"/>
        </w:rPr>
        <w:t>sus requerimientos</w:t>
      </w:r>
      <w:r w:rsidR="00E07D1F" w:rsidRPr="00975C02">
        <w:rPr>
          <w:kern w:val="2"/>
          <w:sz w:val="20"/>
          <w:szCs w:val="20"/>
          <w:lang w:val="es-ES" w:eastAsia="en-US"/>
        </w:rPr>
        <w:t>, no pudiendo ser interrogad</w:t>
      </w:r>
      <w:r w:rsidRPr="00975C02">
        <w:rPr>
          <w:kern w:val="2"/>
          <w:sz w:val="20"/>
          <w:szCs w:val="20"/>
          <w:lang w:val="es-ES" w:eastAsia="en-US"/>
        </w:rPr>
        <w:t>a</w:t>
      </w:r>
      <w:r w:rsidR="00E07D1F" w:rsidRPr="00975C02">
        <w:rPr>
          <w:kern w:val="2"/>
          <w:sz w:val="20"/>
          <w:szCs w:val="20"/>
          <w:lang w:val="es-ES" w:eastAsia="en-US"/>
        </w:rPr>
        <w:t xml:space="preserve"> en forma directa por </w:t>
      </w:r>
      <w:r w:rsidR="00E07D1F" w:rsidRPr="00DD558D">
        <w:rPr>
          <w:kern w:val="2"/>
          <w:sz w:val="20"/>
          <w:szCs w:val="20"/>
          <w:lang w:val="es-ES" w:eastAsia="en-US"/>
        </w:rPr>
        <w:t xml:space="preserve">el tribunal o </w:t>
      </w:r>
      <w:r w:rsidR="00E07D1F" w:rsidRPr="00975C02">
        <w:rPr>
          <w:kern w:val="2"/>
          <w:sz w:val="20"/>
          <w:szCs w:val="20"/>
          <w:lang w:val="es-ES" w:eastAsia="en-US"/>
        </w:rPr>
        <w:t>las partes</w:t>
      </w:r>
      <w:r w:rsidR="00D217C7" w:rsidRPr="00975C02">
        <w:rPr>
          <w:kern w:val="2"/>
          <w:sz w:val="20"/>
          <w:szCs w:val="20"/>
          <w:vertAlign w:val="superscript"/>
          <w:lang w:val="es-ES" w:eastAsia="en-US"/>
        </w:rPr>
        <w:footnoteReference w:id="229"/>
      </w:r>
      <w:r w:rsidR="00E07D1F" w:rsidRPr="00975C02">
        <w:rPr>
          <w:kern w:val="2"/>
          <w:sz w:val="20"/>
          <w:szCs w:val="20"/>
          <w:lang w:val="es-ES" w:eastAsia="en-US"/>
        </w:rPr>
        <w:t xml:space="preserve">. </w:t>
      </w:r>
      <w:r w:rsidR="00A954C6" w:rsidRPr="00975C02">
        <w:rPr>
          <w:kern w:val="2"/>
          <w:sz w:val="20"/>
          <w:szCs w:val="20"/>
          <w:lang w:val="es-ES" w:eastAsia="en-US"/>
        </w:rPr>
        <w:t xml:space="preserve">La entrevista </w:t>
      </w:r>
      <w:r w:rsidRPr="00975C02">
        <w:rPr>
          <w:kern w:val="2"/>
          <w:sz w:val="20"/>
          <w:szCs w:val="20"/>
          <w:lang w:val="es-ES" w:eastAsia="en-US"/>
        </w:rPr>
        <w:t>buscará obtener información precisa, confiable y completa de lo ocurrido a través del relato de la víctima.</w:t>
      </w:r>
      <w:r w:rsidR="00A954C6" w:rsidRPr="00975C02">
        <w:rPr>
          <w:kern w:val="2"/>
          <w:sz w:val="20"/>
          <w:szCs w:val="20"/>
          <w:lang w:val="es-ES" w:eastAsia="en-US"/>
        </w:rPr>
        <w:t xml:space="preserve"> Para ello, l</w:t>
      </w:r>
      <w:r w:rsidR="00E07D1F" w:rsidRPr="00975C02">
        <w:rPr>
          <w:kern w:val="2"/>
          <w:sz w:val="20"/>
          <w:szCs w:val="20"/>
          <w:lang w:val="es-ES" w:eastAsia="en-US"/>
        </w:rPr>
        <w:t>as salas de entrevistas otorgarán un entorno seguro y no intimidatorio, hostil, insensible o inadecuado</w:t>
      </w:r>
      <w:r w:rsidR="00D217C7" w:rsidRPr="00975C02">
        <w:rPr>
          <w:kern w:val="2"/>
          <w:sz w:val="20"/>
          <w:szCs w:val="20"/>
          <w:lang w:val="es-ES" w:eastAsia="en-US"/>
        </w:rPr>
        <w:t xml:space="preserve"> (</w:t>
      </w:r>
      <w:r w:rsidR="00D217C7" w:rsidRPr="00975C02">
        <w:rPr>
          <w:i/>
          <w:kern w:val="2"/>
          <w:sz w:val="20"/>
          <w:szCs w:val="20"/>
          <w:lang w:val="es-ES" w:eastAsia="en-US"/>
        </w:rPr>
        <w:t>supra</w:t>
      </w:r>
      <w:r w:rsidR="00D217C7" w:rsidRPr="00975C02">
        <w:rPr>
          <w:kern w:val="2"/>
          <w:sz w:val="20"/>
          <w:szCs w:val="20"/>
          <w:lang w:val="es-ES" w:eastAsia="en-US"/>
        </w:rPr>
        <w:t xml:space="preserve"> párr. 166)</w:t>
      </w:r>
      <w:r w:rsidR="00E07D1F" w:rsidRPr="00975C02">
        <w:rPr>
          <w:kern w:val="2"/>
          <w:sz w:val="20"/>
          <w:szCs w:val="20"/>
          <w:lang w:val="es-ES" w:eastAsia="en-US"/>
        </w:rPr>
        <w:t>, que les brinde privacidad y confianza</w:t>
      </w:r>
      <w:r w:rsidR="00E07D1F" w:rsidRPr="00975C02">
        <w:rPr>
          <w:kern w:val="2"/>
          <w:sz w:val="20"/>
          <w:szCs w:val="20"/>
          <w:vertAlign w:val="superscript"/>
          <w:lang w:val="es-ES" w:eastAsia="en-US"/>
        </w:rPr>
        <w:footnoteReference w:id="230"/>
      </w:r>
      <w:r w:rsidR="00A954C6" w:rsidRPr="00975C02">
        <w:rPr>
          <w:kern w:val="2"/>
          <w:sz w:val="20"/>
          <w:szCs w:val="20"/>
          <w:lang w:val="es-ES" w:eastAsia="en-US"/>
        </w:rPr>
        <w:t>.</w:t>
      </w:r>
      <w:r w:rsidR="00E07D1F" w:rsidRPr="00975C02">
        <w:rPr>
          <w:kern w:val="2"/>
          <w:sz w:val="20"/>
          <w:szCs w:val="20"/>
          <w:lang w:val="es-ES" w:eastAsia="en-US"/>
        </w:rPr>
        <w:t xml:space="preserve"> </w:t>
      </w:r>
      <w:r w:rsidR="00A954C6" w:rsidRPr="00975C02">
        <w:rPr>
          <w:kern w:val="2"/>
          <w:sz w:val="20"/>
          <w:szCs w:val="20"/>
          <w:lang w:val="es-ES" w:eastAsia="en-US"/>
        </w:rPr>
        <w:t>Asimismo, deberá</w:t>
      </w:r>
      <w:r w:rsidR="00E07D1F" w:rsidRPr="00975C02">
        <w:rPr>
          <w:kern w:val="2"/>
          <w:sz w:val="20"/>
          <w:szCs w:val="20"/>
          <w:lang w:val="es-ES" w:eastAsia="en-US"/>
        </w:rPr>
        <w:t xml:space="preserve"> procurar</w:t>
      </w:r>
      <w:r w:rsidR="00A954C6" w:rsidRPr="00975C02">
        <w:rPr>
          <w:kern w:val="2"/>
          <w:sz w:val="20"/>
          <w:szCs w:val="20"/>
          <w:lang w:val="es-ES" w:eastAsia="en-US"/>
        </w:rPr>
        <w:t>se</w:t>
      </w:r>
      <w:r w:rsidR="00E07D1F" w:rsidRPr="00975C02">
        <w:rPr>
          <w:kern w:val="2"/>
          <w:sz w:val="20"/>
          <w:szCs w:val="20"/>
          <w:lang w:val="es-ES" w:eastAsia="en-US"/>
        </w:rPr>
        <w:t xml:space="preserve"> que l</w:t>
      </w:r>
      <w:r w:rsidR="00A954C6" w:rsidRPr="00975C02">
        <w:rPr>
          <w:kern w:val="2"/>
          <w:sz w:val="20"/>
          <w:szCs w:val="20"/>
          <w:lang w:val="es-ES" w:eastAsia="en-US"/>
        </w:rPr>
        <w:t>a</w:t>
      </w:r>
      <w:r w:rsidR="00E07D1F" w:rsidRPr="00975C02">
        <w:rPr>
          <w:kern w:val="2"/>
          <w:sz w:val="20"/>
          <w:szCs w:val="20"/>
          <w:lang w:val="es-ES" w:eastAsia="en-US"/>
        </w:rPr>
        <w:t>s niñ</w:t>
      </w:r>
      <w:r w:rsidR="00A954C6" w:rsidRPr="00975C02">
        <w:rPr>
          <w:kern w:val="2"/>
          <w:sz w:val="20"/>
          <w:szCs w:val="20"/>
          <w:lang w:val="es-ES" w:eastAsia="en-US"/>
        </w:rPr>
        <w:t>a</w:t>
      </w:r>
      <w:r w:rsidR="00E07D1F" w:rsidRPr="00975C02">
        <w:rPr>
          <w:kern w:val="2"/>
          <w:sz w:val="20"/>
          <w:szCs w:val="20"/>
          <w:lang w:val="es-ES" w:eastAsia="en-US"/>
        </w:rPr>
        <w:t>s</w:t>
      </w:r>
      <w:r w:rsidR="008F3D97" w:rsidRPr="00975C02">
        <w:rPr>
          <w:kern w:val="2"/>
          <w:sz w:val="20"/>
          <w:szCs w:val="20"/>
          <w:lang w:val="es-ES" w:eastAsia="en-US"/>
        </w:rPr>
        <w:t xml:space="preserve">, </w:t>
      </w:r>
      <w:r w:rsidR="00E07D1F" w:rsidRPr="00975C02">
        <w:rPr>
          <w:kern w:val="2"/>
          <w:sz w:val="20"/>
          <w:szCs w:val="20"/>
          <w:lang w:val="es-ES" w:eastAsia="en-US"/>
        </w:rPr>
        <w:t>niñ</w:t>
      </w:r>
      <w:r w:rsidR="00A954C6" w:rsidRPr="00975C02">
        <w:rPr>
          <w:kern w:val="2"/>
          <w:sz w:val="20"/>
          <w:szCs w:val="20"/>
          <w:lang w:val="es-ES" w:eastAsia="en-US"/>
        </w:rPr>
        <w:t>o</w:t>
      </w:r>
      <w:r w:rsidR="00E07D1F" w:rsidRPr="00975C02">
        <w:rPr>
          <w:kern w:val="2"/>
          <w:sz w:val="20"/>
          <w:szCs w:val="20"/>
          <w:lang w:val="es-ES" w:eastAsia="en-US"/>
        </w:rPr>
        <w:t>s</w:t>
      </w:r>
      <w:r w:rsidR="008F3D97" w:rsidRPr="00975C02">
        <w:rPr>
          <w:kern w:val="2"/>
          <w:sz w:val="20"/>
          <w:szCs w:val="20"/>
          <w:lang w:val="es-ES" w:eastAsia="en-US"/>
        </w:rPr>
        <w:t xml:space="preserve"> y adolescentes</w:t>
      </w:r>
      <w:r w:rsidR="00E07D1F" w:rsidRPr="00975C02">
        <w:rPr>
          <w:kern w:val="2"/>
          <w:sz w:val="20"/>
          <w:szCs w:val="20"/>
          <w:lang w:val="es-ES" w:eastAsia="en-US"/>
        </w:rPr>
        <w:t xml:space="preserve"> no sean interrogados en más ocasiones que las </w:t>
      </w:r>
      <w:r w:rsidR="00654B1D" w:rsidRPr="00975C02">
        <w:rPr>
          <w:kern w:val="2"/>
          <w:sz w:val="20"/>
          <w:szCs w:val="20"/>
          <w:lang w:val="es-ES" w:eastAsia="en-US"/>
        </w:rPr>
        <w:t xml:space="preserve">estrictamente </w:t>
      </w:r>
      <w:r w:rsidR="00E07D1F" w:rsidRPr="00975C02">
        <w:rPr>
          <w:kern w:val="2"/>
          <w:sz w:val="20"/>
          <w:szCs w:val="20"/>
          <w:lang w:val="es-ES" w:eastAsia="en-US"/>
        </w:rPr>
        <w:t>necesarias</w:t>
      </w:r>
      <w:r w:rsidR="00C951D1" w:rsidRPr="00975C02">
        <w:rPr>
          <w:kern w:val="2"/>
          <w:sz w:val="20"/>
          <w:szCs w:val="20"/>
          <w:lang w:val="es-ES" w:eastAsia="en-US"/>
        </w:rPr>
        <w:t>, atendiendo a su interés superior</w:t>
      </w:r>
      <w:r w:rsidR="00E07D1F" w:rsidRPr="00975C02">
        <w:rPr>
          <w:kern w:val="2"/>
          <w:sz w:val="20"/>
          <w:szCs w:val="20"/>
          <w:lang w:val="es-ES" w:eastAsia="en-US"/>
        </w:rPr>
        <w:t>, para evitar</w:t>
      </w:r>
      <w:r w:rsidR="00E07D1F" w:rsidRPr="00975C02">
        <w:rPr>
          <w:i/>
          <w:kern w:val="2"/>
          <w:sz w:val="20"/>
          <w:szCs w:val="20"/>
          <w:lang w:val="es-ES" w:eastAsia="en-US"/>
        </w:rPr>
        <w:t xml:space="preserve"> </w:t>
      </w:r>
      <w:r w:rsidR="00E07D1F" w:rsidRPr="00975C02">
        <w:rPr>
          <w:kern w:val="2"/>
          <w:sz w:val="20"/>
          <w:szCs w:val="20"/>
          <w:lang w:val="es-ES" w:eastAsia="en-US"/>
        </w:rPr>
        <w:t>la revictimización o un impacto traumático</w:t>
      </w:r>
      <w:r w:rsidR="00E07D1F" w:rsidRPr="00975C02">
        <w:rPr>
          <w:kern w:val="2"/>
          <w:sz w:val="20"/>
          <w:szCs w:val="20"/>
          <w:vertAlign w:val="superscript"/>
          <w:lang w:val="es-ES" w:eastAsia="en-US"/>
        </w:rPr>
        <w:footnoteReference w:id="231"/>
      </w:r>
      <w:r w:rsidR="003F51D3" w:rsidRPr="00975C02">
        <w:rPr>
          <w:kern w:val="2"/>
          <w:sz w:val="20"/>
          <w:szCs w:val="20"/>
          <w:lang w:val="es-ES" w:eastAsia="en-US"/>
        </w:rPr>
        <w:t>.</w:t>
      </w:r>
      <w:r w:rsidR="001F3796" w:rsidRPr="00975C02">
        <w:rPr>
          <w:kern w:val="2"/>
          <w:sz w:val="20"/>
          <w:szCs w:val="20"/>
          <w:lang w:val="es-ES" w:eastAsia="en-US"/>
        </w:rPr>
        <w:t xml:space="preserve"> </w:t>
      </w:r>
      <w:r w:rsidR="00197777" w:rsidRPr="00975C02">
        <w:rPr>
          <w:kern w:val="2"/>
          <w:sz w:val="20"/>
          <w:szCs w:val="20"/>
          <w:lang w:val="es-ES" w:eastAsia="en-US"/>
        </w:rPr>
        <w:t>L</w:t>
      </w:r>
      <w:r w:rsidR="00277031" w:rsidRPr="00975C02">
        <w:rPr>
          <w:kern w:val="2"/>
          <w:sz w:val="20"/>
          <w:szCs w:val="20"/>
          <w:lang w:val="es-ES" w:eastAsia="en-US"/>
        </w:rPr>
        <w:t xml:space="preserve">a Corte resalta que varios </w:t>
      </w:r>
      <w:r w:rsidR="001F3796" w:rsidRPr="00975C02">
        <w:rPr>
          <w:kern w:val="2"/>
          <w:sz w:val="20"/>
          <w:szCs w:val="20"/>
          <w:lang w:val="es-ES" w:eastAsia="en-US"/>
        </w:rPr>
        <w:t>países han adoptado</w:t>
      </w:r>
      <w:r w:rsidR="00277031" w:rsidRPr="00975C02">
        <w:rPr>
          <w:kern w:val="2"/>
          <w:sz w:val="20"/>
          <w:szCs w:val="20"/>
          <w:lang w:val="es-ES" w:eastAsia="en-US"/>
        </w:rPr>
        <w:t>, como una buena práctica,</w:t>
      </w:r>
      <w:r w:rsidR="001F3796" w:rsidRPr="00975C02">
        <w:rPr>
          <w:kern w:val="2"/>
          <w:sz w:val="20"/>
          <w:szCs w:val="20"/>
          <w:lang w:val="es-ES" w:eastAsia="en-US"/>
        </w:rPr>
        <w:t xml:space="preserve"> el uso de dispositivos especiales como la Cámara </w:t>
      </w:r>
      <w:r w:rsidR="00197777" w:rsidRPr="00975C02">
        <w:rPr>
          <w:kern w:val="2"/>
          <w:sz w:val="20"/>
          <w:szCs w:val="20"/>
          <w:lang w:val="es-ES" w:eastAsia="en-US"/>
        </w:rPr>
        <w:t xml:space="preserve">de </w:t>
      </w:r>
      <w:r w:rsidR="001F3796" w:rsidRPr="00975C02">
        <w:rPr>
          <w:kern w:val="2"/>
          <w:sz w:val="20"/>
          <w:szCs w:val="20"/>
          <w:lang w:val="es-ES" w:eastAsia="en-US"/>
        </w:rPr>
        <w:t>Gesell o Circuitos cerrados de televisión (CCTV) que habilita</w:t>
      </w:r>
      <w:r w:rsidR="002D3524" w:rsidRPr="00975C02">
        <w:rPr>
          <w:kern w:val="2"/>
          <w:sz w:val="20"/>
          <w:szCs w:val="20"/>
          <w:lang w:val="es-ES" w:eastAsia="en-US"/>
        </w:rPr>
        <w:t>n</w:t>
      </w:r>
      <w:r w:rsidR="001F3796" w:rsidRPr="00975C02">
        <w:rPr>
          <w:kern w:val="2"/>
          <w:sz w:val="20"/>
          <w:szCs w:val="20"/>
          <w:lang w:val="es-ES" w:eastAsia="en-US"/>
        </w:rPr>
        <w:t xml:space="preserve"> a las autoridades y las partes a seguir el desarrollo de la declaración de la niña</w:t>
      </w:r>
      <w:r w:rsidR="002D3524" w:rsidRPr="00975C02">
        <w:rPr>
          <w:kern w:val="2"/>
          <w:sz w:val="20"/>
          <w:szCs w:val="20"/>
          <w:lang w:val="es-ES" w:eastAsia="en-US"/>
        </w:rPr>
        <w:t>,</w:t>
      </w:r>
      <w:r w:rsidR="001F3796" w:rsidRPr="00975C02">
        <w:rPr>
          <w:kern w:val="2"/>
          <w:sz w:val="20"/>
          <w:szCs w:val="20"/>
          <w:lang w:val="es-ES" w:eastAsia="en-US"/>
        </w:rPr>
        <w:t xml:space="preserve"> niño </w:t>
      </w:r>
      <w:r w:rsidR="002D3524" w:rsidRPr="00975C02">
        <w:rPr>
          <w:kern w:val="2"/>
          <w:sz w:val="20"/>
          <w:szCs w:val="20"/>
          <w:lang w:val="es-ES" w:eastAsia="en-US"/>
        </w:rPr>
        <w:t xml:space="preserve">o adolescente </w:t>
      </w:r>
      <w:r w:rsidR="001F3796" w:rsidRPr="00975C02">
        <w:rPr>
          <w:kern w:val="2"/>
          <w:sz w:val="20"/>
          <w:szCs w:val="20"/>
          <w:lang w:val="es-ES" w:eastAsia="en-US"/>
        </w:rPr>
        <w:t>desde el exterior</w:t>
      </w:r>
      <w:r w:rsidR="00197777" w:rsidRPr="00975C02">
        <w:rPr>
          <w:kern w:val="2"/>
          <w:sz w:val="20"/>
          <w:szCs w:val="20"/>
          <w:lang w:val="es-ES" w:eastAsia="en-US"/>
        </w:rPr>
        <w:t>, a fin de minimizar cualquier efecto revictimizante</w:t>
      </w:r>
      <w:r w:rsidR="00A87654" w:rsidRPr="00975C02">
        <w:rPr>
          <w:rStyle w:val="FootnoteReference"/>
          <w:kern w:val="2"/>
          <w:sz w:val="20"/>
          <w:szCs w:val="20"/>
          <w:lang w:val="es-ES" w:eastAsia="en-US"/>
        </w:rPr>
        <w:footnoteReference w:id="232"/>
      </w:r>
      <w:r w:rsidR="001F3796" w:rsidRPr="00975C02">
        <w:rPr>
          <w:kern w:val="2"/>
          <w:sz w:val="20"/>
          <w:szCs w:val="20"/>
          <w:lang w:val="es-ES" w:eastAsia="en-US"/>
        </w:rPr>
        <w:t xml:space="preserve">. </w:t>
      </w:r>
      <w:r w:rsidR="00CF201E" w:rsidRPr="00975C02">
        <w:rPr>
          <w:sz w:val="20"/>
          <w:szCs w:val="20"/>
          <w:lang w:val="es-ES"/>
        </w:rPr>
        <w:t>Estas buenas prácticas para garantizar los derechos de las niñas</w:t>
      </w:r>
      <w:r w:rsidR="007B2C96" w:rsidRPr="00975C02">
        <w:rPr>
          <w:sz w:val="20"/>
          <w:szCs w:val="20"/>
          <w:lang w:val="es-ES"/>
        </w:rPr>
        <w:t>,</w:t>
      </w:r>
      <w:r w:rsidR="00CF201E" w:rsidRPr="00975C02">
        <w:rPr>
          <w:sz w:val="20"/>
          <w:szCs w:val="20"/>
          <w:lang w:val="es-ES"/>
        </w:rPr>
        <w:t xml:space="preserve"> niños</w:t>
      </w:r>
      <w:r w:rsidR="007B2C96" w:rsidRPr="00975C02">
        <w:rPr>
          <w:sz w:val="20"/>
          <w:szCs w:val="20"/>
          <w:lang w:val="es-ES"/>
        </w:rPr>
        <w:t xml:space="preserve"> y adolescentes</w:t>
      </w:r>
      <w:r w:rsidR="00CF201E" w:rsidRPr="00975C02">
        <w:rPr>
          <w:sz w:val="20"/>
          <w:szCs w:val="20"/>
          <w:lang w:val="es-ES"/>
        </w:rPr>
        <w:t xml:space="preserve"> víctimas durante su declaración en procesos judiciales han sido implementadas</w:t>
      </w:r>
      <w:r w:rsidR="00601B45" w:rsidRPr="00975C02">
        <w:rPr>
          <w:sz w:val="20"/>
          <w:szCs w:val="20"/>
          <w:lang w:val="es-ES"/>
        </w:rPr>
        <w:t>, con diferentes alcances,</w:t>
      </w:r>
      <w:r w:rsidR="00CF201E" w:rsidRPr="00975C02">
        <w:rPr>
          <w:sz w:val="20"/>
          <w:szCs w:val="20"/>
          <w:lang w:val="es-ES"/>
        </w:rPr>
        <w:t xml:space="preserve"> por </w:t>
      </w:r>
      <w:r w:rsidR="007B2C96" w:rsidRPr="00975C02">
        <w:rPr>
          <w:sz w:val="20"/>
          <w:szCs w:val="20"/>
          <w:lang w:val="es-ES"/>
        </w:rPr>
        <w:t xml:space="preserve">Estados Parte de la Convención Americana, </w:t>
      </w:r>
      <w:r w:rsidR="00CF201E" w:rsidRPr="00975C02">
        <w:rPr>
          <w:sz w:val="20"/>
          <w:szCs w:val="20"/>
          <w:lang w:val="es-ES"/>
        </w:rPr>
        <w:t xml:space="preserve">como </w:t>
      </w:r>
      <w:r w:rsidR="000146B5" w:rsidRPr="00975C02">
        <w:rPr>
          <w:sz w:val="20"/>
          <w:szCs w:val="20"/>
          <w:lang w:val="es-ES"/>
        </w:rPr>
        <w:t>Argentina</w:t>
      </w:r>
      <w:r w:rsidR="000146B5" w:rsidRPr="00975C02">
        <w:rPr>
          <w:rStyle w:val="FootnoteReference"/>
          <w:rFonts w:eastAsia="Calibri"/>
          <w:sz w:val="20"/>
          <w:szCs w:val="20"/>
          <w:lang w:val="es-ES"/>
        </w:rPr>
        <w:footnoteReference w:id="233"/>
      </w:r>
      <w:r w:rsidR="000146B5" w:rsidRPr="00975C02">
        <w:rPr>
          <w:sz w:val="20"/>
          <w:szCs w:val="20"/>
          <w:lang w:val="es-ES"/>
        </w:rPr>
        <w:t>, Bolivia</w:t>
      </w:r>
      <w:r w:rsidR="000146B5" w:rsidRPr="00975C02">
        <w:rPr>
          <w:rStyle w:val="FootnoteReference"/>
          <w:rFonts w:eastAsia="Calibri"/>
          <w:sz w:val="20"/>
          <w:szCs w:val="20"/>
          <w:lang w:val="es-ES"/>
        </w:rPr>
        <w:footnoteReference w:id="234"/>
      </w:r>
      <w:r w:rsidR="000146B5" w:rsidRPr="00975C02">
        <w:rPr>
          <w:sz w:val="20"/>
          <w:szCs w:val="20"/>
          <w:lang w:val="es-ES"/>
        </w:rPr>
        <w:t>, Brasil</w:t>
      </w:r>
      <w:r w:rsidR="000146B5" w:rsidRPr="00975C02">
        <w:rPr>
          <w:rStyle w:val="FootnoteReference"/>
          <w:rFonts w:eastAsia="Calibri"/>
          <w:sz w:val="20"/>
          <w:szCs w:val="20"/>
          <w:lang w:val="es-ES"/>
        </w:rPr>
        <w:footnoteReference w:id="235"/>
      </w:r>
      <w:r w:rsidR="000146B5" w:rsidRPr="00975C02">
        <w:rPr>
          <w:sz w:val="20"/>
          <w:szCs w:val="20"/>
          <w:lang w:val="es-ES"/>
        </w:rPr>
        <w:t>, Chile</w:t>
      </w:r>
      <w:r w:rsidR="000146B5" w:rsidRPr="00975C02">
        <w:rPr>
          <w:rStyle w:val="FootnoteReference"/>
          <w:rFonts w:eastAsia="Calibri"/>
          <w:sz w:val="20"/>
          <w:szCs w:val="20"/>
          <w:lang w:val="es-ES"/>
        </w:rPr>
        <w:footnoteReference w:id="236"/>
      </w:r>
      <w:r w:rsidR="000146B5" w:rsidRPr="00975C02">
        <w:rPr>
          <w:sz w:val="20"/>
          <w:szCs w:val="20"/>
          <w:lang w:val="es-ES"/>
        </w:rPr>
        <w:t>, Colombia</w:t>
      </w:r>
      <w:r w:rsidR="000146B5" w:rsidRPr="00975C02">
        <w:rPr>
          <w:rStyle w:val="FootnoteReference"/>
          <w:rFonts w:eastAsia="Calibri"/>
          <w:sz w:val="20"/>
          <w:szCs w:val="20"/>
          <w:lang w:val="es-ES"/>
        </w:rPr>
        <w:footnoteReference w:id="237"/>
      </w:r>
      <w:r w:rsidR="000146B5" w:rsidRPr="00975C02">
        <w:rPr>
          <w:sz w:val="20"/>
          <w:szCs w:val="20"/>
          <w:lang w:val="es-ES"/>
        </w:rPr>
        <w:t>, Costa Rica</w:t>
      </w:r>
      <w:r w:rsidR="000146B5" w:rsidRPr="00975C02">
        <w:rPr>
          <w:rStyle w:val="FootnoteReference"/>
          <w:rFonts w:eastAsia="Calibri"/>
          <w:sz w:val="20"/>
          <w:szCs w:val="20"/>
          <w:lang w:val="es-ES"/>
        </w:rPr>
        <w:footnoteReference w:id="238"/>
      </w:r>
      <w:r w:rsidR="000146B5" w:rsidRPr="00975C02">
        <w:rPr>
          <w:sz w:val="20"/>
          <w:szCs w:val="20"/>
          <w:lang w:val="es-ES"/>
        </w:rPr>
        <w:t>, Ecuador</w:t>
      </w:r>
      <w:r w:rsidR="000146B5" w:rsidRPr="00975C02">
        <w:rPr>
          <w:rStyle w:val="FootnoteReference"/>
          <w:rFonts w:eastAsia="Calibri"/>
          <w:sz w:val="20"/>
          <w:szCs w:val="20"/>
          <w:lang w:val="es-ES"/>
        </w:rPr>
        <w:footnoteReference w:id="239"/>
      </w:r>
      <w:r w:rsidR="000146B5" w:rsidRPr="00975C02">
        <w:rPr>
          <w:sz w:val="20"/>
          <w:szCs w:val="20"/>
          <w:lang w:val="es-ES"/>
        </w:rPr>
        <w:t xml:space="preserve">, El </w:t>
      </w:r>
      <w:r w:rsidR="000146B5" w:rsidRPr="00975C02">
        <w:rPr>
          <w:sz w:val="20"/>
          <w:szCs w:val="20"/>
          <w:lang w:val="es-ES"/>
        </w:rPr>
        <w:lastRenderedPageBreak/>
        <w:t>Salvador</w:t>
      </w:r>
      <w:r w:rsidR="000146B5" w:rsidRPr="00975C02">
        <w:rPr>
          <w:rStyle w:val="FootnoteReference"/>
          <w:rFonts w:eastAsia="Calibri"/>
          <w:sz w:val="20"/>
          <w:szCs w:val="20"/>
          <w:lang w:val="es-ES"/>
        </w:rPr>
        <w:footnoteReference w:id="240"/>
      </w:r>
      <w:r w:rsidR="000146B5" w:rsidRPr="00975C02">
        <w:rPr>
          <w:sz w:val="20"/>
          <w:szCs w:val="20"/>
          <w:lang w:val="es-ES"/>
        </w:rPr>
        <w:t>, Guatemala</w:t>
      </w:r>
      <w:r w:rsidR="000146B5" w:rsidRPr="00975C02">
        <w:rPr>
          <w:rStyle w:val="FootnoteReference"/>
          <w:rFonts w:eastAsia="Calibri"/>
          <w:sz w:val="20"/>
          <w:szCs w:val="20"/>
          <w:lang w:val="es-ES"/>
        </w:rPr>
        <w:footnoteReference w:id="241"/>
      </w:r>
      <w:r w:rsidR="000146B5" w:rsidRPr="00975C02">
        <w:rPr>
          <w:sz w:val="20"/>
          <w:szCs w:val="20"/>
          <w:lang w:val="es-ES"/>
        </w:rPr>
        <w:t>, Honduras</w:t>
      </w:r>
      <w:r w:rsidR="000146B5" w:rsidRPr="00975C02">
        <w:rPr>
          <w:rStyle w:val="FootnoteReference"/>
          <w:rFonts w:eastAsia="Calibri"/>
          <w:sz w:val="20"/>
          <w:szCs w:val="20"/>
          <w:lang w:val="es-ES"/>
        </w:rPr>
        <w:footnoteReference w:id="242"/>
      </w:r>
      <w:r w:rsidR="000146B5" w:rsidRPr="00975C02">
        <w:rPr>
          <w:sz w:val="20"/>
          <w:szCs w:val="20"/>
          <w:lang w:val="es-ES"/>
        </w:rPr>
        <w:t xml:space="preserve">, </w:t>
      </w:r>
      <w:r w:rsidR="00834D18" w:rsidRPr="00975C02">
        <w:rPr>
          <w:sz w:val="20"/>
          <w:szCs w:val="20"/>
          <w:lang w:val="es-ES"/>
        </w:rPr>
        <w:t>México</w:t>
      </w:r>
      <w:r w:rsidR="00834D18" w:rsidRPr="00975C02">
        <w:rPr>
          <w:rStyle w:val="FootnoteReference"/>
          <w:rFonts w:eastAsia="Calibri"/>
          <w:sz w:val="20"/>
          <w:szCs w:val="20"/>
          <w:lang w:val="es-ES"/>
        </w:rPr>
        <w:footnoteReference w:id="243"/>
      </w:r>
      <w:r w:rsidR="00834D18" w:rsidRPr="00975C02">
        <w:rPr>
          <w:sz w:val="20"/>
          <w:szCs w:val="20"/>
          <w:lang w:val="es-ES"/>
        </w:rPr>
        <w:t xml:space="preserve">, </w:t>
      </w:r>
      <w:r w:rsidR="000146B5" w:rsidRPr="00975C02">
        <w:rPr>
          <w:sz w:val="20"/>
          <w:szCs w:val="20"/>
          <w:lang w:val="es-ES"/>
        </w:rPr>
        <w:t>Nicaragua</w:t>
      </w:r>
      <w:r w:rsidR="000146B5" w:rsidRPr="00975C02">
        <w:rPr>
          <w:rStyle w:val="FootnoteReference"/>
          <w:rFonts w:eastAsia="Calibri"/>
          <w:sz w:val="20"/>
          <w:szCs w:val="20"/>
          <w:lang w:val="es-ES"/>
        </w:rPr>
        <w:footnoteReference w:id="244"/>
      </w:r>
      <w:r w:rsidR="000146B5" w:rsidRPr="00975C02">
        <w:rPr>
          <w:sz w:val="20"/>
          <w:szCs w:val="20"/>
          <w:lang w:val="es-ES"/>
        </w:rPr>
        <w:t>, Paraguay</w:t>
      </w:r>
      <w:r w:rsidR="000146B5" w:rsidRPr="00975C02">
        <w:rPr>
          <w:rStyle w:val="FootnoteReference"/>
          <w:rFonts w:eastAsia="Calibri"/>
          <w:sz w:val="20"/>
          <w:szCs w:val="20"/>
          <w:lang w:val="es-ES"/>
        </w:rPr>
        <w:footnoteReference w:id="245"/>
      </w:r>
      <w:r w:rsidR="000146B5" w:rsidRPr="00975C02">
        <w:rPr>
          <w:sz w:val="20"/>
          <w:szCs w:val="20"/>
          <w:lang w:val="es-ES"/>
        </w:rPr>
        <w:t>, Perú</w:t>
      </w:r>
      <w:r w:rsidR="000146B5" w:rsidRPr="00975C02">
        <w:rPr>
          <w:rStyle w:val="FootnoteReference"/>
          <w:rFonts w:eastAsia="Calibri"/>
          <w:sz w:val="20"/>
          <w:szCs w:val="20"/>
          <w:lang w:val="es-ES"/>
        </w:rPr>
        <w:footnoteReference w:id="246"/>
      </w:r>
      <w:r w:rsidR="000146B5" w:rsidRPr="00975C02">
        <w:rPr>
          <w:sz w:val="20"/>
          <w:szCs w:val="20"/>
          <w:lang w:val="es-ES"/>
        </w:rPr>
        <w:t>, República Dominicana</w:t>
      </w:r>
      <w:r w:rsidR="000146B5" w:rsidRPr="00975C02">
        <w:rPr>
          <w:rStyle w:val="FootnoteReference"/>
          <w:rFonts w:eastAsia="Calibri"/>
          <w:sz w:val="20"/>
          <w:szCs w:val="20"/>
          <w:lang w:val="es-ES"/>
        </w:rPr>
        <w:footnoteReference w:id="247"/>
      </w:r>
      <w:r w:rsidR="00C05384" w:rsidRPr="00975C02">
        <w:rPr>
          <w:sz w:val="20"/>
          <w:szCs w:val="20"/>
          <w:lang w:val="es-ES"/>
        </w:rPr>
        <w:t xml:space="preserve"> y</w:t>
      </w:r>
      <w:r w:rsidR="000146B5" w:rsidRPr="00975C02">
        <w:rPr>
          <w:sz w:val="20"/>
          <w:szCs w:val="20"/>
          <w:lang w:val="es-ES"/>
        </w:rPr>
        <w:t xml:space="preserve"> Uruguay</w:t>
      </w:r>
      <w:r w:rsidR="000146B5" w:rsidRPr="00975C02">
        <w:rPr>
          <w:rStyle w:val="FootnoteReference"/>
          <w:rFonts w:eastAsia="Calibri"/>
          <w:sz w:val="20"/>
          <w:szCs w:val="20"/>
          <w:lang w:val="es-ES"/>
        </w:rPr>
        <w:footnoteReference w:id="248"/>
      </w:r>
      <w:r w:rsidR="00CF201E" w:rsidRPr="00975C02">
        <w:rPr>
          <w:sz w:val="20"/>
          <w:szCs w:val="20"/>
          <w:lang w:val="es-ES"/>
        </w:rPr>
        <w:t xml:space="preserve">. </w:t>
      </w:r>
      <w:r w:rsidR="001F3796" w:rsidRPr="00975C02">
        <w:rPr>
          <w:kern w:val="2"/>
          <w:sz w:val="20"/>
          <w:szCs w:val="20"/>
          <w:lang w:val="es-ES" w:eastAsia="en-US"/>
        </w:rPr>
        <w:t xml:space="preserve">Asimismo, se </w:t>
      </w:r>
      <w:r w:rsidR="00D76C64" w:rsidRPr="00975C02">
        <w:rPr>
          <w:kern w:val="2"/>
          <w:sz w:val="20"/>
          <w:szCs w:val="20"/>
          <w:lang w:val="es-ES" w:eastAsia="en-US"/>
        </w:rPr>
        <w:t>recomienda</w:t>
      </w:r>
      <w:r w:rsidR="001F3796" w:rsidRPr="00975C02">
        <w:rPr>
          <w:kern w:val="2"/>
          <w:sz w:val="20"/>
          <w:szCs w:val="20"/>
          <w:lang w:val="es-ES" w:eastAsia="en-US"/>
        </w:rPr>
        <w:t xml:space="preserve"> </w:t>
      </w:r>
      <w:r w:rsidR="00D76C64" w:rsidRPr="00975C02">
        <w:rPr>
          <w:kern w:val="2"/>
          <w:sz w:val="20"/>
          <w:szCs w:val="20"/>
          <w:lang w:val="es-ES" w:eastAsia="en-US"/>
        </w:rPr>
        <w:t xml:space="preserve">la </w:t>
      </w:r>
      <w:r w:rsidR="001F3796" w:rsidRPr="00975C02">
        <w:rPr>
          <w:kern w:val="2"/>
          <w:sz w:val="20"/>
          <w:szCs w:val="20"/>
          <w:lang w:val="es-ES" w:eastAsia="en-US"/>
        </w:rPr>
        <w:t>videograba</w:t>
      </w:r>
      <w:r w:rsidR="00D76C64" w:rsidRPr="00975C02">
        <w:rPr>
          <w:kern w:val="2"/>
          <w:sz w:val="20"/>
          <w:szCs w:val="20"/>
          <w:lang w:val="es-ES" w:eastAsia="en-US"/>
        </w:rPr>
        <w:t>ción de</w:t>
      </w:r>
      <w:r w:rsidR="001F3796" w:rsidRPr="00975C02">
        <w:rPr>
          <w:kern w:val="2"/>
          <w:sz w:val="20"/>
          <w:szCs w:val="20"/>
          <w:lang w:val="es-ES" w:eastAsia="en-US"/>
        </w:rPr>
        <w:t xml:space="preserve"> las declaraciones de las niñas</w:t>
      </w:r>
      <w:r w:rsidR="004D23A2" w:rsidRPr="00975C02">
        <w:rPr>
          <w:kern w:val="2"/>
          <w:sz w:val="20"/>
          <w:szCs w:val="20"/>
          <w:lang w:val="es-ES" w:eastAsia="en-US"/>
        </w:rPr>
        <w:t xml:space="preserve">, </w:t>
      </w:r>
      <w:r w:rsidR="001F3796" w:rsidRPr="00975C02">
        <w:rPr>
          <w:kern w:val="2"/>
          <w:sz w:val="20"/>
          <w:szCs w:val="20"/>
          <w:lang w:val="es-ES" w:eastAsia="en-US"/>
        </w:rPr>
        <w:t>niños</w:t>
      </w:r>
      <w:r w:rsidR="004D23A2" w:rsidRPr="00975C02">
        <w:rPr>
          <w:kern w:val="2"/>
          <w:sz w:val="20"/>
          <w:szCs w:val="20"/>
          <w:lang w:val="es-ES" w:eastAsia="en-US"/>
        </w:rPr>
        <w:t xml:space="preserve"> y adolescentes</w:t>
      </w:r>
      <w:r w:rsidR="001F3796" w:rsidRPr="00975C02">
        <w:rPr>
          <w:kern w:val="2"/>
          <w:sz w:val="20"/>
          <w:szCs w:val="20"/>
          <w:lang w:val="es-ES" w:eastAsia="en-US"/>
        </w:rPr>
        <w:t xml:space="preserve"> víctimas para no reiterar el acto. Estas herramientas tecnológicas no </w:t>
      </w:r>
      <w:r w:rsidR="001F3796" w:rsidRPr="00975C02">
        <w:rPr>
          <w:kern w:val="2"/>
          <w:sz w:val="20"/>
          <w:szCs w:val="20"/>
          <w:lang w:val="es-ES" w:eastAsia="en-US"/>
        </w:rPr>
        <w:lastRenderedPageBreak/>
        <w:t>solo evitan la revictimización de la niña</w:t>
      </w:r>
      <w:r w:rsidR="004D23A2" w:rsidRPr="00975C02">
        <w:rPr>
          <w:kern w:val="2"/>
          <w:sz w:val="20"/>
          <w:szCs w:val="20"/>
          <w:lang w:val="es-ES" w:eastAsia="en-US"/>
        </w:rPr>
        <w:t>,</w:t>
      </w:r>
      <w:r w:rsidR="001F3796" w:rsidRPr="00975C02">
        <w:rPr>
          <w:kern w:val="2"/>
          <w:sz w:val="20"/>
          <w:szCs w:val="20"/>
          <w:lang w:val="es-ES" w:eastAsia="en-US"/>
        </w:rPr>
        <w:t xml:space="preserve"> niño </w:t>
      </w:r>
      <w:r w:rsidR="004D23A2" w:rsidRPr="00975C02">
        <w:rPr>
          <w:kern w:val="2"/>
          <w:sz w:val="20"/>
          <w:szCs w:val="20"/>
          <w:lang w:val="es-ES" w:eastAsia="en-US"/>
        </w:rPr>
        <w:t xml:space="preserve">o adolescente </w:t>
      </w:r>
      <w:r w:rsidR="001F3796" w:rsidRPr="00975C02">
        <w:rPr>
          <w:kern w:val="2"/>
          <w:sz w:val="20"/>
          <w:szCs w:val="20"/>
          <w:lang w:val="es-ES" w:eastAsia="en-US"/>
        </w:rPr>
        <w:t>víctima y el deterioro de las pruebas, sino que también garantizan el derecho de defensa del imputado.</w:t>
      </w:r>
    </w:p>
    <w:p w14:paraId="17F6E4D4" w14:textId="77777777" w:rsidR="009479CA" w:rsidRPr="00975C02" w:rsidRDefault="009479CA" w:rsidP="008C1277">
      <w:pPr>
        <w:widowControl/>
        <w:adjustRightInd/>
        <w:spacing w:line="240" w:lineRule="auto"/>
        <w:jc w:val="left"/>
        <w:textAlignment w:val="auto"/>
        <w:rPr>
          <w:kern w:val="2"/>
          <w:sz w:val="20"/>
          <w:szCs w:val="20"/>
          <w:lang w:val="es-ES" w:eastAsia="en-US"/>
        </w:rPr>
      </w:pPr>
    </w:p>
    <w:p w14:paraId="75B55867" w14:textId="3C657DFC" w:rsidR="00422D55" w:rsidRPr="00975C02" w:rsidRDefault="0036746D" w:rsidP="008C1277">
      <w:pPr>
        <w:widowControl/>
        <w:numPr>
          <w:ilvl w:val="0"/>
          <w:numId w:val="2"/>
        </w:numPr>
        <w:tabs>
          <w:tab w:val="left" w:pos="567"/>
          <w:tab w:val="num" w:pos="12305"/>
        </w:tabs>
        <w:adjustRightInd/>
        <w:spacing w:line="240" w:lineRule="auto"/>
        <w:ind w:left="0" w:firstLine="0"/>
        <w:textAlignment w:val="auto"/>
        <w:rPr>
          <w:b/>
          <w:kern w:val="2"/>
          <w:sz w:val="20"/>
          <w:szCs w:val="20"/>
          <w:lang w:val="es-ES" w:eastAsia="en-US"/>
        </w:rPr>
      </w:pPr>
      <w:r w:rsidRPr="00975C02">
        <w:rPr>
          <w:kern w:val="2"/>
          <w:sz w:val="20"/>
          <w:szCs w:val="20"/>
          <w:lang w:val="es-ES" w:eastAsia="en-US"/>
        </w:rPr>
        <w:t xml:space="preserve">En cuanto al examen </w:t>
      </w:r>
      <w:r w:rsidR="00AB4872" w:rsidRPr="00975C02">
        <w:rPr>
          <w:kern w:val="2"/>
          <w:sz w:val="20"/>
          <w:szCs w:val="20"/>
          <w:lang w:val="es-ES" w:eastAsia="en-US"/>
        </w:rPr>
        <w:t>físico</w:t>
      </w:r>
      <w:r w:rsidRPr="00975C02">
        <w:rPr>
          <w:kern w:val="2"/>
          <w:sz w:val="20"/>
          <w:szCs w:val="20"/>
          <w:lang w:val="es-ES" w:eastAsia="en-US"/>
        </w:rPr>
        <w:t>,</w:t>
      </w:r>
      <w:r w:rsidR="00B5625C" w:rsidRPr="00975C02">
        <w:rPr>
          <w:kern w:val="2"/>
          <w:sz w:val="20"/>
          <w:szCs w:val="20"/>
          <w:lang w:val="es-ES" w:eastAsia="en-US"/>
        </w:rPr>
        <w:t xml:space="preserve"> las autoridades deberán evitar en la medida de lo posible que sean sometidos a más de una </w:t>
      </w:r>
      <w:r w:rsidR="00AB4872" w:rsidRPr="00975C02">
        <w:rPr>
          <w:kern w:val="2"/>
          <w:sz w:val="20"/>
          <w:szCs w:val="20"/>
          <w:lang w:val="es-ES" w:eastAsia="en-US"/>
        </w:rPr>
        <w:t xml:space="preserve">evaluación </w:t>
      </w:r>
      <w:r w:rsidR="00B5625C" w:rsidRPr="00975C02">
        <w:rPr>
          <w:kern w:val="2"/>
          <w:sz w:val="20"/>
          <w:szCs w:val="20"/>
          <w:lang w:val="es-ES" w:eastAsia="en-US"/>
        </w:rPr>
        <w:t>física, ya que podría ser revictimizante</w:t>
      </w:r>
      <w:r w:rsidR="00B5625C" w:rsidRPr="00975C02">
        <w:rPr>
          <w:kern w:val="2"/>
          <w:sz w:val="20"/>
          <w:szCs w:val="20"/>
          <w:vertAlign w:val="superscript"/>
          <w:lang w:val="es-ES" w:eastAsia="en-US"/>
        </w:rPr>
        <w:footnoteReference w:id="249"/>
      </w:r>
      <w:r w:rsidR="00F8766A" w:rsidRPr="00975C02">
        <w:rPr>
          <w:kern w:val="2"/>
          <w:sz w:val="20"/>
          <w:szCs w:val="20"/>
          <w:lang w:val="es-ES" w:eastAsia="en-US"/>
        </w:rPr>
        <w:t>. E</w:t>
      </w:r>
      <w:r w:rsidR="00B5625C" w:rsidRPr="00975C02">
        <w:rPr>
          <w:kern w:val="2"/>
          <w:sz w:val="20"/>
          <w:szCs w:val="20"/>
          <w:lang w:val="es-ES" w:eastAsia="en-US"/>
        </w:rPr>
        <w:t>l examen médico en estos casos debe ser realizado por un profesional con amplio conocimiento y experiencia</w:t>
      </w:r>
      <w:r w:rsidR="00B5625C" w:rsidRPr="00975C02">
        <w:rPr>
          <w:kern w:val="2"/>
          <w:sz w:val="20"/>
          <w:szCs w:val="20"/>
          <w:vertAlign w:val="superscript"/>
          <w:lang w:val="es-ES" w:eastAsia="en-US"/>
        </w:rPr>
        <w:footnoteReference w:id="250"/>
      </w:r>
      <w:r w:rsidR="00B5625C" w:rsidRPr="00975C02">
        <w:rPr>
          <w:kern w:val="2"/>
          <w:sz w:val="20"/>
          <w:szCs w:val="20"/>
          <w:lang w:val="es-ES" w:eastAsia="en-US"/>
        </w:rPr>
        <w:t xml:space="preserve"> </w:t>
      </w:r>
      <w:r w:rsidR="008339DC">
        <w:rPr>
          <w:kern w:val="2"/>
          <w:sz w:val="20"/>
          <w:szCs w:val="20"/>
          <w:lang w:val="es-ES" w:eastAsia="en-US"/>
        </w:rPr>
        <w:t>en</w:t>
      </w:r>
      <w:r w:rsidR="00B5625C" w:rsidRPr="00975C02">
        <w:rPr>
          <w:kern w:val="2"/>
          <w:sz w:val="20"/>
          <w:szCs w:val="20"/>
          <w:lang w:val="es-ES" w:eastAsia="en-US"/>
        </w:rPr>
        <w:t xml:space="preserve"> c</w:t>
      </w:r>
      <w:r w:rsidR="006B2049">
        <w:rPr>
          <w:kern w:val="2"/>
          <w:sz w:val="20"/>
          <w:szCs w:val="20"/>
          <w:lang w:val="es-ES" w:eastAsia="en-US"/>
        </w:rPr>
        <w:t xml:space="preserve">asos de violencia sexual </w:t>
      </w:r>
      <w:r w:rsidR="008B385E">
        <w:rPr>
          <w:kern w:val="2"/>
          <w:sz w:val="20"/>
          <w:szCs w:val="20"/>
          <w:lang w:val="es-ES" w:eastAsia="en-US"/>
        </w:rPr>
        <w:t>contra</w:t>
      </w:r>
      <w:r w:rsidR="006B2049">
        <w:rPr>
          <w:kern w:val="2"/>
          <w:sz w:val="20"/>
          <w:szCs w:val="20"/>
          <w:lang w:val="es-ES" w:eastAsia="en-US"/>
        </w:rPr>
        <w:t xml:space="preserve"> niña</w:t>
      </w:r>
      <w:r w:rsidR="00B5625C" w:rsidRPr="00975C02">
        <w:rPr>
          <w:kern w:val="2"/>
          <w:sz w:val="20"/>
          <w:szCs w:val="20"/>
          <w:lang w:val="es-ES" w:eastAsia="en-US"/>
        </w:rPr>
        <w:t>s, niñ</w:t>
      </w:r>
      <w:r w:rsidR="006B2049">
        <w:rPr>
          <w:kern w:val="2"/>
          <w:sz w:val="20"/>
          <w:szCs w:val="20"/>
          <w:lang w:val="es-ES" w:eastAsia="en-US"/>
        </w:rPr>
        <w:t>o</w:t>
      </w:r>
      <w:r w:rsidR="00B5625C" w:rsidRPr="00975C02">
        <w:rPr>
          <w:kern w:val="2"/>
          <w:sz w:val="20"/>
          <w:szCs w:val="20"/>
          <w:lang w:val="es-ES" w:eastAsia="en-US"/>
        </w:rPr>
        <w:t>s y adolescentes, quien buscará minimizar y evitar causarles un trauma adicional o revictimizarlos</w:t>
      </w:r>
      <w:r w:rsidR="00B5625C" w:rsidRPr="00975C02">
        <w:rPr>
          <w:kern w:val="2"/>
          <w:sz w:val="20"/>
          <w:szCs w:val="20"/>
          <w:vertAlign w:val="superscript"/>
          <w:lang w:val="es-ES" w:eastAsia="en-US"/>
        </w:rPr>
        <w:footnoteReference w:id="251"/>
      </w:r>
      <w:r w:rsidR="00B5625C" w:rsidRPr="00975C02">
        <w:rPr>
          <w:kern w:val="2"/>
          <w:sz w:val="20"/>
          <w:szCs w:val="20"/>
          <w:lang w:val="es-ES" w:eastAsia="en-US"/>
        </w:rPr>
        <w:t>. Es recomendable que la víctima</w:t>
      </w:r>
      <w:r w:rsidR="006078AE" w:rsidRPr="00975C02">
        <w:rPr>
          <w:kern w:val="2"/>
          <w:sz w:val="20"/>
          <w:szCs w:val="20"/>
          <w:lang w:val="es-ES" w:eastAsia="en-US"/>
        </w:rPr>
        <w:t>, o de corresponder su representante legal,</w:t>
      </w:r>
      <w:r w:rsidR="00B5625C" w:rsidRPr="00975C02">
        <w:rPr>
          <w:kern w:val="2"/>
          <w:sz w:val="20"/>
          <w:szCs w:val="20"/>
          <w:lang w:val="es-ES" w:eastAsia="en-US"/>
        </w:rPr>
        <w:t xml:space="preserve"> pueda elegir el sexo del profesional</w:t>
      </w:r>
      <w:r w:rsidR="00B5625C" w:rsidRPr="00975C02">
        <w:rPr>
          <w:kern w:val="2"/>
          <w:sz w:val="20"/>
          <w:szCs w:val="20"/>
          <w:vertAlign w:val="superscript"/>
          <w:lang w:val="es-ES" w:eastAsia="en-US"/>
        </w:rPr>
        <w:footnoteReference w:id="252"/>
      </w:r>
      <w:r w:rsidR="00B5625C" w:rsidRPr="00975C02">
        <w:rPr>
          <w:kern w:val="2"/>
          <w:sz w:val="20"/>
          <w:szCs w:val="20"/>
          <w:lang w:val="es-ES" w:eastAsia="en-US"/>
        </w:rPr>
        <w:t xml:space="preserve"> y que el examen esté a cargo de un profesional de salud especialista en ginecología infanto-juvenil, con </w:t>
      </w:r>
      <w:r w:rsidR="006078AE" w:rsidRPr="00975C02">
        <w:rPr>
          <w:kern w:val="2"/>
          <w:sz w:val="20"/>
          <w:szCs w:val="20"/>
          <w:lang w:val="es-ES" w:eastAsia="en-US"/>
        </w:rPr>
        <w:t>formación específica</w:t>
      </w:r>
      <w:r w:rsidR="00B5625C" w:rsidRPr="00975C02">
        <w:rPr>
          <w:kern w:val="2"/>
          <w:sz w:val="20"/>
          <w:szCs w:val="20"/>
          <w:lang w:val="es-ES" w:eastAsia="en-US"/>
        </w:rPr>
        <w:t xml:space="preserve"> para</w:t>
      </w:r>
      <w:r w:rsidR="006078AE" w:rsidRPr="00975C02">
        <w:rPr>
          <w:kern w:val="2"/>
          <w:sz w:val="20"/>
          <w:szCs w:val="20"/>
          <w:lang w:val="es-ES" w:eastAsia="en-US"/>
        </w:rPr>
        <w:t xml:space="preserve"> realizar</w:t>
      </w:r>
      <w:r w:rsidR="00B5625C" w:rsidRPr="00975C02">
        <w:rPr>
          <w:kern w:val="2"/>
          <w:sz w:val="20"/>
          <w:szCs w:val="20"/>
          <w:lang w:val="es-ES" w:eastAsia="en-US"/>
        </w:rPr>
        <w:t xml:space="preserve"> </w:t>
      </w:r>
      <w:r w:rsidR="00CE2E4B" w:rsidRPr="00975C02">
        <w:rPr>
          <w:kern w:val="2"/>
          <w:sz w:val="20"/>
          <w:szCs w:val="20"/>
          <w:lang w:val="es-ES" w:eastAsia="en-US"/>
        </w:rPr>
        <w:t>los exámenes médicos</w:t>
      </w:r>
      <w:r w:rsidR="00B5625C" w:rsidRPr="00975C02">
        <w:rPr>
          <w:kern w:val="2"/>
          <w:sz w:val="20"/>
          <w:szCs w:val="20"/>
          <w:lang w:val="es-ES" w:eastAsia="en-US"/>
        </w:rPr>
        <w:t xml:space="preserve"> forenses en casos de abuso </w:t>
      </w:r>
      <w:r w:rsidR="00BB0086">
        <w:rPr>
          <w:kern w:val="2"/>
          <w:sz w:val="20"/>
          <w:szCs w:val="20"/>
          <w:lang w:val="es-ES" w:eastAsia="en-US"/>
        </w:rPr>
        <w:t xml:space="preserve">y violación </w:t>
      </w:r>
      <w:r w:rsidR="00B5625C" w:rsidRPr="00975C02">
        <w:rPr>
          <w:kern w:val="2"/>
          <w:sz w:val="20"/>
          <w:szCs w:val="20"/>
          <w:lang w:val="es-ES" w:eastAsia="en-US"/>
        </w:rPr>
        <w:t>sexual</w:t>
      </w:r>
      <w:r w:rsidR="00B5625C" w:rsidRPr="00975C02">
        <w:rPr>
          <w:kern w:val="2"/>
          <w:sz w:val="20"/>
          <w:szCs w:val="20"/>
          <w:vertAlign w:val="superscript"/>
          <w:lang w:val="es-ES" w:eastAsia="en-US"/>
        </w:rPr>
        <w:footnoteReference w:id="253"/>
      </w:r>
      <w:r w:rsidR="00F8766A" w:rsidRPr="00975C02">
        <w:rPr>
          <w:kern w:val="2"/>
          <w:sz w:val="20"/>
          <w:szCs w:val="20"/>
          <w:lang w:val="es-ES" w:eastAsia="en-US"/>
        </w:rPr>
        <w:t xml:space="preserve">. Asimismo, </w:t>
      </w:r>
      <w:r w:rsidR="00B5625C" w:rsidRPr="00975C02">
        <w:rPr>
          <w:kern w:val="2"/>
          <w:sz w:val="20"/>
          <w:szCs w:val="20"/>
          <w:lang w:val="es-ES" w:eastAsia="en-US"/>
        </w:rPr>
        <w:t xml:space="preserve">el examen médico deberá llevarse a cabo luego del consentimiento informado de </w:t>
      </w:r>
      <w:r w:rsidR="007D73B1" w:rsidRPr="00975C02">
        <w:rPr>
          <w:kern w:val="2"/>
          <w:sz w:val="20"/>
          <w:szCs w:val="20"/>
          <w:lang w:val="es-ES" w:eastAsia="en-US"/>
        </w:rPr>
        <w:t xml:space="preserve">la víctima o de </w:t>
      </w:r>
      <w:r w:rsidR="00B5625C" w:rsidRPr="00975C02">
        <w:rPr>
          <w:kern w:val="2"/>
          <w:sz w:val="20"/>
          <w:szCs w:val="20"/>
          <w:lang w:val="es-ES" w:eastAsia="en-US"/>
        </w:rPr>
        <w:t>su representante legal,</w:t>
      </w:r>
      <w:r w:rsidR="00CE2E4B" w:rsidRPr="00975C02">
        <w:rPr>
          <w:kern w:val="2"/>
          <w:sz w:val="20"/>
          <w:szCs w:val="20"/>
          <w:lang w:val="es-ES" w:eastAsia="en-US"/>
        </w:rPr>
        <w:t xml:space="preserve"> según su grado de madurez,</w:t>
      </w:r>
      <w:r w:rsidR="00B5625C" w:rsidRPr="00975C02">
        <w:rPr>
          <w:kern w:val="2"/>
          <w:sz w:val="20"/>
          <w:szCs w:val="20"/>
          <w:lang w:val="es-ES" w:eastAsia="en-US"/>
        </w:rPr>
        <w:t xml:space="preserve"> tomando en cuenta el derecho de</w:t>
      </w:r>
      <w:r w:rsidR="00EC070E" w:rsidRPr="00975C02">
        <w:rPr>
          <w:kern w:val="2"/>
          <w:sz w:val="20"/>
          <w:szCs w:val="20"/>
          <w:lang w:val="es-ES" w:eastAsia="en-US"/>
        </w:rPr>
        <w:t xml:space="preserve"> </w:t>
      </w:r>
      <w:r w:rsidR="00B5625C" w:rsidRPr="00975C02">
        <w:rPr>
          <w:kern w:val="2"/>
          <w:sz w:val="20"/>
          <w:szCs w:val="20"/>
          <w:lang w:val="es-ES" w:eastAsia="en-US"/>
        </w:rPr>
        <w:t>l</w:t>
      </w:r>
      <w:r w:rsidR="00EC070E" w:rsidRPr="00975C02">
        <w:rPr>
          <w:kern w:val="2"/>
          <w:sz w:val="20"/>
          <w:szCs w:val="20"/>
          <w:lang w:val="es-ES" w:eastAsia="en-US"/>
        </w:rPr>
        <w:t>a</w:t>
      </w:r>
      <w:r w:rsidR="00B5625C" w:rsidRPr="00975C02">
        <w:rPr>
          <w:kern w:val="2"/>
          <w:sz w:val="20"/>
          <w:szCs w:val="20"/>
          <w:lang w:val="es-ES" w:eastAsia="en-US"/>
        </w:rPr>
        <w:t xml:space="preserve"> niñ</w:t>
      </w:r>
      <w:r w:rsidR="00EC070E" w:rsidRPr="00975C02">
        <w:rPr>
          <w:kern w:val="2"/>
          <w:sz w:val="20"/>
          <w:szCs w:val="20"/>
          <w:lang w:val="es-ES" w:eastAsia="en-US"/>
        </w:rPr>
        <w:t>a</w:t>
      </w:r>
      <w:r w:rsidR="00B5625C" w:rsidRPr="00975C02">
        <w:rPr>
          <w:kern w:val="2"/>
          <w:sz w:val="20"/>
          <w:szCs w:val="20"/>
          <w:lang w:val="es-ES" w:eastAsia="en-US"/>
        </w:rPr>
        <w:t>, niñ</w:t>
      </w:r>
      <w:r w:rsidR="00EC070E" w:rsidRPr="00975C02">
        <w:rPr>
          <w:kern w:val="2"/>
          <w:sz w:val="20"/>
          <w:szCs w:val="20"/>
          <w:lang w:val="es-ES" w:eastAsia="en-US"/>
        </w:rPr>
        <w:t>o</w:t>
      </w:r>
      <w:r w:rsidR="00B5625C" w:rsidRPr="00975C02">
        <w:rPr>
          <w:kern w:val="2"/>
          <w:sz w:val="20"/>
          <w:szCs w:val="20"/>
          <w:lang w:val="es-ES" w:eastAsia="en-US"/>
        </w:rPr>
        <w:t xml:space="preserve"> o adolescente a ser oído, en un lugar adecuado, y se respetará su derecho a la intimidad y privacidad, permitiendo la presencia de un acompañante de confianza de la víctima</w:t>
      </w:r>
      <w:r w:rsidR="00B5625C" w:rsidRPr="00975C02">
        <w:rPr>
          <w:kern w:val="2"/>
          <w:sz w:val="20"/>
          <w:szCs w:val="20"/>
          <w:vertAlign w:val="superscript"/>
          <w:lang w:val="es-ES" w:eastAsia="en-US"/>
        </w:rPr>
        <w:footnoteReference w:id="254"/>
      </w:r>
      <w:r w:rsidR="00422D55" w:rsidRPr="00975C02">
        <w:rPr>
          <w:kern w:val="2"/>
          <w:sz w:val="20"/>
          <w:szCs w:val="20"/>
          <w:lang w:val="es-ES" w:eastAsia="en-US"/>
        </w:rPr>
        <w:t>.</w:t>
      </w:r>
      <w:r w:rsidR="00CD579C" w:rsidRPr="00975C02">
        <w:rPr>
          <w:kern w:val="2"/>
          <w:sz w:val="20"/>
          <w:szCs w:val="20"/>
          <w:lang w:val="es-ES" w:eastAsia="en-US"/>
        </w:rPr>
        <w:t xml:space="preserve"> La procedencia de un peritaje ginecológico debe ser considerada sobre la base de un análisis realizado caso por caso, tomando en cuenta el tiempo transcurrido desde el momento en que se alega que ocurrió la violencia sexual. En vista de ello, la Corte considera que l</w:t>
      </w:r>
      <w:r w:rsidR="00B75585" w:rsidRPr="00975C02">
        <w:rPr>
          <w:kern w:val="2"/>
          <w:sz w:val="20"/>
          <w:szCs w:val="20"/>
          <w:lang w:val="es-ES" w:eastAsia="en-US"/>
        </w:rPr>
        <w:t xml:space="preserve">a solicitud </w:t>
      </w:r>
      <w:r w:rsidR="00CD579C" w:rsidRPr="00975C02">
        <w:rPr>
          <w:kern w:val="2"/>
          <w:sz w:val="20"/>
          <w:szCs w:val="20"/>
          <w:lang w:val="es-ES" w:eastAsia="en-US"/>
        </w:rPr>
        <w:t xml:space="preserve">de </w:t>
      </w:r>
      <w:r w:rsidR="00B75585" w:rsidRPr="00975C02">
        <w:rPr>
          <w:kern w:val="2"/>
          <w:sz w:val="20"/>
          <w:szCs w:val="20"/>
          <w:lang w:val="es-ES" w:eastAsia="en-US"/>
        </w:rPr>
        <w:t xml:space="preserve">realizar </w:t>
      </w:r>
      <w:r w:rsidR="00CD579C" w:rsidRPr="00975C02">
        <w:rPr>
          <w:kern w:val="2"/>
          <w:sz w:val="20"/>
          <w:szCs w:val="20"/>
          <w:lang w:val="es-ES" w:eastAsia="en-US"/>
        </w:rPr>
        <w:t>un peritaje ginecológico debe ser motivada detalladamente y, en caso de no ser procedente o no contar con el consentimiento informado de la víctima, el examen debe ser omitido, lo que en ninguna circunstancia debe servir de excusa para desacreditar</w:t>
      </w:r>
      <w:r w:rsidR="002E57DE" w:rsidRPr="00975C02">
        <w:rPr>
          <w:kern w:val="2"/>
          <w:sz w:val="20"/>
          <w:szCs w:val="20"/>
          <w:lang w:val="es-ES" w:eastAsia="en-US"/>
        </w:rPr>
        <w:t>l</w:t>
      </w:r>
      <w:r w:rsidR="00CD579C" w:rsidRPr="00975C02">
        <w:rPr>
          <w:kern w:val="2"/>
          <w:sz w:val="20"/>
          <w:szCs w:val="20"/>
          <w:lang w:val="es-ES" w:eastAsia="en-US"/>
        </w:rPr>
        <w:t>a y/o impedir una investigación</w:t>
      </w:r>
      <w:r w:rsidR="00CD579C" w:rsidRPr="00975C02">
        <w:rPr>
          <w:rStyle w:val="FootnoteReference"/>
          <w:kern w:val="2"/>
          <w:sz w:val="20"/>
          <w:szCs w:val="20"/>
          <w:lang w:val="es-ES" w:eastAsia="en-US"/>
        </w:rPr>
        <w:footnoteReference w:id="255"/>
      </w:r>
      <w:r w:rsidR="00CD579C" w:rsidRPr="00975C02">
        <w:rPr>
          <w:kern w:val="2"/>
          <w:sz w:val="20"/>
          <w:szCs w:val="20"/>
          <w:lang w:val="es-ES" w:eastAsia="en-US"/>
        </w:rPr>
        <w:t>.</w:t>
      </w:r>
    </w:p>
    <w:p w14:paraId="490D5AE2" w14:textId="77777777" w:rsidR="00422D55" w:rsidRPr="00975C02" w:rsidRDefault="00422D55" w:rsidP="00422D55">
      <w:pPr>
        <w:widowControl/>
        <w:tabs>
          <w:tab w:val="left" w:pos="567"/>
        </w:tabs>
        <w:adjustRightInd/>
        <w:spacing w:line="240" w:lineRule="auto"/>
        <w:textAlignment w:val="auto"/>
        <w:rPr>
          <w:b/>
          <w:kern w:val="2"/>
          <w:sz w:val="20"/>
          <w:szCs w:val="20"/>
          <w:lang w:val="es-ES" w:eastAsia="en-US"/>
        </w:rPr>
      </w:pPr>
    </w:p>
    <w:p w14:paraId="2064667F" w14:textId="58D38EE3" w:rsidR="00B5625C" w:rsidRPr="00975C02" w:rsidRDefault="00B5625C" w:rsidP="00FA044E">
      <w:pPr>
        <w:widowControl/>
        <w:numPr>
          <w:ilvl w:val="0"/>
          <w:numId w:val="2"/>
        </w:numPr>
        <w:tabs>
          <w:tab w:val="left" w:pos="567"/>
          <w:tab w:val="num" w:pos="12305"/>
        </w:tabs>
        <w:adjustRightInd/>
        <w:spacing w:line="240" w:lineRule="auto"/>
        <w:ind w:left="0" w:firstLine="0"/>
        <w:textAlignment w:val="auto"/>
        <w:rPr>
          <w:b/>
          <w:kern w:val="2"/>
          <w:sz w:val="20"/>
          <w:szCs w:val="20"/>
          <w:lang w:val="es-ES" w:eastAsia="en-US"/>
        </w:rPr>
      </w:pPr>
      <w:r w:rsidRPr="00975C02">
        <w:rPr>
          <w:kern w:val="2"/>
          <w:sz w:val="20"/>
          <w:szCs w:val="20"/>
          <w:lang w:val="es-ES" w:eastAsia="en-US"/>
        </w:rPr>
        <w:t xml:space="preserve">Ahora bien, la Corte considera que la debida diligencia del Estado no solo abarca las medidas de protección reforzada antes y durante el desarrollo de las investigaciones y proceso penal, sino que </w:t>
      </w:r>
      <w:r w:rsidR="006078AE" w:rsidRPr="00975C02">
        <w:rPr>
          <w:kern w:val="2"/>
          <w:sz w:val="20"/>
          <w:szCs w:val="20"/>
          <w:lang w:val="es-ES" w:eastAsia="en-US"/>
        </w:rPr>
        <w:t>debe incorporar también</w:t>
      </w:r>
      <w:r w:rsidRPr="00975C02">
        <w:rPr>
          <w:kern w:val="2"/>
          <w:sz w:val="20"/>
          <w:szCs w:val="20"/>
          <w:lang w:val="es-ES" w:eastAsia="en-US"/>
        </w:rPr>
        <w:t xml:space="preserve"> medidas a ser adoptadas con posterioridad, para lograr la recuperación, rehabilitación </w:t>
      </w:r>
      <w:r w:rsidR="002E57DE" w:rsidRPr="00975C02">
        <w:rPr>
          <w:kern w:val="2"/>
          <w:sz w:val="20"/>
          <w:szCs w:val="20"/>
          <w:lang w:val="es-ES" w:eastAsia="en-US"/>
        </w:rPr>
        <w:t>y</w:t>
      </w:r>
      <w:r w:rsidRPr="00975C02">
        <w:rPr>
          <w:kern w:val="2"/>
          <w:sz w:val="20"/>
          <w:szCs w:val="20"/>
          <w:lang w:val="es-ES" w:eastAsia="en-US"/>
        </w:rPr>
        <w:t xml:space="preserve"> reintegración social de</w:t>
      </w:r>
      <w:r w:rsidR="006078AE" w:rsidRPr="00975C02">
        <w:rPr>
          <w:kern w:val="2"/>
          <w:sz w:val="20"/>
          <w:szCs w:val="20"/>
          <w:lang w:val="es-ES" w:eastAsia="en-US"/>
        </w:rPr>
        <w:t xml:space="preserve"> </w:t>
      </w:r>
      <w:r w:rsidRPr="00975C02">
        <w:rPr>
          <w:kern w:val="2"/>
          <w:sz w:val="20"/>
          <w:szCs w:val="20"/>
          <w:lang w:val="es-ES" w:eastAsia="en-US"/>
        </w:rPr>
        <w:t>l</w:t>
      </w:r>
      <w:r w:rsidR="006078AE" w:rsidRPr="00975C02">
        <w:rPr>
          <w:kern w:val="2"/>
          <w:sz w:val="20"/>
          <w:szCs w:val="20"/>
          <w:lang w:val="es-ES" w:eastAsia="en-US"/>
        </w:rPr>
        <w:t>a</w:t>
      </w:r>
      <w:r w:rsidRPr="00975C02">
        <w:rPr>
          <w:kern w:val="2"/>
          <w:sz w:val="20"/>
          <w:szCs w:val="20"/>
          <w:lang w:val="es-ES" w:eastAsia="en-US"/>
        </w:rPr>
        <w:t xml:space="preserve"> niñ</w:t>
      </w:r>
      <w:r w:rsidR="006078AE" w:rsidRPr="00975C02">
        <w:rPr>
          <w:kern w:val="2"/>
          <w:sz w:val="20"/>
          <w:szCs w:val="20"/>
          <w:lang w:val="es-ES" w:eastAsia="en-US"/>
        </w:rPr>
        <w:t>a</w:t>
      </w:r>
      <w:r w:rsidRPr="00975C02">
        <w:rPr>
          <w:kern w:val="2"/>
          <w:sz w:val="20"/>
          <w:szCs w:val="20"/>
          <w:lang w:val="es-ES" w:eastAsia="en-US"/>
        </w:rPr>
        <w:t>, niñ</w:t>
      </w:r>
      <w:r w:rsidR="006078AE" w:rsidRPr="00975C02">
        <w:rPr>
          <w:kern w:val="2"/>
          <w:sz w:val="20"/>
          <w:szCs w:val="20"/>
          <w:lang w:val="es-ES" w:eastAsia="en-US"/>
        </w:rPr>
        <w:t>o</w:t>
      </w:r>
      <w:r w:rsidRPr="00975C02">
        <w:rPr>
          <w:kern w:val="2"/>
          <w:sz w:val="20"/>
          <w:szCs w:val="20"/>
          <w:lang w:val="es-ES" w:eastAsia="en-US"/>
        </w:rPr>
        <w:t xml:space="preserve"> o adolescente</w:t>
      </w:r>
      <w:r w:rsidRPr="00975C02">
        <w:rPr>
          <w:kern w:val="2"/>
          <w:sz w:val="20"/>
          <w:szCs w:val="20"/>
          <w:vertAlign w:val="superscript"/>
          <w:lang w:val="es-ES" w:eastAsia="en-US"/>
        </w:rPr>
        <w:footnoteReference w:id="256"/>
      </w:r>
      <w:r w:rsidR="00AB0ECA" w:rsidRPr="00975C02">
        <w:rPr>
          <w:kern w:val="2"/>
          <w:sz w:val="20"/>
          <w:szCs w:val="20"/>
          <w:lang w:val="es-ES" w:eastAsia="en-US"/>
        </w:rPr>
        <w:t xml:space="preserve">, teniendo en cuenta su derecho a </w:t>
      </w:r>
      <w:r w:rsidR="00AB0ECA" w:rsidRPr="00975C02">
        <w:rPr>
          <w:rFonts w:eastAsia="Batang"/>
          <w:kern w:val="2"/>
          <w:sz w:val="20"/>
          <w:szCs w:val="20"/>
          <w:lang w:val="es-ES"/>
        </w:rPr>
        <w:t xml:space="preserve">la supervivencia y </w:t>
      </w:r>
      <w:r w:rsidR="002E57DE" w:rsidRPr="00975C02">
        <w:rPr>
          <w:rFonts w:eastAsia="Batang"/>
          <w:kern w:val="2"/>
          <w:sz w:val="20"/>
          <w:szCs w:val="20"/>
          <w:lang w:val="es-ES"/>
        </w:rPr>
        <w:t>a</w:t>
      </w:r>
      <w:r w:rsidR="00AB0ECA" w:rsidRPr="00975C02">
        <w:rPr>
          <w:rFonts w:eastAsia="Batang"/>
          <w:kern w:val="2"/>
          <w:sz w:val="20"/>
          <w:szCs w:val="20"/>
          <w:lang w:val="es-ES"/>
        </w:rPr>
        <w:t>l desarrollo integral</w:t>
      </w:r>
      <w:r w:rsidR="00AB0ECA" w:rsidRPr="00975C02">
        <w:rPr>
          <w:rFonts w:eastAsia="Batang"/>
          <w:kern w:val="2"/>
          <w:sz w:val="20"/>
          <w:szCs w:val="20"/>
          <w:vertAlign w:val="superscript"/>
          <w:lang w:val="es-ES"/>
        </w:rPr>
        <w:footnoteReference w:id="257"/>
      </w:r>
      <w:r w:rsidRPr="00975C02">
        <w:rPr>
          <w:kern w:val="2"/>
          <w:sz w:val="20"/>
          <w:szCs w:val="20"/>
          <w:lang w:val="es-ES" w:eastAsia="en-US"/>
        </w:rPr>
        <w:t>.</w:t>
      </w:r>
      <w:r w:rsidR="00FA044E" w:rsidRPr="00975C02">
        <w:rPr>
          <w:kern w:val="2"/>
          <w:sz w:val="20"/>
          <w:szCs w:val="20"/>
          <w:lang w:val="es-ES" w:eastAsia="en-US"/>
        </w:rPr>
        <w:t xml:space="preserve"> </w:t>
      </w:r>
      <w:r w:rsidR="006078AE" w:rsidRPr="00975C02">
        <w:rPr>
          <w:kern w:val="2"/>
          <w:sz w:val="20"/>
          <w:szCs w:val="20"/>
          <w:lang w:val="es-ES" w:eastAsia="en-US"/>
        </w:rPr>
        <w:t>A</w:t>
      </w:r>
      <w:r w:rsidRPr="00975C02">
        <w:rPr>
          <w:kern w:val="2"/>
          <w:sz w:val="20"/>
          <w:szCs w:val="20"/>
          <w:lang w:val="es-ES" w:eastAsia="en-US"/>
        </w:rPr>
        <w:t xml:space="preserve">quellas medidas deberán ser </w:t>
      </w:r>
      <w:r w:rsidRPr="00975C02">
        <w:rPr>
          <w:kern w:val="2"/>
          <w:sz w:val="20"/>
          <w:szCs w:val="20"/>
          <w:lang w:val="es-ES" w:eastAsia="en-US"/>
        </w:rPr>
        <w:lastRenderedPageBreak/>
        <w:t xml:space="preserve">extendidas además a los familiares de las víctimas, en lo que corresponda. Es decir que, la atención médica y </w:t>
      </w:r>
      <w:r w:rsidR="006078AE" w:rsidRPr="00975C02">
        <w:rPr>
          <w:kern w:val="2"/>
          <w:sz w:val="20"/>
          <w:szCs w:val="20"/>
          <w:lang w:val="es-ES" w:eastAsia="en-US"/>
        </w:rPr>
        <w:t>psicosocial</w:t>
      </w:r>
      <w:r w:rsidRPr="00975C02">
        <w:rPr>
          <w:kern w:val="2"/>
          <w:sz w:val="20"/>
          <w:szCs w:val="20"/>
          <w:lang w:val="es-ES" w:eastAsia="en-US"/>
        </w:rPr>
        <w:t xml:space="preserve"> se adoptará de forma inmediata y desde conocidos los hechos, se mantendrá de forma continuada, si así se requiere, y se extenderá más allá del proceso de investigación.</w:t>
      </w:r>
    </w:p>
    <w:p w14:paraId="46BCDA2C" w14:textId="77777777" w:rsidR="00B5625C" w:rsidRPr="00975C02" w:rsidRDefault="00B5625C" w:rsidP="00B5625C">
      <w:pPr>
        <w:widowControl/>
        <w:adjustRightInd/>
        <w:spacing w:line="240" w:lineRule="auto"/>
        <w:jc w:val="left"/>
        <w:textAlignment w:val="auto"/>
        <w:rPr>
          <w:b/>
          <w:kern w:val="2"/>
          <w:sz w:val="20"/>
          <w:szCs w:val="20"/>
          <w:lang w:val="es-ES" w:eastAsia="en-US"/>
        </w:rPr>
      </w:pPr>
    </w:p>
    <w:p w14:paraId="560AA120" w14:textId="68514612" w:rsidR="00B5625C" w:rsidRPr="00975C02" w:rsidRDefault="00B5625C" w:rsidP="00E7485E">
      <w:pPr>
        <w:widowControl/>
        <w:numPr>
          <w:ilvl w:val="0"/>
          <w:numId w:val="2"/>
        </w:numPr>
        <w:tabs>
          <w:tab w:val="left" w:pos="567"/>
          <w:tab w:val="num" w:pos="12305"/>
        </w:tabs>
        <w:adjustRightInd/>
        <w:spacing w:line="240" w:lineRule="auto"/>
        <w:ind w:left="0" w:firstLine="0"/>
        <w:textAlignment w:val="auto"/>
        <w:rPr>
          <w:b/>
          <w:kern w:val="2"/>
          <w:sz w:val="20"/>
          <w:szCs w:val="20"/>
          <w:lang w:val="es-ES" w:eastAsia="en-US"/>
        </w:rPr>
      </w:pPr>
      <w:r w:rsidRPr="00975C02">
        <w:rPr>
          <w:kern w:val="2"/>
          <w:sz w:val="20"/>
          <w:szCs w:val="20"/>
          <w:lang w:val="es-ES" w:eastAsia="en-US"/>
        </w:rPr>
        <w:t xml:space="preserve">Teniendo en cuenta los criterios desarrollados anteriormente, con base en los artículos pertinentes de la Convención Americana y de la Convención de Belém do Pará y </w:t>
      </w:r>
      <w:r w:rsidRPr="00975C02">
        <w:rPr>
          <w:sz w:val="20"/>
          <w:szCs w:val="20"/>
          <w:lang w:val="es-ES" w:eastAsia="en-US"/>
        </w:rPr>
        <w:t xml:space="preserve">a la luz del </w:t>
      </w:r>
      <w:r w:rsidRPr="00975C02">
        <w:rPr>
          <w:i/>
          <w:iCs/>
          <w:sz w:val="20"/>
          <w:szCs w:val="20"/>
          <w:lang w:val="es-ES" w:eastAsia="en-US"/>
        </w:rPr>
        <w:t xml:space="preserve">corpus juris </w:t>
      </w:r>
      <w:r w:rsidRPr="00975C02">
        <w:rPr>
          <w:sz w:val="20"/>
          <w:szCs w:val="20"/>
          <w:lang w:val="es-ES" w:eastAsia="en-US"/>
        </w:rPr>
        <w:t xml:space="preserve">internacional de protección de las niñas, niños y adolescentes, la Corte analizará a continuación si, </w:t>
      </w:r>
      <w:r w:rsidRPr="00975C02">
        <w:rPr>
          <w:kern w:val="2"/>
          <w:sz w:val="20"/>
          <w:szCs w:val="20"/>
          <w:lang w:val="es-ES" w:eastAsia="en-US"/>
        </w:rPr>
        <w:t>en el marco del desarrollo de las investigaciones y proceso penal por la violación sexual de V.R.P., el Estado incurrió en la violación de su deber de debida diligencia</w:t>
      </w:r>
      <w:r w:rsidR="00A61888" w:rsidRPr="00975C02">
        <w:rPr>
          <w:kern w:val="2"/>
          <w:sz w:val="20"/>
          <w:szCs w:val="20"/>
          <w:lang w:val="es-ES" w:eastAsia="en-US"/>
        </w:rPr>
        <w:t xml:space="preserve"> reforzada, protección especial y no revictimización</w:t>
      </w:r>
      <w:r w:rsidRPr="00975C02">
        <w:rPr>
          <w:kern w:val="2"/>
          <w:sz w:val="20"/>
          <w:szCs w:val="20"/>
          <w:lang w:val="es-ES" w:eastAsia="en-US"/>
        </w:rPr>
        <w:t xml:space="preserve">, </w:t>
      </w:r>
      <w:r w:rsidR="00A61888" w:rsidRPr="00975C02">
        <w:rPr>
          <w:kern w:val="2"/>
          <w:sz w:val="20"/>
          <w:szCs w:val="20"/>
          <w:lang w:val="es-ES" w:eastAsia="en-US"/>
        </w:rPr>
        <w:t xml:space="preserve">así como </w:t>
      </w:r>
      <w:r w:rsidRPr="00975C02">
        <w:rPr>
          <w:kern w:val="2"/>
          <w:sz w:val="20"/>
          <w:szCs w:val="20"/>
          <w:lang w:val="es-ES" w:eastAsia="en-US"/>
        </w:rPr>
        <w:t>de</w:t>
      </w:r>
      <w:r w:rsidR="00A61888" w:rsidRPr="00975C02">
        <w:rPr>
          <w:kern w:val="2"/>
          <w:sz w:val="20"/>
          <w:szCs w:val="20"/>
          <w:lang w:val="es-ES" w:eastAsia="en-US"/>
        </w:rPr>
        <w:t xml:space="preserve"> </w:t>
      </w:r>
      <w:r w:rsidRPr="00975C02">
        <w:rPr>
          <w:kern w:val="2"/>
          <w:sz w:val="20"/>
          <w:szCs w:val="20"/>
          <w:lang w:val="es-ES" w:eastAsia="en-US"/>
        </w:rPr>
        <w:t>l</w:t>
      </w:r>
      <w:r w:rsidR="00A61888" w:rsidRPr="00975C02">
        <w:rPr>
          <w:kern w:val="2"/>
          <w:sz w:val="20"/>
          <w:szCs w:val="20"/>
          <w:lang w:val="es-ES" w:eastAsia="en-US"/>
        </w:rPr>
        <w:t>os</w:t>
      </w:r>
      <w:r w:rsidRPr="00975C02">
        <w:rPr>
          <w:kern w:val="2"/>
          <w:sz w:val="20"/>
          <w:szCs w:val="20"/>
          <w:lang w:val="es-ES" w:eastAsia="en-US"/>
        </w:rPr>
        <w:t xml:space="preserve"> derecho</w:t>
      </w:r>
      <w:r w:rsidR="00A61888" w:rsidRPr="00975C02">
        <w:rPr>
          <w:kern w:val="2"/>
          <w:sz w:val="20"/>
          <w:szCs w:val="20"/>
          <w:lang w:val="es-ES" w:eastAsia="en-US"/>
        </w:rPr>
        <w:t>s</w:t>
      </w:r>
      <w:r w:rsidRPr="00975C02">
        <w:rPr>
          <w:kern w:val="2"/>
          <w:sz w:val="20"/>
          <w:szCs w:val="20"/>
          <w:lang w:val="es-ES" w:eastAsia="en-US"/>
        </w:rPr>
        <w:t xml:space="preserve"> a la integridad personal, a la vida privada y familiar de la niña V.R.P. Para ello, analizará si las diligencias investigativas y actuaciones judiciales se adecuaron a los criterios en la materia desarrollados o si</w:t>
      </w:r>
      <w:r w:rsidR="007E669E" w:rsidRPr="00975C02">
        <w:rPr>
          <w:kern w:val="2"/>
          <w:sz w:val="20"/>
          <w:szCs w:val="20"/>
          <w:lang w:val="es-ES" w:eastAsia="en-US"/>
        </w:rPr>
        <w:t>,</w:t>
      </w:r>
      <w:r w:rsidRPr="00975C02">
        <w:rPr>
          <w:kern w:val="2"/>
          <w:sz w:val="20"/>
          <w:szCs w:val="20"/>
          <w:lang w:val="es-ES" w:eastAsia="en-US"/>
        </w:rPr>
        <w:t xml:space="preserve"> por el contrario</w:t>
      </w:r>
      <w:r w:rsidR="007E669E" w:rsidRPr="00975C02">
        <w:rPr>
          <w:kern w:val="2"/>
          <w:sz w:val="20"/>
          <w:szCs w:val="20"/>
          <w:lang w:val="es-ES" w:eastAsia="en-US"/>
        </w:rPr>
        <w:t>,</w:t>
      </w:r>
      <w:r w:rsidRPr="00975C02">
        <w:rPr>
          <w:kern w:val="2"/>
          <w:sz w:val="20"/>
          <w:szCs w:val="20"/>
          <w:lang w:val="es-ES" w:eastAsia="en-US"/>
        </w:rPr>
        <w:t xml:space="preserve"> sometieron a la víctima a una revictimización. Al respecto, la Corte considera importante resaltar que</w:t>
      </w:r>
      <w:r w:rsidR="007E669E" w:rsidRPr="00975C02">
        <w:rPr>
          <w:kern w:val="2"/>
          <w:sz w:val="20"/>
          <w:szCs w:val="20"/>
          <w:lang w:val="es-ES" w:eastAsia="en-US"/>
        </w:rPr>
        <w:t>,</w:t>
      </w:r>
      <w:r w:rsidR="00745492" w:rsidRPr="00975C02">
        <w:rPr>
          <w:kern w:val="2"/>
          <w:sz w:val="20"/>
          <w:szCs w:val="20"/>
          <w:lang w:val="es-ES" w:eastAsia="en-US"/>
        </w:rPr>
        <w:t xml:space="preserve"> en casos de violencia sexual, é</w:t>
      </w:r>
      <w:r w:rsidRPr="00975C02">
        <w:rPr>
          <w:kern w:val="2"/>
          <w:sz w:val="20"/>
          <w:szCs w:val="20"/>
          <w:lang w:val="es-ES" w:eastAsia="en-US"/>
        </w:rPr>
        <w:t xml:space="preserve">sta ha destacado que la investigación debe intentar </w:t>
      </w:r>
      <w:r w:rsidRPr="00975C02">
        <w:rPr>
          <w:bCs/>
          <w:iCs/>
          <w:kern w:val="2"/>
          <w:sz w:val="20"/>
          <w:szCs w:val="20"/>
          <w:lang w:val="es-ES" w:eastAsia="en-US"/>
        </w:rPr>
        <w:t>evitar</w:t>
      </w:r>
      <w:r w:rsidRPr="00975C02">
        <w:rPr>
          <w:kern w:val="2"/>
          <w:sz w:val="20"/>
          <w:szCs w:val="20"/>
          <w:lang w:val="es-ES" w:eastAsia="en-US"/>
        </w:rPr>
        <w:t xml:space="preserve"> en lo posible la </w:t>
      </w:r>
      <w:r w:rsidRPr="00975C02">
        <w:rPr>
          <w:bCs/>
          <w:iCs/>
          <w:kern w:val="2"/>
          <w:sz w:val="20"/>
          <w:szCs w:val="20"/>
          <w:lang w:val="es-ES" w:eastAsia="en-US"/>
        </w:rPr>
        <w:t>revictimización</w:t>
      </w:r>
      <w:r w:rsidRPr="00975C02">
        <w:rPr>
          <w:kern w:val="2"/>
          <w:sz w:val="20"/>
          <w:szCs w:val="20"/>
          <w:lang w:val="es-ES" w:eastAsia="en-US"/>
        </w:rPr>
        <w:t xml:space="preserve"> o re</w:t>
      </w:r>
      <w:r w:rsidR="004246C9" w:rsidRPr="00975C02">
        <w:rPr>
          <w:kern w:val="2"/>
          <w:sz w:val="20"/>
          <w:szCs w:val="20"/>
          <w:lang w:val="es-ES" w:eastAsia="en-US"/>
        </w:rPr>
        <w:t>-</w:t>
      </w:r>
      <w:r w:rsidRPr="00975C02">
        <w:rPr>
          <w:kern w:val="2"/>
          <w:sz w:val="20"/>
          <w:szCs w:val="20"/>
          <w:lang w:val="es-ES" w:eastAsia="en-US"/>
        </w:rPr>
        <w:t xml:space="preserve">experimentación de la profunda experiencia traumática </w:t>
      </w:r>
      <w:r w:rsidR="00760A5E" w:rsidRPr="00975C02">
        <w:rPr>
          <w:kern w:val="2"/>
          <w:sz w:val="20"/>
          <w:szCs w:val="20"/>
          <w:lang w:val="es-ES" w:eastAsia="en-US"/>
        </w:rPr>
        <w:t>de</w:t>
      </w:r>
      <w:r w:rsidRPr="00975C02">
        <w:rPr>
          <w:kern w:val="2"/>
          <w:sz w:val="20"/>
          <w:szCs w:val="20"/>
          <w:lang w:val="es-ES" w:eastAsia="en-US"/>
        </w:rPr>
        <w:t xml:space="preserve"> la víctima</w:t>
      </w:r>
      <w:r w:rsidRPr="00975C02">
        <w:rPr>
          <w:kern w:val="2"/>
          <w:sz w:val="20"/>
          <w:szCs w:val="20"/>
          <w:vertAlign w:val="superscript"/>
          <w:lang w:val="es-ES" w:eastAsia="en-US"/>
        </w:rPr>
        <w:footnoteReference w:id="258"/>
      </w:r>
      <w:r w:rsidRPr="00975C02">
        <w:rPr>
          <w:kern w:val="2"/>
          <w:sz w:val="20"/>
          <w:szCs w:val="20"/>
          <w:lang w:val="es-ES" w:eastAsia="en-US"/>
        </w:rPr>
        <w:t>. Esto adquiere especial relevancia en el caso de niñas, en virtud del deber de diligencia reforzad</w:t>
      </w:r>
      <w:r w:rsidR="00A87980" w:rsidRPr="00975C02">
        <w:rPr>
          <w:kern w:val="2"/>
          <w:sz w:val="20"/>
          <w:szCs w:val="20"/>
          <w:lang w:val="es-ES" w:eastAsia="en-US"/>
        </w:rPr>
        <w:t>a</w:t>
      </w:r>
      <w:r w:rsidRPr="00975C02">
        <w:rPr>
          <w:kern w:val="2"/>
          <w:sz w:val="20"/>
          <w:szCs w:val="20"/>
          <w:lang w:val="es-ES" w:eastAsia="en-US"/>
        </w:rPr>
        <w:t xml:space="preserve"> del Estado y de la situación agravada de vulnerabilidad en la que se encuentran al haber sido víctimas de violencia sexual. En este sentido, el Tribunal se centrará en las siguientes diligencias y actuaciones: </w:t>
      </w:r>
      <w:r w:rsidR="00BD2FA8" w:rsidRPr="00975C02">
        <w:rPr>
          <w:kern w:val="2"/>
          <w:sz w:val="20"/>
          <w:szCs w:val="20"/>
          <w:lang w:val="es-ES" w:eastAsia="en-US"/>
        </w:rPr>
        <w:t>i</w:t>
      </w:r>
      <w:r w:rsidRPr="00975C02">
        <w:rPr>
          <w:kern w:val="2"/>
          <w:sz w:val="20"/>
          <w:szCs w:val="20"/>
          <w:lang w:val="es-ES" w:eastAsia="en-US"/>
        </w:rPr>
        <w:t>) el examen médico forense al que fue sometida la niña V.R.P.</w:t>
      </w:r>
      <w:r w:rsidR="00831337" w:rsidRPr="00975C02">
        <w:rPr>
          <w:kern w:val="2"/>
          <w:sz w:val="20"/>
          <w:szCs w:val="20"/>
          <w:lang w:val="es-ES" w:eastAsia="en-US"/>
        </w:rPr>
        <w:t xml:space="preserve">; </w:t>
      </w:r>
      <w:r w:rsidR="00BD2FA8" w:rsidRPr="00975C02">
        <w:rPr>
          <w:kern w:val="2"/>
          <w:sz w:val="20"/>
          <w:szCs w:val="20"/>
          <w:lang w:val="es-ES" w:eastAsia="en-US"/>
        </w:rPr>
        <w:t>ii</w:t>
      </w:r>
      <w:r w:rsidR="00831337" w:rsidRPr="00975C02">
        <w:rPr>
          <w:kern w:val="2"/>
          <w:sz w:val="20"/>
          <w:szCs w:val="20"/>
          <w:lang w:val="es-ES" w:eastAsia="en-US"/>
        </w:rPr>
        <w:t>)</w:t>
      </w:r>
      <w:r w:rsidRPr="00975C02">
        <w:rPr>
          <w:kern w:val="2"/>
          <w:sz w:val="20"/>
          <w:szCs w:val="20"/>
          <w:lang w:val="es-ES" w:eastAsia="en-US"/>
        </w:rPr>
        <w:t xml:space="preserve"> </w:t>
      </w:r>
      <w:r w:rsidR="00831337" w:rsidRPr="00975C02">
        <w:rPr>
          <w:kern w:val="2"/>
          <w:sz w:val="20"/>
          <w:szCs w:val="20"/>
          <w:lang w:val="es-ES" w:eastAsia="en-US"/>
        </w:rPr>
        <w:t>la</w:t>
      </w:r>
      <w:r w:rsidRPr="00975C02">
        <w:rPr>
          <w:kern w:val="2"/>
          <w:sz w:val="20"/>
          <w:szCs w:val="20"/>
          <w:lang w:val="es-ES" w:eastAsia="en-US"/>
        </w:rPr>
        <w:t xml:space="preserve"> declaración testimonial</w:t>
      </w:r>
      <w:r w:rsidR="00831337" w:rsidRPr="00975C02">
        <w:rPr>
          <w:kern w:val="2"/>
          <w:sz w:val="20"/>
          <w:szCs w:val="20"/>
          <w:lang w:val="es-ES" w:eastAsia="en-US"/>
        </w:rPr>
        <w:t xml:space="preserve"> de V.R.P.</w:t>
      </w:r>
      <w:r w:rsidRPr="00975C02">
        <w:rPr>
          <w:kern w:val="2"/>
          <w:sz w:val="20"/>
          <w:szCs w:val="20"/>
          <w:lang w:val="es-ES" w:eastAsia="en-US"/>
        </w:rPr>
        <w:t xml:space="preserve">; </w:t>
      </w:r>
      <w:r w:rsidR="00BD2FA8" w:rsidRPr="00975C02">
        <w:rPr>
          <w:kern w:val="2"/>
          <w:sz w:val="20"/>
          <w:szCs w:val="20"/>
          <w:lang w:val="es-ES" w:eastAsia="en-US"/>
        </w:rPr>
        <w:t>iii)</w:t>
      </w:r>
      <w:r w:rsidRPr="00975C02">
        <w:rPr>
          <w:kern w:val="2"/>
          <w:sz w:val="20"/>
          <w:szCs w:val="20"/>
          <w:lang w:val="es-ES" w:eastAsia="en-US"/>
        </w:rPr>
        <w:t xml:space="preserve"> </w:t>
      </w:r>
      <w:r w:rsidR="00831337" w:rsidRPr="00975C02">
        <w:rPr>
          <w:kern w:val="2"/>
          <w:sz w:val="20"/>
          <w:szCs w:val="20"/>
          <w:lang w:val="es-ES" w:eastAsia="en-US"/>
        </w:rPr>
        <w:t xml:space="preserve">la participación de la niña V.R.P. en </w:t>
      </w:r>
      <w:r w:rsidRPr="00975C02">
        <w:rPr>
          <w:kern w:val="2"/>
          <w:sz w:val="20"/>
          <w:szCs w:val="20"/>
          <w:lang w:val="es-ES" w:eastAsia="en-US"/>
        </w:rPr>
        <w:t>la inspección ocular y la reconstrucción de los hechos</w:t>
      </w:r>
      <w:r w:rsidR="00831337" w:rsidRPr="00975C02">
        <w:rPr>
          <w:kern w:val="2"/>
          <w:sz w:val="20"/>
          <w:szCs w:val="20"/>
          <w:lang w:val="es-ES" w:eastAsia="en-US"/>
        </w:rPr>
        <w:t xml:space="preserve">, y </w:t>
      </w:r>
      <w:r w:rsidR="00BD2FA8" w:rsidRPr="00975C02">
        <w:rPr>
          <w:kern w:val="2"/>
          <w:sz w:val="20"/>
          <w:szCs w:val="20"/>
          <w:lang w:val="es-ES" w:eastAsia="en-US"/>
        </w:rPr>
        <w:t>iv</w:t>
      </w:r>
      <w:r w:rsidR="00831337" w:rsidRPr="00975C02">
        <w:rPr>
          <w:kern w:val="2"/>
          <w:sz w:val="20"/>
          <w:szCs w:val="20"/>
          <w:lang w:val="es-ES" w:eastAsia="en-US"/>
        </w:rPr>
        <w:t>) la</w:t>
      </w:r>
      <w:r w:rsidR="00BD2FA8" w:rsidRPr="00975C02">
        <w:rPr>
          <w:kern w:val="2"/>
          <w:sz w:val="20"/>
          <w:szCs w:val="20"/>
          <w:lang w:val="es-ES" w:eastAsia="en-US"/>
        </w:rPr>
        <w:t xml:space="preserve"> falta de </w:t>
      </w:r>
      <w:r w:rsidRPr="00975C02">
        <w:rPr>
          <w:kern w:val="2"/>
          <w:sz w:val="20"/>
          <w:szCs w:val="20"/>
          <w:lang w:val="es-ES" w:eastAsia="en-US"/>
        </w:rPr>
        <w:t xml:space="preserve">acompañamiento </w:t>
      </w:r>
      <w:r w:rsidR="00BD2FA8" w:rsidRPr="00975C02">
        <w:rPr>
          <w:kern w:val="2"/>
          <w:sz w:val="20"/>
          <w:szCs w:val="20"/>
          <w:lang w:val="es-ES" w:eastAsia="en-US"/>
        </w:rPr>
        <w:t>y atención integral a la niña V.R.P</w:t>
      </w:r>
      <w:r w:rsidRPr="00975C02">
        <w:rPr>
          <w:kern w:val="2"/>
          <w:sz w:val="20"/>
          <w:szCs w:val="20"/>
          <w:lang w:val="es-ES" w:eastAsia="en-US"/>
        </w:rPr>
        <w:t>.</w:t>
      </w:r>
    </w:p>
    <w:p w14:paraId="70D42BFA" w14:textId="77777777" w:rsidR="00B5625C" w:rsidRPr="00975C02" w:rsidRDefault="00B5625C" w:rsidP="00B5625C">
      <w:pPr>
        <w:widowControl/>
        <w:adjustRightInd/>
        <w:spacing w:line="240" w:lineRule="auto"/>
        <w:jc w:val="left"/>
        <w:textAlignment w:val="auto"/>
        <w:rPr>
          <w:b/>
          <w:kern w:val="2"/>
          <w:sz w:val="20"/>
          <w:szCs w:val="20"/>
          <w:lang w:val="es-ES" w:eastAsia="en-US"/>
        </w:rPr>
      </w:pPr>
    </w:p>
    <w:p w14:paraId="16A8107B" w14:textId="77777777" w:rsidR="00B5625C" w:rsidRPr="00975C02" w:rsidRDefault="00A92F94" w:rsidP="00A92F94">
      <w:pPr>
        <w:pStyle w:val="Heading3"/>
        <w:rPr>
          <w:b w:val="0"/>
          <w:i/>
        </w:rPr>
      </w:pPr>
      <w:bookmarkStart w:id="127" w:name="_Toc514172632"/>
      <w:r w:rsidRPr="00975C02">
        <w:rPr>
          <w:b w:val="0"/>
          <w:i/>
        </w:rPr>
        <w:t>A</w:t>
      </w:r>
      <w:r w:rsidR="00F977EC" w:rsidRPr="00975C02">
        <w:rPr>
          <w:b w:val="0"/>
          <w:i/>
        </w:rPr>
        <w:t>.2.b</w:t>
      </w:r>
      <w:r w:rsidR="00B5625C" w:rsidRPr="00975C02">
        <w:rPr>
          <w:b w:val="0"/>
          <w:i/>
        </w:rPr>
        <w:t xml:space="preserve"> </w:t>
      </w:r>
      <w:r w:rsidR="00F55296" w:rsidRPr="00975C02">
        <w:rPr>
          <w:b w:val="0"/>
          <w:i/>
        </w:rPr>
        <w:tab/>
      </w:r>
      <w:r w:rsidR="00B5625C" w:rsidRPr="00975C02">
        <w:rPr>
          <w:b w:val="0"/>
          <w:i/>
        </w:rPr>
        <w:t>El examen médico forense al que fue sometida la niña V.R.P.</w:t>
      </w:r>
      <w:bookmarkEnd w:id="127"/>
    </w:p>
    <w:p w14:paraId="488CFF7F" w14:textId="77777777" w:rsidR="00B5625C" w:rsidRPr="00975C02" w:rsidRDefault="00B5625C" w:rsidP="00B5625C">
      <w:pPr>
        <w:widowControl/>
        <w:adjustRightInd/>
        <w:spacing w:line="240" w:lineRule="auto"/>
        <w:jc w:val="left"/>
        <w:textAlignment w:val="auto"/>
        <w:rPr>
          <w:i/>
          <w:kern w:val="2"/>
          <w:sz w:val="20"/>
          <w:szCs w:val="20"/>
          <w:lang w:val="es-ES" w:eastAsia="en-US"/>
        </w:rPr>
      </w:pPr>
    </w:p>
    <w:p w14:paraId="6432898B" w14:textId="60E0D9BD" w:rsidR="00B5625C" w:rsidRPr="00975C02" w:rsidRDefault="00A51640" w:rsidP="00E7485E">
      <w:pPr>
        <w:widowControl/>
        <w:numPr>
          <w:ilvl w:val="0"/>
          <w:numId w:val="2"/>
        </w:numPr>
        <w:tabs>
          <w:tab w:val="left" w:pos="567"/>
          <w:tab w:val="num" w:pos="12305"/>
        </w:tabs>
        <w:adjustRightInd/>
        <w:spacing w:line="240" w:lineRule="auto"/>
        <w:ind w:left="0" w:firstLine="0"/>
        <w:textAlignment w:val="auto"/>
        <w:rPr>
          <w:kern w:val="2"/>
          <w:sz w:val="20"/>
          <w:szCs w:val="20"/>
          <w:lang w:val="es-ES" w:eastAsia="en-US"/>
        </w:rPr>
      </w:pPr>
      <w:r w:rsidRPr="00975C02">
        <w:rPr>
          <w:sz w:val="20"/>
          <w:szCs w:val="20"/>
          <w:lang w:val="es-ES"/>
        </w:rPr>
        <w:t>La Corte resalta que el presente caso se trata de la violación sexual de una niña cuando tenía ocho años, hechos que habría cometido su padre, quien se encontraba en una situación de poder sobre la misma, no solo por constituir una figura de autoridad frente a su hija, sino sobre todo, por la confianza que una niña deposita en la persona que estaba llamada a protegerla.</w:t>
      </w:r>
      <w:r w:rsidRPr="00975C02">
        <w:rPr>
          <w:kern w:val="2"/>
          <w:sz w:val="20"/>
          <w:szCs w:val="20"/>
          <w:lang w:val="es-ES" w:eastAsia="en-US"/>
        </w:rPr>
        <w:t xml:space="preserve"> L</w:t>
      </w:r>
      <w:r w:rsidR="00B5625C" w:rsidRPr="00975C02">
        <w:rPr>
          <w:kern w:val="2"/>
          <w:sz w:val="20"/>
          <w:szCs w:val="20"/>
          <w:lang w:val="es-ES" w:eastAsia="en-US"/>
        </w:rPr>
        <w:t xml:space="preserve">a Corte nota que </w:t>
      </w:r>
      <w:r w:rsidR="006C4F66" w:rsidRPr="00975C02">
        <w:rPr>
          <w:kern w:val="2"/>
          <w:sz w:val="20"/>
          <w:szCs w:val="20"/>
          <w:lang w:val="es-ES" w:eastAsia="en-US"/>
        </w:rPr>
        <w:t xml:space="preserve">la denuncia penal realizada por la señora </w:t>
      </w:r>
      <w:r w:rsidR="00B5625C" w:rsidRPr="00975C02">
        <w:rPr>
          <w:kern w:val="2"/>
          <w:sz w:val="20"/>
          <w:szCs w:val="20"/>
          <w:lang w:val="es-ES" w:eastAsia="en-US"/>
        </w:rPr>
        <w:t>V.P.C.</w:t>
      </w:r>
      <w:r w:rsidR="006C4F66" w:rsidRPr="00975C02">
        <w:rPr>
          <w:kern w:val="2"/>
          <w:sz w:val="20"/>
          <w:szCs w:val="20"/>
          <w:lang w:val="es-ES" w:eastAsia="en-US"/>
        </w:rPr>
        <w:t xml:space="preserve"> fue a consecuencia de los síntomas físicos que presentaba la niña V.R.P.</w:t>
      </w:r>
      <w:r w:rsidR="00B5625C" w:rsidRPr="00975C02">
        <w:rPr>
          <w:kern w:val="2"/>
          <w:sz w:val="20"/>
          <w:szCs w:val="20"/>
          <w:lang w:val="es-ES" w:eastAsia="en-US"/>
        </w:rPr>
        <w:t>,</w:t>
      </w:r>
      <w:r w:rsidR="006C4F66" w:rsidRPr="00975C02">
        <w:rPr>
          <w:kern w:val="2"/>
          <w:sz w:val="20"/>
          <w:szCs w:val="20"/>
          <w:lang w:val="es-ES" w:eastAsia="en-US"/>
        </w:rPr>
        <w:t xml:space="preserve"> quien</w:t>
      </w:r>
      <w:r w:rsidR="00B5625C" w:rsidRPr="00975C02">
        <w:rPr>
          <w:kern w:val="2"/>
          <w:sz w:val="20"/>
          <w:szCs w:val="20"/>
          <w:lang w:val="es-ES" w:eastAsia="en-US"/>
        </w:rPr>
        <w:t xml:space="preserve"> ante los problemas para defecar y dolores en la región anal, </w:t>
      </w:r>
      <w:r w:rsidR="006C4F66" w:rsidRPr="00975C02">
        <w:rPr>
          <w:kern w:val="2"/>
          <w:sz w:val="20"/>
          <w:szCs w:val="20"/>
          <w:lang w:val="es-ES" w:eastAsia="en-US"/>
        </w:rPr>
        <w:t xml:space="preserve">fue llevada a dos </w:t>
      </w:r>
      <w:r w:rsidR="00B5625C" w:rsidRPr="00975C02">
        <w:rPr>
          <w:kern w:val="2"/>
          <w:sz w:val="20"/>
          <w:szCs w:val="20"/>
          <w:lang w:val="es-ES" w:eastAsia="en-US"/>
        </w:rPr>
        <w:t>médicos</w:t>
      </w:r>
      <w:r w:rsidR="00BD0129" w:rsidRPr="00975C02">
        <w:rPr>
          <w:kern w:val="2"/>
          <w:sz w:val="20"/>
          <w:szCs w:val="20"/>
          <w:lang w:val="es-ES" w:eastAsia="en-US"/>
        </w:rPr>
        <w:t>. Éstos</w:t>
      </w:r>
      <w:r w:rsidR="006C4F66" w:rsidRPr="00975C02">
        <w:rPr>
          <w:kern w:val="2"/>
          <w:sz w:val="20"/>
          <w:szCs w:val="20"/>
          <w:lang w:val="es-ES" w:eastAsia="en-US"/>
        </w:rPr>
        <w:t xml:space="preserve"> </w:t>
      </w:r>
      <w:r w:rsidR="00B5625C" w:rsidRPr="00975C02">
        <w:rPr>
          <w:kern w:val="2"/>
          <w:sz w:val="20"/>
          <w:szCs w:val="20"/>
          <w:lang w:val="es-ES" w:eastAsia="en-US"/>
        </w:rPr>
        <w:t>concluyeron</w:t>
      </w:r>
      <w:r w:rsidR="006C4F66" w:rsidRPr="00975C02">
        <w:rPr>
          <w:kern w:val="2"/>
          <w:sz w:val="20"/>
          <w:szCs w:val="20"/>
          <w:lang w:val="es-ES" w:eastAsia="en-US"/>
        </w:rPr>
        <w:t xml:space="preserve"> de forma conteste</w:t>
      </w:r>
      <w:r w:rsidR="00B5625C" w:rsidRPr="00975C02">
        <w:rPr>
          <w:kern w:val="2"/>
          <w:sz w:val="20"/>
          <w:szCs w:val="20"/>
          <w:lang w:val="es-ES" w:eastAsia="en-US"/>
        </w:rPr>
        <w:t xml:space="preserve"> que l</w:t>
      </w:r>
      <w:r w:rsidR="006C4F66" w:rsidRPr="00975C02">
        <w:rPr>
          <w:kern w:val="2"/>
          <w:sz w:val="20"/>
          <w:szCs w:val="20"/>
          <w:lang w:val="es-ES" w:eastAsia="en-US"/>
        </w:rPr>
        <w:t xml:space="preserve">os hallazgos médicos </w:t>
      </w:r>
      <w:r w:rsidR="00A87980" w:rsidRPr="00975C02">
        <w:rPr>
          <w:kern w:val="2"/>
          <w:sz w:val="20"/>
          <w:szCs w:val="20"/>
          <w:lang w:val="es-ES" w:eastAsia="en-US"/>
        </w:rPr>
        <w:t xml:space="preserve">de </w:t>
      </w:r>
      <w:r w:rsidR="006C4F66" w:rsidRPr="00975C02">
        <w:rPr>
          <w:kern w:val="2"/>
          <w:sz w:val="20"/>
          <w:szCs w:val="20"/>
          <w:lang w:val="es-ES" w:eastAsia="en-US"/>
        </w:rPr>
        <w:t xml:space="preserve">V.R.P. correspondían a una </w:t>
      </w:r>
      <w:r w:rsidR="00B5625C" w:rsidRPr="00975C02">
        <w:rPr>
          <w:kern w:val="2"/>
          <w:sz w:val="20"/>
          <w:szCs w:val="20"/>
          <w:lang w:val="es-ES" w:eastAsia="en-US"/>
        </w:rPr>
        <w:t xml:space="preserve">víctima de </w:t>
      </w:r>
      <w:r w:rsidR="00451739" w:rsidRPr="00975C02">
        <w:rPr>
          <w:kern w:val="2"/>
          <w:sz w:val="20"/>
          <w:szCs w:val="20"/>
          <w:lang w:val="es-ES" w:eastAsia="en-US"/>
        </w:rPr>
        <w:t>abuso</w:t>
      </w:r>
      <w:r w:rsidR="00BD0129" w:rsidRPr="00975C02">
        <w:rPr>
          <w:kern w:val="2"/>
          <w:sz w:val="20"/>
          <w:szCs w:val="20"/>
          <w:lang w:val="es-ES" w:eastAsia="en-US"/>
        </w:rPr>
        <w:t xml:space="preserve"> </w:t>
      </w:r>
      <w:r w:rsidR="00B5625C" w:rsidRPr="00975C02">
        <w:rPr>
          <w:kern w:val="2"/>
          <w:sz w:val="20"/>
          <w:szCs w:val="20"/>
          <w:lang w:val="es-ES" w:eastAsia="en-US"/>
        </w:rPr>
        <w:t>sexual</w:t>
      </w:r>
      <w:r w:rsidR="00BD0129" w:rsidRPr="00975C02">
        <w:rPr>
          <w:kern w:val="2"/>
          <w:sz w:val="20"/>
          <w:szCs w:val="20"/>
          <w:lang w:val="es-ES" w:eastAsia="en-US"/>
        </w:rPr>
        <w:t>,</w:t>
      </w:r>
      <w:r w:rsidR="00B5625C" w:rsidRPr="00975C02">
        <w:rPr>
          <w:kern w:val="2"/>
          <w:sz w:val="20"/>
          <w:szCs w:val="20"/>
          <w:lang w:val="es-ES" w:eastAsia="en-US"/>
        </w:rPr>
        <w:t xml:space="preserve"> </w:t>
      </w:r>
      <w:r w:rsidR="006C4F66" w:rsidRPr="00975C02">
        <w:rPr>
          <w:kern w:val="2"/>
          <w:sz w:val="20"/>
          <w:szCs w:val="20"/>
          <w:lang w:val="es-ES" w:eastAsia="en-US"/>
        </w:rPr>
        <w:t>qu</w:t>
      </w:r>
      <w:r w:rsidR="00BD0129" w:rsidRPr="00975C02">
        <w:rPr>
          <w:kern w:val="2"/>
          <w:sz w:val="20"/>
          <w:szCs w:val="20"/>
          <w:lang w:val="es-ES" w:eastAsia="en-US"/>
        </w:rPr>
        <w:t>i</w:t>
      </w:r>
      <w:r w:rsidR="006C4F66" w:rsidRPr="00975C02">
        <w:rPr>
          <w:kern w:val="2"/>
          <w:sz w:val="20"/>
          <w:szCs w:val="20"/>
          <w:lang w:val="es-ES" w:eastAsia="en-US"/>
        </w:rPr>
        <w:t>e</w:t>
      </w:r>
      <w:r w:rsidR="00BD0129" w:rsidRPr="00975C02">
        <w:rPr>
          <w:kern w:val="2"/>
          <w:sz w:val="20"/>
          <w:szCs w:val="20"/>
          <w:lang w:val="es-ES" w:eastAsia="en-US"/>
        </w:rPr>
        <w:t>n</w:t>
      </w:r>
      <w:r w:rsidR="006C4F66" w:rsidRPr="00975C02">
        <w:rPr>
          <w:kern w:val="2"/>
          <w:sz w:val="20"/>
          <w:szCs w:val="20"/>
          <w:lang w:val="es-ES" w:eastAsia="en-US"/>
        </w:rPr>
        <w:t xml:space="preserve"> </w:t>
      </w:r>
      <w:r w:rsidR="00B5625C" w:rsidRPr="00975C02">
        <w:rPr>
          <w:kern w:val="2"/>
          <w:sz w:val="20"/>
          <w:szCs w:val="20"/>
          <w:lang w:val="es-ES" w:eastAsia="en-US"/>
        </w:rPr>
        <w:t>había sufrido penetración</w:t>
      </w:r>
      <w:r w:rsidR="00BD0129" w:rsidRPr="00975C02">
        <w:rPr>
          <w:kern w:val="2"/>
          <w:sz w:val="20"/>
          <w:szCs w:val="20"/>
          <w:lang w:val="es-ES" w:eastAsia="en-US"/>
        </w:rPr>
        <w:t xml:space="preserve"> </w:t>
      </w:r>
      <w:r w:rsidR="00B5625C" w:rsidRPr="00975C02">
        <w:rPr>
          <w:kern w:val="2"/>
          <w:sz w:val="20"/>
          <w:szCs w:val="20"/>
          <w:lang w:val="es-ES" w:eastAsia="en-US"/>
        </w:rPr>
        <w:t>anal</w:t>
      </w:r>
      <w:r w:rsidR="006C4F66" w:rsidRPr="00975C02">
        <w:rPr>
          <w:kern w:val="2"/>
          <w:sz w:val="20"/>
          <w:szCs w:val="20"/>
          <w:lang w:val="es-ES" w:eastAsia="en-US"/>
        </w:rPr>
        <w:t xml:space="preserve"> (</w:t>
      </w:r>
      <w:r w:rsidR="006C4F66" w:rsidRPr="00975C02">
        <w:rPr>
          <w:i/>
          <w:kern w:val="2"/>
          <w:sz w:val="20"/>
          <w:szCs w:val="20"/>
          <w:lang w:val="es-ES" w:eastAsia="en-US"/>
        </w:rPr>
        <w:t>supra</w:t>
      </w:r>
      <w:r w:rsidR="006C4F66" w:rsidRPr="00975C02">
        <w:rPr>
          <w:kern w:val="2"/>
          <w:sz w:val="20"/>
          <w:szCs w:val="20"/>
          <w:lang w:val="es-ES" w:eastAsia="en-US"/>
        </w:rPr>
        <w:t xml:space="preserve"> párr. </w:t>
      </w:r>
      <w:r w:rsidR="00342199" w:rsidRPr="00975C02">
        <w:rPr>
          <w:kern w:val="2"/>
          <w:sz w:val="20"/>
          <w:szCs w:val="20"/>
          <w:lang w:val="es-ES" w:eastAsia="en-US"/>
        </w:rPr>
        <w:t>71</w:t>
      </w:r>
      <w:r w:rsidR="006C4F66" w:rsidRPr="00975C02">
        <w:rPr>
          <w:kern w:val="2"/>
          <w:sz w:val="20"/>
          <w:szCs w:val="20"/>
          <w:lang w:val="es-ES" w:eastAsia="en-US"/>
        </w:rPr>
        <w:t>)</w:t>
      </w:r>
      <w:r w:rsidR="00B5625C" w:rsidRPr="00975C02">
        <w:rPr>
          <w:kern w:val="2"/>
          <w:sz w:val="20"/>
          <w:szCs w:val="20"/>
          <w:lang w:val="es-ES" w:eastAsia="en-US"/>
        </w:rPr>
        <w:t>.</w:t>
      </w:r>
    </w:p>
    <w:p w14:paraId="01D3949B" w14:textId="77777777" w:rsidR="00B5625C" w:rsidRPr="00975C02" w:rsidRDefault="00B5625C" w:rsidP="00B5625C">
      <w:pPr>
        <w:widowControl/>
        <w:adjustRightInd/>
        <w:spacing w:line="240" w:lineRule="auto"/>
        <w:jc w:val="left"/>
        <w:textAlignment w:val="auto"/>
        <w:rPr>
          <w:kern w:val="2"/>
          <w:sz w:val="20"/>
          <w:szCs w:val="20"/>
          <w:lang w:val="es-ES" w:eastAsia="en-US"/>
        </w:rPr>
      </w:pPr>
    </w:p>
    <w:p w14:paraId="2CF8C27F" w14:textId="4A6BE066" w:rsidR="00FB0A69" w:rsidRPr="00975C02" w:rsidRDefault="00B5625C" w:rsidP="00FB0A69">
      <w:pPr>
        <w:widowControl/>
        <w:numPr>
          <w:ilvl w:val="0"/>
          <w:numId w:val="2"/>
        </w:numPr>
        <w:tabs>
          <w:tab w:val="left" w:pos="567"/>
          <w:tab w:val="num" w:pos="12305"/>
        </w:tabs>
        <w:adjustRightInd/>
        <w:spacing w:line="240" w:lineRule="auto"/>
        <w:ind w:left="0" w:firstLine="0"/>
        <w:textAlignment w:val="auto"/>
        <w:rPr>
          <w:kern w:val="2"/>
          <w:sz w:val="20"/>
          <w:szCs w:val="20"/>
          <w:lang w:val="es-ES" w:eastAsia="en-US"/>
        </w:rPr>
      </w:pPr>
      <w:r w:rsidRPr="00975C02">
        <w:rPr>
          <w:kern w:val="2"/>
          <w:sz w:val="20"/>
          <w:szCs w:val="20"/>
          <w:lang w:val="es-ES" w:eastAsia="en-US"/>
        </w:rPr>
        <w:t>A pesar de que V.R.P</w:t>
      </w:r>
      <w:r w:rsidR="009F412E" w:rsidRPr="00975C02">
        <w:rPr>
          <w:kern w:val="2"/>
          <w:sz w:val="20"/>
          <w:szCs w:val="20"/>
          <w:lang w:val="es-ES" w:eastAsia="en-US"/>
        </w:rPr>
        <w:t>.</w:t>
      </w:r>
      <w:r w:rsidRPr="00975C02">
        <w:rPr>
          <w:kern w:val="2"/>
          <w:sz w:val="20"/>
          <w:szCs w:val="20"/>
          <w:lang w:val="es-ES" w:eastAsia="en-US"/>
        </w:rPr>
        <w:t xml:space="preserve"> fue sometida a dos revisiones médicas </w:t>
      </w:r>
      <w:r w:rsidR="00081AC2" w:rsidRPr="00975C02">
        <w:rPr>
          <w:kern w:val="2"/>
          <w:sz w:val="20"/>
          <w:szCs w:val="20"/>
          <w:lang w:val="es-ES" w:eastAsia="en-US"/>
        </w:rPr>
        <w:t xml:space="preserve">a raíz de </w:t>
      </w:r>
      <w:r w:rsidR="00754D7B" w:rsidRPr="00975C02">
        <w:rPr>
          <w:kern w:val="2"/>
          <w:sz w:val="20"/>
          <w:szCs w:val="20"/>
          <w:lang w:val="es-ES" w:eastAsia="en-US"/>
        </w:rPr>
        <w:t xml:space="preserve">consultas </w:t>
      </w:r>
      <w:r w:rsidRPr="00975C02">
        <w:rPr>
          <w:kern w:val="2"/>
          <w:sz w:val="20"/>
          <w:szCs w:val="20"/>
          <w:lang w:val="es-ES" w:eastAsia="en-US"/>
        </w:rPr>
        <w:t>privadas y que</w:t>
      </w:r>
      <w:r w:rsidR="00D25F59" w:rsidRPr="00975C02">
        <w:rPr>
          <w:kern w:val="2"/>
          <w:sz w:val="20"/>
          <w:szCs w:val="20"/>
          <w:lang w:val="es-ES" w:eastAsia="en-US"/>
        </w:rPr>
        <w:t>,</w:t>
      </w:r>
      <w:r w:rsidRPr="00975C02">
        <w:rPr>
          <w:kern w:val="2"/>
          <w:sz w:val="20"/>
          <w:szCs w:val="20"/>
          <w:lang w:val="es-ES" w:eastAsia="en-US"/>
        </w:rPr>
        <w:t xml:space="preserve"> con base en los hallazgos encontrados</w:t>
      </w:r>
      <w:r w:rsidR="00D25F59" w:rsidRPr="00975C02">
        <w:rPr>
          <w:kern w:val="2"/>
          <w:sz w:val="20"/>
          <w:szCs w:val="20"/>
          <w:lang w:val="es-ES" w:eastAsia="en-US"/>
        </w:rPr>
        <w:t>,</w:t>
      </w:r>
      <w:r w:rsidRPr="00975C02">
        <w:rPr>
          <w:kern w:val="2"/>
          <w:sz w:val="20"/>
          <w:szCs w:val="20"/>
          <w:lang w:val="es-ES" w:eastAsia="en-US"/>
        </w:rPr>
        <w:t xml:space="preserve"> se concluyó la existencia de </w:t>
      </w:r>
      <w:r w:rsidR="00E004AB" w:rsidRPr="00975C02">
        <w:rPr>
          <w:kern w:val="2"/>
          <w:sz w:val="20"/>
          <w:szCs w:val="20"/>
          <w:lang w:val="es-ES" w:eastAsia="en-US"/>
        </w:rPr>
        <w:t>violación</w:t>
      </w:r>
      <w:r w:rsidRPr="00975C02">
        <w:rPr>
          <w:kern w:val="2"/>
          <w:sz w:val="20"/>
          <w:szCs w:val="20"/>
          <w:lang w:val="es-ES" w:eastAsia="en-US"/>
        </w:rPr>
        <w:t xml:space="preserve"> sexual, esta información no fue considerada con suficiencia probatoria por el Estado, sino que ordenó la realización de otro examen médico a cargo de un médico forense</w:t>
      </w:r>
      <w:r w:rsidRPr="00975C02">
        <w:rPr>
          <w:kern w:val="2"/>
          <w:sz w:val="20"/>
          <w:szCs w:val="20"/>
          <w:vertAlign w:val="superscript"/>
          <w:lang w:val="es-ES" w:eastAsia="en-US"/>
        </w:rPr>
        <w:footnoteReference w:id="259"/>
      </w:r>
      <w:r w:rsidRPr="00975C02">
        <w:rPr>
          <w:kern w:val="2"/>
          <w:sz w:val="20"/>
          <w:szCs w:val="20"/>
          <w:lang w:val="es-ES" w:eastAsia="en-US"/>
        </w:rPr>
        <w:t>. La Corte nota que</w:t>
      </w:r>
      <w:r w:rsidR="00341624" w:rsidRPr="00975C02">
        <w:rPr>
          <w:kern w:val="2"/>
          <w:sz w:val="20"/>
          <w:szCs w:val="20"/>
          <w:lang w:val="es-ES" w:eastAsia="en-US"/>
        </w:rPr>
        <w:t xml:space="preserve"> se intentó someter a</w:t>
      </w:r>
      <w:r w:rsidRPr="00975C02">
        <w:rPr>
          <w:kern w:val="2"/>
          <w:sz w:val="20"/>
          <w:szCs w:val="20"/>
          <w:lang w:val="es-ES" w:eastAsia="en-US"/>
        </w:rPr>
        <w:t xml:space="preserve"> V.R.P</w:t>
      </w:r>
      <w:r w:rsidR="009F412E" w:rsidRPr="00975C02">
        <w:rPr>
          <w:kern w:val="2"/>
          <w:sz w:val="20"/>
          <w:szCs w:val="20"/>
          <w:lang w:val="es-ES" w:eastAsia="en-US"/>
        </w:rPr>
        <w:t>.</w:t>
      </w:r>
      <w:r w:rsidRPr="00975C02">
        <w:rPr>
          <w:kern w:val="2"/>
          <w:sz w:val="20"/>
          <w:szCs w:val="20"/>
          <w:lang w:val="es-ES" w:eastAsia="en-US"/>
        </w:rPr>
        <w:t xml:space="preserve"> a este examen médico en tres oportunidades, debido a su negativa a someterse a la revisión ginecológica</w:t>
      </w:r>
      <w:r w:rsidR="009F412E" w:rsidRPr="00975C02">
        <w:rPr>
          <w:kern w:val="2"/>
          <w:sz w:val="20"/>
          <w:szCs w:val="20"/>
          <w:lang w:val="es-ES" w:eastAsia="en-US"/>
        </w:rPr>
        <w:t xml:space="preserve"> </w:t>
      </w:r>
      <w:r w:rsidR="000A1265" w:rsidRPr="00975C02">
        <w:rPr>
          <w:kern w:val="2"/>
          <w:sz w:val="20"/>
          <w:szCs w:val="20"/>
          <w:lang w:val="es-ES" w:eastAsia="en-US"/>
        </w:rPr>
        <w:t>por</w:t>
      </w:r>
      <w:r w:rsidR="009F412E" w:rsidRPr="00975C02">
        <w:rPr>
          <w:kern w:val="2"/>
          <w:sz w:val="20"/>
          <w:szCs w:val="20"/>
          <w:lang w:val="es-ES" w:eastAsia="en-US"/>
        </w:rPr>
        <w:t xml:space="preserve"> las condiciones </w:t>
      </w:r>
      <w:r w:rsidR="000A1265" w:rsidRPr="00975C02">
        <w:rPr>
          <w:kern w:val="2"/>
          <w:sz w:val="20"/>
          <w:szCs w:val="20"/>
          <w:lang w:val="es-ES" w:eastAsia="en-US"/>
        </w:rPr>
        <w:t xml:space="preserve">vejatorias </w:t>
      </w:r>
      <w:r w:rsidR="009F412E" w:rsidRPr="00975C02">
        <w:rPr>
          <w:kern w:val="2"/>
          <w:sz w:val="20"/>
          <w:szCs w:val="20"/>
          <w:lang w:val="es-ES" w:eastAsia="en-US"/>
        </w:rPr>
        <w:t>en que se desarrollaba el examen</w:t>
      </w:r>
      <w:r w:rsidR="000A1265" w:rsidRPr="00975C02">
        <w:rPr>
          <w:kern w:val="2"/>
          <w:sz w:val="20"/>
          <w:szCs w:val="20"/>
          <w:lang w:val="es-ES" w:eastAsia="en-US"/>
        </w:rPr>
        <w:t xml:space="preserve"> (</w:t>
      </w:r>
      <w:r w:rsidR="000A1265" w:rsidRPr="00975C02">
        <w:rPr>
          <w:i/>
          <w:kern w:val="2"/>
          <w:sz w:val="20"/>
          <w:szCs w:val="20"/>
          <w:lang w:val="es-ES" w:eastAsia="en-US"/>
        </w:rPr>
        <w:t>supra</w:t>
      </w:r>
      <w:r w:rsidR="000A1265" w:rsidRPr="00975C02">
        <w:rPr>
          <w:kern w:val="2"/>
          <w:sz w:val="20"/>
          <w:szCs w:val="20"/>
          <w:lang w:val="es-ES" w:eastAsia="en-US"/>
        </w:rPr>
        <w:t xml:space="preserve"> párr</w:t>
      </w:r>
      <w:r w:rsidR="003A3D9D" w:rsidRPr="00975C02">
        <w:rPr>
          <w:kern w:val="2"/>
          <w:sz w:val="20"/>
          <w:szCs w:val="20"/>
          <w:lang w:val="es-ES" w:eastAsia="en-US"/>
        </w:rPr>
        <w:t>s</w:t>
      </w:r>
      <w:r w:rsidR="000A1265" w:rsidRPr="00975C02">
        <w:rPr>
          <w:kern w:val="2"/>
          <w:sz w:val="20"/>
          <w:szCs w:val="20"/>
          <w:lang w:val="es-ES" w:eastAsia="en-US"/>
        </w:rPr>
        <w:t xml:space="preserve">. </w:t>
      </w:r>
      <w:r w:rsidR="003A3D9D" w:rsidRPr="00975C02">
        <w:rPr>
          <w:kern w:val="2"/>
          <w:sz w:val="20"/>
          <w:szCs w:val="20"/>
          <w:lang w:val="es-ES" w:eastAsia="en-US"/>
        </w:rPr>
        <w:t>77 y 78</w:t>
      </w:r>
      <w:r w:rsidR="000A1265" w:rsidRPr="00975C02">
        <w:rPr>
          <w:kern w:val="2"/>
          <w:sz w:val="20"/>
          <w:szCs w:val="20"/>
          <w:lang w:val="es-ES" w:eastAsia="en-US"/>
        </w:rPr>
        <w:t>). En la tercera oportunidad se efectuó</w:t>
      </w:r>
      <w:r w:rsidRPr="00975C02">
        <w:rPr>
          <w:kern w:val="2"/>
          <w:sz w:val="20"/>
          <w:szCs w:val="20"/>
          <w:lang w:val="es-ES" w:eastAsia="en-US"/>
        </w:rPr>
        <w:t xml:space="preserve">, bajo sedación de la niña, la revisión </w:t>
      </w:r>
      <w:r w:rsidRPr="00975C02">
        <w:rPr>
          <w:kern w:val="2"/>
          <w:sz w:val="20"/>
          <w:szCs w:val="20"/>
          <w:lang w:val="es-ES" w:eastAsia="en-US"/>
        </w:rPr>
        <w:lastRenderedPageBreak/>
        <w:t xml:space="preserve">ginecológica. </w:t>
      </w:r>
      <w:r w:rsidR="000A1265" w:rsidRPr="00975C02">
        <w:rPr>
          <w:kern w:val="2"/>
          <w:sz w:val="20"/>
          <w:szCs w:val="20"/>
          <w:lang w:val="es-ES" w:eastAsia="en-US"/>
        </w:rPr>
        <w:t>La Corte advierte que e</w:t>
      </w:r>
      <w:r w:rsidRPr="00975C02">
        <w:rPr>
          <w:kern w:val="2"/>
          <w:sz w:val="20"/>
          <w:szCs w:val="20"/>
          <w:lang w:val="es-ES" w:eastAsia="en-US"/>
        </w:rPr>
        <w:t xml:space="preserve">l Estado no consideró como una medida de protección el otorgarle suficiencia probatoria a los dictámenes médicos ya existentes, lo cual podría haber evitado someter a la </w:t>
      </w:r>
      <w:r w:rsidR="00F903D6" w:rsidRPr="00975C02">
        <w:rPr>
          <w:kern w:val="2"/>
          <w:sz w:val="20"/>
          <w:szCs w:val="20"/>
          <w:lang w:val="es-ES" w:eastAsia="en-US"/>
        </w:rPr>
        <w:t>niña</w:t>
      </w:r>
      <w:r w:rsidRPr="00975C02">
        <w:rPr>
          <w:kern w:val="2"/>
          <w:sz w:val="20"/>
          <w:szCs w:val="20"/>
          <w:lang w:val="es-ES" w:eastAsia="en-US"/>
        </w:rPr>
        <w:t xml:space="preserve"> a una reactualización del momento traumático ya experimentado, ni tampoco respetó su derecho a ser oída respecto a la realización de dicha diligencia, de conformidad con su edad, </w:t>
      </w:r>
      <w:r w:rsidR="009F412E" w:rsidRPr="00975C02">
        <w:rPr>
          <w:kern w:val="2"/>
          <w:sz w:val="20"/>
          <w:szCs w:val="20"/>
          <w:lang w:val="es-ES" w:eastAsia="en-US"/>
        </w:rPr>
        <w:t xml:space="preserve">madurez y grado de desarrollo. </w:t>
      </w:r>
      <w:r w:rsidRPr="00975C02">
        <w:rPr>
          <w:kern w:val="2"/>
          <w:sz w:val="20"/>
          <w:szCs w:val="20"/>
          <w:lang w:val="es-ES" w:eastAsia="en-US"/>
        </w:rPr>
        <w:t>La Corte estima que el sometimiento de la niña a revisiones ginecol</w:t>
      </w:r>
      <w:r w:rsidR="009F412E" w:rsidRPr="00975C02">
        <w:rPr>
          <w:kern w:val="2"/>
          <w:sz w:val="20"/>
          <w:szCs w:val="20"/>
          <w:lang w:val="es-ES" w:eastAsia="en-US"/>
        </w:rPr>
        <w:t>ógicas de forma reiterada no at</w:t>
      </w:r>
      <w:r w:rsidRPr="00975C02">
        <w:rPr>
          <w:kern w:val="2"/>
          <w:sz w:val="20"/>
          <w:szCs w:val="20"/>
          <w:lang w:val="es-ES" w:eastAsia="en-US"/>
        </w:rPr>
        <w:t>end</w:t>
      </w:r>
      <w:r w:rsidR="009F412E" w:rsidRPr="00975C02">
        <w:rPr>
          <w:kern w:val="2"/>
          <w:sz w:val="20"/>
          <w:szCs w:val="20"/>
          <w:lang w:val="es-ES" w:eastAsia="en-US"/>
        </w:rPr>
        <w:t>ió</w:t>
      </w:r>
      <w:r w:rsidRPr="00975C02">
        <w:rPr>
          <w:kern w:val="2"/>
          <w:sz w:val="20"/>
          <w:szCs w:val="20"/>
          <w:lang w:val="es-ES" w:eastAsia="en-US"/>
        </w:rPr>
        <w:t xml:space="preserve"> al objetivo de minimizar el trauma derivado de una violación sexual, sino que lo fortalec</w:t>
      </w:r>
      <w:r w:rsidR="000A1265" w:rsidRPr="00975C02">
        <w:rPr>
          <w:kern w:val="2"/>
          <w:sz w:val="20"/>
          <w:szCs w:val="20"/>
          <w:lang w:val="es-ES" w:eastAsia="en-US"/>
        </w:rPr>
        <w:t>ió</w:t>
      </w:r>
      <w:r w:rsidRPr="00975C02">
        <w:rPr>
          <w:kern w:val="2"/>
          <w:sz w:val="20"/>
          <w:szCs w:val="20"/>
          <w:lang w:val="es-ES" w:eastAsia="en-US"/>
        </w:rPr>
        <w:t>.</w:t>
      </w:r>
      <w:r w:rsidR="00FB0A69" w:rsidRPr="00975C02">
        <w:rPr>
          <w:kern w:val="2"/>
          <w:sz w:val="20"/>
          <w:szCs w:val="20"/>
          <w:lang w:val="es-ES" w:eastAsia="en-US"/>
        </w:rPr>
        <w:t xml:space="preserve"> En suma, la Corte considera que, en las circunstancias de este caso, no fue justificada la necesidad de realizar un examen médico ginecológico.</w:t>
      </w:r>
    </w:p>
    <w:p w14:paraId="5E4A40DA" w14:textId="77777777" w:rsidR="00FB0A69" w:rsidRPr="00975C02" w:rsidRDefault="00FB0A69" w:rsidP="00FB0A69">
      <w:pPr>
        <w:widowControl/>
        <w:adjustRightInd/>
        <w:spacing w:line="240" w:lineRule="auto"/>
        <w:jc w:val="left"/>
        <w:textAlignment w:val="auto"/>
        <w:rPr>
          <w:kern w:val="2"/>
          <w:sz w:val="20"/>
          <w:szCs w:val="20"/>
          <w:lang w:val="es-ES" w:eastAsia="en-US"/>
        </w:rPr>
      </w:pPr>
    </w:p>
    <w:p w14:paraId="61A6DD4F" w14:textId="6127A81D" w:rsidR="005E0CFA" w:rsidRPr="00975C02" w:rsidRDefault="00FB0A69" w:rsidP="005E0CFA">
      <w:pPr>
        <w:widowControl/>
        <w:numPr>
          <w:ilvl w:val="0"/>
          <w:numId w:val="2"/>
        </w:numPr>
        <w:tabs>
          <w:tab w:val="left" w:pos="567"/>
          <w:tab w:val="num" w:pos="12305"/>
        </w:tabs>
        <w:adjustRightInd/>
        <w:spacing w:line="240" w:lineRule="auto"/>
        <w:ind w:left="0" w:firstLine="0"/>
        <w:textAlignment w:val="auto"/>
        <w:rPr>
          <w:kern w:val="2"/>
          <w:sz w:val="20"/>
          <w:szCs w:val="20"/>
          <w:lang w:val="es-ES" w:eastAsia="en-US"/>
        </w:rPr>
      </w:pPr>
      <w:r w:rsidRPr="00975C02">
        <w:rPr>
          <w:kern w:val="2"/>
          <w:sz w:val="20"/>
          <w:szCs w:val="20"/>
          <w:lang w:val="es-ES" w:eastAsia="en-US"/>
        </w:rPr>
        <w:t>Sin perjuicio de lo anterior</w:t>
      </w:r>
      <w:r w:rsidR="00B5625C" w:rsidRPr="00975C02">
        <w:rPr>
          <w:kern w:val="2"/>
          <w:sz w:val="20"/>
          <w:szCs w:val="20"/>
          <w:lang w:val="es-ES" w:eastAsia="en-US"/>
        </w:rPr>
        <w:t>,</w:t>
      </w:r>
      <w:r w:rsidRPr="00975C02">
        <w:rPr>
          <w:kern w:val="2"/>
          <w:sz w:val="20"/>
          <w:szCs w:val="20"/>
          <w:lang w:val="es-ES" w:eastAsia="en-US"/>
        </w:rPr>
        <w:t xml:space="preserve"> la Corte </w:t>
      </w:r>
      <w:r w:rsidR="00537F77">
        <w:rPr>
          <w:kern w:val="2"/>
          <w:sz w:val="20"/>
          <w:szCs w:val="20"/>
          <w:lang w:val="es-ES" w:eastAsia="en-US"/>
        </w:rPr>
        <w:t>subraya</w:t>
      </w:r>
      <w:r w:rsidR="00754D7B" w:rsidRPr="00975C02">
        <w:rPr>
          <w:kern w:val="2"/>
          <w:sz w:val="20"/>
          <w:szCs w:val="20"/>
          <w:lang w:val="es-ES" w:eastAsia="en-US"/>
        </w:rPr>
        <w:t>,</w:t>
      </w:r>
      <w:r w:rsidRPr="00975C02">
        <w:rPr>
          <w:kern w:val="2"/>
          <w:sz w:val="20"/>
          <w:szCs w:val="20"/>
          <w:lang w:val="es-ES" w:eastAsia="en-US"/>
        </w:rPr>
        <w:t xml:space="preserve"> además</w:t>
      </w:r>
      <w:r w:rsidR="00754D7B" w:rsidRPr="00975C02">
        <w:rPr>
          <w:kern w:val="2"/>
          <w:sz w:val="20"/>
          <w:szCs w:val="20"/>
          <w:lang w:val="es-ES" w:eastAsia="en-US"/>
        </w:rPr>
        <w:t>,</w:t>
      </w:r>
      <w:r w:rsidRPr="00975C02">
        <w:rPr>
          <w:kern w:val="2"/>
          <w:sz w:val="20"/>
          <w:szCs w:val="20"/>
          <w:lang w:val="es-ES" w:eastAsia="en-US"/>
        </w:rPr>
        <w:t xml:space="preserve"> una serie de omisiones y falencias</w:t>
      </w:r>
      <w:r w:rsidR="001E43C6" w:rsidRPr="00975C02">
        <w:rPr>
          <w:kern w:val="2"/>
          <w:sz w:val="20"/>
          <w:szCs w:val="20"/>
          <w:lang w:val="es-ES" w:eastAsia="en-US"/>
        </w:rPr>
        <w:t xml:space="preserve"> en la realización del primer examen médico forense</w:t>
      </w:r>
      <w:r w:rsidRPr="00975C02">
        <w:rPr>
          <w:kern w:val="2"/>
          <w:sz w:val="20"/>
          <w:szCs w:val="20"/>
          <w:lang w:val="es-ES" w:eastAsia="en-US"/>
        </w:rPr>
        <w:t xml:space="preserve"> que resultan incompatibles con los requerimientos de una debida diligencia estricta</w:t>
      </w:r>
      <w:r w:rsidR="00185F9F" w:rsidRPr="00975C02">
        <w:rPr>
          <w:kern w:val="2"/>
          <w:sz w:val="20"/>
          <w:szCs w:val="20"/>
          <w:lang w:val="es-ES" w:eastAsia="en-US"/>
        </w:rPr>
        <w:t xml:space="preserve">: i) </w:t>
      </w:r>
      <w:r w:rsidR="00B5625C" w:rsidRPr="00975C02">
        <w:rPr>
          <w:kern w:val="2"/>
          <w:sz w:val="20"/>
          <w:szCs w:val="20"/>
          <w:lang w:val="es-ES" w:eastAsia="en-US"/>
        </w:rPr>
        <w:t xml:space="preserve">no consta que se brindara a la niña ni a la madre </w:t>
      </w:r>
      <w:r w:rsidR="00894B93" w:rsidRPr="00975C02">
        <w:rPr>
          <w:kern w:val="2"/>
          <w:sz w:val="20"/>
          <w:szCs w:val="20"/>
          <w:lang w:val="es-ES" w:eastAsia="en-US"/>
        </w:rPr>
        <w:t xml:space="preserve">información sobre en qué consistirían dichos exámenes o cuál sería la </w:t>
      </w:r>
      <w:r w:rsidR="000A1265" w:rsidRPr="00975C02">
        <w:rPr>
          <w:kern w:val="2"/>
          <w:sz w:val="20"/>
          <w:szCs w:val="20"/>
          <w:lang w:val="es-ES" w:eastAsia="en-US"/>
        </w:rPr>
        <w:t>práctica</w:t>
      </w:r>
      <w:r w:rsidR="00894B93" w:rsidRPr="00975C02">
        <w:rPr>
          <w:kern w:val="2"/>
          <w:sz w:val="20"/>
          <w:szCs w:val="20"/>
          <w:lang w:val="es-ES" w:eastAsia="en-US"/>
        </w:rPr>
        <w:t xml:space="preserve"> médica</w:t>
      </w:r>
      <w:r w:rsidR="00185F9F" w:rsidRPr="00975C02">
        <w:rPr>
          <w:kern w:val="2"/>
          <w:sz w:val="20"/>
          <w:szCs w:val="20"/>
          <w:lang w:val="es-ES" w:eastAsia="en-US"/>
        </w:rPr>
        <w:t xml:space="preserve">; ii) no se brindó </w:t>
      </w:r>
      <w:r w:rsidR="00B5625C" w:rsidRPr="00975C02">
        <w:rPr>
          <w:kern w:val="2"/>
          <w:sz w:val="20"/>
          <w:szCs w:val="20"/>
          <w:lang w:val="es-ES" w:eastAsia="en-US"/>
        </w:rPr>
        <w:t>la oportunidad de elegir el sexo del especialista forense</w:t>
      </w:r>
      <w:r w:rsidR="00B5625C" w:rsidRPr="00975C02">
        <w:rPr>
          <w:kern w:val="2"/>
          <w:sz w:val="20"/>
          <w:szCs w:val="20"/>
          <w:vertAlign w:val="superscript"/>
          <w:lang w:val="es-ES" w:eastAsia="en-US"/>
        </w:rPr>
        <w:footnoteReference w:id="260"/>
      </w:r>
      <w:r w:rsidR="00185F9F" w:rsidRPr="00975C02">
        <w:rPr>
          <w:kern w:val="2"/>
          <w:sz w:val="20"/>
          <w:szCs w:val="20"/>
          <w:lang w:val="es-ES" w:eastAsia="en-US"/>
        </w:rPr>
        <w:t xml:space="preserve">; iii) no fue comprobado que el médico forense asignado fuera un profesional especialmente capacitado en atender a víctimas menores de edad, </w:t>
      </w:r>
      <w:r w:rsidR="000E0708">
        <w:rPr>
          <w:rFonts w:eastAsia="Times"/>
          <w:sz w:val="20"/>
          <w:szCs w:val="20"/>
          <w:lang w:val="es-ES"/>
        </w:rPr>
        <w:t>específicamente</w:t>
      </w:r>
      <w:r w:rsidR="000E0708" w:rsidRPr="00657097">
        <w:rPr>
          <w:rFonts w:eastAsia="Times"/>
          <w:sz w:val="20"/>
          <w:szCs w:val="20"/>
          <w:lang w:val="es-ES"/>
        </w:rPr>
        <w:t xml:space="preserve"> </w:t>
      </w:r>
      <w:r w:rsidR="00185F9F" w:rsidRPr="00975C02">
        <w:rPr>
          <w:kern w:val="2"/>
          <w:sz w:val="20"/>
          <w:szCs w:val="20"/>
          <w:lang w:val="es-ES" w:eastAsia="en-US"/>
        </w:rPr>
        <w:t xml:space="preserve">de corta edad, o que fuera un especialista en ginecología con entrenamiento para este tipo de exámenes en casos de abuso </w:t>
      </w:r>
      <w:r w:rsidR="00BB0086">
        <w:rPr>
          <w:kern w:val="2"/>
          <w:sz w:val="20"/>
          <w:szCs w:val="20"/>
          <w:lang w:val="es-ES" w:eastAsia="en-US"/>
        </w:rPr>
        <w:t>y violación sexual</w:t>
      </w:r>
      <w:r w:rsidR="00185F9F" w:rsidRPr="00975C02">
        <w:rPr>
          <w:kern w:val="2"/>
          <w:sz w:val="20"/>
          <w:szCs w:val="20"/>
          <w:lang w:val="es-ES" w:eastAsia="en-US"/>
        </w:rPr>
        <w:t xml:space="preserve">; iv) </w:t>
      </w:r>
      <w:r w:rsidR="00D2788D" w:rsidRPr="00975C02">
        <w:rPr>
          <w:kern w:val="2"/>
          <w:sz w:val="20"/>
          <w:szCs w:val="20"/>
          <w:lang w:val="es-ES" w:eastAsia="en-US"/>
        </w:rPr>
        <w:t>a pesar de</w:t>
      </w:r>
      <w:r w:rsidR="00894B93" w:rsidRPr="00975C02">
        <w:rPr>
          <w:kern w:val="2"/>
          <w:sz w:val="20"/>
          <w:szCs w:val="20"/>
          <w:lang w:val="es-ES" w:eastAsia="en-US"/>
        </w:rPr>
        <w:t xml:space="preserve"> la presencia de </w:t>
      </w:r>
      <w:r w:rsidR="00D2788D" w:rsidRPr="00975C02">
        <w:rPr>
          <w:kern w:val="2"/>
          <w:sz w:val="20"/>
          <w:szCs w:val="20"/>
          <w:lang w:val="es-ES" w:eastAsia="en-US"/>
        </w:rPr>
        <w:t>una</w:t>
      </w:r>
      <w:r w:rsidR="00894B93" w:rsidRPr="00975C02">
        <w:rPr>
          <w:kern w:val="2"/>
          <w:sz w:val="20"/>
          <w:szCs w:val="20"/>
          <w:lang w:val="es-ES" w:eastAsia="en-US"/>
        </w:rPr>
        <w:t xml:space="preserve"> médica</w:t>
      </w:r>
      <w:r w:rsidR="00B5625C" w:rsidRPr="00975C02">
        <w:rPr>
          <w:kern w:val="2"/>
          <w:sz w:val="20"/>
          <w:szCs w:val="20"/>
          <w:lang w:val="es-ES" w:eastAsia="en-US"/>
        </w:rPr>
        <w:t xml:space="preserve"> psiquiatra</w:t>
      </w:r>
      <w:r w:rsidR="00894B93" w:rsidRPr="00975C02">
        <w:rPr>
          <w:kern w:val="2"/>
          <w:sz w:val="20"/>
          <w:szCs w:val="20"/>
          <w:lang w:val="es-ES" w:eastAsia="en-US"/>
        </w:rPr>
        <w:t>, no es claro</w:t>
      </w:r>
      <w:r w:rsidR="00B5625C" w:rsidRPr="00975C02">
        <w:rPr>
          <w:kern w:val="2"/>
          <w:sz w:val="20"/>
          <w:szCs w:val="20"/>
          <w:lang w:val="es-ES" w:eastAsia="en-US"/>
        </w:rPr>
        <w:t xml:space="preserve"> </w:t>
      </w:r>
      <w:r w:rsidR="00894B93" w:rsidRPr="00975C02">
        <w:rPr>
          <w:kern w:val="2"/>
          <w:sz w:val="20"/>
          <w:szCs w:val="20"/>
          <w:lang w:val="es-ES" w:eastAsia="en-US"/>
        </w:rPr>
        <w:t xml:space="preserve">en qué consistió </w:t>
      </w:r>
      <w:r w:rsidR="00B5625C" w:rsidRPr="00975C02">
        <w:rPr>
          <w:kern w:val="2"/>
          <w:sz w:val="20"/>
          <w:szCs w:val="20"/>
          <w:lang w:val="es-ES" w:eastAsia="en-US"/>
        </w:rPr>
        <w:t>el actuar de la misma y</w:t>
      </w:r>
      <w:r w:rsidR="00894B93" w:rsidRPr="00975C02">
        <w:rPr>
          <w:kern w:val="2"/>
          <w:sz w:val="20"/>
          <w:szCs w:val="20"/>
          <w:lang w:val="es-ES" w:eastAsia="en-US"/>
        </w:rPr>
        <w:t xml:space="preserve">, concretamente, </w:t>
      </w:r>
      <w:r w:rsidR="00B5625C" w:rsidRPr="00975C02">
        <w:rPr>
          <w:kern w:val="2"/>
          <w:sz w:val="20"/>
          <w:szCs w:val="20"/>
          <w:lang w:val="es-ES" w:eastAsia="en-US"/>
        </w:rPr>
        <w:t>el acompañamiento brindado a V.R.P. en relación con esta diligencia</w:t>
      </w:r>
      <w:r w:rsidR="00B5625C" w:rsidRPr="00975C02">
        <w:rPr>
          <w:kern w:val="2"/>
          <w:sz w:val="20"/>
          <w:szCs w:val="20"/>
          <w:vertAlign w:val="superscript"/>
          <w:lang w:val="es-ES" w:eastAsia="en-US"/>
        </w:rPr>
        <w:footnoteReference w:id="261"/>
      </w:r>
      <w:r w:rsidR="005E0CFA" w:rsidRPr="00975C02">
        <w:rPr>
          <w:kern w:val="2"/>
          <w:sz w:val="20"/>
          <w:szCs w:val="20"/>
          <w:lang w:val="es-ES" w:eastAsia="en-US"/>
        </w:rPr>
        <w:t>; v) el examen no fue realizado en una sala ginecológica</w:t>
      </w:r>
      <w:r w:rsidR="00754D7B" w:rsidRPr="00975C02">
        <w:rPr>
          <w:kern w:val="2"/>
          <w:sz w:val="20"/>
          <w:szCs w:val="20"/>
          <w:lang w:val="es-ES" w:eastAsia="en-US"/>
        </w:rPr>
        <w:t>,</w:t>
      </w:r>
      <w:r w:rsidR="005E0CFA" w:rsidRPr="00975C02">
        <w:rPr>
          <w:kern w:val="2"/>
          <w:sz w:val="20"/>
          <w:szCs w:val="20"/>
          <w:lang w:val="es-ES" w:eastAsia="en-US"/>
        </w:rPr>
        <w:t xml:space="preserve"> sino, según declaró V.P.C., </w:t>
      </w:r>
      <w:r w:rsidR="00754D7B" w:rsidRPr="00975C02">
        <w:rPr>
          <w:kern w:val="2"/>
          <w:sz w:val="20"/>
          <w:szCs w:val="20"/>
          <w:lang w:val="es-ES" w:eastAsia="en-US"/>
        </w:rPr>
        <w:t xml:space="preserve">en un lugar parecido </w:t>
      </w:r>
      <w:r w:rsidR="005E0CFA" w:rsidRPr="00975C02">
        <w:rPr>
          <w:kern w:val="2"/>
          <w:sz w:val="20"/>
          <w:szCs w:val="20"/>
          <w:lang w:val="es-ES" w:eastAsia="en-US"/>
        </w:rPr>
        <w:t>a “la morgue de un hospital, porque habían planchas de aluminio […] y era un lugar donde entraban y salían muchas personas”</w:t>
      </w:r>
      <w:r w:rsidR="005E0CFA" w:rsidRPr="00975C02">
        <w:rPr>
          <w:kern w:val="2"/>
          <w:sz w:val="20"/>
          <w:szCs w:val="20"/>
          <w:vertAlign w:val="superscript"/>
          <w:lang w:val="es-ES" w:eastAsia="en-US"/>
        </w:rPr>
        <w:footnoteReference w:id="262"/>
      </w:r>
      <w:r w:rsidR="001E43C6" w:rsidRPr="00975C02">
        <w:rPr>
          <w:kern w:val="2"/>
          <w:sz w:val="20"/>
          <w:szCs w:val="20"/>
          <w:lang w:val="es-ES" w:eastAsia="en-US"/>
        </w:rPr>
        <w:t>, y vi)</w:t>
      </w:r>
      <w:r w:rsidR="00B47822" w:rsidRPr="00975C02">
        <w:rPr>
          <w:kern w:val="2"/>
          <w:sz w:val="20"/>
          <w:szCs w:val="20"/>
          <w:lang w:val="es-ES" w:eastAsia="en-US"/>
        </w:rPr>
        <w:t xml:space="preserve"> se constató</w:t>
      </w:r>
      <w:r w:rsidR="001E43C6" w:rsidRPr="00975C02">
        <w:rPr>
          <w:kern w:val="2"/>
          <w:sz w:val="20"/>
          <w:szCs w:val="20"/>
          <w:lang w:val="es-ES" w:eastAsia="en-US"/>
        </w:rPr>
        <w:t xml:space="preserve"> la presencia de una cantidad excesiva de personal de salud.</w:t>
      </w:r>
    </w:p>
    <w:p w14:paraId="5985120A" w14:textId="77777777" w:rsidR="005E0CFA" w:rsidRPr="00975C02" w:rsidRDefault="005E0CFA" w:rsidP="005E0CFA">
      <w:pPr>
        <w:widowControl/>
        <w:tabs>
          <w:tab w:val="left" w:pos="567"/>
        </w:tabs>
        <w:adjustRightInd/>
        <w:spacing w:line="240" w:lineRule="auto"/>
        <w:textAlignment w:val="auto"/>
        <w:rPr>
          <w:kern w:val="2"/>
          <w:sz w:val="20"/>
          <w:szCs w:val="20"/>
          <w:lang w:val="es-ES" w:eastAsia="en-US"/>
        </w:rPr>
      </w:pPr>
    </w:p>
    <w:p w14:paraId="6111EA83" w14:textId="43D441BE" w:rsidR="005E0CFA" w:rsidRPr="00975C02" w:rsidRDefault="00D2788D" w:rsidP="005E0CFA">
      <w:pPr>
        <w:widowControl/>
        <w:numPr>
          <w:ilvl w:val="0"/>
          <w:numId w:val="2"/>
        </w:numPr>
        <w:tabs>
          <w:tab w:val="left" w:pos="567"/>
          <w:tab w:val="num" w:pos="12305"/>
        </w:tabs>
        <w:adjustRightInd/>
        <w:spacing w:line="240" w:lineRule="auto"/>
        <w:ind w:left="0" w:firstLine="0"/>
        <w:textAlignment w:val="auto"/>
        <w:rPr>
          <w:kern w:val="2"/>
          <w:sz w:val="20"/>
          <w:szCs w:val="20"/>
          <w:lang w:val="es-ES" w:eastAsia="en-US"/>
        </w:rPr>
      </w:pPr>
      <w:r w:rsidRPr="00975C02">
        <w:rPr>
          <w:kern w:val="2"/>
          <w:sz w:val="20"/>
          <w:szCs w:val="20"/>
          <w:lang w:val="es-ES" w:eastAsia="en-US"/>
        </w:rPr>
        <w:t>Sobre lo anterior, l</w:t>
      </w:r>
      <w:r w:rsidR="005E0CFA" w:rsidRPr="00975C02">
        <w:rPr>
          <w:kern w:val="2"/>
          <w:sz w:val="20"/>
          <w:szCs w:val="20"/>
          <w:lang w:val="es-ES" w:eastAsia="en-US"/>
        </w:rPr>
        <w:t>a Corte considera que era de trascendental importancia no sólo que el médico esté capacitado</w:t>
      </w:r>
      <w:r w:rsidR="005E0CFA" w:rsidRPr="00975C02">
        <w:rPr>
          <w:kern w:val="2"/>
          <w:lang w:val="es-ES" w:eastAsia="en-US"/>
        </w:rPr>
        <w:t xml:space="preserve"> </w:t>
      </w:r>
      <w:r w:rsidR="005E0CFA" w:rsidRPr="00975C02">
        <w:rPr>
          <w:kern w:val="2"/>
          <w:sz w:val="20"/>
          <w:szCs w:val="20"/>
          <w:lang w:val="es-ES" w:eastAsia="en-US"/>
        </w:rPr>
        <w:t xml:space="preserve">para atender a una niña de nueve años víctima de </w:t>
      </w:r>
      <w:r w:rsidR="0076442B">
        <w:rPr>
          <w:kern w:val="2"/>
          <w:sz w:val="20"/>
          <w:szCs w:val="20"/>
          <w:lang w:val="es-ES" w:eastAsia="en-US"/>
        </w:rPr>
        <w:t>violación</w:t>
      </w:r>
      <w:r w:rsidR="005E0CFA" w:rsidRPr="00975C02">
        <w:rPr>
          <w:kern w:val="2"/>
          <w:sz w:val="20"/>
          <w:szCs w:val="20"/>
          <w:lang w:val="es-ES" w:eastAsia="en-US"/>
        </w:rPr>
        <w:t xml:space="preserve"> sexual, sino que las salas de entrevistas y</w:t>
      </w:r>
      <w:r w:rsidR="00B47822" w:rsidRPr="00975C02">
        <w:rPr>
          <w:kern w:val="2"/>
          <w:sz w:val="20"/>
          <w:szCs w:val="20"/>
          <w:lang w:val="es-ES" w:eastAsia="en-US"/>
        </w:rPr>
        <w:t>,</w:t>
      </w:r>
      <w:r w:rsidR="005E0CFA" w:rsidRPr="00975C02">
        <w:rPr>
          <w:kern w:val="2"/>
          <w:sz w:val="20"/>
          <w:szCs w:val="20"/>
          <w:lang w:val="es-ES" w:eastAsia="en-US"/>
        </w:rPr>
        <w:t xml:space="preserve"> en particular, de revisiones médicas, representen un entorno seguro, adecuado y no intimidatorio, hostil o insensible para la niña. De ahí la importancia de que constituyan ambientes que generen en la niña la confianza y protección necesaria, que pro</w:t>
      </w:r>
      <w:r w:rsidRPr="00975C02">
        <w:rPr>
          <w:kern w:val="2"/>
          <w:sz w:val="20"/>
          <w:szCs w:val="20"/>
          <w:lang w:val="es-ES" w:eastAsia="en-US"/>
        </w:rPr>
        <w:t>teja su intimidad y privacidad.</w:t>
      </w:r>
    </w:p>
    <w:p w14:paraId="075E9E7A" w14:textId="77777777" w:rsidR="005E0CFA" w:rsidRPr="00975C02" w:rsidRDefault="005E0CFA" w:rsidP="005E0CFA">
      <w:pPr>
        <w:widowControl/>
        <w:adjustRightInd/>
        <w:spacing w:line="240" w:lineRule="auto"/>
        <w:jc w:val="left"/>
        <w:textAlignment w:val="auto"/>
        <w:rPr>
          <w:kern w:val="2"/>
          <w:sz w:val="20"/>
          <w:szCs w:val="20"/>
          <w:lang w:val="es-ES" w:eastAsia="en-US"/>
        </w:rPr>
      </w:pPr>
    </w:p>
    <w:p w14:paraId="53F25D99" w14:textId="7F56FEC1" w:rsidR="005E0CFA" w:rsidRPr="00975C02" w:rsidRDefault="005E0CFA" w:rsidP="005E0CFA">
      <w:pPr>
        <w:widowControl/>
        <w:numPr>
          <w:ilvl w:val="0"/>
          <w:numId w:val="2"/>
        </w:numPr>
        <w:tabs>
          <w:tab w:val="left" w:pos="567"/>
          <w:tab w:val="num" w:pos="12305"/>
        </w:tabs>
        <w:adjustRightInd/>
        <w:spacing w:line="240" w:lineRule="auto"/>
        <w:ind w:left="0" w:firstLine="0"/>
        <w:textAlignment w:val="auto"/>
        <w:rPr>
          <w:kern w:val="2"/>
          <w:sz w:val="20"/>
          <w:szCs w:val="20"/>
          <w:lang w:val="es-ES" w:eastAsia="en-US"/>
        </w:rPr>
      </w:pPr>
      <w:r w:rsidRPr="00975C02">
        <w:rPr>
          <w:kern w:val="2"/>
          <w:sz w:val="20"/>
          <w:szCs w:val="20"/>
          <w:lang w:val="es-ES" w:eastAsia="en-US"/>
        </w:rPr>
        <w:t xml:space="preserve">En </w:t>
      </w:r>
      <w:r w:rsidR="00D2788D" w:rsidRPr="00975C02">
        <w:rPr>
          <w:kern w:val="2"/>
          <w:sz w:val="20"/>
          <w:szCs w:val="20"/>
          <w:lang w:val="es-ES" w:eastAsia="en-US"/>
        </w:rPr>
        <w:t>esta línea</w:t>
      </w:r>
      <w:r w:rsidRPr="00975C02">
        <w:rPr>
          <w:kern w:val="2"/>
          <w:sz w:val="20"/>
          <w:szCs w:val="20"/>
          <w:lang w:val="es-ES" w:eastAsia="en-US"/>
        </w:rPr>
        <w:t>,</w:t>
      </w:r>
      <w:r w:rsidR="00D2788D" w:rsidRPr="00975C02">
        <w:rPr>
          <w:kern w:val="2"/>
          <w:sz w:val="20"/>
          <w:szCs w:val="20"/>
          <w:lang w:val="es-ES" w:eastAsia="en-US"/>
        </w:rPr>
        <w:t xml:space="preserve"> la Corte </w:t>
      </w:r>
      <w:r w:rsidRPr="00975C02">
        <w:rPr>
          <w:kern w:val="2"/>
          <w:sz w:val="20"/>
          <w:szCs w:val="20"/>
          <w:lang w:val="es-ES" w:eastAsia="en-US"/>
        </w:rPr>
        <w:t>considera que la presencia de</w:t>
      </w:r>
      <w:r w:rsidR="002F42DF" w:rsidRPr="00975C02">
        <w:rPr>
          <w:kern w:val="2"/>
          <w:sz w:val="20"/>
          <w:szCs w:val="20"/>
          <w:lang w:val="es-ES" w:eastAsia="en-US"/>
        </w:rPr>
        <w:t xml:space="preserve"> una multiplicidad de</w:t>
      </w:r>
      <w:r w:rsidRPr="00975C02">
        <w:rPr>
          <w:kern w:val="2"/>
          <w:sz w:val="20"/>
          <w:szCs w:val="20"/>
          <w:lang w:val="es-ES" w:eastAsia="en-US"/>
        </w:rPr>
        <w:t xml:space="preserve"> persona</w:t>
      </w:r>
      <w:r w:rsidR="002F42DF" w:rsidRPr="00975C02">
        <w:rPr>
          <w:kern w:val="2"/>
          <w:sz w:val="20"/>
          <w:szCs w:val="20"/>
          <w:lang w:val="es-ES" w:eastAsia="en-US"/>
        </w:rPr>
        <w:t>s</w:t>
      </w:r>
      <w:r w:rsidRPr="00975C02">
        <w:rPr>
          <w:kern w:val="2"/>
          <w:sz w:val="20"/>
          <w:szCs w:val="20"/>
          <w:lang w:val="es-ES" w:eastAsia="en-US"/>
        </w:rPr>
        <w:t xml:space="preserve"> durante la revisión ginecológica de una niña de nueve años víctima de </w:t>
      </w:r>
      <w:r w:rsidR="0076442B">
        <w:rPr>
          <w:kern w:val="2"/>
          <w:sz w:val="20"/>
          <w:szCs w:val="20"/>
          <w:lang w:val="es-ES" w:eastAsia="en-US"/>
        </w:rPr>
        <w:t>violación</w:t>
      </w:r>
      <w:r w:rsidRPr="00975C02">
        <w:rPr>
          <w:kern w:val="2"/>
          <w:sz w:val="20"/>
          <w:szCs w:val="20"/>
          <w:lang w:val="es-ES" w:eastAsia="en-US"/>
        </w:rPr>
        <w:t xml:space="preserve"> sexual, es contraria a los estándares en la materia, pues la niña se encuentra desnuda, exponiendo sus genitales ante un grupo de personas a quienes no les correspondía estar presentes en una diligencia de dicha naturaleza, lo que implica una intromisión arbitraria en su vida privada e intimidad. La Corte estima que este tipo de exámenes deben ser llevados a cabo en una sola oportunidad, por un médico capacitado en la materia y experto en casos de niñas víctimas de abuso</w:t>
      </w:r>
      <w:r w:rsidR="0076442B">
        <w:rPr>
          <w:kern w:val="2"/>
          <w:sz w:val="20"/>
          <w:szCs w:val="20"/>
          <w:lang w:val="es-ES" w:eastAsia="en-US"/>
        </w:rPr>
        <w:t xml:space="preserve"> y violación</w:t>
      </w:r>
      <w:r w:rsidRPr="00975C02">
        <w:rPr>
          <w:kern w:val="2"/>
          <w:sz w:val="20"/>
          <w:szCs w:val="20"/>
          <w:lang w:val="es-ES" w:eastAsia="en-US"/>
        </w:rPr>
        <w:t xml:space="preserve"> sexual, y con la presencia de las personas estrictamente necesarias (</w:t>
      </w:r>
      <w:r w:rsidRPr="00975C02">
        <w:rPr>
          <w:i/>
          <w:kern w:val="2"/>
          <w:sz w:val="20"/>
          <w:szCs w:val="20"/>
          <w:lang w:val="es-ES" w:eastAsia="en-US"/>
        </w:rPr>
        <w:t>supra</w:t>
      </w:r>
      <w:r w:rsidRPr="00975C02">
        <w:rPr>
          <w:kern w:val="2"/>
          <w:sz w:val="20"/>
          <w:szCs w:val="20"/>
          <w:lang w:val="es-ES" w:eastAsia="en-US"/>
        </w:rPr>
        <w:t xml:space="preserve"> párr. </w:t>
      </w:r>
      <w:r w:rsidR="003A3D9D" w:rsidRPr="00975C02">
        <w:rPr>
          <w:kern w:val="2"/>
          <w:sz w:val="20"/>
          <w:szCs w:val="20"/>
          <w:lang w:val="es-ES" w:eastAsia="en-US"/>
        </w:rPr>
        <w:t>169</w:t>
      </w:r>
      <w:r w:rsidRPr="00975C02">
        <w:rPr>
          <w:kern w:val="2"/>
          <w:sz w:val="20"/>
          <w:szCs w:val="20"/>
          <w:lang w:val="es-ES" w:eastAsia="en-US"/>
        </w:rPr>
        <w:t xml:space="preserve">). El Tribunal entiende que este acto, especialmente grave, en contravención de la debida diligencia, expuso a V.R.P. a una situación </w:t>
      </w:r>
      <w:r w:rsidRPr="00975C02">
        <w:rPr>
          <w:kern w:val="2"/>
          <w:sz w:val="20"/>
          <w:szCs w:val="20"/>
          <w:lang w:val="es-ES" w:eastAsia="en-US"/>
        </w:rPr>
        <w:lastRenderedPageBreak/>
        <w:t>de reactualización del trauma existente y denota la falta de profesionalización en la materia del forense a cargo de dicha diligencia. La Corte considera irrelevante si la madre solicitó la presencia de todo el personal que participó durante dicho examen</w:t>
      </w:r>
      <w:r w:rsidRPr="00975C02">
        <w:rPr>
          <w:kern w:val="2"/>
          <w:sz w:val="20"/>
          <w:szCs w:val="20"/>
          <w:vertAlign w:val="superscript"/>
          <w:lang w:val="es-ES" w:eastAsia="en-US"/>
        </w:rPr>
        <w:footnoteReference w:id="263"/>
      </w:r>
      <w:r w:rsidRPr="00975C02">
        <w:rPr>
          <w:kern w:val="2"/>
          <w:sz w:val="20"/>
          <w:szCs w:val="20"/>
          <w:lang w:val="es-ES" w:eastAsia="en-US"/>
        </w:rPr>
        <w:t xml:space="preserve"> y ello no desvirtúa responsabilidad del Estado, ya que es el Estado quien debe adoptar las medidas de protección necesarias para que sus instituciones actúen bajo el principio del interés superior de la niña, y eviten que diligencias</w:t>
      </w:r>
      <w:r w:rsidR="00B47822" w:rsidRPr="00975C02">
        <w:rPr>
          <w:kern w:val="2"/>
          <w:sz w:val="20"/>
          <w:szCs w:val="20"/>
          <w:lang w:val="es-ES" w:eastAsia="en-US"/>
        </w:rPr>
        <w:t>,</w:t>
      </w:r>
      <w:r w:rsidRPr="00975C02">
        <w:rPr>
          <w:kern w:val="2"/>
          <w:sz w:val="20"/>
          <w:szCs w:val="20"/>
          <w:lang w:val="es-ES" w:eastAsia="en-US"/>
        </w:rPr>
        <w:t xml:space="preserve"> que de por sí pueden traer consigo elementos de reactualización del trauma, constituyan un a</w:t>
      </w:r>
      <w:r w:rsidR="00C003A2" w:rsidRPr="00975C02">
        <w:rPr>
          <w:kern w:val="2"/>
          <w:sz w:val="20"/>
          <w:szCs w:val="20"/>
          <w:lang w:val="es-ES" w:eastAsia="en-US"/>
        </w:rPr>
        <w:t>cto de violencia institucional.</w:t>
      </w:r>
    </w:p>
    <w:p w14:paraId="13FDA807" w14:textId="77777777" w:rsidR="005E0CFA" w:rsidRPr="00975C02" w:rsidRDefault="005E0CFA" w:rsidP="00B5625C">
      <w:pPr>
        <w:widowControl/>
        <w:adjustRightInd/>
        <w:spacing w:line="240" w:lineRule="auto"/>
        <w:jc w:val="left"/>
        <w:textAlignment w:val="auto"/>
        <w:rPr>
          <w:kern w:val="2"/>
          <w:sz w:val="20"/>
          <w:szCs w:val="20"/>
          <w:lang w:val="es-ES" w:eastAsia="en-US"/>
        </w:rPr>
      </w:pPr>
    </w:p>
    <w:p w14:paraId="0523C82C" w14:textId="2FD85C13" w:rsidR="00CD565D" w:rsidRPr="00975C02" w:rsidRDefault="00185F9F" w:rsidP="009F412E">
      <w:pPr>
        <w:widowControl/>
        <w:numPr>
          <w:ilvl w:val="0"/>
          <w:numId w:val="2"/>
        </w:numPr>
        <w:tabs>
          <w:tab w:val="left" w:pos="567"/>
          <w:tab w:val="num" w:pos="12305"/>
        </w:tabs>
        <w:adjustRightInd/>
        <w:spacing w:line="240" w:lineRule="auto"/>
        <w:ind w:left="0" w:firstLine="0"/>
        <w:textAlignment w:val="auto"/>
        <w:rPr>
          <w:kern w:val="2"/>
          <w:sz w:val="20"/>
          <w:szCs w:val="20"/>
          <w:lang w:val="es-ES" w:eastAsia="en-US"/>
        </w:rPr>
      </w:pPr>
      <w:r w:rsidRPr="00975C02">
        <w:rPr>
          <w:kern w:val="2"/>
          <w:sz w:val="20"/>
          <w:szCs w:val="20"/>
          <w:lang w:val="es-ES" w:eastAsia="en-US"/>
        </w:rPr>
        <w:t>Aunado a ello</w:t>
      </w:r>
      <w:r w:rsidR="00B5625C" w:rsidRPr="00975C02">
        <w:rPr>
          <w:kern w:val="2"/>
          <w:sz w:val="20"/>
          <w:szCs w:val="20"/>
          <w:lang w:val="es-ES" w:eastAsia="en-US"/>
        </w:rPr>
        <w:t xml:space="preserve">, </w:t>
      </w:r>
      <w:r w:rsidR="00545CA0" w:rsidRPr="00975C02">
        <w:rPr>
          <w:kern w:val="2"/>
          <w:sz w:val="20"/>
          <w:szCs w:val="20"/>
          <w:lang w:val="es-ES" w:eastAsia="en-US"/>
        </w:rPr>
        <w:t xml:space="preserve">surge </w:t>
      </w:r>
      <w:r w:rsidR="00B5625C" w:rsidRPr="00975C02">
        <w:rPr>
          <w:kern w:val="2"/>
          <w:sz w:val="20"/>
          <w:szCs w:val="20"/>
          <w:lang w:val="es-ES" w:eastAsia="en-US"/>
        </w:rPr>
        <w:t>de las declaraciones de V.R.P. y V.P.C. ante esta Corte, así como de las quejas interpuestas a nivel interno contra el médico forense</w:t>
      </w:r>
      <w:r w:rsidR="00545CA0" w:rsidRPr="00975C02">
        <w:rPr>
          <w:kern w:val="2"/>
          <w:sz w:val="20"/>
          <w:szCs w:val="20"/>
          <w:lang w:val="es-ES" w:eastAsia="en-US"/>
        </w:rPr>
        <w:t>, que</w:t>
      </w:r>
      <w:r w:rsidR="00B5625C" w:rsidRPr="00975C02">
        <w:rPr>
          <w:kern w:val="2"/>
          <w:sz w:val="20"/>
          <w:szCs w:val="20"/>
          <w:lang w:val="es-ES" w:eastAsia="en-US"/>
        </w:rPr>
        <w:t xml:space="preserve"> la actuación del funcionario de salud durante la diligencia fue </w:t>
      </w:r>
      <w:r w:rsidR="00894B93" w:rsidRPr="00975C02">
        <w:rPr>
          <w:kern w:val="2"/>
          <w:sz w:val="20"/>
          <w:szCs w:val="20"/>
          <w:lang w:val="es-ES" w:eastAsia="en-US"/>
        </w:rPr>
        <w:t>revictimizante</w:t>
      </w:r>
      <w:r w:rsidR="00B5625C" w:rsidRPr="00975C02">
        <w:rPr>
          <w:kern w:val="2"/>
          <w:sz w:val="20"/>
          <w:szCs w:val="20"/>
          <w:lang w:val="es-ES" w:eastAsia="en-US"/>
        </w:rPr>
        <w:t>, contraria al interés superior de V.R.P</w:t>
      </w:r>
      <w:r w:rsidR="00B47822" w:rsidRPr="00975C02">
        <w:rPr>
          <w:kern w:val="2"/>
          <w:sz w:val="20"/>
          <w:szCs w:val="20"/>
          <w:lang w:val="es-ES" w:eastAsia="en-US"/>
        </w:rPr>
        <w:t>.</w:t>
      </w:r>
      <w:r w:rsidR="00B5625C" w:rsidRPr="00975C02">
        <w:rPr>
          <w:kern w:val="2"/>
          <w:sz w:val="20"/>
          <w:szCs w:val="20"/>
          <w:lang w:val="es-ES" w:eastAsia="en-US"/>
        </w:rPr>
        <w:t xml:space="preserve"> y su derecho a ser oída, y contravino el deber reforzado de protección debida a favor de l</w:t>
      </w:r>
      <w:r w:rsidR="00B47822" w:rsidRPr="00975C02">
        <w:rPr>
          <w:kern w:val="2"/>
          <w:sz w:val="20"/>
          <w:szCs w:val="20"/>
          <w:lang w:val="es-ES" w:eastAsia="en-US"/>
        </w:rPr>
        <w:t>a</w:t>
      </w:r>
      <w:r w:rsidR="00B5625C" w:rsidRPr="00975C02">
        <w:rPr>
          <w:kern w:val="2"/>
          <w:sz w:val="20"/>
          <w:szCs w:val="20"/>
          <w:lang w:val="es-ES" w:eastAsia="en-US"/>
        </w:rPr>
        <w:t>s niñ</w:t>
      </w:r>
      <w:r w:rsidR="00B47822" w:rsidRPr="00975C02">
        <w:rPr>
          <w:kern w:val="2"/>
          <w:sz w:val="20"/>
          <w:szCs w:val="20"/>
          <w:lang w:val="es-ES" w:eastAsia="en-US"/>
        </w:rPr>
        <w:t>a</w:t>
      </w:r>
      <w:r w:rsidR="00B5625C" w:rsidRPr="00975C02">
        <w:rPr>
          <w:kern w:val="2"/>
          <w:sz w:val="20"/>
          <w:szCs w:val="20"/>
          <w:lang w:val="es-ES" w:eastAsia="en-US"/>
        </w:rPr>
        <w:t>s, niñ</w:t>
      </w:r>
      <w:r w:rsidR="00B47822" w:rsidRPr="00975C02">
        <w:rPr>
          <w:kern w:val="2"/>
          <w:sz w:val="20"/>
          <w:szCs w:val="20"/>
          <w:lang w:val="es-ES" w:eastAsia="en-US"/>
        </w:rPr>
        <w:t>o</w:t>
      </w:r>
      <w:r w:rsidR="00B5625C" w:rsidRPr="00975C02">
        <w:rPr>
          <w:kern w:val="2"/>
          <w:sz w:val="20"/>
          <w:szCs w:val="20"/>
          <w:lang w:val="es-ES" w:eastAsia="en-US"/>
        </w:rPr>
        <w:t xml:space="preserve">s y adolescentes víctimas de </w:t>
      </w:r>
      <w:r w:rsidR="00545CA0" w:rsidRPr="00975C02">
        <w:rPr>
          <w:kern w:val="2"/>
          <w:sz w:val="20"/>
          <w:szCs w:val="20"/>
          <w:lang w:val="es-ES" w:eastAsia="en-US"/>
        </w:rPr>
        <w:t>violencia</w:t>
      </w:r>
      <w:r w:rsidR="00B5625C" w:rsidRPr="00975C02">
        <w:rPr>
          <w:kern w:val="2"/>
          <w:sz w:val="20"/>
          <w:szCs w:val="20"/>
          <w:lang w:val="es-ES" w:eastAsia="en-US"/>
        </w:rPr>
        <w:t xml:space="preserve"> sexual. En efecto, la Corte constata que la señora V.P.C. presentó una queja ante </w:t>
      </w:r>
      <w:r w:rsidR="00B47822" w:rsidRPr="00975C02">
        <w:rPr>
          <w:kern w:val="2"/>
          <w:sz w:val="20"/>
          <w:szCs w:val="20"/>
          <w:lang w:val="es-ES" w:eastAsia="en-US"/>
        </w:rPr>
        <w:t xml:space="preserve">el </w:t>
      </w:r>
      <w:r w:rsidR="00B5625C" w:rsidRPr="00975C02">
        <w:rPr>
          <w:kern w:val="2"/>
          <w:sz w:val="20"/>
          <w:szCs w:val="20"/>
          <w:lang w:val="es-ES" w:eastAsia="en-US"/>
        </w:rPr>
        <w:t>Director del Sistema Local de Atención Integral en Salud (SILAIS) del Departamento de Jinotega, mediante la cual expuso que existió un “comportamiento antiético, grotesco y vulgar” por parte del profesional médico interviniente, al momento de examinar a su hija</w:t>
      </w:r>
      <w:r w:rsidR="00B47822" w:rsidRPr="00975C02">
        <w:rPr>
          <w:kern w:val="2"/>
          <w:sz w:val="20"/>
          <w:szCs w:val="20"/>
          <w:lang w:val="es-ES" w:eastAsia="en-US"/>
        </w:rPr>
        <w:t>,</w:t>
      </w:r>
      <w:r w:rsidR="00B5625C" w:rsidRPr="00975C02">
        <w:rPr>
          <w:kern w:val="2"/>
          <w:sz w:val="20"/>
          <w:szCs w:val="20"/>
          <w:lang w:val="es-ES" w:eastAsia="en-US"/>
        </w:rPr>
        <w:t xml:space="preserve"> ya que el médico habría proferido que la niña “tenía que someterse al trato vulgar de él y que ni siquiera tenía derecho a dar[le] algún sedante”</w:t>
      </w:r>
      <w:r w:rsidR="00B5625C" w:rsidRPr="00975C02">
        <w:rPr>
          <w:kern w:val="2"/>
          <w:sz w:val="20"/>
          <w:szCs w:val="20"/>
          <w:vertAlign w:val="superscript"/>
          <w:lang w:val="es-ES" w:eastAsia="en-US"/>
        </w:rPr>
        <w:footnoteReference w:id="264"/>
      </w:r>
      <w:r w:rsidR="00B5625C" w:rsidRPr="00975C02">
        <w:rPr>
          <w:kern w:val="2"/>
          <w:sz w:val="20"/>
          <w:szCs w:val="20"/>
          <w:lang w:val="es-ES" w:eastAsia="en-US"/>
        </w:rPr>
        <w:t>. Asimismo, presentó un escrito en contra de dicho galeno ante la Comisión Disciplinaria de la Corte Suprema de Justicia en ese mismo sentido</w:t>
      </w:r>
      <w:r w:rsidR="008C14F4" w:rsidRPr="00975C02">
        <w:rPr>
          <w:kern w:val="2"/>
          <w:sz w:val="20"/>
          <w:szCs w:val="20"/>
          <w:lang w:val="es-ES" w:eastAsia="en-US"/>
        </w:rPr>
        <w:t xml:space="preserve"> (</w:t>
      </w:r>
      <w:r w:rsidR="008C14F4" w:rsidRPr="00975C02">
        <w:rPr>
          <w:i/>
          <w:kern w:val="2"/>
          <w:sz w:val="20"/>
          <w:szCs w:val="20"/>
          <w:lang w:val="es-ES" w:eastAsia="en-US"/>
        </w:rPr>
        <w:t>supra</w:t>
      </w:r>
      <w:r w:rsidR="008C14F4" w:rsidRPr="00975C02">
        <w:rPr>
          <w:kern w:val="2"/>
          <w:sz w:val="20"/>
          <w:szCs w:val="20"/>
          <w:lang w:val="es-ES" w:eastAsia="en-US"/>
        </w:rPr>
        <w:t xml:space="preserve"> párr. 127)</w:t>
      </w:r>
      <w:r w:rsidR="00B5625C" w:rsidRPr="00975C02">
        <w:rPr>
          <w:kern w:val="2"/>
          <w:sz w:val="20"/>
          <w:szCs w:val="20"/>
          <w:lang w:val="es-ES" w:eastAsia="en-US"/>
        </w:rPr>
        <w:t>. Asimismo, no s</w:t>
      </w:r>
      <w:r w:rsidR="00B47822" w:rsidRPr="00975C02">
        <w:rPr>
          <w:kern w:val="2"/>
          <w:sz w:val="20"/>
          <w:szCs w:val="20"/>
          <w:lang w:val="es-ES" w:eastAsia="en-US"/>
        </w:rPr>
        <w:t>ó</w:t>
      </w:r>
      <w:r w:rsidR="00B5625C" w:rsidRPr="00975C02">
        <w:rPr>
          <w:kern w:val="2"/>
          <w:sz w:val="20"/>
          <w:szCs w:val="20"/>
          <w:lang w:val="es-ES" w:eastAsia="en-US"/>
        </w:rPr>
        <w:t>lo solicitó que la forense suplente hiciera el dictamen con motivo del actuar del médico, sino que resaltó que “[</w:t>
      </w:r>
      <w:r w:rsidR="0003095B" w:rsidRPr="00975C02">
        <w:rPr>
          <w:kern w:val="2"/>
          <w:sz w:val="20"/>
          <w:szCs w:val="20"/>
          <w:lang w:val="es-ES" w:eastAsia="en-US"/>
        </w:rPr>
        <w:t>el médico</w:t>
      </w:r>
      <w:r w:rsidR="00B5625C" w:rsidRPr="00975C02">
        <w:rPr>
          <w:kern w:val="2"/>
          <w:sz w:val="20"/>
          <w:szCs w:val="20"/>
          <w:lang w:val="es-ES" w:eastAsia="en-US"/>
        </w:rPr>
        <w:t>] se encontraba fuera de sí, lo que puso nerviosa a [su] hija y por ello [su] renuencia a que él específicamente se lo hiciera”</w:t>
      </w:r>
      <w:r w:rsidR="00B5625C" w:rsidRPr="00975C02">
        <w:rPr>
          <w:kern w:val="2"/>
          <w:sz w:val="20"/>
          <w:szCs w:val="20"/>
          <w:vertAlign w:val="superscript"/>
          <w:lang w:val="es-ES" w:eastAsia="en-US"/>
        </w:rPr>
        <w:footnoteReference w:id="265"/>
      </w:r>
      <w:r w:rsidR="00B5625C" w:rsidRPr="00975C02">
        <w:rPr>
          <w:kern w:val="2"/>
          <w:sz w:val="20"/>
          <w:szCs w:val="20"/>
          <w:lang w:val="es-ES" w:eastAsia="en-US"/>
        </w:rPr>
        <w:t xml:space="preserve">. </w:t>
      </w:r>
      <w:r w:rsidR="00E12E88" w:rsidRPr="00975C02">
        <w:rPr>
          <w:kern w:val="2"/>
          <w:sz w:val="20"/>
          <w:szCs w:val="20"/>
          <w:lang w:val="es-ES" w:eastAsia="en-US"/>
        </w:rPr>
        <w:t xml:space="preserve">La señora </w:t>
      </w:r>
      <w:r w:rsidR="00B5625C" w:rsidRPr="00975C02">
        <w:rPr>
          <w:kern w:val="2"/>
          <w:sz w:val="20"/>
          <w:szCs w:val="20"/>
          <w:lang w:val="es-ES" w:eastAsia="en-US"/>
        </w:rPr>
        <w:t xml:space="preserve">V.P.C. declaró que el médico no permitió ponerle una colcha debajo de la niña para alivianar sus heridas, y ante la renuencia de V.R.P. a someterse al examen, luego de gritos y llantos, el médico señaló que “si ella no se va a dejar examinar, porque las niñas del campo normalmente lo hacen, vienen aquí, abren las piernas y yo les hago los exámenes y ellas no se quejan […] </w:t>
      </w:r>
      <w:r w:rsidR="00E12E88" w:rsidRPr="00975C02">
        <w:rPr>
          <w:kern w:val="2"/>
          <w:sz w:val="20"/>
          <w:szCs w:val="20"/>
          <w:lang w:val="es-ES" w:eastAsia="en-US"/>
        </w:rPr>
        <w:t>¿Q</w:t>
      </w:r>
      <w:r w:rsidR="00B5625C" w:rsidRPr="00975C02">
        <w:rPr>
          <w:kern w:val="2"/>
          <w:sz w:val="20"/>
          <w:szCs w:val="20"/>
          <w:lang w:val="es-ES" w:eastAsia="en-US"/>
        </w:rPr>
        <w:t>ué va a pasar cuando yo vaya a examinar el ano</w:t>
      </w:r>
      <w:r w:rsidR="00E12E88" w:rsidRPr="00975C02">
        <w:rPr>
          <w:kern w:val="2"/>
          <w:sz w:val="20"/>
          <w:szCs w:val="20"/>
          <w:lang w:val="es-ES" w:eastAsia="en-US"/>
        </w:rPr>
        <w:t>?</w:t>
      </w:r>
      <w:r w:rsidR="00B5625C" w:rsidRPr="00975C02">
        <w:rPr>
          <w:kern w:val="2"/>
          <w:sz w:val="20"/>
          <w:szCs w:val="20"/>
          <w:lang w:val="es-ES" w:eastAsia="en-US"/>
        </w:rPr>
        <w:t>”</w:t>
      </w:r>
      <w:r w:rsidR="00B5625C" w:rsidRPr="00975C02">
        <w:rPr>
          <w:kern w:val="2"/>
          <w:sz w:val="20"/>
          <w:szCs w:val="20"/>
          <w:vertAlign w:val="superscript"/>
          <w:lang w:val="es-ES" w:eastAsia="en-US"/>
        </w:rPr>
        <w:footnoteReference w:id="266"/>
      </w:r>
      <w:r w:rsidR="00B5625C" w:rsidRPr="00975C02">
        <w:rPr>
          <w:kern w:val="2"/>
          <w:sz w:val="20"/>
          <w:szCs w:val="20"/>
          <w:lang w:val="es-ES" w:eastAsia="en-US"/>
        </w:rPr>
        <w:t>. Estas declaraciones fueron corroboradas por la declaración de V.R.P. ante esta Corte, quien además resaltó que</w:t>
      </w:r>
      <w:r w:rsidR="00497035" w:rsidRPr="00975C02">
        <w:rPr>
          <w:kern w:val="2"/>
          <w:sz w:val="20"/>
          <w:szCs w:val="20"/>
          <w:lang w:val="es-ES" w:eastAsia="en-US"/>
        </w:rPr>
        <w:t>,</w:t>
      </w:r>
      <w:r w:rsidR="00B5625C" w:rsidRPr="00975C02">
        <w:rPr>
          <w:kern w:val="2"/>
          <w:sz w:val="20"/>
          <w:szCs w:val="20"/>
          <w:lang w:val="es-ES" w:eastAsia="en-US"/>
        </w:rPr>
        <w:t xml:space="preserve"> ante el maltrato y rudeza del médico al examinarla, sintió “como que había sido violada, pero [le] dijeron que el examen se tenía que hacer para que [su] papá no saliera [de la prisión]”</w:t>
      </w:r>
      <w:r w:rsidR="00B5625C" w:rsidRPr="00975C02">
        <w:rPr>
          <w:kern w:val="2"/>
          <w:sz w:val="20"/>
          <w:szCs w:val="20"/>
          <w:vertAlign w:val="superscript"/>
          <w:lang w:val="es-ES" w:eastAsia="en-US"/>
        </w:rPr>
        <w:footnoteReference w:id="267"/>
      </w:r>
      <w:r w:rsidR="00B5625C" w:rsidRPr="00975C02">
        <w:rPr>
          <w:kern w:val="2"/>
          <w:sz w:val="20"/>
          <w:szCs w:val="20"/>
          <w:lang w:val="es-ES" w:eastAsia="en-US"/>
        </w:rPr>
        <w:t>.</w:t>
      </w:r>
    </w:p>
    <w:p w14:paraId="48C2F93B" w14:textId="77777777" w:rsidR="00B5625C" w:rsidRPr="00975C02" w:rsidRDefault="00B5625C" w:rsidP="00B5625C">
      <w:pPr>
        <w:widowControl/>
        <w:adjustRightInd/>
        <w:spacing w:line="240" w:lineRule="auto"/>
        <w:jc w:val="left"/>
        <w:textAlignment w:val="auto"/>
        <w:rPr>
          <w:kern w:val="2"/>
          <w:sz w:val="20"/>
          <w:szCs w:val="20"/>
          <w:lang w:val="es-ES" w:eastAsia="en-US"/>
        </w:rPr>
      </w:pPr>
    </w:p>
    <w:p w14:paraId="7AE01D94" w14:textId="00436AD5" w:rsidR="000304E8" w:rsidRPr="00975C02" w:rsidRDefault="00B5625C" w:rsidP="000304E8">
      <w:pPr>
        <w:widowControl/>
        <w:numPr>
          <w:ilvl w:val="0"/>
          <w:numId w:val="2"/>
        </w:numPr>
        <w:tabs>
          <w:tab w:val="left" w:pos="567"/>
          <w:tab w:val="num" w:pos="12305"/>
        </w:tabs>
        <w:adjustRightInd/>
        <w:spacing w:line="240" w:lineRule="auto"/>
        <w:ind w:left="0" w:firstLine="0"/>
        <w:textAlignment w:val="auto"/>
        <w:rPr>
          <w:kern w:val="2"/>
          <w:sz w:val="20"/>
          <w:szCs w:val="20"/>
          <w:lang w:val="es-ES" w:eastAsia="en-US"/>
        </w:rPr>
      </w:pPr>
      <w:r w:rsidRPr="00975C02">
        <w:rPr>
          <w:kern w:val="2"/>
          <w:sz w:val="20"/>
          <w:szCs w:val="20"/>
          <w:lang w:val="es-ES" w:eastAsia="en-US"/>
        </w:rPr>
        <w:t>La Corte considera que, si bien existe controversia respecto al lenguaje preciso y el contenido de las expresiones del médico legista en contra de V.R.P. (</w:t>
      </w:r>
      <w:r w:rsidRPr="00975C02">
        <w:rPr>
          <w:i/>
          <w:kern w:val="2"/>
          <w:sz w:val="20"/>
          <w:szCs w:val="20"/>
          <w:lang w:val="es-ES" w:eastAsia="en-US"/>
        </w:rPr>
        <w:t xml:space="preserve">supra </w:t>
      </w:r>
      <w:r w:rsidRPr="00975C02">
        <w:rPr>
          <w:kern w:val="2"/>
          <w:sz w:val="20"/>
          <w:szCs w:val="20"/>
          <w:lang w:val="es-ES" w:eastAsia="en-US"/>
        </w:rPr>
        <w:t xml:space="preserve">párr. </w:t>
      </w:r>
      <w:r w:rsidR="00D66702" w:rsidRPr="00975C02">
        <w:rPr>
          <w:kern w:val="2"/>
          <w:sz w:val="20"/>
          <w:szCs w:val="20"/>
          <w:lang w:val="es-ES" w:eastAsia="en-US"/>
        </w:rPr>
        <w:t>146</w:t>
      </w:r>
      <w:r w:rsidRPr="00975C02">
        <w:rPr>
          <w:kern w:val="2"/>
          <w:sz w:val="20"/>
          <w:szCs w:val="20"/>
          <w:lang w:val="es-ES" w:eastAsia="en-US"/>
        </w:rPr>
        <w:t xml:space="preserve">), está comprobado que la niña se negó rotundamente a realizarse el examen y el profesional médico intentó continuar con el </w:t>
      </w:r>
      <w:r w:rsidRPr="00975C02">
        <w:rPr>
          <w:kern w:val="2"/>
          <w:sz w:val="20"/>
          <w:szCs w:val="20"/>
          <w:lang w:val="es-ES" w:eastAsia="en-US"/>
        </w:rPr>
        <w:lastRenderedPageBreak/>
        <w:t>mismo en contra de la voluntad de V.R.P</w:t>
      </w:r>
      <w:r w:rsidR="00036D73" w:rsidRPr="00975C02">
        <w:rPr>
          <w:kern w:val="2"/>
          <w:sz w:val="20"/>
          <w:szCs w:val="20"/>
          <w:lang w:val="es-ES" w:eastAsia="en-US"/>
        </w:rPr>
        <w:t>.</w:t>
      </w:r>
      <w:r w:rsidRPr="00975C02">
        <w:rPr>
          <w:kern w:val="2"/>
          <w:sz w:val="20"/>
          <w:szCs w:val="20"/>
          <w:lang w:val="es-ES" w:eastAsia="en-US"/>
        </w:rPr>
        <w:t>, sin tomar en cuenta su parecer y su consentimiento</w:t>
      </w:r>
      <w:r w:rsidR="00BB7562" w:rsidRPr="00975C02">
        <w:rPr>
          <w:rStyle w:val="FootnoteReference"/>
          <w:kern w:val="2"/>
          <w:sz w:val="20"/>
          <w:szCs w:val="20"/>
          <w:lang w:val="es-ES" w:eastAsia="en-US"/>
        </w:rPr>
        <w:footnoteReference w:id="268"/>
      </w:r>
      <w:r w:rsidRPr="00975C02">
        <w:rPr>
          <w:kern w:val="2"/>
          <w:sz w:val="20"/>
          <w:szCs w:val="20"/>
          <w:lang w:val="es-ES" w:eastAsia="en-US"/>
        </w:rPr>
        <w:t xml:space="preserve">. </w:t>
      </w:r>
      <w:r w:rsidR="000304E8" w:rsidRPr="00975C02">
        <w:rPr>
          <w:kern w:val="2"/>
          <w:sz w:val="20"/>
          <w:szCs w:val="20"/>
          <w:lang w:val="es-ES" w:eastAsia="en-US"/>
        </w:rPr>
        <w:t>Incluso, de la declaración de V.R.P. en audiencia privada ante esta Corte, ella manifestó que la jueza solicitó la cooperación de la niña bajo la premisa de que</w:t>
      </w:r>
      <w:r w:rsidR="00D960A1" w:rsidRPr="00975C02">
        <w:rPr>
          <w:kern w:val="2"/>
          <w:sz w:val="20"/>
          <w:szCs w:val="20"/>
          <w:lang w:val="es-ES" w:eastAsia="en-US"/>
        </w:rPr>
        <w:t>,</w:t>
      </w:r>
      <w:r w:rsidR="000304E8" w:rsidRPr="00975C02">
        <w:rPr>
          <w:kern w:val="2"/>
          <w:sz w:val="20"/>
          <w:szCs w:val="20"/>
          <w:lang w:val="es-ES" w:eastAsia="en-US"/>
        </w:rPr>
        <w:t xml:space="preserve"> si la diligencia no se efectuaba y </w:t>
      </w:r>
      <w:r w:rsidR="00D960A1" w:rsidRPr="00975C02">
        <w:rPr>
          <w:kern w:val="2"/>
          <w:sz w:val="20"/>
          <w:szCs w:val="20"/>
          <w:lang w:val="es-ES" w:eastAsia="en-US"/>
        </w:rPr>
        <w:t>é</w:t>
      </w:r>
      <w:r w:rsidR="000304E8" w:rsidRPr="00975C02">
        <w:rPr>
          <w:kern w:val="2"/>
          <w:sz w:val="20"/>
          <w:szCs w:val="20"/>
          <w:lang w:val="es-ES" w:eastAsia="en-US"/>
        </w:rPr>
        <w:t>sta no cooperaba, su padre saldría en libertad. Asimismo, la madre de V.R.P. presentó</w:t>
      </w:r>
      <w:r w:rsidR="00D960A1" w:rsidRPr="00975C02">
        <w:rPr>
          <w:kern w:val="2"/>
          <w:sz w:val="20"/>
          <w:szCs w:val="20"/>
          <w:lang w:val="es-ES" w:eastAsia="en-US"/>
        </w:rPr>
        <w:t>,</w:t>
      </w:r>
      <w:r w:rsidR="000304E8" w:rsidRPr="00975C02">
        <w:rPr>
          <w:kern w:val="2"/>
          <w:sz w:val="20"/>
          <w:szCs w:val="20"/>
          <w:lang w:val="es-ES" w:eastAsia="en-US"/>
        </w:rPr>
        <w:t xml:space="preserve"> al menos en dos oportunidades (</w:t>
      </w:r>
      <w:r w:rsidR="000304E8" w:rsidRPr="00975C02">
        <w:rPr>
          <w:i/>
          <w:kern w:val="2"/>
          <w:sz w:val="20"/>
          <w:szCs w:val="20"/>
          <w:lang w:val="es-ES" w:eastAsia="en-US"/>
        </w:rPr>
        <w:t>supra</w:t>
      </w:r>
      <w:r w:rsidR="000304E8" w:rsidRPr="00975C02">
        <w:rPr>
          <w:kern w:val="2"/>
          <w:sz w:val="20"/>
          <w:szCs w:val="20"/>
          <w:lang w:val="es-ES" w:eastAsia="en-US"/>
        </w:rPr>
        <w:t xml:space="preserve"> pár</w:t>
      </w:r>
      <w:r w:rsidR="00D960A1" w:rsidRPr="00975C02">
        <w:rPr>
          <w:kern w:val="2"/>
          <w:sz w:val="20"/>
          <w:szCs w:val="20"/>
          <w:lang w:val="es-ES" w:eastAsia="en-US"/>
        </w:rPr>
        <w:t>r</w:t>
      </w:r>
      <w:r w:rsidR="00D66702" w:rsidRPr="00975C02">
        <w:rPr>
          <w:kern w:val="2"/>
          <w:sz w:val="20"/>
          <w:szCs w:val="20"/>
          <w:lang w:val="es-ES" w:eastAsia="en-US"/>
        </w:rPr>
        <w:t>s</w:t>
      </w:r>
      <w:r w:rsidR="000304E8" w:rsidRPr="00975C02">
        <w:rPr>
          <w:kern w:val="2"/>
          <w:sz w:val="20"/>
          <w:szCs w:val="20"/>
          <w:lang w:val="es-ES" w:eastAsia="en-US"/>
        </w:rPr>
        <w:t xml:space="preserve">. </w:t>
      </w:r>
      <w:r w:rsidR="00D66702" w:rsidRPr="00975C02">
        <w:rPr>
          <w:kern w:val="2"/>
          <w:sz w:val="20"/>
          <w:szCs w:val="20"/>
          <w:lang w:val="es-ES" w:eastAsia="en-US"/>
        </w:rPr>
        <w:t>126 y 127</w:t>
      </w:r>
      <w:r w:rsidR="000304E8" w:rsidRPr="00975C02">
        <w:rPr>
          <w:kern w:val="2"/>
          <w:sz w:val="20"/>
          <w:szCs w:val="20"/>
          <w:lang w:val="es-ES" w:eastAsia="en-US"/>
        </w:rPr>
        <w:t>)</w:t>
      </w:r>
      <w:r w:rsidR="00D960A1" w:rsidRPr="00975C02">
        <w:rPr>
          <w:kern w:val="2"/>
          <w:sz w:val="20"/>
          <w:szCs w:val="20"/>
          <w:lang w:val="es-ES" w:eastAsia="en-US"/>
        </w:rPr>
        <w:t>,</w:t>
      </w:r>
      <w:r w:rsidR="000304E8" w:rsidRPr="00975C02">
        <w:rPr>
          <w:kern w:val="2"/>
          <w:sz w:val="20"/>
          <w:szCs w:val="20"/>
          <w:lang w:val="es-ES" w:eastAsia="en-US"/>
        </w:rPr>
        <w:t xml:space="preserve"> quejas a nivel interno a este respecto y de la información proporcionada por el Estado, la presentada ante la Corte Suprema de Justicia no fue tramitada por falta de pruebas, por lo que se ordenó su archivo</w:t>
      </w:r>
      <w:r w:rsidR="00D960A1" w:rsidRPr="00975C02">
        <w:rPr>
          <w:kern w:val="2"/>
          <w:sz w:val="20"/>
          <w:szCs w:val="20"/>
          <w:lang w:val="es-ES" w:eastAsia="en-US"/>
        </w:rPr>
        <w:t xml:space="preserve"> (</w:t>
      </w:r>
      <w:r w:rsidR="00D960A1" w:rsidRPr="00975C02">
        <w:rPr>
          <w:i/>
          <w:kern w:val="2"/>
          <w:sz w:val="20"/>
          <w:szCs w:val="20"/>
          <w:lang w:val="es-ES" w:eastAsia="en-US"/>
        </w:rPr>
        <w:t>supra</w:t>
      </w:r>
      <w:r w:rsidR="00D960A1" w:rsidRPr="00975C02">
        <w:rPr>
          <w:kern w:val="2"/>
          <w:sz w:val="20"/>
          <w:szCs w:val="20"/>
          <w:lang w:val="es-ES" w:eastAsia="en-US"/>
        </w:rPr>
        <w:t xml:space="preserve"> párr. </w:t>
      </w:r>
      <w:r w:rsidR="00D66702" w:rsidRPr="00975C02">
        <w:rPr>
          <w:kern w:val="2"/>
          <w:sz w:val="20"/>
          <w:szCs w:val="20"/>
          <w:lang w:val="es-ES" w:eastAsia="en-US"/>
        </w:rPr>
        <w:t>127</w:t>
      </w:r>
      <w:r w:rsidR="00D960A1" w:rsidRPr="00975C02">
        <w:rPr>
          <w:kern w:val="2"/>
          <w:sz w:val="20"/>
          <w:szCs w:val="20"/>
          <w:lang w:val="es-ES" w:eastAsia="en-US"/>
        </w:rPr>
        <w:t>)</w:t>
      </w:r>
      <w:r w:rsidR="000304E8" w:rsidRPr="00975C02">
        <w:rPr>
          <w:kern w:val="2"/>
          <w:sz w:val="20"/>
          <w:szCs w:val="20"/>
          <w:lang w:val="es-ES" w:eastAsia="en-US"/>
        </w:rPr>
        <w:t>. La presentación de estas quejas, luego de ocurrido el actuar revictimizante del médico forense, demuestra la inconformidad de V.P.C. respecto de la capacidad profesional del galeno, ante lo cual el Estado no solo no dio respuesta, sino que culpabilizó a la niña por no haber contribuido con la realización de la diligencia.</w:t>
      </w:r>
    </w:p>
    <w:p w14:paraId="02DBAC1B" w14:textId="77777777" w:rsidR="00545CA0" w:rsidRPr="00975C02" w:rsidRDefault="00545CA0" w:rsidP="000304E8">
      <w:pPr>
        <w:widowControl/>
        <w:tabs>
          <w:tab w:val="left" w:pos="567"/>
        </w:tabs>
        <w:adjustRightInd/>
        <w:spacing w:line="240" w:lineRule="auto"/>
        <w:textAlignment w:val="auto"/>
        <w:rPr>
          <w:kern w:val="2"/>
          <w:sz w:val="20"/>
          <w:szCs w:val="20"/>
          <w:lang w:val="es-ES" w:eastAsia="en-US"/>
        </w:rPr>
      </w:pPr>
    </w:p>
    <w:p w14:paraId="40664CAB" w14:textId="4F224602" w:rsidR="00B5625C" w:rsidRPr="00975C02" w:rsidRDefault="00B5625C" w:rsidP="009F412E">
      <w:pPr>
        <w:widowControl/>
        <w:numPr>
          <w:ilvl w:val="0"/>
          <w:numId w:val="2"/>
        </w:numPr>
        <w:tabs>
          <w:tab w:val="left" w:pos="567"/>
          <w:tab w:val="num" w:pos="12305"/>
        </w:tabs>
        <w:adjustRightInd/>
        <w:spacing w:line="240" w:lineRule="auto"/>
        <w:ind w:left="0" w:firstLine="0"/>
        <w:textAlignment w:val="auto"/>
        <w:rPr>
          <w:kern w:val="2"/>
          <w:sz w:val="20"/>
          <w:szCs w:val="20"/>
          <w:lang w:val="es-ES" w:eastAsia="en-US"/>
        </w:rPr>
      </w:pPr>
      <w:r w:rsidRPr="00975C02">
        <w:rPr>
          <w:kern w:val="2"/>
          <w:sz w:val="20"/>
          <w:szCs w:val="20"/>
          <w:lang w:val="es-ES" w:eastAsia="en-US"/>
        </w:rPr>
        <w:t xml:space="preserve">Con base en todo lo señalado, la Corte entiende que el médico legista no llevó a cabo la evaluación </w:t>
      </w:r>
      <w:r w:rsidR="005F73CB" w:rsidRPr="00975C02">
        <w:rPr>
          <w:kern w:val="2"/>
          <w:sz w:val="20"/>
          <w:szCs w:val="20"/>
          <w:lang w:val="es-ES" w:eastAsia="en-US"/>
        </w:rPr>
        <w:t xml:space="preserve">médica de forma adecuada </w:t>
      </w:r>
      <w:r w:rsidRPr="00975C02">
        <w:rPr>
          <w:kern w:val="2"/>
          <w:sz w:val="20"/>
          <w:szCs w:val="20"/>
          <w:lang w:val="es-ES" w:eastAsia="en-US"/>
        </w:rPr>
        <w:t>con el trato</w:t>
      </w:r>
      <w:r w:rsidR="005F73CB" w:rsidRPr="00975C02">
        <w:rPr>
          <w:kern w:val="2"/>
          <w:sz w:val="20"/>
          <w:szCs w:val="20"/>
          <w:lang w:val="es-ES" w:eastAsia="en-US"/>
        </w:rPr>
        <w:t xml:space="preserve"> debido</w:t>
      </w:r>
      <w:r w:rsidRPr="00975C02">
        <w:rPr>
          <w:kern w:val="2"/>
          <w:sz w:val="20"/>
          <w:szCs w:val="20"/>
          <w:lang w:val="es-ES" w:eastAsia="en-US"/>
        </w:rPr>
        <w:t xml:space="preserve"> a una niña víctima de violación sexual, reactualizando </w:t>
      </w:r>
      <w:r w:rsidR="006F2074" w:rsidRPr="00975C02">
        <w:rPr>
          <w:kern w:val="2"/>
          <w:sz w:val="20"/>
          <w:szCs w:val="20"/>
          <w:lang w:val="es-ES" w:eastAsia="en-US"/>
        </w:rPr>
        <w:t xml:space="preserve">su </w:t>
      </w:r>
      <w:r w:rsidRPr="00975C02">
        <w:rPr>
          <w:kern w:val="2"/>
          <w:sz w:val="20"/>
          <w:szCs w:val="20"/>
          <w:lang w:val="es-ES" w:eastAsia="en-US"/>
        </w:rPr>
        <w:t>situación traumática, en vez de protegerla y brindarle mecanismos de contención que la hagan sentir</w:t>
      </w:r>
      <w:r w:rsidR="00D960A1" w:rsidRPr="00975C02">
        <w:rPr>
          <w:kern w:val="2"/>
          <w:sz w:val="20"/>
          <w:szCs w:val="20"/>
          <w:lang w:val="es-ES" w:eastAsia="en-US"/>
        </w:rPr>
        <w:t>se</w:t>
      </w:r>
      <w:r w:rsidRPr="00975C02">
        <w:rPr>
          <w:kern w:val="2"/>
          <w:sz w:val="20"/>
          <w:szCs w:val="20"/>
          <w:lang w:val="es-ES" w:eastAsia="en-US"/>
        </w:rPr>
        <w:t xml:space="preserve"> segura, entendida y escuchada en el desarrollo de la diligencia para evitar su revictimización</w:t>
      </w:r>
      <w:r w:rsidRPr="00975C02">
        <w:rPr>
          <w:kern w:val="2"/>
          <w:sz w:val="20"/>
          <w:szCs w:val="20"/>
          <w:vertAlign w:val="superscript"/>
          <w:lang w:val="es-ES" w:eastAsia="en-US"/>
        </w:rPr>
        <w:footnoteReference w:id="269"/>
      </w:r>
      <w:r w:rsidRPr="00975C02">
        <w:rPr>
          <w:kern w:val="2"/>
          <w:sz w:val="20"/>
          <w:szCs w:val="20"/>
          <w:lang w:val="es-ES" w:eastAsia="en-US"/>
        </w:rPr>
        <w:t xml:space="preserve">. </w:t>
      </w:r>
      <w:r w:rsidR="00BB7562" w:rsidRPr="00975C02">
        <w:rPr>
          <w:kern w:val="2"/>
          <w:sz w:val="20"/>
          <w:szCs w:val="20"/>
          <w:lang w:val="es-ES" w:eastAsia="en-US"/>
        </w:rPr>
        <w:t>Aún más,</w:t>
      </w:r>
      <w:r w:rsidR="00D960A1" w:rsidRPr="00975C02">
        <w:rPr>
          <w:kern w:val="2"/>
          <w:sz w:val="20"/>
          <w:szCs w:val="20"/>
          <w:lang w:val="es-ES" w:eastAsia="en-US"/>
        </w:rPr>
        <w:t xml:space="preserve"> para esta Corte,</w:t>
      </w:r>
      <w:r w:rsidR="00BB7562" w:rsidRPr="00975C02">
        <w:rPr>
          <w:kern w:val="2"/>
          <w:sz w:val="20"/>
          <w:szCs w:val="20"/>
          <w:lang w:val="es-ES" w:eastAsia="en-US"/>
        </w:rPr>
        <w:t xml:space="preserve"> la utilización de fuerza para proceder al examen ante la negativa de la víctima </w:t>
      </w:r>
      <w:r w:rsidR="00545CA0" w:rsidRPr="00975C02">
        <w:rPr>
          <w:kern w:val="2"/>
          <w:sz w:val="20"/>
          <w:szCs w:val="20"/>
          <w:lang w:val="es-ES" w:eastAsia="en-US"/>
        </w:rPr>
        <w:t>claramente constituyó un acto de violencia institucional de índole sexual.</w:t>
      </w:r>
    </w:p>
    <w:p w14:paraId="2F981331" w14:textId="77777777" w:rsidR="00B5625C" w:rsidRPr="00975C02" w:rsidRDefault="00B5625C" w:rsidP="00B5625C">
      <w:pPr>
        <w:widowControl/>
        <w:adjustRightInd/>
        <w:spacing w:line="240" w:lineRule="auto"/>
        <w:jc w:val="left"/>
        <w:textAlignment w:val="auto"/>
        <w:rPr>
          <w:kern w:val="2"/>
          <w:sz w:val="20"/>
          <w:szCs w:val="20"/>
          <w:lang w:val="es-ES" w:eastAsia="en-US"/>
        </w:rPr>
      </w:pPr>
    </w:p>
    <w:p w14:paraId="78250BD3" w14:textId="72A939A2" w:rsidR="00B5625C" w:rsidRPr="00975C02" w:rsidRDefault="00DA305A" w:rsidP="009F412E">
      <w:pPr>
        <w:widowControl/>
        <w:numPr>
          <w:ilvl w:val="0"/>
          <w:numId w:val="2"/>
        </w:numPr>
        <w:tabs>
          <w:tab w:val="left" w:pos="567"/>
          <w:tab w:val="num" w:pos="12305"/>
        </w:tabs>
        <w:adjustRightInd/>
        <w:spacing w:line="240" w:lineRule="auto"/>
        <w:ind w:left="0" w:firstLine="0"/>
        <w:textAlignment w:val="auto"/>
        <w:rPr>
          <w:kern w:val="2"/>
          <w:sz w:val="20"/>
          <w:szCs w:val="20"/>
          <w:lang w:val="es-ES" w:eastAsia="en-US"/>
        </w:rPr>
      </w:pPr>
      <w:r w:rsidRPr="00975C02">
        <w:rPr>
          <w:kern w:val="2"/>
          <w:sz w:val="20"/>
          <w:szCs w:val="20"/>
          <w:lang w:val="es-ES" w:eastAsia="en-US"/>
        </w:rPr>
        <w:t>Finalmente</w:t>
      </w:r>
      <w:r w:rsidR="00B5625C" w:rsidRPr="00975C02">
        <w:rPr>
          <w:kern w:val="2"/>
          <w:sz w:val="20"/>
          <w:szCs w:val="20"/>
          <w:lang w:val="es-ES" w:eastAsia="en-US"/>
        </w:rPr>
        <w:t>, la Corte comprueba que</w:t>
      </w:r>
      <w:r w:rsidR="00A824D2" w:rsidRPr="00975C02">
        <w:rPr>
          <w:kern w:val="2"/>
          <w:sz w:val="20"/>
          <w:szCs w:val="20"/>
          <w:lang w:val="es-ES" w:eastAsia="en-US"/>
        </w:rPr>
        <w:t>,</w:t>
      </w:r>
      <w:r w:rsidR="00B5625C" w:rsidRPr="00975C02">
        <w:rPr>
          <w:kern w:val="2"/>
          <w:sz w:val="20"/>
          <w:szCs w:val="20"/>
          <w:lang w:val="es-ES" w:eastAsia="en-US"/>
        </w:rPr>
        <w:t xml:space="preserve"> el </w:t>
      </w:r>
      <w:r w:rsidRPr="00975C02">
        <w:rPr>
          <w:kern w:val="2"/>
          <w:sz w:val="20"/>
          <w:szCs w:val="20"/>
          <w:lang w:val="es-ES" w:eastAsia="en-US"/>
        </w:rPr>
        <w:t xml:space="preserve">mismo </w:t>
      </w:r>
      <w:r w:rsidR="00B5625C" w:rsidRPr="00975C02">
        <w:rPr>
          <w:kern w:val="2"/>
          <w:sz w:val="20"/>
          <w:szCs w:val="20"/>
          <w:lang w:val="es-ES" w:eastAsia="en-US"/>
        </w:rPr>
        <w:t xml:space="preserve">día </w:t>
      </w:r>
      <w:r w:rsidRPr="00975C02">
        <w:rPr>
          <w:kern w:val="2"/>
          <w:sz w:val="20"/>
          <w:szCs w:val="20"/>
          <w:lang w:val="es-ES" w:eastAsia="en-US"/>
        </w:rPr>
        <w:t xml:space="preserve">en que se realizó el </w:t>
      </w:r>
      <w:r w:rsidR="00B5625C" w:rsidRPr="00975C02">
        <w:rPr>
          <w:kern w:val="2"/>
          <w:sz w:val="20"/>
          <w:szCs w:val="20"/>
          <w:lang w:val="es-ES" w:eastAsia="en-US"/>
        </w:rPr>
        <w:t>examen por una médica forense en Managua, bajo sedación</w:t>
      </w:r>
      <w:r w:rsidR="004E51EA" w:rsidRPr="00975C02">
        <w:rPr>
          <w:kern w:val="2"/>
          <w:sz w:val="20"/>
          <w:szCs w:val="20"/>
          <w:lang w:val="es-ES" w:eastAsia="en-US"/>
        </w:rPr>
        <w:t xml:space="preserve"> luego de que V.R.P. </w:t>
      </w:r>
      <w:r w:rsidR="00511E89" w:rsidRPr="00975C02">
        <w:rPr>
          <w:kern w:val="2"/>
          <w:sz w:val="20"/>
          <w:szCs w:val="20"/>
          <w:lang w:val="es-ES" w:eastAsia="en-US"/>
        </w:rPr>
        <w:t>expresara</w:t>
      </w:r>
      <w:r w:rsidR="004E51EA" w:rsidRPr="00975C02">
        <w:rPr>
          <w:kern w:val="2"/>
          <w:sz w:val="20"/>
          <w:szCs w:val="20"/>
          <w:lang w:val="es-ES" w:eastAsia="en-US"/>
        </w:rPr>
        <w:t xml:space="preserve"> su </w:t>
      </w:r>
      <w:r w:rsidR="00511E89" w:rsidRPr="00975C02">
        <w:rPr>
          <w:kern w:val="2"/>
          <w:sz w:val="20"/>
          <w:szCs w:val="20"/>
          <w:lang w:val="es-ES" w:eastAsia="en-US"/>
        </w:rPr>
        <w:t>conformidad</w:t>
      </w:r>
      <w:r w:rsidR="00511E89" w:rsidRPr="00975C02">
        <w:rPr>
          <w:rStyle w:val="FootnoteReference"/>
          <w:kern w:val="2"/>
          <w:sz w:val="20"/>
          <w:szCs w:val="20"/>
          <w:lang w:val="es-ES" w:eastAsia="en-US"/>
        </w:rPr>
        <w:footnoteReference w:id="270"/>
      </w:r>
      <w:r w:rsidR="004E51EA" w:rsidRPr="00975C02">
        <w:rPr>
          <w:kern w:val="2"/>
          <w:sz w:val="20"/>
          <w:szCs w:val="20"/>
          <w:lang w:val="es-ES" w:eastAsia="en-US"/>
        </w:rPr>
        <w:t>,</w:t>
      </w:r>
      <w:r w:rsidR="00B5625C" w:rsidRPr="00975C02">
        <w:rPr>
          <w:kern w:val="2"/>
          <w:sz w:val="20"/>
          <w:szCs w:val="20"/>
          <w:lang w:val="es-ES" w:eastAsia="en-US"/>
        </w:rPr>
        <w:t xml:space="preserve"> </w:t>
      </w:r>
      <w:r w:rsidRPr="00975C02">
        <w:rPr>
          <w:kern w:val="2"/>
          <w:sz w:val="20"/>
          <w:szCs w:val="20"/>
          <w:lang w:val="es-ES" w:eastAsia="en-US"/>
        </w:rPr>
        <w:t>el</w:t>
      </w:r>
      <w:r w:rsidR="00B5625C" w:rsidRPr="00975C02">
        <w:rPr>
          <w:kern w:val="2"/>
          <w:sz w:val="20"/>
          <w:szCs w:val="20"/>
          <w:lang w:val="es-ES" w:eastAsia="en-US"/>
        </w:rPr>
        <w:t xml:space="preserve"> padre y presunto agresor</w:t>
      </w:r>
      <w:r w:rsidRPr="00975C02">
        <w:rPr>
          <w:kern w:val="2"/>
          <w:sz w:val="20"/>
          <w:szCs w:val="20"/>
          <w:lang w:val="es-ES" w:eastAsia="en-US"/>
        </w:rPr>
        <w:t xml:space="preserve"> de V.R.P.</w:t>
      </w:r>
      <w:r w:rsidR="00B5625C" w:rsidRPr="00975C02">
        <w:rPr>
          <w:kern w:val="2"/>
          <w:sz w:val="20"/>
          <w:szCs w:val="20"/>
          <w:lang w:val="es-ES" w:eastAsia="en-US"/>
        </w:rPr>
        <w:t xml:space="preserve"> fue citado con el fin de someterse a una examinación médica ante la misma entidad</w:t>
      </w:r>
      <w:r w:rsidRPr="00975C02">
        <w:rPr>
          <w:kern w:val="2"/>
          <w:sz w:val="20"/>
          <w:szCs w:val="20"/>
          <w:lang w:val="es-ES" w:eastAsia="en-US"/>
        </w:rPr>
        <w:t xml:space="preserve"> (</w:t>
      </w:r>
      <w:r w:rsidRPr="00975C02">
        <w:rPr>
          <w:i/>
          <w:kern w:val="2"/>
          <w:sz w:val="20"/>
          <w:szCs w:val="20"/>
          <w:lang w:val="es-ES" w:eastAsia="en-US"/>
        </w:rPr>
        <w:t>supra</w:t>
      </w:r>
      <w:r w:rsidR="00A824D2" w:rsidRPr="00975C02">
        <w:rPr>
          <w:kern w:val="2"/>
          <w:sz w:val="20"/>
          <w:szCs w:val="20"/>
          <w:lang w:val="es-ES" w:eastAsia="en-US"/>
        </w:rPr>
        <w:t xml:space="preserve"> párr. 91</w:t>
      </w:r>
      <w:r w:rsidRPr="00975C02">
        <w:rPr>
          <w:kern w:val="2"/>
          <w:sz w:val="20"/>
          <w:szCs w:val="20"/>
          <w:lang w:val="es-ES" w:eastAsia="en-US"/>
        </w:rPr>
        <w:t>)</w:t>
      </w:r>
      <w:r w:rsidR="00B5625C" w:rsidRPr="00975C02">
        <w:rPr>
          <w:kern w:val="2"/>
          <w:sz w:val="20"/>
          <w:szCs w:val="20"/>
          <w:lang w:val="es-ES" w:eastAsia="en-US"/>
        </w:rPr>
        <w:t xml:space="preserve">. </w:t>
      </w:r>
      <w:r w:rsidRPr="00975C02">
        <w:rPr>
          <w:kern w:val="2"/>
          <w:sz w:val="20"/>
          <w:szCs w:val="20"/>
          <w:lang w:val="es-ES" w:eastAsia="en-US"/>
        </w:rPr>
        <w:t>Al respecto</w:t>
      </w:r>
      <w:r w:rsidR="00B5625C" w:rsidRPr="00975C02">
        <w:rPr>
          <w:kern w:val="2"/>
          <w:sz w:val="20"/>
          <w:szCs w:val="20"/>
          <w:lang w:val="es-ES" w:eastAsia="en-US"/>
        </w:rPr>
        <w:t>, la señora V.P.C. declaró durante la audiencia pública que “[fueron] al Instituto de Medicina Legal y sorpresivamente[,] en ese momento[,] cuando [ellos] llegaron, en la sala estaba el procesado también, que la juez</w:t>
      </w:r>
      <w:r w:rsidR="003C0254" w:rsidRPr="00975C02">
        <w:rPr>
          <w:kern w:val="2"/>
          <w:sz w:val="20"/>
          <w:szCs w:val="20"/>
          <w:lang w:val="es-ES" w:eastAsia="en-US"/>
        </w:rPr>
        <w:t>a</w:t>
      </w:r>
      <w:r w:rsidR="00B5625C" w:rsidRPr="00975C02">
        <w:rPr>
          <w:kern w:val="2"/>
          <w:sz w:val="20"/>
          <w:szCs w:val="20"/>
          <w:lang w:val="es-ES" w:eastAsia="en-US"/>
        </w:rPr>
        <w:t xml:space="preserve"> le había ordenado de que llegara también a hacerse un examen […]”</w:t>
      </w:r>
      <w:r w:rsidR="00FC5879">
        <w:rPr>
          <w:kern w:val="2"/>
          <w:sz w:val="20"/>
          <w:szCs w:val="20"/>
          <w:lang w:val="es-ES" w:eastAsia="en-US"/>
        </w:rPr>
        <w:t>.</w:t>
      </w:r>
      <w:r w:rsidR="00B5625C" w:rsidRPr="00975C02">
        <w:rPr>
          <w:kern w:val="2"/>
          <w:sz w:val="20"/>
          <w:szCs w:val="20"/>
          <w:lang w:val="es-ES" w:eastAsia="en-US"/>
        </w:rPr>
        <w:t xml:space="preserve"> La señora V.P.C. señaló que intentaron evitar que su hija viera al agresor, y no pudo precisar con certeza si ella lo visualizó.</w:t>
      </w:r>
    </w:p>
    <w:p w14:paraId="4043935D" w14:textId="77777777" w:rsidR="00B5625C" w:rsidRPr="00975C02" w:rsidRDefault="00B5625C" w:rsidP="00B5625C">
      <w:pPr>
        <w:widowControl/>
        <w:adjustRightInd/>
        <w:spacing w:line="240" w:lineRule="auto"/>
        <w:jc w:val="left"/>
        <w:textAlignment w:val="auto"/>
        <w:rPr>
          <w:kern w:val="2"/>
          <w:sz w:val="20"/>
          <w:szCs w:val="20"/>
          <w:lang w:val="es-ES" w:eastAsia="en-US"/>
        </w:rPr>
      </w:pPr>
    </w:p>
    <w:p w14:paraId="7B793E68" w14:textId="2B57FEAA" w:rsidR="00B5625C" w:rsidRPr="00975C02" w:rsidRDefault="00DA305A" w:rsidP="009F412E">
      <w:pPr>
        <w:widowControl/>
        <w:numPr>
          <w:ilvl w:val="0"/>
          <w:numId w:val="2"/>
        </w:numPr>
        <w:tabs>
          <w:tab w:val="left" w:pos="567"/>
          <w:tab w:val="num" w:pos="12305"/>
        </w:tabs>
        <w:adjustRightInd/>
        <w:spacing w:line="240" w:lineRule="auto"/>
        <w:ind w:left="0" w:firstLine="0"/>
        <w:textAlignment w:val="auto"/>
        <w:rPr>
          <w:kern w:val="2"/>
          <w:sz w:val="20"/>
          <w:szCs w:val="20"/>
          <w:lang w:val="es-ES" w:eastAsia="en-US"/>
        </w:rPr>
      </w:pPr>
      <w:r w:rsidRPr="00975C02">
        <w:rPr>
          <w:kern w:val="2"/>
          <w:sz w:val="20"/>
          <w:szCs w:val="20"/>
          <w:lang w:val="es-ES" w:eastAsia="en-US"/>
        </w:rPr>
        <w:t>Sobre el particular</w:t>
      </w:r>
      <w:r w:rsidR="00B5625C" w:rsidRPr="00975C02">
        <w:rPr>
          <w:kern w:val="2"/>
          <w:sz w:val="20"/>
          <w:szCs w:val="20"/>
          <w:lang w:val="es-ES" w:eastAsia="en-US"/>
        </w:rPr>
        <w:t>,</w:t>
      </w:r>
      <w:r w:rsidRPr="00975C02">
        <w:rPr>
          <w:kern w:val="2"/>
          <w:sz w:val="20"/>
          <w:szCs w:val="20"/>
          <w:lang w:val="es-ES" w:eastAsia="en-US"/>
        </w:rPr>
        <w:t xml:space="preserve"> la Corte resalta que</w:t>
      </w:r>
      <w:r w:rsidR="00B5625C" w:rsidRPr="00975C02">
        <w:rPr>
          <w:kern w:val="2"/>
          <w:sz w:val="20"/>
          <w:szCs w:val="20"/>
          <w:lang w:val="es-ES" w:eastAsia="en-US"/>
        </w:rPr>
        <w:t xml:space="preserve"> los dos peritos que declararon en la audiencia pública del caso coincidieron en señalar que las autoridades a nivel interno, en este caso concreto la jueza a cargo de la investigación, debieron haber </w:t>
      </w:r>
      <w:r w:rsidR="0031520C" w:rsidRPr="00975C02">
        <w:rPr>
          <w:kern w:val="2"/>
          <w:sz w:val="20"/>
          <w:szCs w:val="20"/>
          <w:lang w:val="es-ES" w:eastAsia="en-US"/>
        </w:rPr>
        <w:t xml:space="preserve">adoptado </w:t>
      </w:r>
      <w:r w:rsidR="00B5625C" w:rsidRPr="00975C02">
        <w:rPr>
          <w:kern w:val="2"/>
          <w:sz w:val="20"/>
          <w:szCs w:val="20"/>
          <w:lang w:val="es-ES" w:eastAsia="en-US"/>
        </w:rPr>
        <w:t>las medidas de protección necesarias para evitar que la víctima tenga cualquier tipo de contacto con su perpetrador, por ser revictimizante</w:t>
      </w:r>
      <w:r w:rsidR="000F1648" w:rsidRPr="00975C02">
        <w:rPr>
          <w:kern w:val="2"/>
          <w:sz w:val="20"/>
          <w:szCs w:val="20"/>
          <w:vertAlign w:val="superscript"/>
          <w:lang w:val="es-ES" w:eastAsia="en-US"/>
        </w:rPr>
        <w:footnoteReference w:id="271"/>
      </w:r>
      <w:r w:rsidR="00B5625C" w:rsidRPr="00975C02">
        <w:rPr>
          <w:kern w:val="2"/>
          <w:sz w:val="20"/>
          <w:szCs w:val="20"/>
          <w:lang w:val="es-ES" w:eastAsia="en-US"/>
        </w:rPr>
        <w:t>. E</w:t>
      </w:r>
      <w:r w:rsidR="0031520C" w:rsidRPr="00975C02">
        <w:rPr>
          <w:kern w:val="2"/>
          <w:sz w:val="20"/>
          <w:szCs w:val="20"/>
          <w:lang w:val="es-ES" w:eastAsia="en-US"/>
        </w:rPr>
        <w:t>specíficamente, e</w:t>
      </w:r>
      <w:r w:rsidR="00B5625C" w:rsidRPr="00975C02">
        <w:rPr>
          <w:kern w:val="2"/>
          <w:sz w:val="20"/>
          <w:szCs w:val="20"/>
          <w:lang w:val="es-ES" w:eastAsia="en-US"/>
        </w:rPr>
        <w:t xml:space="preserve">l perito </w:t>
      </w:r>
      <w:r w:rsidR="00A824D2" w:rsidRPr="00975C02">
        <w:rPr>
          <w:kern w:val="2"/>
          <w:sz w:val="20"/>
          <w:szCs w:val="20"/>
          <w:lang w:val="es-ES" w:eastAsia="en-US"/>
        </w:rPr>
        <w:t>Enrique Oscar Stola señaló que:</w:t>
      </w:r>
    </w:p>
    <w:p w14:paraId="755C23FF" w14:textId="77777777" w:rsidR="00B5625C" w:rsidRPr="00975C02" w:rsidRDefault="00B5625C" w:rsidP="00B5625C">
      <w:pPr>
        <w:widowControl/>
        <w:adjustRightInd/>
        <w:spacing w:line="240" w:lineRule="auto"/>
        <w:jc w:val="left"/>
        <w:textAlignment w:val="auto"/>
        <w:rPr>
          <w:kern w:val="2"/>
          <w:sz w:val="20"/>
          <w:szCs w:val="20"/>
          <w:lang w:val="es-ES" w:eastAsia="en-US"/>
        </w:rPr>
      </w:pPr>
    </w:p>
    <w:p w14:paraId="6ADDF687" w14:textId="0E91346B" w:rsidR="00B5625C" w:rsidRPr="00240256" w:rsidRDefault="005C259E" w:rsidP="007171C1">
      <w:pPr>
        <w:widowControl/>
        <w:tabs>
          <w:tab w:val="left" w:pos="9072"/>
        </w:tabs>
        <w:adjustRightInd/>
        <w:spacing w:line="240" w:lineRule="auto"/>
        <w:ind w:left="567" w:right="582"/>
        <w:textAlignment w:val="auto"/>
        <w:rPr>
          <w:kern w:val="2"/>
          <w:sz w:val="16"/>
          <w:szCs w:val="16"/>
          <w:lang w:val="es-ES" w:eastAsia="en-US"/>
        </w:rPr>
      </w:pPr>
      <w:r w:rsidRPr="00240256">
        <w:rPr>
          <w:kern w:val="2"/>
          <w:sz w:val="16"/>
          <w:szCs w:val="16"/>
          <w:lang w:val="es-ES" w:eastAsia="en-US"/>
        </w:rPr>
        <w:t xml:space="preserve">[…] </w:t>
      </w:r>
      <w:r w:rsidR="00B5625C" w:rsidRPr="00240256">
        <w:rPr>
          <w:kern w:val="2"/>
          <w:sz w:val="16"/>
          <w:szCs w:val="16"/>
          <w:lang w:val="es-ES" w:eastAsia="en-US"/>
        </w:rPr>
        <w:t>nunca ni niños, ni niñas abusadas, ni mujeres que están sufriendo violencia de género extrema se tienen que encontrar con sus agresores, jamás. Cuando eso se produce, lo único que puede registrar la víctima es el inmenso poder que tiene el agresor, es una cuestión de poder que se está jugando</w:t>
      </w:r>
      <w:r w:rsidR="0031520C" w:rsidRPr="00240256">
        <w:rPr>
          <w:kern w:val="2"/>
          <w:sz w:val="16"/>
          <w:szCs w:val="16"/>
          <w:lang w:val="es-ES" w:eastAsia="en-US"/>
        </w:rPr>
        <w:t xml:space="preserve"> […]</w:t>
      </w:r>
      <w:r w:rsidR="00B5625C" w:rsidRPr="00240256">
        <w:rPr>
          <w:kern w:val="2"/>
          <w:sz w:val="16"/>
          <w:szCs w:val="16"/>
          <w:lang w:val="es-ES" w:eastAsia="en-US"/>
        </w:rPr>
        <w:t>. Entonces</w:t>
      </w:r>
      <w:r w:rsidR="0031520C" w:rsidRPr="00240256">
        <w:rPr>
          <w:kern w:val="2"/>
          <w:sz w:val="16"/>
          <w:szCs w:val="16"/>
          <w:lang w:val="es-ES" w:eastAsia="en-US"/>
        </w:rPr>
        <w:t>,</w:t>
      </w:r>
      <w:r w:rsidR="00B5625C" w:rsidRPr="00240256">
        <w:rPr>
          <w:kern w:val="2"/>
          <w:sz w:val="16"/>
          <w:szCs w:val="16"/>
          <w:lang w:val="es-ES" w:eastAsia="en-US"/>
        </w:rPr>
        <w:t xml:space="preserve"> tiene que ser citado otro día, las víctimas tienen que ir al espacio judicial sabiendo que cuentan con todas </w:t>
      </w:r>
      <w:r w:rsidR="0031520C" w:rsidRPr="00240256">
        <w:rPr>
          <w:kern w:val="2"/>
          <w:sz w:val="16"/>
          <w:szCs w:val="16"/>
          <w:lang w:val="es-ES" w:eastAsia="en-US"/>
        </w:rPr>
        <w:t xml:space="preserve">las </w:t>
      </w:r>
      <w:r w:rsidR="00B5625C" w:rsidRPr="00240256">
        <w:rPr>
          <w:kern w:val="2"/>
          <w:sz w:val="16"/>
          <w:szCs w:val="16"/>
          <w:lang w:val="es-ES" w:eastAsia="en-US"/>
        </w:rPr>
        <w:t>seguridades, que no se van a encontrar con el agresor nunca. El solo hecho que conozcan que está en un piso superior ya produce angustia, inquietud y muchísima tensión. Eso es revictimizante, cualquiera sea la edad de la persona</w:t>
      </w:r>
      <w:r w:rsidR="00B5625C" w:rsidRPr="00240256">
        <w:rPr>
          <w:kern w:val="2"/>
          <w:sz w:val="16"/>
          <w:szCs w:val="16"/>
          <w:vertAlign w:val="superscript"/>
          <w:lang w:val="es-ES" w:eastAsia="en-US"/>
        </w:rPr>
        <w:footnoteReference w:id="272"/>
      </w:r>
      <w:r w:rsidR="00B5625C" w:rsidRPr="00240256">
        <w:rPr>
          <w:kern w:val="2"/>
          <w:sz w:val="16"/>
          <w:szCs w:val="16"/>
          <w:lang w:val="es-ES" w:eastAsia="en-US"/>
        </w:rPr>
        <w:t>.</w:t>
      </w:r>
    </w:p>
    <w:p w14:paraId="604793D9" w14:textId="77777777" w:rsidR="00B5625C" w:rsidRPr="00975C02" w:rsidRDefault="00B5625C" w:rsidP="00B5625C">
      <w:pPr>
        <w:widowControl/>
        <w:adjustRightInd/>
        <w:spacing w:line="240" w:lineRule="auto"/>
        <w:jc w:val="left"/>
        <w:textAlignment w:val="auto"/>
        <w:rPr>
          <w:kern w:val="2"/>
          <w:sz w:val="20"/>
          <w:szCs w:val="20"/>
          <w:lang w:val="es-ES" w:eastAsia="en-US"/>
        </w:rPr>
      </w:pPr>
    </w:p>
    <w:p w14:paraId="34FFE0F2" w14:textId="2EEA0F13" w:rsidR="00B5625C" w:rsidRPr="00975C02" w:rsidRDefault="00B5625C" w:rsidP="009F412E">
      <w:pPr>
        <w:widowControl/>
        <w:numPr>
          <w:ilvl w:val="0"/>
          <w:numId w:val="2"/>
        </w:numPr>
        <w:tabs>
          <w:tab w:val="left" w:pos="567"/>
          <w:tab w:val="num" w:pos="12305"/>
        </w:tabs>
        <w:adjustRightInd/>
        <w:spacing w:line="240" w:lineRule="auto"/>
        <w:ind w:left="0" w:firstLine="0"/>
        <w:textAlignment w:val="auto"/>
        <w:rPr>
          <w:kern w:val="2"/>
          <w:sz w:val="20"/>
          <w:szCs w:val="20"/>
          <w:lang w:val="es-ES" w:eastAsia="en-US"/>
        </w:rPr>
      </w:pPr>
      <w:r w:rsidRPr="00975C02">
        <w:rPr>
          <w:kern w:val="2"/>
          <w:sz w:val="20"/>
          <w:szCs w:val="20"/>
          <w:lang w:val="es-ES" w:eastAsia="en-US"/>
        </w:rPr>
        <w:t>En este sentido, la Corte considera que el hecho de que la niña haya visto o no a su padre en el recinto del Instituto de Medicina Legal es irrelevante</w:t>
      </w:r>
      <w:r w:rsidR="0031520C" w:rsidRPr="00975C02">
        <w:rPr>
          <w:kern w:val="2"/>
          <w:sz w:val="20"/>
          <w:szCs w:val="20"/>
          <w:lang w:val="es-ES" w:eastAsia="en-US"/>
        </w:rPr>
        <w:t>,</w:t>
      </w:r>
      <w:r w:rsidRPr="00975C02">
        <w:rPr>
          <w:kern w:val="2"/>
          <w:sz w:val="20"/>
          <w:szCs w:val="20"/>
          <w:lang w:val="es-ES" w:eastAsia="en-US"/>
        </w:rPr>
        <w:t xml:space="preserve"> ya que la autoridad judicial debió haber adoptado las medidas necesarias, </w:t>
      </w:r>
      <w:r w:rsidR="0031520C" w:rsidRPr="00975C02">
        <w:rPr>
          <w:kern w:val="2"/>
          <w:sz w:val="20"/>
          <w:szCs w:val="20"/>
          <w:lang w:val="es-ES" w:eastAsia="en-US"/>
        </w:rPr>
        <w:t>por ejemplo</w:t>
      </w:r>
      <w:r w:rsidRPr="00975C02">
        <w:rPr>
          <w:kern w:val="2"/>
          <w:sz w:val="20"/>
          <w:szCs w:val="20"/>
          <w:lang w:val="es-ES" w:eastAsia="en-US"/>
        </w:rPr>
        <w:t xml:space="preserve"> citarlo en otra oportunidad, para impedir que dicho encuentro suceda. La sola potencialidad de encuentro derivada de la falta de debida diligencia </w:t>
      </w:r>
      <w:r w:rsidR="002740A1" w:rsidRPr="00975C02">
        <w:rPr>
          <w:kern w:val="2"/>
          <w:sz w:val="20"/>
          <w:szCs w:val="20"/>
          <w:lang w:val="es-ES" w:eastAsia="en-US"/>
        </w:rPr>
        <w:t xml:space="preserve">estricta </w:t>
      </w:r>
      <w:r w:rsidRPr="00975C02">
        <w:rPr>
          <w:kern w:val="2"/>
          <w:sz w:val="20"/>
          <w:szCs w:val="20"/>
          <w:lang w:val="es-ES" w:eastAsia="en-US"/>
        </w:rPr>
        <w:t>en el actuar de las autoridades judiciales durante las diligencias de investigación consist</w:t>
      </w:r>
      <w:r w:rsidR="009764EF">
        <w:rPr>
          <w:kern w:val="2"/>
          <w:sz w:val="20"/>
          <w:szCs w:val="20"/>
          <w:lang w:val="es-ES" w:eastAsia="en-US"/>
        </w:rPr>
        <w:t>ió</w:t>
      </w:r>
      <w:r w:rsidRPr="00975C02">
        <w:rPr>
          <w:kern w:val="2"/>
          <w:sz w:val="20"/>
          <w:szCs w:val="20"/>
          <w:lang w:val="es-ES" w:eastAsia="en-US"/>
        </w:rPr>
        <w:t xml:space="preserve"> en un acto de revictimización y un acto de violencia institucional.</w:t>
      </w:r>
    </w:p>
    <w:p w14:paraId="57657A15" w14:textId="77777777" w:rsidR="00B5625C" w:rsidRPr="00975C02" w:rsidRDefault="00B5625C" w:rsidP="00B5625C">
      <w:pPr>
        <w:widowControl/>
        <w:adjustRightInd/>
        <w:spacing w:line="240" w:lineRule="auto"/>
        <w:jc w:val="left"/>
        <w:textAlignment w:val="auto"/>
        <w:rPr>
          <w:kern w:val="2"/>
          <w:sz w:val="20"/>
          <w:szCs w:val="20"/>
          <w:lang w:val="es-ES" w:eastAsia="en-US"/>
        </w:rPr>
      </w:pPr>
    </w:p>
    <w:p w14:paraId="6B094D1F" w14:textId="77777777" w:rsidR="00AD1B18" w:rsidRPr="00975C02" w:rsidRDefault="00AD1B18" w:rsidP="00AD1B18">
      <w:pPr>
        <w:pStyle w:val="Heading3"/>
        <w:rPr>
          <w:b w:val="0"/>
          <w:i/>
        </w:rPr>
      </w:pPr>
      <w:bookmarkStart w:id="128" w:name="_Toc514172633"/>
      <w:r w:rsidRPr="00975C02">
        <w:rPr>
          <w:b w:val="0"/>
          <w:i/>
        </w:rPr>
        <w:t xml:space="preserve">A.2.c </w:t>
      </w:r>
      <w:r w:rsidRPr="00975C02">
        <w:rPr>
          <w:b w:val="0"/>
          <w:i/>
        </w:rPr>
        <w:tab/>
        <w:t>La declaración testimonial de V.R.P.</w:t>
      </w:r>
      <w:bookmarkEnd w:id="128"/>
    </w:p>
    <w:p w14:paraId="5EE081C4" w14:textId="77777777" w:rsidR="00AD1B18" w:rsidRPr="00975C02" w:rsidRDefault="00AD1B18" w:rsidP="00B5625C">
      <w:pPr>
        <w:widowControl/>
        <w:adjustRightInd/>
        <w:spacing w:line="240" w:lineRule="auto"/>
        <w:jc w:val="left"/>
        <w:textAlignment w:val="auto"/>
        <w:rPr>
          <w:kern w:val="2"/>
          <w:sz w:val="20"/>
          <w:szCs w:val="20"/>
          <w:lang w:val="es-ES" w:eastAsia="en-US"/>
        </w:rPr>
      </w:pPr>
    </w:p>
    <w:p w14:paraId="65DF1E6F" w14:textId="374D94EB" w:rsidR="00B5625C" w:rsidRPr="00975C02" w:rsidRDefault="002740A1" w:rsidP="009F412E">
      <w:pPr>
        <w:widowControl/>
        <w:numPr>
          <w:ilvl w:val="0"/>
          <w:numId w:val="2"/>
        </w:numPr>
        <w:tabs>
          <w:tab w:val="left" w:pos="567"/>
          <w:tab w:val="num" w:pos="12305"/>
        </w:tabs>
        <w:adjustRightInd/>
        <w:spacing w:line="240" w:lineRule="auto"/>
        <w:ind w:left="0" w:firstLine="0"/>
        <w:textAlignment w:val="auto"/>
        <w:rPr>
          <w:kern w:val="2"/>
          <w:sz w:val="20"/>
          <w:szCs w:val="20"/>
          <w:lang w:val="es-ES" w:eastAsia="en-US"/>
        </w:rPr>
      </w:pPr>
      <w:r w:rsidRPr="00975C02">
        <w:rPr>
          <w:kern w:val="2"/>
          <w:sz w:val="20"/>
          <w:szCs w:val="20"/>
          <w:lang w:val="es-ES" w:eastAsia="en-US"/>
        </w:rPr>
        <w:t>L</w:t>
      </w:r>
      <w:r w:rsidR="009F412E" w:rsidRPr="00975C02">
        <w:rPr>
          <w:kern w:val="2"/>
          <w:sz w:val="20"/>
          <w:szCs w:val="20"/>
          <w:lang w:val="es-ES" w:eastAsia="en-US"/>
        </w:rPr>
        <w:t>a Corte nota que l</w:t>
      </w:r>
      <w:r w:rsidR="00B5625C" w:rsidRPr="00975C02">
        <w:rPr>
          <w:kern w:val="2"/>
          <w:sz w:val="20"/>
          <w:szCs w:val="20"/>
          <w:lang w:val="es-ES" w:eastAsia="en-US"/>
        </w:rPr>
        <w:t xml:space="preserve">a declaración de V.R.P. fue recibida el 21 de noviembre de 2001, con la presencia de su madre y ante la </w:t>
      </w:r>
      <w:r w:rsidR="003C0254" w:rsidRPr="00975C02">
        <w:rPr>
          <w:kern w:val="2"/>
          <w:sz w:val="20"/>
          <w:szCs w:val="20"/>
          <w:lang w:val="es-ES" w:eastAsia="en-US"/>
        </w:rPr>
        <w:t>Jueza de Distrito de lo Penal</w:t>
      </w:r>
      <w:r w:rsidR="00B5625C" w:rsidRPr="00975C02">
        <w:rPr>
          <w:kern w:val="2"/>
          <w:sz w:val="20"/>
          <w:szCs w:val="20"/>
          <w:lang w:val="es-ES" w:eastAsia="en-US"/>
        </w:rPr>
        <w:t>, en las instalaciones del despacho judicial y sin la participación de un profesional de salud específicamente capacitado en el acompañamiento de este tipo de casos</w:t>
      </w:r>
      <w:r w:rsidR="00B5625C" w:rsidRPr="00975C02">
        <w:rPr>
          <w:kern w:val="2"/>
          <w:sz w:val="20"/>
          <w:szCs w:val="20"/>
          <w:vertAlign w:val="superscript"/>
          <w:lang w:val="es-ES" w:eastAsia="en-US"/>
        </w:rPr>
        <w:footnoteReference w:id="273"/>
      </w:r>
      <w:r w:rsidR="00B5625C" w:rsidRPr="00975C02">
        <w:rPr>
          <w:kern w:val="2"/>
          <w:sz w:val="20"/>
          <w:szCs w:val="20"/>
          <w:lang w:val="es-ES" w:eastAsia="en-US"/>
        </w:rPr>
        <w:t>. A este respecto, la Corte estima que</w:t>
      </w:r>
      <w:r w:rsidR="0031520C" w:rsidRPr="00975C02">
        <w:rPr>
          <w:kern w:val="2"/>
          <w:sz w:val="20"/>
          <w:szCs w:val="20"/>
          <w:lang w:val="es-ES" w:eastAsia="en-US"/>
        </w:rPr>
        <w:t>,</w:t>
      </w:r>
      <w:r w:rsidR="00B5625C" w:rsidRPr="00975C02">
        <w:rPr>
          <w:kern w:val="2"/>
          <w:sz w:val="20"/>
          <w:szCs w:val="20"/>
          <w:lang w:val="es-ES" w:eastAsia="en-US"/>
        </w:rPr>
        <w:t xml:space="preserve"> dependiendo del caso y de la necesidad de </w:t>
      </w:r>
      <w:r w:rsidR="00443303" w:rsidRPr="00975C02">
        <w:rPr>
          <w:kern w:val="2"/>
          <w:sz w:val="20"/>
          <w:szCs w:val="20"/>
          <w:lang w:val="es-ES" w:eastAsia="en-US"/>
        </w:rPr>
        <w:t>recibir</w:t>
      </w:r>
      <w:r w:rsidR="00B5625C" w:rsidRPr="00975C02">
        <w:rPr>
          <w:kern w:val="2"/>
          <w:sz w:val="20"/>
          <w:szCs w:val="20"/>
          <w:lang w:val="es-ES" w:eastAsia="en-US"/>
        </w:rPr>
        <w:t xml:space="preserve"> la declaración de un</w:t>
      </w:r>
      <w:r w:rsidR="00C05D37" w:rsidRPr="00975C02">
        <w:rPr>
          <w:kern w:val="2"/>
          <w:sz w:val="20"/>
          <w:szCs w:val="20"/>
          <w:lang w:val="es-ES" w:eastAsia="en-US"/>
        </w:rPr>
        <w:t>a</w:t>
      </w:r>
      <w:r w:rsidR="00B5625C" w:rsidRPr="00975C02">
        <w:rPr>
          <w:kern w:val="2"/>
          <w:sz w:val="20"/>
          <w:szCs w:val="20"/>
          <w:lang w:val="es-ES" w:eastAsia="en-US"/>
        </w:rPr>
        <w:t xml:space="preserve"> </w:t>
      </w:r>
      <w:r w:rsidR="00F903D6" w:rsidRPr="00975C02">
        <w:rPr>
          <w:kern w:val="2"/>
          <w:sz w:val="20"/>
          <w:szCs w:val="20"/>
          <w:lang w:val="es-ES" w:eastAsia="en-US"/>
        </w:rPr>
        <w:t>niña</w:t>
      </w:r>
      <w:r w:rsidR="00B5625C" w:rsidRPr="00975C02">
        <w:rPr>
          <w:kern w:val="2"/>
          <w:sz w:val="20"/>
          <w:szCs w:val="20"/>
          <w:lang w:val="es-ES" w:eastAsia="en-US"/>
        </w:rPr>
        <w:t xml:space="preserve">, si ésta decide recabarse, se debe hacer </w:t>
      </w:r>
      <w:r w:rsidR="00443303" w:rsidRPr="00975C02">
        <w:rPr>
          <w:kern w:val="2"/>
          <w:sz w:val="20"/>
          <w:szCs w:val="20"/>
          <w:lang w:val="es-ES" w:eastAsia="en-US"/>
        </w:rPr>
        <w:t>generando las condiciones adecuadas para un entorno seguro</w:t>
      </w:r>
      <w:r w:rsidR="00B5625C" w:rsidRPr="00975C02">
        <w:rPr>
          <w:kern w:val="2"/>
          <w:sz w:val="20"/>
          <w:szCs w:val="20"/>
          <w:lang w:val="es-ES" w:eastAsia="en-US"/>
        </w:rPr>
        <w:t>. El Tribunal considera que la declaración de la niña V.R.P. buscó obtener información precisa, confiable y completa sobre los hechos denunciados a través de</w:t>
      </w:r>
      <w:r w:rsidR="0031520C" w:rsidRPr="00975C02">
        <w:rPr>
          <w:kern w:val="2"/>
          <w:sz w:val="20"/>
          <w:szCs w:val="20"/>
          <w:lang w:val="es-ES" w:eastAsia="en-US"/>
        </w:rPr>
        <w:t xml:space="preserve"> su</w:t>
      </w:r>
      <w:r w:rsidR="00B5625C" w:rsidRPr="00975C02">
        <w:rPr>
          <w:kern w:val="2"/>
          <w:sz w:val="20"/>
          <w:szCs w:val="20"/>
          <w:lang w:val="es-ES" w:eastAsia="en-US"/>
        </w:rPr>
        <w:t xml:space="preserve"> relato. La jueza del caso preguntó si V.R.P. se sentía ofendida, por qué y por quién. Ante ello, de la declaración de la niña se denota que su relato fue libre y brindado con sus propias palabras. Sin embargo, la Corte </w:t>
      </w:r>
      <w:r w:rsidR="00251A24">
        <w:rPr>
          <w:kern w:val="2"/>
          <w:sz w:val="20"/>
          <w:szCs w:val="20"/>
          <w:lang w:val="es-ES" w:eastAsia="en-US"/>
        </w:rPr>
        <w:t>nota</w:t>
      </w:r>
      <w:r w:rsidR="00B5625C" w:rsidRPr="00975C02">
        <w:rPr>
          <w:kern w:val="2"/>
          <w:sz w:val="20"/>
          <w:szCs w:val="20"/>
          <w:lang w:val="es-ES" w:eastAsia="en-US"/>
        </w:rPr>
        <w:t xml:space="preserve"> que V.R.P. fue citada al despacho judicial a declarar como si fuera una adulta, la entrevista no se llevó a cabo en un ambiente especialmente acondicionado para este fin y por una profesional específicamente capacitad</w:t>
      </w:r>
      <w:r w:rsidR="0031520C" w:rsidRPr="00975C02">
        <w:rPr>
          <w:kern w:val="2"/>
          <w:sz w:val="20"/>
          <w:szCs w:val="20"/>
          <w:lang w:val="es-ES" w:eastAsia="en-US"/>
        </w:rPr>
        <w:t>a</w:t>
      </w:r>
      <w:r w:rsidR="00B5625C" w:rsidRPr="00975C02">
        <w:rPr>
          <w:kern w:val="2"/>
          <w:sz w:val="20"/>
          <w:szCs w:val="20"/>
          <w:lang w:val="es-ES" w:eastAsia="en-US"/>
        </w:rPr>
        <w:t xml:space="preserve"> para interrogar, interactuar y conducir un intercambio con la </w:t>
      </w:r>
      <w:r w:rsidR="00F903D6" w:rsidRPr="00975C02">
        <w:rPr>
          <w:kern w:val="2"/>
          <w:sz w:val="20"/>
          <w:szCs w:val="20"/>
          <w:lang w:val="es-ES" w:eastAsia="en-US"/>
        </w:rPr>
        <w:t>niña</w:t>
      </w:r>
      <w:r w:rsidR="00B5625C" w:rsidRPr="00975C02">
        <w:rPr>
          <w:kern w:val="2"/>
          <w:sz w:val="20"/>
          <w:szCs w:val="20"/>
          <w:lang w:val="es-ES" w:eastAsia="en-US"/>
        </w:rPr>
        <w:t>. Por ello, es necesario que estas declaraciones sean llevadas a cabo por psicólogos especialistas</w:t>
      </w:r>
      <w:r w:rsidR="000334E9" w:rsidRPr="00975C02">
        <w:rPr>
          <w:kern w:val="2"/>
          <w:sz w:val="20"/>
          <w:szCs w:val="20"/>
          <w:lang w:val="es-ES" w:eastAsia="en-US"/>
        </w:rPr>
        <w:t xml:space="preserve"> o</w:t>
      </w:r>
      <w:r w:rsidR="00B5625C" w:rsidRPr="00975C02">
        <w:rPr>
          <w:kern w:val="2"/>
          <w:sz w:val="20"/>
          <w:szCs w:val="20"/>
          <w:lang w:val="es-ES" w:eastAsia="en-US"/>
        </w:rPr>
        <w:t xml:space="preserve"> profesionales de disciplinas afines específicamente </w:t>
      </w:r>
      <w:r w:rsidR="00443303" w:rsidRPr="00975C02">
        <w:rPr>
          <w:kern w:val="2"/>
          <w:sz w:val="20"/>
          <w:szCs w:val="20"/>
          <w:lang w:val="es-ES" w:eastAsia="en-US"/>
        </w:rPr>
        <w:t>capacitad</w:t>
      </w:r>
      <w:r w:rsidR="0031520C" w:rsidRPr="00975C02">
        <w:rPr>
          <w:kern w:val="2"/>
          <w:sz w:val="20"/>
          <w:szCs w:val="20"/>
          <w:lang w:val="es-ES" w:eastAsia="en-US"/>
        </w:rPr>
        <w:t>o</w:t>
      </w:r>
      <w:r w:rsidR="00443303" w:rsidRPr="00975C02">
        <w:rPr>
          <w:kern w:val="2"/>
          <w:sz w:val="20"/>
          <w:szCs w:val="20"/>
          <w:lang w:val="es-ES" w:eastAsia="en-US"/>
        </w:rPr>
        <w:t>s</w:t>
      </w:r>
      <w:r w:rsidR="00B5625C" w:rsidRPr="00975C02">
        <w:rPr>
          <w:kern w:val="2"/>
          <w:sz w:val="20"/>
          <w:szCs w:val="20"/>
          <w:lang w:val="es-ES" w:eastAsia="en-US"/>
        </w:rPr>
        <w:t xml:space="preserve"> para recibir estos testimonios</w:t>
      </w:r>
      <w:r w:rsidR="00476DA8" w:rsidRPr="00975C02">
        <w:rPr>
          <w:kern w:val="2"/>
          <w:sz w:val="20"/>
          <w:szCs w:val="20"/>
          <w:lang w:val="es-ES" w:eastAsia="en-US"/>
        </w:rPr>
        <w:t>.</w:t>
      </w:r>
      <w:r w:rsidR="00B5625C" w:rsidRPr="00975C02">
        <w:rPr>
          <w:kern w:val="2"/>
          <w:sz w:val="20"/>
          <w:szCs w:val="20"/>
          <w:lang w:val="es-ES" w:eastAsia="en-US"/>
        </w:rPr>
        <w:t xml:space="preserve"> La Corte considera que ninguna de estas salvaguardias fue proporcionada a V.R.P. durante su declaración </w:t>
      </w:r>
      <w:r w:rsidR="0089570C" w:rsidRPr="00975C02">
        <w:rPr>
          <w:kern w:val="2"/>
          <w:sz w:val="20"/>
          <w:szCs w:val="20"/>
          <w:lang w:val="es-ES" w:eastAsia="en-US"/>
        </w:rPr>
        <w:t>rendida en el proceso penal interno</w:t>
      </w:r>
      <w:r w:rsidR="00B5625C" w:rsidRPr="00975C02">
        <w:rPr>
          <w:kern w:val="2"/>
          <w:sz w:val="20"/>
          <w:szCs w:val="20"/>
          <w:lang w:val="es-ES" w:eastAsia="en-US"/>
        </w:rPr>
        <w:t>.</w:t>
      </w:r>
    </w:p>
    <w:p w14:paraId="3B9F672F" w14:textId="77777777" w:rsidR="00B5625C" w:rsidRPr="00975C02" w:rsidRDefault="00B5625C" w:rsidP="00B5625C">
      <w:pPr>
        <w:widowControl/>
        <w:adjustRightInd/>
        <w:spacing w:line="240" w:lineRule="auto"/>
        <w:jc w:val="left"/>
        <w:textAlignment w:val="auto"/>
        <w:rPr>
          <w:i/>
          <w:kern w:val="2"/>
          <w:sz w:val="20"/>
          <w:szCs w:val="20"/>
          <w:lang w:val="es-ES" w:eastAsia="en-US"/>
        </w:rPr>
      </w:pPr>
    </w:p>
    <w:p w14:paraId="6D464E43" w14:textId="77777777" w:rsidR="00B5625C" w:rsidRPr="00975C02" w:rsidRDefault="00A92F94" w:rsidP="00A92F94">
      <w:pPr>
        <w:pStyle w:val="Heading3"/>
        <w:rPr>
          <w:b w:val="0"/>
          <w:i/>
        </w:rPr>
      </w:pPr>
      <w:bookmarkStart w:id="129" w:name="_Toc514172634"/>
      <w:r w:rsidRPr="00975C02">
        <w:rPr>
          <w:b w:val="0"/>
          <w:i/>
        </w:rPr>
        <w:t>A</w:t>
      </w:r>
      <w:r w:rsidR="00AD1B18" w:rsidRPr="00975C02">
        <w:rPr>
          <w:b w:val="0"/>
          <w:i/>
        </w:rPr>
        <w:t>.2.d</w:t>
      </w:r>
      <w:r w:rsidR="00F977EC" w:rsidRPr="00975C02">
        <w:rPr>
          <w:b w:val="0"/>
          <w:i/>
        </w:rPr>
        <w:tab/>
      </w:r>
      <w:r w:rsidR="00B5625C" w:rsidRPr="00975C02">
        <w:rPr>
          <w:b w:val="0"/>
          <w:i/>
        </w:rPr>
        <w:t>La</w:t>
      </w:r>
      <w:r w:rsidR="00CA175F" w:rsidRPr="00975C02">
        <w:rPr>
          <w:b w:val="0"/>
          <w:i/>
        </w:rPr>
        <w:t xml:space="preserve"> participación de la niña V.R.P. en</w:t>
      </w:r>
      <w:r w:rsidR="00B5625C" w:rsidRPr="00975C02">
        <w:rPr>
          <w:b w:val="0"/>
          <w:i/>
        </w:rPr>
        <w:t xml:space="preserve"> </w:t>
      </w:r>
      <w:r w:rsidR="00CA175F" w:rsidRPr="00975C02">
        <w:rPr>
          <w:b w:val="0"/>
          <w:i/>
        </w:rPr>
        <w:t xml:space="preserve">la </w:t>
      </w:r>
      <w:r w:rsidR="00B5625C" w:rsidRPr="00975C02">
        <w:rPr>
          <w:b w:val="0"/>
          <w:i/>
        </w:rPr>
        <w:t>inspección ocular y la reconstrucción de los hechos</w:t>
      </w:r>
      <w:bookmarkEnd w:id="129"/>
    </w:p>
    <w:p w14:paraId="3D355886" w14:textId="77777777" w:rsidR="00B5625C" w:rsidRPr="00975C02" w:rsidRDefault="00B5625C" w:rsidP="00B5625C">
      <w:pPr>
        <w:widowControl/>
        <w:adjustRightInd/>
        <w:spacing w:line="240" w:lineRule="auto"/>
        <w:jc w:val="left"/>
        <w:textAlignment w:val="auto"/>
        <w:rPr>
          <w:i/>
          <w:kern w:val="2"/>
          <w:sz w:val="20"/>
          <w:szCs w:val="20"/>
          <w:lang w:val="es-ES" w:eastAsia="en-US"/>
        </w:rPr>
      </w:pPr>
    </w:p>
    <w:p w14:paraId="4291F402" w14:textId="74C18B01" w:rsidR="00C602E9" w:rsidRPr="00975C02" w:rsidRDefault="00B5625C" w:rsidP="00005FB3">
      <w:pPr>
        <w:widowControl/>
        <w:numPr>
          <w:ilvl w:val="0"/>
          <w:numId w:val="2"/>
        </w:numPr>
        <w:tabs>
          <w:tab w:val="left" w:pos="567"/>
          <w:tab w:val="num" w:pos="12305"/>
        </w:tabs>
        <w:adjustRightInd/>
        <w:spacing w:line="240" w:lineRule="auto"/>
        <w:ind w:left="0" w:firstLine="0"/>
        <w:textAlignment w:val="auto"/>
        <w:rPr>
          <w:kern w:val="2"/>
          <w:sz w:val="20"/>
          <w:szCs w:val="20"/>
          <w:lang w:val="es-ES" w:eastAsia="en-US"/>
        </w:rPr>
      </w:pPr>
      <w:r w:rsidRPr="00975C02">
        <w:rPr>
          <w:kern w:val="2"/>
          <w:sz w:val="20"/>
          <w:szCs w:val="20"/>
          <w:lang w:val="es-ES" w:eastAsia="en-US"/>
        </w:rPr>
        <w:t>El 29 de noviembre de 2001 se practicó la diligencia de inspección ocular en el lugar en el que ocurrió la violación sexual de V.R.P. y se procedió a reconstruir los hechos con la participación directa de la niña en la diligencia</w:t>
      </w:r>
      <w:r w:rsidR="00005FB3" w:rsidRPr="00975C02">
        <w:rPr>
          <w:kern w:val="2"/>
          <w:sz w:val="20"/>
          <w:szCs w:val="20"/>
          <w:lang w:val="es-ES" w:eastAsia="en-US"/>
        </w:rPr>
        <w:t xml:space="preserve"> (</w:t>
      </w:r>
      <w:r w:rsidR="00005FB3" w:rsidRPr="00975C02">
        <w:rPr>
          <w:i/>
          <w:kern w:val="2"/>
          <w:sz w:val="20"/>
          <w:szCs w:val="20"/>
          <w:lang w:val="es-ES" w:eastAsia="en-US"/>
        </w:rPr>
        <w:t>supra</w:t>
      </w:r>
      <w:r w:rsidR="00005FB3" w:rsidRPr="00975C02">
        <w:rPr>
          <w:kern w:val="2"/>
          <w:sz w:val="20"/>
          <w:szCs w:val="20"/>
          <w:lang w:val="es-ES" w:eastAsia="en-US"/>
        </w:rPr>
        <w:t xml:space="preserve"> párr. </w:t>
      </w:r>
      <w:r w:rsidR="00316EA1" w:rsidRPr="00975C02">
        <w:rPr>
          <w:kern w:val="2"/>
          <w:sz w:val="20"/>
          <w:szCs w:val="20"/>
          <w:lang w:val="es-ES" w:eastAsia="en-US"/>
        </w:rPr>
        <w:t>88</w:t>
      </w:r>
      <w:r w:rsidR="00005FB3" w:rsidRPr="00975C02">
        <w:rPr>
          <w:kern w:val="2"/>
          <w:sz w:val="20"/>
          <w:szCs w:val="20"/>
          <w:lang w:val="es-ES" w:eastAsia="en-US"/>
        </w:rPr>
        <w:t>)</w:t>
      </w:r>
      <w:r w:rsidRPr="00975C02">
        <w:rPr>
          <w:kern w:val="2"/>
          <w:sz w:val="20"/>
          <w:szCs w:val="20"/>
          <w:lang w:val="es-ES" w:eastAsia="en-US"/>
        </w:rPr>
        <w:t>.</w:t>
      </w:r>
    </w:p>
    <w:p w14:paraId="744AB6B5" w14:textId="77777777" w:rsidR="00C602E9" w:rsidRPr="00975C02" w:rsidRDefault="00C602E9" w:rsidP="00C602E9">
      <w:pPr>
        <w:widowControl/>
        <w:tabs>
          <w:tab w:val="left" w:pos="567"/>
        </w:tabs>
        <w:adjustRightInd/>
        <w:spacing w:line="240" w:lineRule="auto"/>
        <w:textAlignment w:val="auto"/>
        <w:rPr>
          <w:kern w:val="2"/>
          <w:sz w:val="20"/>
          <w:szCs w:val="20"/>
          <w:lang w:val="es-ES" w:eastAsia="en-US"/>
        </w:rPr>
      </w:pPr>
    </w:p>
    <w:p w14:paraId="7150309E" w14:textId="61B31FBC" w:rsidR="00C602E9" w:rsidRPr="00975C02" w:rsidRDefault="00C602E9" w:rsidP="002C5137">
      <w:pPr>
        <w:widowControl/>
        <w:numPr>
          <w:ilvl w:val="0"/>
          <w:numId w:val="2"/>
        </w:numPr>
        <w:tabs>
          <w:tab w:val="left" w:pos="567"/>
          <w:tab w:val="num" w:pos="12305"/>
        </w:tabs>
        <w:adjustRightInd/>
        <w:spacing w:line="240" w:lineRule="auto"/>
        <w:ind w:left="0" w:firstLine="0"/>
        <w:textAlignment w:val="auto"/>
        <w:rPr>
          <w:kern w:val="2"/>
          <w:sz w:val="20"/>
          <w:szCs w:val="20"/>
          <w:lang w:val="es-ES" w:eastAsia="en-US"/>
        </w:rPr>
      </w:pPr>
      <w:r w:rsidRPr="00975C02">
        <w:rPr>
          <w:kern w:val="2"/>
          <w:sz w:val="20"/>
          <w:szCs w:val="20"/>
          <w:lang w:val="es-ES" w:eastAsia="en-US"/>
        </w:rPr>
        <w:t>La Corte ha señalado que las niñas víctimas de un delito, especialmente de una violación sexual, deben participar en las diligencias que sean estrictamente necesarias (</w:t>
      </w:r>
      <w:r w:rsidRPr="00975C02">
        <w:rPr>
          <w:i/>
          <w:kern w:val="2"/>
          <w:sz w:val="20"/>
          <w:szCs w:val="20"/>
          <w:lang w:val="es-ES" w:eastAsia="en-US"/>
        </w:rPr>
        <w:t>supra</w:t>
      </w:r>
      <w:r w:rsidRPr="00975C02">
        <w:rPr>
          <w:kern w:val="2"/>
          <w:sz w:val="20"/>
          <w:szCs w:val="20"/>
          <w:lang w:val="es-ES" w:eastAsia="en-US"/>
        </w:rPr>
        <w:t xml:space="preserve"> párr. </w:t>
      </w:r>
      <w:r w:rsidR="00316EA1" w:rsidRPr="00975C02">
        <w:rPr>
          <w:kern w:val="2"/>
          <w:sz w:val="20"/>
          <w:szCs w:val="20"/>
          <w:lang w:val="es-ES" w:eastAsia="en-US"/>
        </w:rPr>
        <w:t>163</w:t>
      </w:r>
      <w:r w:rsidRPr="00975C02">
        <w:rPr>
          <w:kern w:val="2"/>
          <w:sz w:val="20"/>
          <w:szCs w:val="20"/>
          <w:lang w:val="es-ES" w:eastAsia="en-US"/>
        </w:rPr>
        <w:t xml:space="preserve">). </w:t>
      </w:r>
      <w:r w:rsidR="002C5137" w:rsidRPr="00975C02">
        <w:rPr>
          <w:kern w:val="2"/>
          <w:sz w:val="20"/>
          <w:szCs w:val="20"/>
          <w:lang w:val="es-ES" w:eastAsia="en-US"/>
        </w:rPr>
        <w:t>La Corte estima que, en casos como el presente, deben extremarse los recaudos para evitar</w:t>
      </w:r>
      <w:r w:rsidR="002C5137" w:rsidRPr="00975C02">
        <w:rPr>
          <w:i/>
          <w:kern w:val="2"/>
          <w:sz w:val="20"/>
          <w:szCs w:val="20"/>
          <w:lang w:val="es-ES" w:eastAsia="en-US"/>
        </w:rPr>
        <w:t xml:space="preserve"> </w:t>
      </w:r>
      <w:r w:rsidR="002C5137" w:rsidRPr="00975C02">
        <w:rPr>
          <w:kern w:val="2"/>
          <w:sz w:val="20"/>
          <w:szCs w:val="20"/>
          <w:lang w:val="es-ES" w:eastAsia="en-US"/>
        </w:rPr>
        <w:t xml:space="preserve">la revictimización o un impacto traumático. Por ello, es </w:t>
      </w:r>
      <w:r w:rsidRPr="00975C02">
        <w:rPr>
          <w:kern w:val="2"/>
          <w:sz w:val="20"/>
          <w:szCs w:val="20"/>
          <w:lang w:val="es-ES" w:eastAsia="en-US"/>
        </w:rPr>
        <w:t xml:space="preserve">especialmente grave que las autoridades judiciales hayan permitido </w:t>
      </w:r>
      <w:r w:rsidR="002C5137" w:rsidRPr="00975C02">
        <w:rPr>
          <w:kern w:val="2"/>
          <w:sz w:val="20"/>
          <w:szCs w:val="20"/>
          <w:lang w:val="es-ES" w:eastAsia="en-US"/>
        </w:rPr>
        <w:t xml:space="preserve">en el presente caso </w:t>
      </w:r>
      <w:r w:rsidRPr="00975C02">
        <w:rPr>
          <w:kern w:val="2"/>
          <w:sz w:val="20"/>
          <w:szCs w:val="20"/>
          <w:lang w:val="es-ES" w:eastAsia="en-US"/>
        </w:rPr>
        <w:t xml:space="preserve">la realización de una inspección ocular y reconstrucción de los hechos con la participación de </w:t>
      </w:r>
      <w:r w:rsidR="002C5137" w:rsidRPr="00975C02">
        <w:rPr>
          <w:kern w:val="2"/>
          <w:sz w:val="20"/>
          <w:szCs w:val="20"/>
          <w:lang w:val="es-ES" w:eastAsia="en-US"/>
        </w:rPr>
        <w:t>V.R.P., quien contaba en ese momento con</w:t>
      </w:r>
      <w:r w:rsidRPr="00975C02">
        <w:rPr>
          <w:kern w:val="2"/>
          <w:sz w:val="20"/>
          <w:szCs w:val="20"/>
          <w:lang w:val="es-ES" w:eastAsia="en-US"/>
        </w:rPr>
        <w:t xml:space="preserve"> nueve años, es decir una niña de corta edad. Mediante su participación, V.R.P. revivió experiencias sumamente dolorosas y traumáticas, tuvo que narrar nuevamente los hechos, a pesar de que ya lo había hecho ante la jueza en su declaración testimonial, e incluso tuvo que experimentar nuevamente el hecho de colocarse en la posición en la que recordó encontrarse luego de despertar con posterioridad al abuso </w:t>
      </w:r>
      <w:r w:rsidR="00A37EC3" w:rsidRPr="00975C02">
        <w:rPr>
          <w:kern w:val="2"/>
          <w:sz w:val="20"/>
          <w:szCs w:val="20"/>
          <w:lang w:val="es-ES" w:eastAsia="en-US"/>
        </w:rPr>
        <w:t xml:space="preserve">al que fue </w:t>
      </w:r>
      <w:r w:rsidRPr="00975C02">
        <w:rPr>
          <w:kern w:val="2"/>
          <w:sz w:val="20"/>
          <w:szCs w:val="20"/>
          <w:lang w:val="es-ES" w:eastAsia="en-US"/>
        </w:rPr>
        <w:t>sometid</w:t>
      </w:r>
      <w:r w:rsidR="00A37EC3" w:rsidRPr="00975C02">
        <w:rPr>
          <w:kern w:val="2"/>
          <w:sz w:val="20"/>
          <w:szCs w:val="20"/>
          <w:lang w:val="es-ES" w:eastAsia="en-US"/>
        </w:rPr>
        <w:t>a</w:t>
      </w:r>
      <w:r w:rsidRPr="00975C02">
        <w:rPr>
          <w:kern w:val="2"/>
          <w:sz w:val="20"/>
          <w:szCs w:val="20"/>
          <w:lang w:val="es-ES" w:eastAsia="en-US"/>
        </w:rPr>
        <w:t>, momento que fue fotografiado.</w:t>
      </w:r>
    </w:p>
    <w:p w14:paraId="2C6608C6" w14:textId="77777777" w:rsidR="00C602E9" w:rsidRPr="00975C02" w:rsidRDefault="00C602E9" w:rsidP="00C602E9">
      <w:pPr>
        <w:widowControl/>
        <w:tabs>
          <w:tab w:val="left" w:pos="567"/>
        </w:tabs>
        <w:adjustRightInd/>
        <w:spacing w:line="240" w:lineRule="auto"/>
        <w:textAlignment w:val="auto"/>
        <w:rPr>
          <w:kern w:val="2"/>
          <w:sz w:val="20"/>
          <w:szCs w:val="20"/>
          <w:lang w:val="es-ES" w:eastAsia="en-US"/>
        </w:rPr>
      </w:pPr>
    </w:p>
    <w:p w14:paraId="616B52A5" w14:textId="3E0A987F" w:rsidR="00364DCD" w:rsidRPr="00975C02" w:rsidRDefault="00B5625C" w:rsidP="00005FB3">
      <w:pPr>
        <w:widowControl/>
        <w:numPr>
          <w:ilvl w:val="0"/>
          <w:numId w:val="2"/>
        </w:numPr>
        <w:tabs>
          <w:tab w:val="left" w:pos="567"/>
          <w:tab w:val="num" w:pos="12305"/>
        </w:tabs>
        <w:adjustRightInd/>
        <w:spacing w:line="240" w:lineRule="auto"/>
        <w:ind w:left="0" w:firstLine="0"/>
        <w:textAlignment w:val="auto"/>
        <w:rPr>
          <w:kern w:val="2"/>
          <w:sz w:val="20"/>
          <w:szCs w:val="20"/>
          <w:lang w:val="es-ES" w:eastAsia="en-US"/>
        </w:rPr>
      </w:pPr>
      <w:r w:rsidRPr="00975C02">
        <w:rPr>
          <w:kern w:val="2"/>
          <w:sz w:val="20"/>
          <w:szCs w:val="20"/>
          <w:lang w:val="es-ES" w:eastAsia="en-US"/>
        </w:rPr>
        <w:t>V.R.P. señaló ante esta Corte que su participación en la citada diligencia significó volver a vivir una situación extremadamente traumática, la cual la hizo sentir “como que estaba ahí otra vez, l</w:t>
      </w:r>
      <w:r w:rsidR="00A1408D" w:rsidRPr="00975C02">
        <w:rPr>
          <w:kern w:val="2"/>
          <w:sz w:val="20"/>
          <w:szCs w:val="20"/>
          <w:lang w:val="es-ES" w:eastAsia="en-US"/>
        </w:rPr>
        <w:t>os</w:t>
      </w:r>
      <w:r w:rsidRPr="00975C02">
        <w:rPr>
          <w:kern w:val="2"/>
          <w:sz w:val="20"/>
          <w:szCs w:val="20"/>
          <w:lang w:val="es-ES" w:eastAsia="en-US"/>
        </w:rPr>
        <w:t xml:space="preserve"> </w:t>
      </w:r>
      <w:r w:rsidRPr="00975C02">
        <w:rPr>
          <w:kern w:val="2"/>
          <w:sz w:val="20"/>
          <w:szCs w:val="20"/>
          <w:lang w:val="es-ES" w:eastAsia="en-US"/>
        </w:rPr>
        <w:lastRenderedPageBreak/>
        <w:t>mismo</w:t>
      </w:r>
      <w:r w:rsidR="00A1408D" w:rsidRPr="00975C02">
        <w:rPr>
          <w:kern w:val="2"/>
          <w:sz w:val="20"/>
          <w:szCs w:val="20"/>
          <w:lang w:val="es-ES" w:eastAsia="en-US"/>
        </w:rPr>
        <w:t>s</w:t>
      </w:r>
      <w:r w:rsidRPr="00975C02">
        <w:rPr>
          <w:kern w:val="2"/>
          <w:sz w:val="20"/>
          <w:szCs w:val="20"/>
          <w:lang w:val="es-ES" w:eastAsia="en-US"/>
        </w:rPr>
        <w:t xml:space="preserve"> sentimiento</w:t>
      </w:r>
      <w:r w:rsidR="00A1408D" w:rsidRPr="00975C02">
        <w:rPr>
          <w:kern w:val="2"/>
          <w:sz w:val="20"/>
          <w:szCs w:val="20"/>
          <w:lang w:val="es-ES" w:eastAsia="en-US"/>
        </w:rPr>
        <w:t>s</w:t>
      </w:r>
      <w:r w:rsidRPr="00975C02">
        <w:rPr>
          <w:kern w:val="2"/>
          <w:sz w:val="20"/>
          <w:szCs w:val="20"/>
          <w:lang w:val="es-ES" w:eastAsia="en-US"/>
        </w:rPr>
        <w:t>,</w:t>
      </w:r>
      <w:r w:rsidR="00A1408D" w:rsidRPr="00975C02">
        <w:rPr>
          <w:kern w:val="2"/>
          <w:sz w:val="20"/>
          <w:szCs w:val="20"/>
          <w:lang w:val="es-ES" w:eastAsia="en-US"/>
        </w:rPr>
        <w:t xml:space="preserve"> el</w:t>
      </w:r>
      <w:r w:rsidRPr="00975C02">
        <w:rPr>
          <w:kern w:val="2"/>
          <w:sz w:val="20"/>
          <w:szCs w:val="20"/>
          <w:lang w:val="es-ES" w:eastAsia="en-US"/>
        </w:rPr>
        <w:t xml:space="preserve"> mismo dolor,</w:t>
      </w:r>
      <w:r w:rsidR="00A1408D" w:rsidRPr="00975C02">
        <w:rPr>
          <w:kern w:val="2"/>
          <w:sz w:val="20"/>
          <w:szCs w:val="20"/>
          <w:lang w:val="es-ES" w:eastAsia="en-US"/>
        </w:rPr>
        <w:t xml:space="preserve"> las</w:t>
      </w:r>
      <w:r w:rsidRPr="00975C02">
        <w:rPr>
          <w:kern w:val="2"/>
          <w:sz w:val="20"/>
          <w:szCs w:val="20"/>
          <w:lang w:val="es-ES" w:eastAsia="en-US"/>
        </w:rPr>
        <w:t xml:space="preserve"> mismas cosas”. </w:t>
      </w:r>
      <w:r w:rsidR="00D126F8" w:rsidRPr="00975C02">
        <w:rPr>
          <w:kern w:val="2"/>
          <w:sz w:val="20"/>
          <w:szCs w:val="20"/>
          <w:lang w:val="es-ES" w:eastAsia="en-US"/>
        </w:rPr>
        <w:t>Asimismo,</w:t>
      </w:r>
      <w:r w:rsidRPr="00975C02">
        <w:rPr>
          <w:kern w:val="2"/>
          <w:sz w:val="20"/>
          <w:szCs w:val="20"/>
          <w:lang w:val="es-ES" w:eastAsia="en-US"/>
        </w:rPr>
        <w:t xml:space="preserve"> indicó que cuando iban a Managua se tapaba o se escondía en el carro cuando pasaban por el lugar donde fue agredida sexualmente, ya que no quería volver a ver ese lugar. </w:t>
      </w:r>
      <w:r w:rsidR="00992B00">
        <w:rPr>
          <w:kern w:val="2"/>
          <w:sz w:val="20"/>
          <w:szCs w:val="20"/>
          <w:lang w:val="es-ES" w:eastAsia="en-US"/>
        </w:rPr>
        <w:t xml:space="preserve">Asimismo, </w:t>
      </w:r>
      <w:r w:rsidRPr="00975C02">
        <w:rPr>
          <w:kern w:val="2"/>
          <w:sz w:val="20"/>
          <w:szCs w:val="20"/>
          <w:lang w:val="es-ES" w:eastAsia="en-US"/>
        </w:rPr>
        <w:t xml:space="preserve">V.R.P. narró cómo, a pesar de esto, en contra de su voluntad y su consentimiento, la jueza le solicitó su participación en la diligencia para mantener a su padre en prisión, a quien incluso vio cuando llegaron al lugar de la reconstrucción de los hechos. En efecto, declaró ante esta Corte que “la </w:t>
      </w:r>
      <w:r w:rsidRPr="00975C02">
        <w:rPr>
          <w:sz w:val="20"/>
          <w:szCs w:val="20"/>
          <w:lang w:val="es-ES" w:eastAsia="en-US"/>
        </w:rPr>
        <w:t>juez[a] dijo que si no se hacía [la diligencia] iba tener que sacar a [su] papá a la calle [… por eso,] simplemente hi[zo] lo que [l]e pidieron para poder salir de ahí y</w:t>
      </w:r>
      <w:r w:rsidR="00D126F8" w:rsidRPr="00975C02">
        <w:rPr>
          <w:sz w:val="20"/>
          <w:szCs w:val="20"/>
          <w:lang w:val="es-ES" w:eastAsia="en-US"/>
        </w:rPr>
        <w:t>,</w:t>
      </w:r>
      <w:r w:rsidRPr="00975C02">
        <w:rPr>
          <w:sz w:val="20"/>
          <w:szCs w:val="20"/>
          <w:lang w:val="es-ES" w:eastAsia="en-US"/>
        </w:rPr>
        <w:t xml:space="preserve"> después de todo eso, aun así, [su] papá salió”. Agregó que </w:t>
      </w:r>
      <w:r w:rsidRPr="00975C02">
        <w:rPr>
          <w:kern w:val="2"/>
          <w:sz w:val="20"/>
          <w:szCs w:val="20"/>
          <w:lang w:val="es-ES" w:eastAsia="en-US"/>
        </w:rPr>
        <w:t xml:space="preserve">no solo tuvo que recorrer el mismo lugar y colocarse en la misma posición en la que fue abusada, sino que le hicieron utilizar la misma ropa </w:t>
      </w:r>
      <w:r w:rsidR="00D126F8" w:rsidRPr="00975C02">
        <w:rPr>
          <w:kern w:val="2"/>
          <w:sz w:val="20"/>
          <w:szCs w:val="20"/>
          <w:lang w:val="es-ES" w:eastAsia="en-US"/>
        </w:rPr>
        <w:t>que vestía ese día</w:t>
      </w:r>
      <w:r w:rsidR="00AF3CE7" w:rsidRPr="00975C02">
        <w:rPr>
          <w:sz w:val="20"/>
          <w:szCs w:val="20"/>
          <w:vertAlign w:val="superscript"/>
          <w:lang w:val="es-ES" w:eastAsia="en-US"/>
        </w:rPr>
        <w:footnoteReference w:id="274"/>
      </w:r>
      <w:r w:rsidRPr="00975C02">
        <w:rPr>
          <w:kern w:val="2"/>
          <w:sz w:val="20"/>
          <w:szCs w:val="20"/>
          <w:lang w:val="es-ES" w:eastAsia="en-US"/>
        </w:rPr>
        <w:t>.</w:t>
      </w:r>
    </w:p>
    <w:p w14:paraId="72A17120" w14:textId="77777777" w:rsidR="00B5625C" w:rsidRPr="00975C02" w:rsidRDefault="00B5625C" w:rsidP="00B5625C">
      <w:pPr>
        <w:widowControl/>
        <w:adjustRightInd/>
        <w:spacing w:line="240" w:lineRule="auto"/>
        <w:jc w:val="left"/>
        <w:textAlignment w:val="auto"/>
        <w:rPr>
          <w:kern w:val="2"/>
          <w:sz w:val="20"/>
          <w:szCs w:val="20"/>
          <w:lang w:val="es-ES" w:eastAsia="en-US"/>
        </w:rPr>
      </w:pPr>
    </w:p>
    <w:p w14:paraId="367DDF1F" w14:textId="0DB7B378" w:rsidR="00B5625C" w:rsidRPr="00975C02" w:rsidRDefault="00B5625C" w:rsidP="004F5B40">
      <w:pPr>
        <w:widowControl/>
        <w:numPr>
          <w:ilvl w:val="0"/>
          <w:numId w:val="2"/>
        </w:numPr>
        <w:tabs>
          <w:tab w:val="left" w:pos="567"/>
          <w:tab w:val="num" w:pos="12305"/>
        </w:tabs>
        <w:adjustRightInd/>
        <w:spacing w:line="240" w:lineRule="auto"/>
        <w:ind w:left="0" w:firstLine="0"/>
        <w:textAlignment w:val="auto"/>
        <w:rPr>
          <w:kern w:val="2"/>
          <w:sz w:val="20"/>
          <w:szCs w:val="20"/>
          <w:lang w:val="es-ES" w:eastAsia="en-US"/>
        </w:rPr>
      </w:pPr>
      <w:r w:rsidRPr="00975C02">
        <w:rPr>
          <w:kern w:val="2"/>
          <w:sz w:val="20"/>
          <w:szCs w:val="20"/>
          <w:lang w:val="es-ES" w:eastAsia="en-US"/>
        </w:rPr>
        <w:t xml:space="preserve">Los peritos que declararon ante </w:t>
      </w:r>
      <w:r w:rsidR="00A37EC3" w:rsidRPr="00975C02">
        <w:rPr>
          <w:kern w:val="2"/>
          <w:sz w:val="20"/>
          <w:szCs w:val="20"/>
          <w:lang w:val="es-ES" w:eastAsia="en-US"/>
        </w:rPr>
        <w:t>esta Corte</w:t>
      </w:r>
      <w:r w:rsidRPr="00975C02">
        <w:rPr>
          <w:kern w:val="2"/>
          <w:sz w:val="20"/>
          <w:szCs w:val="20"/>
          <w:lang w:val="es-ES" w:eastAsia="en-US"/>
        </w:rPr>
        <w:t xml:space="preserve"> coincidieron en señalar que la participación de V.R.P. en la diligencia de inspección ocular y reconstrucción de los hechos constituyó un hecho grave de violencia institucional. El perito Enrique Oscar Stola </w:t>
      </w:r>
      <w:r w:rsidR="0056725D" w:rsidRPr="00975C02">
        <w:rPr>
          <w:kern w:val="2"/>
          <w:sz w:val="20"/>
          <w:szCs w:val="20"/>
          <w:lang w:val="es-ES" w:eastAsia="en-US"/>
        </w:rPr>
        <w:t xml:space="preserve">sostuvo </w:t>
      </w:r>
      <w:r w:rsidRPr="00975C02">
        <w:rPr>
          <w:kern w:val="2"/>
          <w:sz w:val="20"/>
          <w:szCs w:val="20"/>
          <w:lang w:val="es-ES" w:eastAsia="en-US"/>
        </w:rPr>
        <w:t xml:space="preserve">que “[era] la primera vez en [su] historia profesional de 40 años [que veía] que a una niña violada, </w:t>
      </w:r>
      <w:r w:rsidR="00A37EC3" w:rsidRPr="00975C02">
        <w:rPr>
          <w:kern w:val="2"/>
          <w:sz w:val="20"/>
          <w:szCs w:val="20"/>
          <w:lang w:val="es-ES" w:eastAsia="en-US"/>
        </w:rPr>
        <w:t>[…]</w:t>
      </w:r>
      <w:r w:rsidRPr="00975C02">
        <w:rPr>
          <w:kern w:val="2"/>
          <w:sz w:val="20"/>
          <w:szCs w:val="20"/>
          <w:lang w:val="es-ES" w:eastAsia="en-US"/>
        </w:rPr>
        <w:t xml:space="preserve"> se la lleva[ra] al lugar para reconstruir, eso no se debería haber hecho […].</w:t>
      </w:r>
      <w:r w:rsidR="0056725D" w:rsidRPr="00975C02">
        <w:rPr>
          <w:rFonts w:eastAsia="Calibri"/>
          <w:sz w:val="20"/>
          <w:szCs w:val="20"/>
          <w:lang w:val="es-ES" w:eastAsia="en-US"/>
        </w:rPr>
        <w:t>Todo lo que se hizo [fue] revictimizante.</w:t>
      </w:r>
      <w:r w:rsidR="00975C02">
        <w:rPr>
          <w:rFonts w:eastAsia="Calibri"/>
          <w:sz w:val="20"/>
          <w:szCs w:val="20"/>
          <w:lang w:val="es-ES" w:eastAsia="en-US"/>
        </w:rPr>
        <w:t xml:space="preserve"> </w:t>
      </w:r>
      <w:r w:rsidRPr="00975C02">
        <w:rPr>
          <w:kern w:val="2"/>
          <w:sz w:val="20"/>
          <w:szCs w:val="20"/>
          <w:lang w:val="es-ES" w:eastAsia="en-US"/>
        </w:rPr>
        <w:t>Entre esas cosas</w:t>
      </w:r>
      <w:r w:rsidR="005C08A3" w:rsidRPr="00975C02">
        <w:rPr>
          <w:kern w:val="2"/>
          <w:sz w:val="20"/>
          <w:szCs w:val="20"/>
          <w:lang w:val="es-ES" w:eastAsia="en-US"/>
        </w:rPr>
        <w:t>,</w:t>
      </w:r>
      <w:r w:rsidRPr="00975C02">
        <w:rPr>
          <w:kern w:val="2"/>
          <w:sz w:val="20"/>
          <w:szCs w:val="20"/>
          <w:lang w:val="es-ES" w:eastAsia="en-US"/>
        </w:rPr>
        <w:t xml:space="preserve"> hacerla tomar una posición que tiene que ver con la que tuvo cuando fue agredida sexualmente o el hecho de que existan fotografías</w:t>
      </w:r>
      <w:r w:rsidR="007B6CCF" w:rsidRPr="00975C02">
        <w:rPr>
          <w:kern w:val="2"/>
          <w:sz w:val="20"/>
          <w:szCs w:val="20"/>
          <w:lang w:val="es-ES" w:eastAsia="en-US"/>
        </w:rPr>
        <w:t xml:space="preserve"> […] </w:t>
      </w:r>
      <w:r w:rsidRPr="00975C02">
        <w:rPr>
          <w:kern w:val="2"/>
          <w:sz w:val="20"/>
          <w:szCs w:val="20"/>
          <w:lang w:val="es-ES" w:eastAsia="en-US"/>
        </w:rPr>
        <w:t>de esa situación tan traumática. El revivir esa situación traumática no le ayuda en nada, lo único que hace es profundizar el trauma”. Agregó que “[n]unca una niña o una joven que ha sido violada, abusada, ni a una mujer que ha sido violada tiene que ir a recrear”</w:t>
      </w:r>
      <w:r w:rsidRPr="00975C02">
        <w:rPr>
          <w:kern w:val="2"/>
          <w:sz w:val="20"/>
          <w:szCs w:val="20"/>
          <w:vertAlign w:val="superscript"/>
          <w:lang w:val="es-ES" w:eastAsia="en-US"/>
        </w:rPr>
        <w:footnoteReference w:id="275"/>
      </w:r>
      <w:r w:rsidRPr="00975C02">
        <w:rPr>
          <w:kern w:val="2"/>
          <w:sz w:val="20"/>
          <w:szCs w:val="20"/>
          <w:lang w:val="es-ES" w:eastAsia="en-US"/>
        </w:rPr>
        <w:t>.</w:t>
      </w:r>
    </w:p>
    <w:p w14:paraId="15E583E7" w14:textId="77777777" w:rsidR="00B5625C" w:rsidRPr="00975C02" w:rsidRDefault="00B5625C" w:rsidP="00B5625C">
      <w:pPr>
        <w:widowControl/>
        <w:adjustRightInd/>
        <w:spacing w:line="240" w:lineRule="auto"/>
        <w:jc w:val="left"/>
        <w:textAlignment w:val="auto"/>
        <w:rPr>
          <w:kern w:val="2"/>
          <w:sz w:val="20"/>
          <w:szCs w:val="20"/>
          <w:lang w:val="es-ES" w:eastAsia="en-US"/>
        </w:rPr>
      </w:pPr>
    </w:p>
    <w:p w14:paraId="2101EE04" w14:textId="54684C1F" w:rsidR="00B5625C" w:rsidRPr="00975C02" w:rsidRDefault="00B5625C" w:rsidP="004F5B40">
      <w:pPr>
        <w:widowControl/>
        <w:numPr>
          <w:ilvl w:val="0"/>
          <w:numId w:val="2"/>
        </w:numPr>
        <w:tabs>
          <w:tab w:val="left" w:pos="567"/>
          <w:tab w:val="num" w:pos="12305"/>
        </w:tabs>
        <w:adjustRightInd/>
        <w:spacing w:line="240" w:lineRule="auto"/>
        <w:ind w:left="0" w:firstLine="0"/>
        <w:textAlignment w:val="auto"/>
        <w:rPr>
          <w:kern w:val="2"/>
          <w:sz w:val="20"/>
          <w:szCs w:val="20"/>
          <w:lang w:val="es-ES" w:eastAsia="en-US"/>
        </w:rPr>
      </w:pPr>
      <w:r w:rsidRPr="00975C02">
        <w:rPr>
          <w:kern w:val="2"/>
          <w:sz w:val="20"/>
          <w:szCs w:val="20"/>
          <w:lang w:val="es-ES" w:eastAsia="en-US"/>
        </w:rPr>
        <w:t xml:space="preserve">Por su parte, el perito Miguel Cillero Bruñol </w:t>
      </w:r>
      <w:r w:rsidR="005C08A3" w:rsidRPr="00975C02">
        <w:rPr>
          <w:kern w:val="2"/>
          <w:sz w:val="20"/>
          <w:szCs w:val="20"/>
          <w:lang w:val="es-ES" w:eastAsia="en-US"/>
        </w:rPr>
        <w:t xml:space="preserve">señaló </w:t>
      </w:r>
      <w:r w:rsidRPr="00975C02">
        <w:rPr>
          <w:kern w:val="2"/>
          <w:sz w:val="20"/>
          <w:szCs w:val="20"/>
          <w:lang w:val="es-ES" w:eastAsia="en-US"/>
        </w:rPr>
        <w:t>que “la reconstrucción de los hechos</w:t>
      </w:r>
      <w:r w:rsidR="00A37EC3" w:rsidRPr="00975C02">
        <w:rPr>
          <w:kern w:val="2"/>
          <w:sz w:val="20"/>
          <w:szCs w:val="20"/>
          <w:lang w:val="es-ES" w:eastAsia="en-US"/>
        </w:rPr>
        <w:t>,</w:t>
      </w:r>
      <w:r w:rsidRPr="00975C02">
        <w:rPr>
          <w:kern w:val="2"/>
          <w:sz w:val="20"/>
          <w:szCs w:val="20"/>
          <w:lang w:val="es-ES" w:eastAsia="en-US"/>
        </w:rPr>
        <w:t xml:space="preserve"> como una diligencia probatoria que en general no es recomendada, ha sido eliminada prácticamente de todo el derecho comparado en aquellos casos en los cuales estamos en presencia de niñas víctimas de delitos sexuales y</w:t>
      </w:r>
      <w:r w:rsidR="00A37EC3" w:rsidRPr="00975C02">
        <w:rPr>
          <w:kern w:val="2"/>
          <w:sz w:val="20"/>
          <w:szCs w:val="20"/>
          <w:lang w:val="es-ES" w:eastAsia="en-US"/>
        </w:rPr>
        <w:t>,</w:t>
      </w:r>
      <w:r w:rsidRPr="00975C02">
        <w:rPr>
          <w:kern w:val="2"/>
          <w:sz w:val="20"/>
          <w:szCs w:val="20"/>
          <w:lang w:val="es-ES" w:eastAsia="en-US"/>
        </w:rPr>
        <w:t xml:space="preserve"> además</w:t>
      </w:r>
      <w:r w:rsidR="00A37EC3" w:rsidRPr="00975C02">
        <w:rPr>
          <w:kern w:val="2"/>
          <w:sz w:val="20"/>
          <w:szCs w:val="20"/>
          <w:lang w:val="es-ES" w:eastAsia="en-US"/>
        </w:rPr>
        <w:t>,</w:t>
      </w:r>
      <w:r w:rsidRPr="00975C02">
        <w:rPr>
          <w:kern w:val="2"/>
          <w:sz w:val="20"/>
          <w:szCs w:val="20"/>
          <w:lang w:val="es-ES" w:eastAsia="en-US"/>
        </w:rPr>
        <w:t xml:space="preserve"> las condiciones en que esa reconstrucción de hechos se realizó, en este caso en particular, denota una extrema falta de cuidado y de especialización en el sentido de haberla hecho exactamente igual como si se tratara de un caso de una víctima adulta”</w:t>
      </w:r>
      <w:r w:rsidRPr="00975C02">
        <w:rPr>
          <w:kern w:val="2"/>
          <w:sz w:val="20"/>
          <w:szCs w:val="20"/>
          <w:vertAlign w:val="superscript"/>
          <w:lang w:val="es-ES" w:eastAsia="en-US"/>
        </w:rPr>
        <w:footnoteReference w:id="276"/>
      </w:r>
      <w:r w:rsidRPr="00975C02">
        <w:rPr>
          <w:kern w:val="2"/>
          <w:sz w:val="20"/>
          <w:szCs w:val="20"/>
          <w:lang w:val="es-ES" w:eastAsia="en-US"/>
        </w:rPr>
        <w:t>.</w:t>
      </w:r>
    </w:p>
    <w:p w14:paraId="6214D2A9" w14:textId="77777777" w:rsidR="00B5625C" w:rsidRPr="00975C02" w:rsidRDefault="00B5625C" w:rsidP="00B5625C">
      <w:pPr>
        <w:widowControl/>
        <w:adjustRightInd/>
        <w:spacing w:line="240" w:lineRule="auto"/>
        <w:jc w:val="left"/>
        <w:textAlignment w:val="auto"/>
        <w:rPr>
          <w:kern w:val="2"/>
          <w:sz w:val="20"/>
          <w:szCs w:val="20"/>
          <w:lang w:val="es-ES" w:eastAsia="en-US"/>
        </w:rPr>
      </w:pPr>
    </w:p>
    <w:p w14:paraId="53E29AF9" w14:textId="484B32BD" w:rsidR="00EB7709" w:rsidRPr="00975C02" w:rsidRDefault="00B5625C" w:rsidP="004F5B40">
      <w:pPr>
        <w:widowControl/>
        <w:numPr>
          <w:ilvl w:val="0"/>
          <w:numId w:val="2"/>
        </w:numPr>
        <w:tabs>
          <w:tab w:val="left" w:pos="567"/>
          <w:tab w:val="num" w:pos="12305"/>
        </w:tabs>
        <w:adjustRightInd/>
        <w:spacing w:line="240" w:lineRule="auto"/>
        <w:ind w:left="0" w:firstLine="0"/>
        <w:textAlignment w:val="auto"/>
        <w:rPr>
          <w:kern w:val="2"/>
          <w:sz w:val="20"/>
          <w:szCs w:val="20"/>
          <w:lang w:val="es-ES" w:eastAsia="en-US"/>
        </w:rPr>
      </w:pPr>
      <w:r w:rsidRPr="00975C02">
        <w:rPr>
          <w:kern w:val="2"/>
          <w:sz w:val="20"/>
          <w:szCs w:val="20"/>
          <w:lang w:val="es-ES" w:eastAsia="en-US"/>
        </w:rPr>
        <w:t>Adicionalmente, V.R.P. manifestó ante esta Corte que comunicó su negativa de participar en la reconstrucción de los hechos a la psiquiatra que la acompañaba, quien a su vez lo puso en conocimiento de la jueza, la cual decidió continuar con la diligencia</w:t>
      </w:r>
      <w:r w:rsidR="00ED78D3" w:rsidRPr="00975C02">
        <w:rPr>
          <w:kern w:val="2"/>
          <w:sz w:val="20"/>
          <w:szCs w:val="20"/>
          <w:lang w:val="es-ES" w:eastAsia="en-US"/>
        </w:rPr>
        <w:t>,</w:t>
      </w:r>
      <w:r w:rsidRPr="00975C02">
        <w:rPr>
          <w:kern w:val="2"/>
          <w:sz w:val="20"/>
          <w:szCs w:val="20"/>
          <w:lang w:val="es-ES" w:eastAsia="en-US"/>
        </w:rPr>
        <w:t xml:space="preserve"> e incluso manifestó que</w:t>
      </w:r>
      <w:r w:rsidR="00A37EC3" w:rsidRPr="00975C02">
        <w:rPr>
          <w:kern w:val="2"/>
          <w:sz w:val="20"/>
          <w:szCs w:val="20"/>
          <w:lang w:val="es-ES" w:eastAsia="en-US"/>
        </w:rPr>
        <w:t>,</w:t>
      </w:r>
      <w:r w:rsidRPr="00975C02">
        <w:rPr>
          <w:kern w:val="2"/>
          <w:sz w:val="20"/>
          <w:szCs w:val="20"/>
          <w:lang w:val="es-ES" w:eastAsia="en-US"/>
        </w:rPr>
        <w:t xml:space="preserve"> de no realizarse, el padre de la niña tendría que salir de prisión</w:t>
      </w:r>
      <w:r w:rsidRPr="00975C02">
        <w:rPr>
          <w:kern w:val="2"/>
          <w:sz w:val="20"/>
          <w:szCs w:val="20"/>
          <w:vertAlign w:val="superscript"/>
          <w:lang w:val="es-ES" w:eastAsia="en-US"/>
        </w:rPr>
        <w:footnoteReference w:id="277"/>
      </w:r>
      <w:r w:rsidRPr="00975C02">
        <w:rPr>
          <w:kern w:val="2"/>
          <w:sz w:val="20"/>
          <w:szCs w:val="20"/>
          <w:lang w:val="es-ES" w:eastAsia="en-US"/>
        </w:rPr>
        <w:t>. La Corte considera que la diligencia</w:t>
      </w:r>
      <w:r w:rsidR="00AC10DE" w:rsidRPr="00975C02">
        <w:rPr>
          <w:kern w:val="2"/>
          <w:sz w:val="20"/>
          <w:szCs w:val="20"/>
          <w:lang w:val="es-ES" w:eastAsia="en-US"/>
        </w:rPr>
        <w:t>,</w:t>
      </w:r>
      <w:r w:rsidRPr="00975C02">
        <w:rPr>
          <w:kern w:val="2"/>
          <w:sz w:val="20"/>
          <w:szCs w:val="20"/>
          <w:lang w:val="es-ES" w:eastAsia="en-US"/>
        </w:rPr>
        <w:t xml:space="preserve"> además de revictimizante, no consideró como relevante que la niña, con su nivel de madurez y de acuerdo a su grado de desarrollo y entendimiento de los hechos, podía consentir u opinar respecto a su deseo de participar en la misma. Incluso, nuevamente, la jueza estableció la necesidad de la participación de la niña, ya que de lo contrario su padre saldría en libertad (</w:t>
      </w:r>
      <w:r w:rsidRPr="00975C02">
        <w:rPr>
          <w:i/>
          <w:kern w:val="2"/>
          <w:sz w:val="20"/>
          <w:szCs w:val="20"/>
          <w:lang w:val="es-ES" w:eastAsia="en-US"/>
        </w:rPr>
        <w:t>supra</w:t>
      </w:r>
      <w:r w:rsidRPr="00975C02">
        <w:rPr>
          <w:kern w:val="2"/>
          <w:sz w:val="20"/>
          <w:szCs w:val="20"/>
          <w:lang w:val="es-ES" w:eastAsia="en-US"/>
        </w:rPr>
        <w:t xml:space="preserve"> párr. </w:t>
      </w:r>
      <w:r w:rsidR="00250F3D" w:rsidRPr="00975C02">
        <w:rPr>
          <w:kern w:val="2"/>
          <w:sz w:val="20"/>
          <w:szCs w:val="20"/>
          <w:lang w:val="es-ES" w:eastAsia="en-US"/>
        </w:rPr>
        <w:t>178</w:t>
      </w:r>
      <w:r w:rsidRPr="00975C02">
        <w:rPr>
          <w:kern w:val="2"/>
          <w:sz w:val="20"/>
          <w:szCs w:val="20"/>
          <w:lang w:val="es-ES" w:eastAsia="en-US"/>
        </w:rPr>
        <w:t>), lo que obligó a que V.R.P. partic</w:t>
      </w:r>
      <w:r w:rsidR="00EB7709" w:rsidRPr="00975C02">
        <w:rPr>
          <w:kern w:val="2"/>
          <w:sz w:val="20"/>
          <w:szCs w:val="20"/>
          <w:lang w:val="es-ES" w:eastAsia="en-US"/>
        </w:rPr>
        <w:t>ipara en contra de su voluntad. Por consiguiente, la Corte considera que la participación de V.R.P. fue concebida únicamente en términos de objeto de prueba y no como titular de derechos</w:t>
      </w:r>
      <w:r w:rsidR="002E6061" w:rsidRPr="00975C02">
        <w:rPr>
          <w:kern w:val="2"/>
          <w:sz w:val="20"/>
          <w:szCs w:val="20"/>
          <w:lang w:val="es-ES" w:eastAsia="en-US"/>
        </w:rPr>
        <w:t>, cuyas opiniones debían ser tomadas en cuenta</w:t>
      </w:r>
      <w:r w:rsidR="00EB7709" w:rsidRPr="00975C02">
        <w:rPr>
          <w:kern w:val="2"/>
          <w:sz w:val="20"/>
          <w:szCs w:val="20"/>
          <w:lang w:val="es-ES" w:eastAsia="en-US"/>
        </w:rPr>
        <w:t>.</w:t>
      </w:r>
    </w:p>
    <w:p w14:paraId="37602CC8" w14:textId="77777777" w:rsidR="00EB7709" w:rsidRPr="00975C02" w:rsidRDefault="00EB7709" w:rsidP="00EB7709">
      <w:pPr>
        <w:widowControl/>
        <w:tabs>
          <w:tab w:val="left" w:pos="567"/>
        </w:tabs>
        <w:adjustRightInd/>
        <w:spacing w:line="240" w:lineRule="auto"/>
        <w:textAlignment w:val="auto"/>
        <w:rPr>
          <w:kern w:val="2"/>
          <w:sz w:val="20"/>
          <w:szCs w:val="20"/>
          <w:lang w:val="es-ES" w:eastAsia="en-US"/>
        </w:rPr>
      </w:pPr>
    </w:p>
    <w:p w14:paraId="7FA2C4D3" w14:textId="027A10C6" w:rsidR="00B5625C" w:rsidRPr="00975C02" w:rsidRDefault="00B5625C" w:rsidP="00101574">
      <w:pPr>
        <w:widowControl/>
        <w:numPr>
          <w:ilvl w:val="0"/>
          <w:numId w:val="2"/>
        </w:numPr>
        <w:tabs>
          <w:tab w:val="left" w:pos="567"/>
          <w:tab w:val="num" w:pos="12305"/>
        </w:tabs>
        <w:adjustRightInd/>
        <w:spacing w:line="240" w:lineRule="auto"/>
        <w:ind w:left="0" w:firstLine="0"/>
        <w:textAlignment w:val="auto"/>
        <w:rPr>
          <w:kern w:val="2"/>
          <w:sz w:val="20"/>
          <w:szCs w:val="20"/>
          <w:lang w:val="es-ES" w:eastAsia="en-US"/>
        </w:rPr>
      </w:pPr>
      <w:r w:rsidRPr="00975C02">
        <w:rPr>
          <w:kern w:val="2"/>
          <w:sz w:val="20"/>
          <w:szCs w:val="20"/>
          <w:lang w:val="es-ES" w:eastAsia="en-US"/>
        </w:rPr>
        <w:t xml:space="preserve">La </w:t>
      </w:r>
      <w:r w:rsidR="00C84565" w:rsidRPr="00975C02">
        <w:rPr>
          <w:kern w:val="2"/>
          <w:sz w:val="20"/>
          <w:szCs w:val="20"/>
          <w:lang w:val="es-ES" w:eastAsia="en-US"/>
        </w:rPr>
        <w:t>diligencia</w:t>
      </w:r>
      <w:r w:rsidRPr="00975C02">
        <w:rPr>
          <w:kern w:val="2"/>
          <w:sz w:val="20"/>
          <w:szCs w:val="20"/>
          <w:lang w:val="es-ES" w:eastAsia="en-US"/>
        </w:rPr>
        <w:t xml:space="preserve"> tampoco contó con la presencia de una autoridad que pudiera velar por los derechos de la niña, ya que ni el </w:t>
      </w:r>
      <w:r w:rsidR="00407664" w:rsidRPr="00975C02">
        <w:rPr>
          <w:kern w:val="2"/>
          <w:sz w:val="20"/>
          <w:szCs w:val="20"/>
          <w:lang w:val="es-ES" w:eastAsia="en-US"/>
        </w:rPr>
        <w:t>f</w:t>
      </w:r>
      <w:r w:rsidRPr="00975C02">
        <w:rPr>
          <w:kern w:val="2"/>
          <w:sz w:val="20"/>
          <w:szCs w:val="20"/>
          <w:lang w:val="es-ES" w:eastAsia="en-US"/>
        </w:rPr>
        <w:t xml:space="preserve">iscal del caso ni ninguna otra autoridad especializada en su protección estuvieron presentes. Si bien la psiquiatra estuvo presente en la diligencia, como una </w:t>
      </w:r>
      <w:r w:rsidRPr="00975C02">
        <w:rPr>
          <w:kern w:val="2"/>
          <w:sz w:val="20"/>
          <w:szCs w:val="20"/>
          <w:lang w:val="es-ES" w:eastAsia="en-US"/>
        </w:rPr>
        <w:lastRenderedPageBreak/>
        <w:t xml:space="preserve">medida de acompañamiento de la niña, dicha profesional no se encontraba en la posición de autoridad de impedir la participación de V.R.P., ni de evitar el efecto revictimizante o las experiencias perjudiciales nuevamente vividas por la niña. </w:t>
      </w:r>
      <w:r w:rsidR="00101574" w:rsidRPr="00975C02">
        <w:rPr>
          <w:kern w:val="2"/>
          <w:sz w:val="20"/>
          <w:szCs w:val="20"/>
          <w:lang w:val="es-ES" w:eastAsia="en-US"/>
        </w:rPr>
        <w:t>Además</w:t>
      </w:r>
      <w:r w:rsidRPr="00975C02">
        <w:rPr>
          <w:kern w:val="2"/>
          <w:sz w:val="20"/>
          <w:szCs w:val="20"/>
          <w:lang w:val="es-ES" w:eastAsia="en-US"/>
        </w:rPr>
        <w:t>, las autoridades estatales debieron evitar que el progenitor de V.R.P. participara en la reconstrucción de los hechos el mismo día que su hija, ya que la presencia de dicha persona en las inmediaciones del lugar potencializaba la posibilidad de un encuentro entre ambos y</w:t>
      </w:r>
      <w:r w:rsidR="00407664" w:rsidRPr="00975C02">
        <w:rPr>
          <w:kern w:val="2"/>
          <w:sz w:val="20"/>
          <w:szCs w:val="20"/>
          <w:lang w:val="es-ES" w:eastAsia="en-US"/>
        </w:rPr>
        <w:t>,</w:t>
      </w:r>
      <w:r w:rsidRPr="00975C02">
        <w:rPr>
          <w:kern w:val="2"/>
          <w:sz w:val="20"/>
          <w:szCs w:val="20"/>
          <w:lang w:val="es-ES" w:eastAsia="en-US"/>
        </w:rPr>
        <w:t xml:space="preserve"> por ello, colocó a la víctima en una situac</w:t>
      </w:r>
      <w:r w:rsidR="0017365B">
        <w:rPr>
          <w:kern w:val="2"/>
          <w:sz w:val="20"/>
          <w:szCs w:val="20"/>
          <w:lang w:val="es-ES" w:eastAsia="en-US"/>
        </w:rPr>
        <w:t>ión agravada de vulnerabilidad.</w:t>
      </w:r>
    </w:p>
    <w:p w14:paraId="2265E07E" w14:textId="77777777" w:rsidR="00B5625C" w:rsidRPr="00975C02" w:rsidRDefault="00B5625C" w:rsidP="00B5625C">
      <w:pPr>
        <w:widowControl/>
        <w:adjustRightInd/>
        <w:spacing w:line="240" w:lineRule="auto"/>
        <w:jc w:val="left"/>
        <w:textAlignment w:val="auto"/>
        <w:rPr>
          <w:kern w:val="2"/>
          <w:sz w:val="20"/>
          <w:szCs w:val="20"/>
          <w:lang w:val="es-ES" w:eastAsia="en-US"/>
        </w:rPr>
      </w:pPr>
    </w:p>
    <w:p w14:paraId="396215C5" w14:textId="27983752" w:rsidR="00B5625C" w:rsidRPr="00975C02" w:rsidRDefault="00B5625C" w:rsidP="004F5B40">
      <w:pPr>
        <w:widowControl/>
        <w:numPr>
          <w:ilvl w:val="0"/>
          <w:numId w:val="2"/>
        </w:numPr>
        <w:tabs>
          <w:tab w:val="left" w:pos="567"/>
          <w:tab w:val="num" w:pos="12305"/>
        </w:tabs>
        <w:adjustRightInd/>
        <w:spacing w:line="240" w:lineRule="auto"/>
        <w:ind w:left="0" w:firstLine="0"/>
        <w:textAlignment w:val="auto"/>
        <w:rPr>
          <w:kern w:val="2"/>
          <w:sz w:val="20"/>
          <w:szCs w:val="20"/>
          <w:lang w:val="es-ES" w:eastAsia="en-US"/>
        </w:rPr>
      </w:pPr>
      <w:r w:rsidRPr="00975C02">
        <w:rPr>
          <w:kern w:val="2"/>
          <w:sz w:val="20"/>
          <w:szCs w:val="20"/>
          <w:lang w:val="es-ES" w:eastAsia="en-US"/>
        </w:rPr>
        <w:t xml:space="preserve">La Corte entiende que, </w:t>
      </w:r>
      <w:r w:rsidR="00692B75" w:rsidRPr="00975C02">
        <w:rPr>
          <w:kern w:val="2"/>
          <w:sz w:val="20"/>
          <w:szCs w:val="20"/>
          <w:lang w:val="es-ES" w:eastAsia="en-US"/>
        </w:rPr>
        <w:t xml:space="preserve">aun si </w:t>
      </w:r>
      <w:r w:rsidRPr="00975C02">
        <w:rPr>
          <w:kern w:val="2"/>
          <w:sz w:val="20"/>
          <w:szCs w:val="20"/>
          <w:lang w:val="es-ES" w:eastAsia="en-US"/>
        </w:rPr>
        <w:t>conf</w:t>
      </w:r>
      <w:r w:rsidR="00692B75" w:rsidRPr="00975C02">
        <w:rPr>
          <w:kern w:val="2"/>
          <w:sz w:val="20"/>
          <w:szCs w:val="20"/>
          <w:lang w:val="es-ES" w:eastAsia="en-US"/>
        </w:rPr>
        <w:t>orme a la normativa de la época</w:t>
      </w:r>
      <w:r w:rsidRPr="00975C02">
        <w:rPr>
          <w:kern w:val="2"/>
          <w:sz w:val="20"/>
          <w:szCs w:val="20"/>
          <w:lang w:val="es-ES" w:eastAsia="en-US"/>
        </w:rPr>
        <w:t xml:space="preserve"> la diligencia de inspección ocular y reconstrucción de los hechos era necesaria, aquella pudo haberse realizado con base en los hechos relatados por V.R.P. y sin necesidad de su participación directa. El Tribunal estima que</w:t>
      </w:r>
      <w:r w:rsidR="00407664" w:rsidRPr="00975C02">
        <w:rPr>
          <w:kern w:val="2"/>
          <w:sz w:val="20"/>
          <w:szCs w:val="20"/>
          <w:lang w:val="es-ES" w:eastAsia="en-US"/>
        </w:rPr>
        <w:t>,</w:t>
      </w:r>
      <w:r w:rsidRPr="00975C02">
        <w:rPr>
          <w:kern w:val="2"/>
          <w:sz w:val="20"/>
          <w:szCs w:val="20"/>
          <w:lang w:val="es-ES" w:eastAsia="en-US"/>
        </w:rPr>
        <w:t xml:space="preserve"> si la jueza encargada hubiera estado específicamente capacitada en la materia, conforme a las características del caso y a la situación en la que se encontraba V.R.P., no habría requerido su participación en u</w:t>
      </w:r>
      <w:r w:rsidR="00692B75" w:rsidRPr="00975C02">
        <w:rPr>
          <w:kern w:val="2"/>
          <w:sz w:val="20"/>
          <w:szCs w:val="20"/>
          <w:lang w:val="es-ES" w:eastAsia="en-US"/>
        </w:rPr>
        <w:t xml:space="preserve">na diligencia de tal naturaleza, a fin de evitar una contravención de lo que mandata la </w:t>
      </w:r>
      <w:r w:rsidR="00407664" w:rsidRPr="00975C02">
        <w:rPr>
          <w:kern w:val="2"/>
          <w:sz w:val="20"/>
          <w:szCs w:val="20"/>
          <w:lang w:val="es-ES" w:eastAsia="en-US"/>
        </w:rPr>
        <w:t xml:space="preserve">Convención Americana y la </w:t>
      </w:r>
      <w:r w:rsidR="00692B75" w:rsidRPr="00975C02">
        <w:rPr>
          <w:kern w:val="2"/>
          <w:sz w:val="20"/>
          <w:szCs w:val="20"/>
          <w:lang w:val="es-ES" w:eastAsia="en-US"/>
        </w:rPr>
        <w:t>Convención de Belém do Pará, en cuanto a las medidas de protección en procesos judiciales.</w:t>
      </w:r>
    </w:p>
    <w:p w14:paraId="02E9F1CC" w14:textId="77777777" w:rsidR="00B5625C" w:rsidRPr="00975C02" w:rsidRDefault="00B5625C" w:rsidP="00B5625C">
      <w:pPr>
        <w:widowControl/>
        <w:adjustRightInd/>
        <w:spacing w:line="240" w:lineRule="auto"/>
        <w:jc w:val="left"/>
        <w:textAlignment w:val="auto"/>
        <w:rPr>
          <w:kern w:val="2"/>
          <w:sz w:val="20"/>
          <w:szCs w:val="20"/>
          <w:lang w:val="es-ES" w:eastAsia="en-US"/>
        </w:rPr>
      </w:pPr>
    </w:p>
    <w:p w14:paraId="63EDE0AB" w14:textId="463FC197" w:rsidR="00B5625C" w:rsidRPr="00975C02" w:rsidRDefault="00B5625C" w:rsidP="004F5B40">
      <w:pPr>
        <w:widowControl/>
        <w:numPr>
          <w:ilvl w:val="0"/>
          <w:numId w:val="2"/>
        </w:numPr>
        <w:tabs>
          <w:tab w:val="left" w:pos="567"/>
          <w:tab w:val="num" w:pos="12305"/>
        </w:tabs>
        <w:adjustRightInd/>
        <w:spacing w:line="240" w:lineRule="auto"/>
        <w:ind w:left="0" w:firstLine="0"/>
        <w:textAlignment w:val="auto"/>
        <w:rPr>
          <w:kern w:val="2"/>
          <w:sz w:val="20"/>
          <w:szCs w:val="20"/>
          <w:lang w:val="es-ES" w:eastAsia="en-US"/>
        </w:rPr>
      </w:pPr>
      <w:r w:rsidRPr="00975C02">
        <w:rPr>
          <w:kern w:val="2"/>
          <w:sz w:val="20"/>
          <w:szCs w:val="20"/>
          <w:lang w:val="es-ES" w:eastAsia="en-US"/>
        </w:rPr>
        <w:t xml:space="preserve">Por otro lado, la Corte considera que el hecho de que la madre de V.R.P. solicitara la reconstrucción de los hechos no exime de responsabilidad al Estado de Nicaragua, ya que como se mencionó </w:t>
      </w:r>
      <w:r w:rsidRPr="00975C02">
        <w:rPr>
          <w:i/>
          <w:kern w:val="2"/>
          <w:sz w:val="20"/>
          <w:szCs w:val="20"/>
          <w:lang w:val="es-ES" w:eastAsia="en-US"/>
        </w:rPr>
        <w:t>supra</w:t>
      </w:r>
      <w:r w:rsidRPr="00975C02">
        <w:rPr>
          <w:kern w:val="2"/>
          <w:sz w:val="20"/>
          <w:szCs w:val="20"/>
          <w:lang w:val="es-ES" w:eastAsia="en-US"/>
        </w:rPr>
        <w:t xml:space="preserve">, son las autoridades estatales las que deben decidir qué diligencias practicar, así como conducir las investigaciones y recabar las pruebas brindando las medidas de protección necesarias, con miras al bienestar y cuidado de la niña. En este sentido, que el Estado intente trasladar la responsabilidad por la realización de la reconstrucción de </w:t>
      </w:r>
      <w:r w:rsidR="00407664" w:rsidRPr="00975C02">
        <w:rPr>
          <w:kern w:val="2"/>
          <w:sz w:val="20"/>
          <w:szCs w:val="20"/>
          <w:lang w:val="es-ES" w:eastAsia="en-US"/>
        </w:rPr>
        <w:t xml:space="preserve">los </w:t>
      </w:r>
      <w:r w:rsidRPr="00975C02">
        <w:rPr>
          <w:kern w:val="2"/>
          <w:sz w:val="20"/>
          <w:szCs w:val="20"/>
          <w:lang w:val="es-ES" w:eastAsia="en-US"/>
        </w:rPr>
        <w:t>hechos con la participación de V.R.P. a su madre, constituye una forma de culpabilizarla y victimizarla, lo cual a su vez, implica un incumplimiento de su deber de debida diligencia reforzad</w:t>
      </w:r>
      <w:r w:rsidR="00407664" w:rsidRPr="00975C02">
        <w:rPr>
          <w:kern w:val="2"/>
          <w:sz w:val="20"/>
          <w:szCs w:val="20"/>
          <w:lang w:val="es-ES" w:eastAsia="en-US"/>
        </w:rPr>
        <w:t>a</w:t>
      </w:r>
      <w:r w:rsidRPr="00975C02">
        <w:rPr>
          <w:kern w:val="2"/>
          <w:sz w:val="20"/>
          <w:szCs w:val="20"/>
          <w:lang w:val="es-ES" w:eastAsia="en-US"/>
        </w:rPr>
        <w:t>.</w:t>
      </w:r>
    </w:p>
    <w:p w14:paraId="37D0FDDB" w14:textId="77777777" w:rsidR="00B5625C" w:rsidRPr="00975C02" w:rsidRDefault="00B5625C" w:rsidP="00B5625C">
      <w:pPr>
        <w:widowControl/>
        <w:adjustRightInd/>
        <w:spacing w:line="240" w:lineRule="auto"/>
        <w:jc w:val="left"/>
        <w:textAlignment w:val="auto"/>
        <w:rPr>
          <w:kern w:val="2"/>
          <w:sz w:val="20"/>
          <w:szCs w:val="20"/>
          <w:lang w:val="es-ES" w:eastAsia="en-US"/>
        </w:rPr>
      </w:pPr>
    </w:p>
    <w:p w14:paraId="67A77D18" w14:textId="75CEC105" w:rsidR="00B5625C" w:rsidRPr="00975C02" w:rsidRDefault="00B5625C" w:rsidP="004F5B40">
      <w:pPr>
        <w:widowControl/>
        <w:numPr>
          <w:ilvl w:val="0"/>
          <w:numId w:val="2"/>
        </w:numPr>
        <w:tabs>
          <w:tab w:val="left" w:pos="567"/>
          <w:tab w:val="num" w:pos="12305"/>
        </w:tabs>
        <w:adjustRightInd/>
        <w:spacing w:line="240" w:lineRule="auto"/>
        <w:ind w:left="0" w:firstLine="0"/>
        <w:textAlignment w:val="auto"/>
        <w:rPr>
          <w:kern w:val="2"/>
          <w:sz w:val="20"/>
          <w:szCs w:val="20"/>
          <w:lang w:val="es-ES" w:eastAsia="en-US"/>
        </w:rPr>
      </w:pPr>
      <w:r w:rsidRPr="00975C02">
        <w:rPr>
          <w:kern w:val="2"/>
          <w:sz w:val="20"/>
          <w:szCs w:val="20"/>
          <w:lang w:val="es-ES" w:eastAsia="en-US"/>
        </w:rPr>
        <w:t>Con base en todo lo expuesto, la Corte concluye que la participación de V.R.P. en la diligencia de inspección ocular y reconstrucción de los hechos constituyó una grave infracción al deber de diligencia reforzad</w:t>
      </w:r>
      <w:r w:rsidR="00407664" w:rsidRPr="00975C02">
        <w:rPr>
          <w:kern w:val="2"/>
          <w:sz w:val="20"/>
          <w:szCs w:val="20"/>
          <w:lang w:val="es-ES" w:eastAsia="en-US"/>
        </w:rPr>
        <w:t>a</w:t>
      </w:r>
      <w:r w:rsidRPr="00975C02">
        <w:rPr>
          <w:kern w:val="2"/>
          <w:sz w:val="20"/>
          <w:szCs w:val="20"/>
          <w:lang w:val="es-ES" w:eastAsia="en-US"/>
        </w:rPr>
        <w:t xml:space="preserve"> </w:t>
      </w:r>
      <w:r w:rsidR="00407664" w:rsidRPr="00975C02">
        <w:rPr>
          <w:kern w:val="2"/>
          <w:sz w:val="20"/>
          <w:szCs w:val="20"/>
          <w:lang w:val="es-ES" w:eastAsia="en-US"/>
        </w:rPr>
        <w:t>y protección especial,</w:t>
      </w:r>
      <w:r w:rsidRPr="00975C02">
        <w:rPr>
          <w:kern w:val="2"/>
          <w:sz w:val="20"/>
          <w:szCs w:val="20"/>
          <w:lang w:val="es-ES" w:eastAsia="en-US"/>
        </w:rPr>
        <w:t xml:space="preserve"> y constituyó un acto de victimización secundaria y violencia institucional.</w:t>
      </w:r>
    </w:p>
    <w:p w14:paraId="1F76E6F3" w14:textId="77777777" w:rsidR="00B5625C" w:rsidRPr="00975C02" w:rsidRDefault="00B5625C" w:rsidP="00B5625C">
      <w:pPr>
        <w:widowControl/>
        <w:adjustRightInd/>
        <w:spacing w:line="240" w:lineRule="auto"/>
        <w:jc w:val="left"/>
        <w:textAlignment w:val="auto"/>
        <w:rPr>
          <w:kern w:val="2"/>
          <w:sz w:val="20"/>
          <w:szCs w:val="20"/>
          <w:lang w:val="es-ES" w:eastAsia="en-US"/>
        </w:rPr>
      </w:pPr>
    </w:p>
    <w:p w14:paraId="2F86BAF7" w14:textId="77777777" w:rsidR="00B5625C" w:rsidRPr="00975C02" w:rsidRDefault="00A92F94" w:rsidP="00A92F94">
      <w:pPr>
        <w:pStyle w:val="Heading3"/>
        <w:rPr>
          <w:b w:val="0"/>
          <w:i/>
        </w:rPr>
      </w:pPr>
      <w:bookmarkStart w:id="130" w:name="_Toc514172635"/>
      <w:r w:rsidRPr="00975C02">
        <w:rPr>
          <w:b w:val="0"/>
          <w:i/>
        </w:rPr>
        <w:t>A</w:t>
      </w:r>
      <w:r w:rsidR="00F977EC" w:rsidRPr="00975C02">
        <w:rPr>
          <w:b w:val="0"/>
          <w:i/>
        </w:rPr>
        <w:t>.2.</w:t>
      </w:r>
      <w:r w:rsidR="00AD1B18" w:rsidRPr="00975C02">
        <w:rPr>
          <w:b w:val="0"/>
          <w:i/>
        </w:rPr>
        <w:t>e</w:t>
      </w:r>
      <w:r w:rsidR="00B5625C" w:rsidRPr="00975C02">
        <w:rPr>
          <w:b w:val="0"/>
          <w:i/>
        </w:rPr>
        <w:t xml:space="preserve"> </w:t>
      </w:r>
      <w:r w:rsidR="00490C6F" w:rsidRPr="00975C02">
        <w:rPr>
          <w:b w:val="0"/>
          <w:i/>
        </w:rPr>
        <w:tab/>
      </w:r>
      <w:r w:rsidR="00B5625C" w:rsidRPr="00975C02">
        <w:rPr>
          <w:b w:val="0"/>
          <w:i/>
        </w:rPr>
        <w:t xml:space="preserve">La </w:t>
      </w:r>
      <w:r w:rsidR="00490C6F" w:rsidRPr="00975C02">
        <w:rPr>
          <w:b w:val="0"/>
          <w:i/>
        </w:rPr>
        <w:t>falta de</w:t>
      </w:r>
      <w:r w:rsidR="00EA114D" w:rsidRPr="00975C02">
        <w:rPr>
          <w:b w:val="0"/>
          <w:i/>
        </w:rPr>
        <w:t xml:space="preserve"> acompañamiento y</w:t>
      </w:r>
      <w:r w:rsidR="00490C6F" w:rsidRPr="00975C02">
        <w:rPr>
          <w:b w:val="0"/>
          <w:i/>
        </w:rPr>
        <w:t xml:space="preserve"> </w:t>
      </w:r>
      <w:r w:rsidR="00B5625C" w:rsidRPr="00975C02">
        <w:rPr>
          <w:b w:val="0"/>
          <w:i/>
        </w:rPr>
        <w:t>atenció</w:t>
      </w:r>
      <w:r w:rsidR="00490C6F" w:rsidRPr="00975C02">
        <w:rPr>
          <w:b w:val="0"/>
          <w:i/>
        </w:rPr>
        <w:t xml:space="preserve">n integral </w:t>
      </w:r>
      <w:r w:rsidR="00215F77" w:rsidRPr="00975C02">
        <w:rPr>
          <w:b w:val="0"/>
          <w:i/>
        </w:rPr>
        <w:t>a la niña</w:t>
      </w:r>
      <w:r w:rsidR="00B5625C" w:rsidRPr="00975C02">
        <w:rPr>
          <w:b w:val="0"/>
          <w:i/>
        </w:rPr>
        <w:t xml:space="preserve"> V.R.P</w:t>
      </w:r>
      <w:r w:rsidR="00490C6F" w:rsidRPr="00975C02">
        <w:rPr>
          <w:b w:val="0"/>
          <w:i/>
        </w:rPr>
        <w:t>.</w:t>
      </w:r>
      <w:bookmarkEnd w:id="130"/>
    </w:p>
    <w:p w14:paraId="5EBF6288" w14:textId="77777777" w:rsidR="00B5625C" w:rsidRPr="00975C02" w:rsidRDefault="00B5625C" w:rsidP="00B5625C">
      <w:pPr>
        <w:widowControl/>
        <w:adjustRightInd/>
        <w:spacing w:line="240" w:lineRule="auto"/>
        <w:jc w:val="left"/>
        <w:textAlignment w:val="auto"/>
        <w:rPr>
          <w:b/>
          <w:kern w:val="2"/>
          <w:sz w:val="20"/>
          <w:szCs w:val="20"/>
          <w:lang w:val="es-ES" w:eastAsia="en-US"/>
        </w:rPr>
      </w:pPr>
    </w:p>
    <w:p w14:paraId="6F33DC36" w14:textId="5EC10BAF" w:rsidR="00B5625C" w:rsidRPr="00975C02" w:rsidRDefault="00B5625C" w:rsidP="004F5B40">
      <w:pPr>
        <w:widowControl/>
        <w:numPr>
          <w:ilvl w:val="0"/>
          <w:numId w:val="2"/>
        </w:numPr>
        <w:tabs>
          <w:tab w:val="left" w:pos="567"/>
          <w:tab w:val="num" w:pos="12305"/>
        </w:tabs>
        <w:adjustRightInd/>
        <w:spacing w:line="240" w:lineRule="auto"/>
        <w:ind w:left="0" w:firstLine="0"/>
        <w:textAlignment w:val="auto"/>
        <w:rPr>
          <w:kern w:val="2"/>
          <w:sz w:val="20"/>
          <w:szCs w:val="20"/>
          <w:lang w:val="es-ES" w:eastAsia="en-US"/>
        </w:rPr>
      </w:pPr>
      <w:r w:rsidRPr="00975C02">
        <w:rPr>
          <w:kern w:val="2"/>
          <w:sz w:val="20"/>
          <w:szCs w:val="20"/>
          <w:lang w:val="es-ES" w:eastAsia="en-US"/>
        </w:rPr>
        <w:t xml:space="preserve">La Corte ha </w:t>
      </w:r>
      <w:r w:rsidR="00963F2B" w:rsidRPr="00975C02">
        <w:rPr>
          <w:kern w:val="2"/>
          <w:sz w:val="20"/>
          <w:szCs w:val="20"/>
          <w:lang w:val="es-ES" w:eastAsia="en-US"/>
        </w:rPr>
        <w:t>destacado</w:t>
      </w:r>
      <w:r w:rsidRPr="00975C02">
        <w:rPr>
          <w:kern w:val="2"/>
          <w:sz w:val="20"/>
          <w:szCs w:val="20"/>
          <w:lang w:val="es-ES" w:eastAsia="en-US"/>
        </w:rPr>
        <w:t xml:space="preserve"> que la atención integral a un</w:t>
      </w:r>
      <w:r w:rsidR="0043278C" w:rsidRPr="00975C02">
        <w:rPr>
          <w:kern w:val="2"/>
          <w:sz w:val="20"/>
          <w:szCs w:val="20"/>
          <w:lang w:val="es-ES" w:eastAsia="en-US"/>
        </w:rPr>
        <w:t>a</w:t>
      </w:r>
      <w:r w:rsidRPr="00975C02">
        <w:rPr>
          <w:kern w:val="2"/>
          <w:sz w:val="20"/>
          <w:szCs w:val="20"/>
          <w:lang w:val="es-ES" w:eastAsia="en-US"/>
        </w:rPr>
        <w:t xml:space="preserve"> niña víctima no solo se circunscribe a las actuaciones de las autoridades judiciales durante el desarrollo del proceso penal con el fin de proteger</w:t>
      </w:r>
      <w:r w:rsidR="00505711" w:rsidRPr="00975C02">
        <w:rPr>
          <w:kern w:val="2"/>
          <w:sz w:val="20"/>
          <w:szCs w:val="20"/>
          <w:lang w:val="es-ES" w:eastAsia="en-US"/>
        </w:rPr>
        <w:t xml:space="preserve"> sus derechos y asegurar una participación no revictimizante</w:t>
      </w:r>
      <w:r w:rsidRPr="00975C02">
        <w:rPr>
          <w:kern w:val="2"/>
          <w:sz w:val="20"/>
          <w:szCs w:val="20"/>
          <w:lang w:val="es-ES" w:eastAsia="en-US"/>
        </w:rPr>
        <w:t xml:space="preserve">, sino que esta atención debe ser integral y multidisciplinaria antes, durante y después de las investigaciones y proceso penal. Asimismo, la Corte ha considerado que debe existir un enfoque coordinado e integrado que brinde distintos servicios de atención y </w:t>
      </w:r>
      <w:r w:rsidR="00505711" w:rsidRPr="00975C02">
        <w:rPr>
          <w:kern w:val="2"/>
          <w:sz w:val="20"/>
          <w:szCs w:val="20"/>
          <w:lang w:val="es-ES" w:eastAsia="en-US"/>
        </w:rPr>
        <w:t>apoyo</w:t>
      </w:r>
      <w:r w:rsidRPr="00975C02">
        <w:rPr>
          <w:kern w:val="2"/>
          <w:sz w:val="20"/>
          <w:szCs w:val="20"/>
          <w:lang w:val="es-ES" w:eastAsia="en-US"/>
        </w:rPr>
        <w:t xml:space="preserve"> a</w:t>
      </w:r>
      <w:r w:rsidR="00505711" w:rsidRPr="00975C02">
        <w:rPr>
          <w:kern w:val="2"/>
          <w:sz w:val="20"/>
          <w:szCs w:val="20"/>
          <w:lang w:val="es-ES" w:eastAsia="en-US"/>
        </w:rPr>
        <w:t xml:space="preserve"> </w:t>
      </w:r>
      <w:r w:rsidRPr="00975C02">
        <w:rPr>
          <w:kern w:val="2"/>
          <w:sz w:val="20"/>
          <w:szCs w:val="20"/>
          <w:lang w:val="es-ES" w:eastAsia="en-US"/>
        </w:rPr>
        <w:t>l</w:t>
      </w:r>
      <w:r w:rsidR="00505711" w:rsidRPr="00975C02">
        <w:rPr>
          <w:kern w:val="2"/>
          <w:sz w:val="20"/>
          <w:szCs w:val="20"/>
          <w:lang w:val="es-ES" w:eastAsia="en-US"/>
        </w:rPr>
        <w:t>a</w:t>
      </w:r>
      <w:r w:rsidRPr="00975C02">
        <w:rPr>
          <w:kern w:val="2"/>
          <w:sz w:val="20"/>
          <w:szCs w:val="20"/>
          <w:lang w:val="es-ES" w:eastAsia="en-US"/>
        </w:rPr>
        <w:t xml:space="preserve"> niñ</w:t>
      </w:r>
      <w:r w:rsidR="00505711" w:rsidRPr="00975C02">
        <w:rPr>
          <w:kern w:val="2"/>
          <w:sz w:val="20"/>
          <w:szCs w:val="20"/>
          <w:lang w:val="es-ES" w:eastAsia="en-US"/>
        </w:rPr>
        <w:t>a</w:t>
      </w:r>
      <w:r w:rsidRPr="00975C02">
        <w:rPr>
          <w:kern w:val="2"/>
          <w:sz w:val="20"/>
          <w:szCs w:val="20"/>
          <w:lang w:val="es-ES" w:eastAsia="en-US"/>
        </w:rPr>
        <w:t xml:space="preserve"> para salvaguardar su bienestar actual y posterior desarrollo</w:t>
      </w:r>
      <w:r w:rsidR="00CB3296" w:rsidRPr="00975C02">
        <w:rPr>
          <w:kern w:val="2"/>
          <w:sz w:val="20"/>
          <w:szCs w:val="20"/>
          <w:lang w:val="es-ES" w:eastAsia="en-US"/>
        </w:rPr>
        <w:t xml:space="preserve"> (</w:t>
      </w:r>
      <w:r w:rsidR="00CB3296" w:rsidRPr="00975C02">
        <w:rPr>
          <w:i/>
          <w:kern w:val="2"/>
          <w:sz w:val="20"/>
          <w:szCs w:val="20"/>
          <w:lang w:val="es-ES" w:eastAsia="en-US"/>
        </w:rPr>
        <w:t>supra</w:t>
      </w:r>
      <w:r w:rsidR="00CB3296" w:rsidRPr="00975C02">
        <w:rPr>
          <w:kern w:val="2"/>
          <w:sz w:val="20"/>
          <w:szCs w:val="20"/>
          <w:lang w:val="es-ES" w:eastAsia="en-US"/>
        </w:rPr>
        <w:t xml:space="preserve"> párr. </w:t>
      </w:r>
      <w:r w:rsidR="000432BF" w:rsidRPr="00975C02">
        <w:rPr>
          <w:kern w:val="2"/>
          <w:sz w:val="20"/>
          <w:szCs w:val="20"/>
          <w:lang w:val="es-ES" w:eastAsia="en-US"/>
        </w:rPr>
        <w:t>164</w:t>
      </w:r>
      <w:r w:rsidR="00CB3296" w:rsidRPr="00975C02">
        <w:rPr>
          <w:kern w:val="2"/>
          <w:sz w:val="20"/>
          <w:szCs w:val="20"/>
          <w:lang w:val="es-ES" w:eastAsia="en-US"/>
        </w:rPr>
        <w:t>)</w:t>
      </w:r>
      <w:r w:rsidRPr="00975C02">
        <w:rPr>
          <w:kern w:val="2"/>
          <w:sz w:val="20"/>
          <w:szCs w:val="20"/>
          <w:lang w:val="es-ES" w:eastAsia="en-US"/>
        </w:rPr>
        <w:t>.</w:t>
      </w:r>
    </w:p>
    <w:p w14:paraId="3393F788" w14:textId="77777777" w:rsidR="00B5625C" w:rsidRPr="00975C02" w:rsidRDefault="00B5625C" w:rsidP="00B5625C">
      <w:pPr>
        <w:widowControl/>
        <w:adjustRightInd/>
        <w:spacing w:line="240" w:lineRule="auto"/>
        <w:jc w:val="left"/>
        <w:textAlignment w:val="auto"/>
        <w:rPr>
          <w:kern w:val="2"/>
          <w:sz w:val="20"/>
          <w:szCs w:val="20"/>
          <w:lang w:val="es-ES" w:eastAsia="en-US"/>
        </w:rPr>
      </w:pPr>
    </w:p>
    <w:p w14:paraId="4E8BF63F" w14:textId="1B2E2846" w:rsidR="00B5625C" w:rsidRPr="00975C02" w:rsidRDefault="00B5625C" w:rsidP="004F5B40">
      <w:pPr>
        <w:widowControl/>
        <w:numPr>
          <w:ilvl w:val="0"/>
          <w:numId w:val="2"/>
        </w:numPr>
        <w:tabs>
          <w:tab w:val="left" w:pos="567"/>
          <w:tab w:val="num" w:pos="12305"/>
        </w:tabs>
        <w:adjustRightInd/>
        <w:spacing w:line="240" w:lineRule="auto"/>
        <w:ind w:left="0" w:firstLine="0"/>
        <w:textAlignment w:val="auto"/>
        <w:rPr>
          <w:kern w:val="2"/>
          <w:sz w:val="20"/>
          <w:szCs w:val="20"/>
          <w:lang w:val="es-ES" w:eastAsia="en-US"/>
        </w:rPr>
      </w:pPr>
      <w:r w:rsidRPr="00975C02">
        <w:rPr>
          <w:kern w:val="2"/>
          <w:sz w:val="20"/>
          <w:szCs w:val="20"/>
          <w:lang w:val="es-ES" w:eastAsia="en-US"/>
        </w:rPr>
        <w:t xml:space="preserve">A este respecto, el perito Miguel Cillero Bruñol declaró </w:t>
      </w:r>
      <w:r w:rsidR="003908D0" w:rsidRPr="00975C02">
        <w:rPr>
          <w:kern w:val="2"/>
          <w:sz w:val="20"/>
          <w:szCs w:val="20"/>
          <w:lang w:val="es-ES" w:eastAsia="en-US"/>
        </w:rPr>
        <w:t>ante esta Corte</w:t>
      </w:r>
      <w:r w:rsidR="00C003A2" w:rsidRPr="00975C02">
        <w:rPr>
          <w:kern w:val="2"/>
          <w:sz w:val="20"/>
          <w:szCs w:val="20"/>
          <w:lang w:val="es-ES" w:eastAsia="en-US"/>
        </w:rPr>
        <w:t xml:space="preserve"> que</w:t>
      </w:r>
      <w:r w:rsidRPr="00975C02">
        <w:rPr>
          <w:kern w:val="2"/>
          <w:sz w:val="20"/>
          <w:szCs w:val="20"/>
          <w:lang w:val="es-ES" w:eastAsia="en-US"/>
        </w:rPr>
        <w:t>:</w:t>
      </w:r>
    </w:p>
    <w:p w14:paraId="6A72A08E" w14:textId="77777777" w:rsidR="00B5625C" w:rsidRPr="00975C02" w:rsidRDefault="00B5625C" w:rsidP="00B5625C">
      <w:pPr>
        <w:widowControl/>
        <w:adjustRightInd/>
        <w:spacing w:line="240" w:lineRule="auto"/>
        <w:ind w:left="567" w:right="332"/>
        <w:jc w:val="left"/>
        <w:textAlignment w:val="auto"/>
        <w:rPr>
          <w:kern w:val="2"/>
          <w:sz w:val="20"/>
          <w:szCs w:val="20"/>
          <w:lang w:val="es-ES" w:eastAsia="en-US"/>
        </w:rPr>
      </w:pPr>
    </w:p>
    <w:p w14:paraId="4A866757" w14:textId="5FFB9A57" w:rsidR="00B5625C" w:rsidRPr="00240256" w:rsidRDefault="00B5625C" w:rsidP="00C821A3">
      <w:pPr>
        <w:widowControl/>
        <w:adjustRightInd/>
        <w:spacing w:line="240" w:lineRule="auto"/>
        <w:ind w:left="567" w:right="582"/>
        <w:textAlignment w:val="auto"/>
        <w:rPr>
          <w:kern w:val="2"/>
          <w:sz w:val="16"/>
          <w:szCs w:val="16"/>
          <w:lang w:val="es-ES" w:eastAsia="en-US"/>
        </w:rPr>
      </w:pPr>
      <w:r w:rsidRPr="00240256">
        <w:rPr>
          <w:kern w:val="2"/>
          <w:sz w:val="16"/>
          <w:szCs w:val="16"/>
          <w:lang w:val="es-ES" w:eastAsia="en-US"/>
        </w:rPr>
        <w:t xml:space="preserve">[u]no de los objetivos más claros de las reformas legales en América Latina vinculadas a la creación de códigos, estatutos de protección de los derechos de la niñez y la adolescencia […] exigen […] cuestiones fundamentales: [l]a coordinación de todas las actuaciones de asistencia, y eso está en toda la normativa y eso significa la coordinación de los sistemas de protección especial de niños víctimas o vulnerados sus derechos con los sistemas de políticas universales; un sistema de justicia completo que sea adecuado a las necesidades de los niños, particularmente </w:t>
      </w:r>
      <w:r w:rsidR="00963F2B" w:rsidRPr="00240256">
        <w:rPr>
          <w:kern w:val="2"/>
          <w:sz w:val="16"/>
          <w:szCs w:val="16"/>
          <w:lang w:val="es-ES" w:eastAsia="en-US"/>
        </w:rPr>
        <w:t>[…]</w:t>
      </w:r>
      <w:r w:rsidRPr="00240256">
        <w:rPr>
          <w:kern w:val="2"/>
          <w:sz w:val="16"/>
          <w:szCs w:val="16"/>
          <w:lang w:val="es-ES" w:eastAsia="en-US"/>
        </w:rPr>
        <w:t xml:space="preserve"> en aspectos probatorios y</w:t>
      </w:r>
      <w:r w:rsidR="00963F2B" w:rsidRPr="00240256">
        <w:rPr>
          <w:kern w:val="2"/>
          <w:sz w:val="16"/>
          <w:szCs w:val="16"/>
          <w:lang w:val="es-ES" w:eastAsia="en-US"/>
        </w:rPr>
        <w:t>,</w:t>
      </w:r>
      <w:r w:rsidRPr="00240256">
        <w:rPr>
          <w:kern w:val="2"/>
          <w:sz w:val="16"/>
          <w:szCs w:val="16"/>
          <w:lang w:val="es-ES" w:eastAsia="en-US"/>
        </w:rPr>
        <w:t xml:space="preserve"> fundamentalmente</w:t>
      </w:r>
      <w:r w:rsidR="00963F2B" w:rsidRPr="00240256">
        <w:rPr>
          <w:kern w:val="2"/>
          <w:sz w:val="16"/>
          <w:szCs w:val="16"/>
          <w:lang w:val="es-ES" w:eastAsia="en-US"/>
        </w:rPr>
        <w:t>,</w:t>
      </w:r>
      <w:r w:rsidRPr="00240256">
        <w:rPr>
          <w:kern w:val="2"/>
          <w:sz w:val="16"/>
          <w:szCs w:val="16"/>
          <w:lang w:val="es-ES" w:eastAsia="en-US"/>
        </w:rPr>
        <w:t xml:space="preserve"> en aspectos que tengan que ver con exámenes de salud u otros tipos de reparaciones; un sistema de terapias específicas y de asistencia espec</w:t>
      </w:r>
      <w:r w:rsidR="003908D0" w:rsidRPr="00240256">
        <w:rPr>
          <w:kern w:val="2"/>
          <w:sz w:val="16"/>
          <w:szCs w:val="16"/>
          <w:lang w:val="es-ES" w:eastAsia="en-US"/>
        </w:rPr>
        <w:t>í</w:t>
      </w:r>
      <w:r w:rsidRPr="00240256">
        <w:rPr>
          <w:kern w:val="2"/>
          <w:sz w:val="16"/>
          <w:szCs w:val="16"/>
          <w:lang w:val="es-ES" w:eastAsia="en-US"/>
        </w:rPr>
        <w:t>fica terapéutica respecto a estas víctimas para tratarl</w:t>
      </w:r>
      <w:r w:rsidR="003908D0" w:rsidRPr="00240256">
        <w:rPr>
          <w:kern w:val="2"/>
          <w:sz w:val="16"/>
          <w:szCs w:val="16"/>
          <w:lang w:val="es-ES" w:eastAsia="en-US"/>
        </w:rPr>
        <w:t>a</w:t>
      </w:r>
      <w:r w:rsidRPr="00240256">
        <w:rPr>
          <w:kern w:val="2"/>
          <w:sz w:val="16"/>
          <w:szCs w:val="16"/>
          <w:lang w:val="es-ES" w:eastAsia="en-US"/>
        </w:rPr>
        <w:t>s sobre su trauma; y finalmente</w:t>
      </w:r>
      <w:r w:rsidR="003908D0" w:rsidRPr="00240256">
        <w:rPr>
          <w:kern w:val="2"/>
          <w:sz w:val="16"/>
          <w:szCs w:val="16"/>
          <w:lang w:val="es-ES" w:eastAsia="en-US"/>
        </w:rPr>
        <w:t>,</w:t>
      </w:r>
      <w:r w:rsidRPr="00240256">
        <w:rPr>
          <w:kern w:val="2"/>
          <w:sz w:val="16"/>
          <w:szCs w:val="16"/>
          <w:lang w:val="es-ES" w:eastAsia="en-US"/>
        </w:rPr>
        <w:t xml:space="preserve"> un conjunto de condiciones específicas en las cuales la familia de ese niño va a tener los apoyos necesarios (en </w:t>
      </w:r>
      <w:r w:rsidRPr="00240256">
        <w:rPr>
          <w:kern w:val="2"/>
          <w:sz w:val="16"/>
          <w:szCs w:val="16"/>
          <w:lang w:val="es-ES" w:eastAsia="en-US"/>
        </w:rPr>
        <w:lastRenderedPageBreak/>
        <w:t>los casos que ello sea conveniente y no sea contrario a los intereses superiores) mantener el ámbito familiar o bien soluciones alternativas para re</w:t>
      </w:r>
      <w:r w:rsidR="00963F2B" w:rsidRPr="00240256">
        <w:rPr>
          <w:kern w:val="2"/>
          <w:sz w:val="16"/>
          <w:szCs w:val="16"/>
          <w:lang w:val="es-ES" w:eastAsia="en-US"/>
        </w:rPr>
        <w:t>construir ese vínculo familiar</w:t>
      </w:r>
      <w:r w:rsidR="005D7234">
        <w:rPr>
          <w:rStyle w:val="FootnoteReference"/>
          <w:kern w:val="2"/>
          <w:sz w:val="16"/>
          <w:szCs w:val="16"/>
          <w:lang w:val="es-ES" w:eastAsia="en-US"/>
        </w:rPr>
        <w:footnoteReference w:id="278"/>
      </w:r>
      <w:r w:rsidR="00963F2B" w:rsidRPr="00240256">
        <w:rPr>
          <w:kern w:val="2"/>
          <w:sz w:val="16"/>
          <w:szCs w:val="16"/>
          <w:lang w:val="es-ES" w:eastAsia="en-US"/>
        </w:rPr>
        <w:t>.</w:t>
      </w:r>
    </w:p>
    <w:p w14:paraId="213742D5" w14:textId="77777777" w:rsidR="00B5625C" w:rsidRPr="00975C02" w:rsidRDefault="00B5625C" w:rsidP="00B5625C">
      <w:pPr>
        <w:widowControl/>
        <w:adjustRightInd/>
        <w:spacing w:line="240" w:lineRule="auto"/>
        <w:jc w:val="left"/>
        <w:textAlignment w:val="auto"/>
        <w:rPr>
          <w:kern w:val="2"/>
          <w:sz w:val="20"/>
          <w:szCs w:val="20"/>
          <w:lang w:val="es-ES" w:eastAsia="en-US"/>
        </w:rPr>
      </w:pPr>
    </w:p>
    <w:p w14:paraId="600BB121" w14:textId="77777777" w:rsidR="00B5625C" w:rsidRPr="00975C02" w:rsidRDefault="00B5625C" w:rsidP="004F5B40">
      <w:pPr>
        <w:widowControl/>
        <w:numPr>
          <w:ilvl w:val="0"/>
          <w:numId w:val="2"/>
        </w:numPr>
        <w:tabs>
          <w:tab w:val="left" w:pos="567"/>
          <w:tab w:val="num" w:pos="12305"/>
        </w:tabs>
        <w:adjustRightInd/>
        <w:spacing w:line="240" w:lineRule="auto"/>
        <w:ind w:left="0" w:firstLine="0"/>
        <w:textAlignment w:val="auto"/>
        <w:rPr>
          <w:kern w:val="2"/>
          <w:sz w:val="20"/>
          <w:szCs w:val="20"/>
          <w:lang w:val="es-ES" w:eastAsia="en-US"/>
        </w:rPr>
      </w:pPr>
      <w:r w:rsidRPr="00975C02">
        <w:rPr>
          <w:kern w:val="2"/>
          <w:sz w:val="20"/>
          <w:szCs w:val="20"/>
          <w:lang w:val="es-ES" w:eastAsia="en-US"/>
        </w:rPr>
        <w:t>Del expediente de</w:t>
      </w:r>
      <w:r w:rsidR="00660708" w:rsidRPr="00975C02">
        <w:rPr>
          <w:kern w:val="2"/>
          <w:sz w:val="20"/>
          <w:szCs w:val="20"/>
          <w:lang w:val="es-ES" w:eastAsia="en-US"/>
        </w:rPr>
        <w:t xml:space="preserve"> este</w:t>
      </w:r>
      <w:r w:rsidRPr="00975C02">
        <w:rPr>
          <w:kern w:val="2"/>
          <w:sz w:val="20"/>
          <w:szCs w:val="20"/>
          <w:lang w:val="es-ES" w:eastAsia="en-US"/>
        </w:rPr>
        <w:t xml:space="preserve"> caso, la Corte no ha podido constatar que el Estado, a través de alguna de sus instituciones, haya requerido la participación inmediata</w:t>
      </w:r>
      <w:r w:rsidR="003F4FDF" w:rsidRPr="00975C02">
        <w:rPr>
          <w:kern w:val="2"/>
          <w:sz w:val="20"/>
          <w:szCs w:val="20"/>
          <w:lang w:val="es-ES" w:eastAsia="en-US"/>
        </w:rPr>
        <w:t xml:space="preserve"> después de interpuesta la denuncia</w:t>
      </w:r>
      <w:r w:rsidRPr="00975C02">
        <w:rPr>
          <w:kern w:val="2"/>
          <w:sz w:val="20"/>
          <w:szCs w:val="20"/>
          <w:lang w:val="es-ES" w:eastAsia="en-US"/>
        </w:rPr>
        <w:t xml:space="preserve"> de algún profesional especializado con el fin de</w:t>
      </w:r>
      <w:r w:rsidR="005C729D" w:rsidRPr="00975C02">
        <w:rPr>
          <w:kern w:val="2"/>
          <w:sz w:val="20"/>
          <w:szCs w:val="20"/>
          <w:lang w:val="es-ES" w:eastAsia="en-US"/>
        </w:rPr>
        <w:t xml:space="preserve"> que</w:t>
      </w:r>
      <w:r w:rsidRPr="00975C02">
        <w:rPr>
          <w:kern w:val="2"/>
          <w:sz w:val="20"/>
          <w:szCs w:val="20"/>
          <w:lang w:val="es-ES" w:eastAsia="en-US"/>
        </w:rPr>
        <w:t xml:space="preserve"> </w:t>
      </w:r>
      <w:r w:rsidR="005C729D" w:rsidRPr="00975C02">
        <w:rPr>
          <w:kern w:val="2"/>
          <w:sz w:val="20"/>
          <w:szCs w:val="20"/>
          <w:lang w:val="es-ES" w:eastAsia="en-US"/>
        </w:rPr>
        <w:t>informara</w:t>
      </w:r>
      <w:r w:rsidR="00660708" w:rsidRPr="00975C02">
        <w:rPr>
          <w:kern w:val="2"/>
          <w:sz w:val="20"/>
          <w:szCs w:val="20"/>
          <w:lang w:val="es-ES" w:eastAsia="en-US"/>
        </w:rPr>
        <w:t xml:space="preserve"> a la víctima o a su familia sobre el desarrollo del proceso y de las diligencias</w:t>
      </w:r>
      <w:r w:rsidR="005C729D" w:rsidRPr="00975C02">
        <w:rPr>
          <w:kern w:val="2"/>
          <w:sz w:val="20"/>
          <w:szCs w:val="20"/>
          <w:lang w:val="es-ES" w:eastAsia="en-US"/>
        </w:rPr>
        <w:t>, así como</w:t>
      </w:r>
      <w:r w:rsidR="00660708" w:rsidRPr="00975C02">
        <w:rPr>
          <w:kern w:val="2"/>
          <w:sz w:val="20"/>
          <w:szCs w:val="20"/>
          <w:lang w:val="es-ES" w:eastAsia="en-US"/>
        </w:rPr>
        <w:t xml:space="preserve"> </w:t>
      </w:r>
      <w:r w:rsidR="005C729D" w:rsidRPr="00975C02">
        <w:rPr>
          <w:kern w:val="2"/>
          <w:sz w:val="20"/>
          <w:szCs w:val="20"/>
          <w:lang w:val="es-ES" w:eastAsia="en-US"/>
        </w:rPr>
        <w:t>sobre la disponibilidad de atención en salud y</w:t>
      </w:r>
      <w:r w:rsidRPr="00975C02">
        <w:rPr>
          <w:kern w:val="2"/>
          <w:sz w:val="20"/>
          <w:szCs w:val="20"/>
          <w:lang w:val="es-ES" w:eastAsia="en-US"/>
        </w:rPr>
        <w:t xml:space="preserve"> </w:t>
      </w:r>
      <w:r w:rsidR="005C729D" w:rsidRPr="00975C02">
        <w:rPr>
          <w:kern w:val="2"/>
          <w:sz w:val="20"/>
          <w:szCs w:val="20"/>
          <w:lang w:val="es-ES" w:eastAsia="en-US"/>
        </w:rPr>
        <w:t>psicosocial, individual y como grupo familiar, y de las</w:t>
      </w:r>
      <w:r w:rsidRPr="00975C02">
        <w:rPr>
          <w:kern w:val="2"/>
          <w:sz w:val="20"/>
          <w:szCs w:val="20"/>
          <w:lang w:val="es-ES" w:eastAsia="en-US"/>
        </w:rPr>
        <w:t xml:space="preserve"> instituciones especializadas</w:t>
      </w:r>
      <w:r w:rsidR="005C729D" w:rsidRPr="00975C02">
        <w:rPr>
          <w:kern w:val="2"/>
          <w:sz w:val="20"/>
          <w:szCs w:val="20"/>
          <w:lang w:val="es-ES" w:eastAsia="en-US"/>
        </w:rPr>
        <w:t xml:space="preserve"> existentes </w:t>
      </w:r>
      <w:r w:rsidRPr="00975C02">
        <w:rPr>
          <w:kern w:val="2"/>
          <w:sz w:val="20"/>
          <w:szCs w:val="20"/>
          <w:lang w:val="es-ES" w:eastAsia="en-US"/>
        </w:rPr>
        <w:t>para</w:t>
      </w:r>
      <w:r w:rsidR="005C729D" w:rsidRPr="00975C02">
        <w:rPr>
          <w:kern w:val="2"/>
          <w:sz w:val="20"/>
          <w:szCs w:val="20"/>
          <w:lang w:val="es-ES" w:eastAsia="en-US"/>
        </w:rPr>
        <w:t xml:space="preserve"> brindar acompañamiento</w:t>
      </w:r>
      <w:r w:rsidRPr="00975C02">
        <w:rPr>
          <w:kern w:val="2"/>
          <w:sz w:val="20"/>
          <w:szCs w:val="20"/>
          <w:lang w:val="es-ES" w:eastAsia="en-US"/>
        </w:rPr>
        <w:t>.</w:t>
      </w:r>
    </w:p>
    <w:p w14:paraId="3B973154" w14:textId="77777777" w:rsidR="00B5625C" w:rsidRPr="00975C02" w:rsidRDefault="00B5625C" w:rsidP="00B5625C">
      <w:pPr>
        <w:widowControl/>
        <w:adjustRightInd/>
        <w:spacing w:line="240" w:lineRule="auto"/>
        <w:jc w:val="left"/>
        <w:textAlignment w:val="auto"/>
        <w:rPr>
          <w:kern w:val="2"/>
          <w:sz w:val="20"/>
          <w:szCs w:val="20"/>
          <w:lang w:val="es-ES" w:eastAsia="en-US"/>
        </w:rPr>
      </w:pPr>
    </w:p>
    <w:p w14:paraId="324C4466" w14:textId="518028A7" w:rsidR="00B5625C" w:rsidRPr="00975C02" w:rsidRDefault="00B5625C" w:rsidP="004F5B40">
      <w:pPr>
        <w:widowControl/>
        <w:numPr>
          <w:ilvl w:val="0"/>
          <w:numId w:val="2"/>
        </w:numPr>
        <w:tabs>
          <w:tab w:val="left" w:pos="567"/>
          <w:tab w:val="num" w:pos="12305"/>
        </w:tabs>
        <w:adjustRightInd/>
        <w:spacing w:line="240" w:lineRule="auto"/>
        <w:ind w:left="0" w:firstLine="0"/>
        <w:textAlignment w:val="auto"/>
        <w:rPr>
          <w:kern w:val="2"/>
          <w:sz w:val="20"/>
          <w:szCs w:val="20"/>
          <w:lang w:val="es-ES" w:eastAsia="en-US"/>
        </w:rPr>
      </w:pPr>
      <w:r w:rsidRPr="00975C02">
        <w:rPr>
          <w:kern w:val="2"/>
          <w:sz w:val="20"/>
          <w:szCs w:val="20"/>
          <w:lang w:val="es-ES" w:eastAsia="en-US"/>
        </w:rPr>
        <w:t xml:space="preserve">A su vez, </w:t>
      </w:r>
      <w:r w:rsidR="00783185" w:rsidRPr="00975C02">
        <w:rPr>
          <w:kern w:val="2"/>
          <w:sz w:val="20"/>
          <w:szCs w:val="20"/>
          <w:lang w:val="es-ES" w:eastAsia="en-US"/>
        </w:rPr>
        <w:t>la Corte constata</w:t>
      </w:r>
      <w:r w:rsidRPr="00975C02">
        <w:rPr>
          <w:kern w:val="2"/>
          <w:sz w:val="20"/>
          <w:szCs w:val="20"/>
          <w:lang w:val="es-ES" w:eastAsia="en-US"/>
        </w:rPr>
        <w:t xml:space="preserve"> que la única acción que el Estado adoptó como medida de acompañamiento, consistió en el nombramiento de una psiquiatra el 23 de noviembre de 2001, para que “d[iera] seguimiento a la niña V.R.P., para que en su momento[,] se evacúe informe de [su] estado emocional” (</w:t>
      </w:r>
      <w:r w:rsidRPr="00975C02">
        <w:rPr>
          <w:i/>
          <w:kern w:val="2"/>
          <w:sz w:val="20"/>
          <w:szCs w:val="20"/>
          <w:lang w:val="es-ES" w:eastAsia="en-US"/>
        </w:rPr>
        <w:t>supra</w:t>
      </w:r>
      <w:r w:rsidRPr="00975C02">
        <w:rPr>
          <w:kern w:val="2"/>
          <w:sz w:val="20"/>
          <w:szCs w:val="20"/>
          <w:lang w:val="es-ES" w:eastAsia="en-US"/>
        </w:rPr>
        <w:t xml:space="preserve"> párr. </w:t>
      </w:r>
      <w:r w:rsidR="001701D3" w:rsidRPr="00975C02">
        <w:rPr>
          <w:kern w:val="2"/>
          <w:sz w:val="20"/>
          <w:szCs w:val="20"/>
          <w:lang w:val="es-ES" w:eastAsia="en-US"/>
        </w:rPr>
        <w:t>80</w:t>
      </w:r>
      <w:r w:rsidRPr="00975C02">
        <w:rPr>
          <w:kern w:val="2"/>
          <w:sz w:val="20"/>
          <w:szCs w:val="20"/>
          <w:lang w:val="es-ES" w:eastAsia="en-US"/>
        </w:rPr>
        <w:t xml:space="preserve">). La psiquiatra participó en las siguientes diligencias y emitió los siguientes informes: a) el 26 de noviembre de 2001 realizó una consulta externa de psiquiatría en el Hospital Victoria </w:t>
      </w:r>
      <w:r w:rsidR="003908D0" w:rsidRPr="00975C02">
        <w:rPr>
          <w:kern w:val="2"/>
          <w:sz w:val="20"/>
          <w:szCs w:val="20"/>
          <w:lang w:val="es-ES" w:eastAsia="en-US"/>
        </w:rPr>
        <w:t xml:space="preserve">Motta </w:t>
      </w:r>
      <w:r w:rsidRPr="00975C02">
        <w:rPr>
          <w:kern w:val="2"/>
          <w:sz w:val="20"/>
          <w:szCs w:val="20"/>
          <w:lang w:val="es-ES" w:eastAsia="en-US"/>
        </w:rPr>
        <w:t xml:space="preserve">de Jinotega, en donde concluyó que el relato de los hechos de V.R.P. era confiable, claro y veraz, que sufría de estrés post-traumático y que recomendaba verificar sus lesiones genitales con anestesia en el Instituto de Medicina Legal de Managua; b) estuvo presente en la inspección ocular y reconstrucción de los hechos y durante el intento del primer examen médico legal; c) el 21 de febrero de 2002 emitió un informe de seguimiento de V.R.P. donde recomendó que la niña “necesitará, casi siempre, hasta alcanzar su madurez biológica y emocional, ayuda de </w:t>
      </w:r>
      <w:r w:rsidR="003908D0" w:rsidRPr="00975C02">
        <w:rPr>
          <w:kern w:val="2"/>
          <w:sz w:val="20"/>
          <w:szCs w:val="20"/>
          <w:lang w:val="es-ES" w:eastAsia="en-US"/>
        </w:rPr>
        <w:t>[p]</w:t>
      </w:r>
      <w:r w:rsidRPr="00975C02">
        <w:rPr>
          <w:kern w:val="2"/>
          <w:sz w:val="20"/>
          <w:szCs w:val="20"/>
          <w:lang w:val="es-ES" w:eastAsia="en-US"/>
        </w:rPr>
        <w:t xml:space="preserve">sicoterapeuta, ya que el daño recibido en su esfera física y </w:t>
      </w:r>
      <w:r w:rsidR="003908D0" w:rsidRPr="00975C02">
        <w:rPr>
          <w:kern w:val="2"/>
          <w:sz w:val="20"/>
          <w:szCs w:val="20"/>
          <w:lang w:val="es-ES" w:eastAsia="en-US"/>
        </w:rPr>
        <w:t>[p]</w:t>
      </w:r>
      <w:r w:rsidRPr="00975C02">
        <w:rPr>
          <w:kern w:val="2"/>
          <w:sz w:val="20"/>
          <w:szCs w:val="20"/>
          <w:lang w:val="es-ES" w:eastAsia="en-US"/>
        </w:rPr>
        <w:t>síquica, es de secuelas y lesiones duraderas […]. Si no se atiende terapéuticamente, puede llegar a desarrollar ideación suicida o hundirse en la depresión endógena. Por lo tanto, por precaución a no hacer más daño en su persona, se indica evitar la revictimización de la paciente, no permitiendo que ella siga estando presente en los recuerdos del hecho acaecido o de perjuicio que le haya sucedido o interrogándosele al respecto”, y d) el 22 de abril de 2001 emitió una epicrisis en la cual concluyó que V.R.P. sufría de estrés post-traumático a nivel psicológico y derivó su tratamiento a psicología por “prevención de secuelas por abuso sexual que podrían interferir en su conducta futura a nivel de comunicación y relación de su entorno”.</w:t>
      </w:r>
    </w:p>
    <w:p w14:paraId="32E8D193" w14:textId="77777777" w:rsidR="00B5625C" w:rsidRPr="00975C02" w:rsidRDefault="00B5625C" w:rsidP="00B5625C">
      <w:pPr>
        <w:widowControl/>
        <w:adjustRightInd/>
        <w:spacing w:line="240" w:lineRule="auto"/>
        <w:jc w:val="left"/>
        <w:textAlignment w:val="auto"/>
        <w:rPr>
          <w:kern w:val="2"/>
          <w:sz w:val="20"/>
          <w:szCs w:val="20"/>
          <w:lang w:val="es-ES" w:eastAsia="en-US"/>
        </w:rPr>
      </w:pPr>
    </w:p>
    <w:p w14:paraId="28BCCA0C" w14:textId="3CB3FEA8" w:rsidR="00E54EE1" w:rsidRPr="00975C02" w:rsidRDefault="00A01C02" w:rsidP="00E54EE1">
      <w:pPr>
        <w:widowControl/>
        <w:numPr>
          <w:ilvl w:val="0"/>
          <w:numId w:val="2"/>
        </w:numPr>
        <w:tabs>
          <w:tab w:val="left" w:pos="567"/>
          <w:tab w:val="num" w:pos="12305"/>
        </w:tabs>
        <w:adjustRightInd/>
        <w:spacing w:line="240" w:lineRule="auto"/>
        <w:ind w:left="0" w:firstLine="0"/>
        <w:textAlignment w:val="auto"/>
        <w:rPr>
          <w:kern w:val="2"/>
          <w:sz w:val="20"/>
          <w:szCs w:val="20"/>
          <w:lang w:val="es-ES" w:eastAsia="en-US"/>
        </w:rPr>
      </w:pPr>
      <w:r w:rsidRPr="00975C02">
        <w:rPr>
          <w:kern w:val="2"/>
          <w:sz w:val="20"/>
          <w:szCs w:val="20"/>
          <w:lang w:val="es-ES" w:eastAsia="en-US"/>
        </w:rPr>
        <w:t>El Tribunal comprueba que, desde la valoración psicológica inicial realizada a V.R.P. el 27 de noviembre de 2001 por una psicóloga del Instituto de Medicina Legal a solicitud de la jueza penal del caso (</w:t>
      </w:r>
      <w:r w:rsidRPr="00975C02">
        <w:rPr>
          <w:i/>
          <w:kern w:val="2"/>
          <w:sz w:val="20"/>
          <w:szCs w:val="20"/>
          <w:lang w:val="es-ES" w:eastAsia="en-US"/>
        </w:rPr>
        <w:t xml:space="preserve">supra </w:t>
      </w:r>
      <w:r w:rsidRPr="00975C02">
        <w:rPr>
          <w:kern w:val="2"/>
          <w:sz w:val="20"/>
          <w:szCs w:val="20"/>
          <w:lang w:val="es-ES" w:eastAsia="en-US"/>
        </w:rPr>
        <w:t xml:space="preserve">párr. </w:t>
      </w:r>
      <w:r w:rsidR="001701D3" w:rsidRPr="00975C02">
        <w:rPr>
          <w:kern w:val="2"/>
          <w:sz w:val="20"/>
          <w:szCs w:val="20"/>
          <w:lang w:val="es-ES" w:eastAsia="en-US"/>
        </w:rPr>
        <w:t>84</w:t>
      </w:r>
      <w:r w:rsidRPr="00975C02">
        <w:rPr>
          <w:kern w:val="2"/>
          <w:sz w:val="20"/>
          <w:szCs w:val="20"/>
          <w:lang w:val="es-ES" w:eastAsia="en-US"/>
        </w:rPr>
        <w:t>), se indicó que la niña requería un tratamiento terapéutico a largo plazo. Asimismo, en las evaluaciones posteriores</w:t>
      </w:r>
      <w:r w:rsidR="00E54EE1" w:rsidRPr="00975C02">
        <w:rPr>
          <w:kern w:val="2"/>
          <w:sz w:val="20"/>
          <w:szCs w:val="20"/>
          <w:lang w:val="es-ES" w:eastAsia="en-US"/>
        </w:rPr>
        <w:t xml:space="preserve"> realizadas por la psiquiatra</w:t>
      </w:r>
      <w:r w:rsidRPr="00975C02">
        <w:rPr>
          <w:kern w:val="2"/>
          <w:sz w:val="20"/>
          <w:szCs w:val="20"/>
          <w:lang w:val="es-ES" w:eastAsia="en-US"/>
        </w:rPr>
        <w:t xml:space="preserve"> se reiteró dicha solicitud debido a las afectaciones psicológicas y al estrés post-traumático diagnosticado. Ante tales indicaciones claras en cuanto a la necesidad de un tratamiento psicológico, no consta que el Estado lo haya proveído a través de sus instituciones públicas de salud.</w:t>
      </w:r>
      <w:r w:rsidR="00E54EE1" w:rsidRPr="00975C02">
        <w:rPr>
          <w:kern w:val="2"/>
          <w:sz w:val="20"/>
          <w:szCs w:val="20"/>
          <w:lang w:val="es-ES" w:eastAsia="en-US"/>
        </w:rPr>
        <w:t xml:space="preserve"> Tampoco </w:t>
      </w:r>
      <w:r w:rsidR="00E31BCA" w:rsidRPr="00975C02">
        <w:rPr>
          <w:kern w:val="2"/>
          <w:sz w:val="20"/>
          <w:szCs w:val="20"/>
          <w:lang w:val="es-ES" w:eastAsia="en-US"/>
        </w:rPr>
        <w:t>es claro</w:t>
      </w:r>
      <w:r w:rsidR="00B5625C" w:rsidRPr="00975C02">
        <w:rPr>
          <w:kern w:val="2"/>
          <w:sz w:val="20"/>
          <w:szCs w:val="20"/>
          <w:lang w:val="es-ES" w:eastAsia="en-US"/>
        </w:rPr>
        <w:t xml:space="preserve"> si la psiquiatra brindó un tratamiento terapéutico a V.R.P. de manera constante, con el objetivo de</w:t>
      </w:r>
      <w:r w:rsidR="003908D0" w:rsidRPr="00975C02">
        <w:rPr>
          <w:kern w:val="2"/>
          <w:sz w:val="20"/>
          <w:szCs w:val="20"/>
          <w:lang w:val="es-ES" w:eastAsia="en-US"/>
        </w:rPr>
        <w:t xml:space="preserve"> que</w:t>
      </w:r>
      <w:r w:rsidR="00B5625C" w:rsidRPr="00975C02">
        <w:rPr>
          <w:kern w:val="2"/>
          <w:sz w:val="20"/>
          <w:szCs w:val="20"/>
          <w:lang w:val="es-ES" w:eastAsia="en-US"/>
        </w:rPr>
        <w:t xml:space="preserve"> la niña iniciara un proceso de rehabilitación y reintegración, ya que desde su nombramiento el 23 de noviembre de 2001 </w:t>
      </w:r>
      <w:r w:rsidR="003908D0" w:rsidRPr="00975C02">
        <w:rPr>
          <w:kern w:val="2"/>
          <w:sz w:val="20"/>
          <w:szCs w:val="20"/>
          <w:lang w:val="es-ES" w:eastAsia="en-US"/>
        </w:rPr>
        <w:t>hasta e</w:t>
      </w:r>
      <w:r w:rsidR="00B5625C" w:rsidRPr="00975C02">
        <w:rPr>
          <w:kern w:val="2"/>
          <w:sz w:val="20"/>
          <w:szCs w:val="20"/>
          <w:lang w:val="es-ES" w:eastAsia="en-US"/>
        </w:rPr>
        <w:t xml:space="preserve">l 22 de abril de 2002, fecha en la cual la derivó a </w:t>
      </w:r>
      <w:r w:rsidR="00E31BCA" w:rsidRPr="00975C02">
        <w:rPr>
          <w:kern w:val="2"/>
          <w:sz w:val="20"/>
          <w:szCs w:val="20"/>
          <w:lang w:val="es-ES" w:eastAsia="en-US"/>
        </w:rPr>
        <w:t>terapia psicológica</w:t>
      </w:r>
      <w:r w:rsidR="00B5625C" w:rsidRPr="00975C02">
        <w:rPr>
          <w:kern w:val="2"/>
          <w:sz w:val="20"/>
          <w:szCs w:val="20"/>
          <w:lang w:val="es-ES" w:eastAsia="en-US"/>
        </w:rPr>
        <w:t xml:space="preserve">, solo consta en </w:t>
      </w:r>
      <w:r w:rsidR="00B75585" w:rsidRPr="00975C02">
        <w:rPr>
          <w:kern w:val="2"/>
          <w:sz w:val="20"/>
          <w:szCs w:val="20"/>
          <w:lang w:val="es-ES" w:eastAsia="en-US"/>
        </w:rPr>
        <w:t xml:space="preserve">la prueba aportada ante esta Corte que </w:t>
      </w:r>
      <w:r w:rsidR="00B5625C" w:rsidRPr="00975C02">
        <w:rPr>
          <w:kern w:val="2"/>
          <w:sz w:val="20"/>
          <w:szCs w:val="20"/>
          <w:lang w:val="es-ES" w:eastAsia="en-US"/>
        </w:rPr>
        <w:t>trat</w:t>
      </w:r>
      <w:r w:rsidR="00B75585" w:rsidRPr="00975C02">
        <w:rPr>
          <w:kern w:val="2"/>
          <w:sz w:val="20"/>
          <w:szCs w:val="20"/>
          <w:lang w:val="es-ES" w:eastAsia="en-US"/>
        </w:rPr>
        <w:t>ó</w:t>
      </w:r>
      <w:r w:rsidR="00B5625C" w:rsidRPr="00975C02">
        <w:rPr>
          <w:kern w:val="2"/>
          <w:sz w:val="20"/>
          <w:szCs w:val="20"/>
          <w:lang w:val="es-ES" w:eastAsia="en-US"/>
        </w:rPr>
        <w:t xml:space="preserve"> a V.R.P. en con</w:t>
      </w:r>
      <w:r w:rsidR="00E54EE1" w:rsidRPr="00975C02">
        <w:rPr>
          <w:kern w:val="2"/>
          <w:sz w:val="20"/>
          <w:szCs w:val="20"/>
          <w:lang w:val="es-ES" w:eastAsia="en-US"/>
        </w:rPr>
        <w:t>tadas ocasiones.</w:t>
      </w:r>
    </w:p>
    <w:p w14:paraId="6D9FF96F" w14:textId="77777777" w:rsidR="00E54EE1" w:rsidRPr="00975C02" w:rsidRDefault="00E54EE1" w:rsidP="00E54EE1">
      <w:pPr>
        <w:widowControl/>
        <w:tabs>
          <w:tab w:val="left" w:pos="567"/>
        </w:tabs>
        <w:adjustRightInd/>
        <w:spacing w:line="240" w:lineRule="auto"/>
        <w:textAlignment w:val="auto"/>
        <w:rPr>
          <w:kern w:val="2"/>
          <w:sz w:val="20"/>
          <w:szCs w:val="20"/>
          <w:lang w:val="es-ES" w:eastAsia="en-US"/>
        </w:rPr>
      </w:pPr>
    </w:p>
    <w:p w14:paraId="2D3117AE" w14:textId="3F0EE152" w:rsidR="00B5625C" w:rsidRPr="00975C02" w:rsidRDefault="00B5625C" w:rsidP="00E54EE1">
      <w:pPr>
        <w:widowControl/>
        <w:numPr>
          <w:ilvl w:val="0"/>
          <w:numId w:val="2"/>
        </w:numPr>
        <w:tabs>
          <w:tab w:val="left" w:pos="567"/>
          <w:tab w:val="num" w:pos="12305"/>
        </w:tabs>
        <w:adjustRightInd/>
        <w:spacing w:line="240" w:lineRule="auto"/>
        <w:ind w:left="0" w:firstLine="0"/>
        <w:textAlignment w:val="auto"/>
        <w:rPr>
          <w:kern w:val="2"/>
          <w:sz w:val="20"/>
          <w:szCs w:val="20"/>
          <w:lang w:val="es-ES" w:eastAsia="en-US"/>
        </w:rPr>
      </w:pPr>
      <w:r w:rsidRPr="00975C02">
        <w:rPr>
          <w:kern w:val="2"/>
          <w:sz w:val="20"/>
          <w:szCs w:val="20"/>
          <w:lang w:val="es-ES" w:eastAsia="en-US"/>
        </w:rPr>
        <w:t xml:space="preserve">Si bien V.R.P., V.P.C. y N.R.P. salieron de Nicaragua el 6 de diciembre de 2002, la Corte constata que transcurrieron casi ocho meses sin que la niña ni su familia </w:t>
      </w:r>
      <w:r w:rsidR="009C3DF0" w:rsidRPr="00975C02">
        <w:rPr>
          <w:kern w:val="2"/>
          <w:sz w:val="20"/>
          <w:szCs w:val="20"/>
          <w:lang w:val="es-ES" w:eastAsia="en-US"/>
        </w:rPr>
        <w:t xml:space="preserve">recibieran </w:t>
      </w:r>
      <w:r w:rsidRPr="00975C02">
        <w:rPr>
          <w:kern w:val="2"/>
          <w:sz w:val="20"/>
          <w:szCs w:val="20"/>
          <w:lang w:val="es-ES" w:eastAsia="en-US"/>
        </w:rPr>
        <w:t>tratamiento psicológic</w:t>
      </w:r>
      <w:r w:rsidR="009C3DF0" w:rsidRPr="00975C02">
        <w:rPr>
          <w:kern w:val="2"/>
          <w:sz w:val="20"/>
          <w:szCs w:val="20"/>
          <w:lang w:val="es-ES" w:eastAsia="en-US"/>
        </w:rPr>
        <w:t>o</w:t>
      </w:r>
      <w:r w:rsidRPr="00975C02">
        <w:rPr>
          <w:kern w:val="2"/>
          <w:sz w:val="20"/>
          <w:szCs w:val="20"/>
          <w:lang w:val="es-ES" w:eastAsia="en-US"/>
        </w:rPr>
        <w:t xml:space="preserve">. La Corte resalta que V.R.P., quien cuenta con 25 años de edad en la actualidad, continúa sufriendo las secuelas psicológicas de la violación sexual y de la falta de atención médica oportuna y continua que el Estado debió brindarle a efectos de recuperarse del cuadro estrés </w:t>
      </w:r>
      <w:r w:rsidR="003908D0" w:rsidRPr="00975C02">
        <w:rPr>
          <w:kern w:val="2"/>
          <w:sz w:val="20"/>
          <w:szCs w:val="20"/>
          <w:lang w:val="es-ES" w:eastAsia="en-US"/>
        </w:rPr>
        <w:t xml:space="preserve">de </w:t>
      </w:r>
      <w:r w:rsidRPr="00975C02">
        <w:rPr>
          <w:kern w:val="2"/>
          <w:sz w:val="20"/>
          <w:szCs w:val="20"/>
          <w:lang w:val="es-ES" w:eastAsia="en-US"/>
        </w:rPr>
        <w:t xml:space="preserve">post-traumático diagnosticado. A su vez, tampoco se brindó atención psicoterapéutica continua al </w:t>
      </w:r>
      <w:r w:rsidRPr="00975C02">
        <w:rPr>
          <w:kern w:val="2"/>
          <w:sz w:val="20"/>
          <w:szCs w:val="20"/>
          <w:lang w:val="es-ES" w:eastAsia="en-US"/>
        </w:rPr>
        <w:lastRenderedPageBreak/>
        <w:t xml:space="preserve">grupo familiar de V.R.P. quienes debían también recibir medidas de </w:t>
      </w:r>
      <w:r w:rsidR="007A074C" w:rsidRPr="00975C02">
        <w:rPr>
          <w:kern w:val="2"/>
          <w:sz w:val="20"/>
          <w:szCs w:val="20"/>
          <w:lang w:val="es-ES" w:eastAsia="en-US"/>
        </w:rPr>
        <w:t>atención integral</w:t>
      </w:r>
      <w:r w:rsidRPr="00975C02">
        <w:rPr>
          <w:kern w:val="2"/>
          <w:sz w:val="20"/>
          <w:szCs w:val="20"/>
          <w:lang w:val="es-ES" w:eastAsia="en-US"/>
        </w:rPr>
        <w:t xml:space="preserve"> con el fin de brindar un entorno familiar propicio para la recuperación y reintegración de la </w:t>
      </w:r>
      <w:r w:rsidR="00F903D6" w:rsidRPr="00975C02">
        <w:rPr>
          <w:kern w:val="2"/>
          <w:sz w:val="20"/>
          <w:szCs w:val="20"/>
          <w:lang w:val="es-ES" w:eastAsia="en-US"/>
        </w:rPr>
        <w:t>niña</w:t>
      </w:r>
      <w:r w:rsidR="007E2E6F" w:rsidRPr="00975C02">
        <w:rPr>
          <w:kern w:val="2"/>
          <w:sz w:val="20"/>
          <w:szCs w:val="20"/>
          <w:lang w:val="es-ES" w:eastAsia="en-US"/>
        </w:rPr>
        <w:t>.</w:t>
      </w:r>
    </w:p>
    <w:p w14:paraId="4F662788" w14:textId="77777777" w:rsidR="00C003A2" w:rsidRPr="00975C02" w:rsidRDefault="00C003A2" w:rsidP="00C003A2">
      <w:pPr>
        <w:widowControl/>
        <w:tabs>
          <w:tab w:val="left" w:pos="567"/>
        </w:tabs>
        <w:adjustRightInd/>
        <w:spacing w:line="240" w:lineRule="auto"/>
        <w:textAlignment w:val="auto"/>
        <w:rPr>
          <w:kern w:val="2"/>
          <w:sz w:val="20"/>
          <w:szCs w:val="20"/>
          <w:lang w:val="es-ES" w:eastAsia="en-US"/>
        </w:rPr>
      </w:pPr>
    </w:p>
    <w:p w14:paraId="1D076486" w14:textId="21069B90" w:rsidR="00B5625C" w:rsidRPr="00975C02" w:rsidRDefault="00B5625C" w:rsidP="00A422F9">
      <w:pPr>
        <w:widowControl/>
        <w:numPr>
          <w:ilvl w:val="0"/>
          <w:numId w:val="2"/>
        </w:numPr>
        <w:tabs>
          <w:tab w:val="left" w:pos="567"/>
          <w:tab w:val="num" w:pos="12305"/>
        </w:tabs>
        <w:adjustRightInd/>
        <w:spacing w:line="240" w:lineRule="auto"/>
        <w:ind w:left="0" w:firstLine="0"/>
        <w:textAlignment w:val="auto"/>
        <w:rPr>
          <w:kern w:val="2"/>
          <w:sz w:val="20"/>
          <w:szCs w:val="20"/>
          <w:lang w:val="es-ES" w:eastAsia="en-US"/>
        </w:rPr>
      </w:pPr>
      <w:r w:rsidRPr="00975C02">
        <w:rPr>
          <w:kern w:val="2"/>
          <w:sz w:val="20"/>
          <w:szCs w:val="20"/>
          <w:lang w:val="es-ES" w:eastAsia="en-US"/>
        </w:rPr>
        <w:t xml:space="preserve">Asimismo, </w:t>
      </w:r>
      <w:r w:rsidR="00A422F9" w:rsidRPr="00975C02">
        <w:rPr>
          <w:kern w:val="2"/>
          <w:sz w:val="20"/>
          <w:szCs w:val="20"/>
          <w:lang w:val="es-ES" w:eastAsia="en-US"/>
        </w:rPr>
        <w:t xml:space="preserve">según informó el Estado, </w:t>
      </w:r>
      <w:r w:rsidRPr="00975C02">
        <w:rPr>
          <w:kern w:val="2"/>
          <w:sz w:val="20"/>
          <w:szCs w:val="20"/>
          <w:lang w:val="es-ES" w:eastAsia="en-US"/>
        </w:rPr>
        <w:t xml:space="preserve">el Consejo Nacional de Atención y Protección Integral a la Niñez y la Adolescencia solicitó al Ministerio de </w:t>
      </w:r>
      <w:r w:rsidR="007C2E84" w:rsidRPr="00975C02">
        <w:rPr>
          <w:kern w:val="2"/>
          <w:sz w:val="20"/>
          <w:szCs w:val="20"/>
          <w:lang w:val="es-ES" w:eastAsia="en-US"/>
        </w:rPr>
        <w:t xml:space="preserve">la </w:t>
      </w:r>
      <w:r w:rsidRPr="00975C02">
        <w:rPr>
          <w:kern w:val="2"/>
          <w:sz w:val="20"/>
          <w:szCs w:val="20"/>
          <w:lang w:val="es-ES" w:eastAsia="en-US"/>
        </w:rPr>
        <w:t>Familia la realización de un estudio biopsicosocial a V.R.P.</w:t>
      </w:r>
      <w:r w:rsidR="00A422F9" w:rsidRPr="00975C02">
        <w:rPr>
          <w:kern w:val="2"/>
          <w:sz w:val="20"/>
          <w:szCs w:val="20"/>
          <w:lang w:val="es-ES" w:eastAsia="en-US"/>
        </w:rPr>
        <w:t xml:space="preserve"> para la recuperación de las secuelas causadas a la niña</w:t>
      </w:r>
      <w:r w:rsidR="00A422F9" w:rsidRPr="00975C02">
        <w:rPr>
          <w:rStyle w:val="FootnoteReference"/>
          <w:kern w:val="2"/>
          <w:sz w:val="20"/>
          <w:szCs w:val="20"/>
          <w:lang w:val="es-ES" w:eastAsia="en-US"/>
        </w:rPr>
        <w:footnoteReference w:id="279"/>
      </w:r>
      <w:r w:rsidR="00A422F9" w:rsidRPr="00975C02">
        <w:rPr>
          <w:kern w:val="2"/>
          <w:sz w:val="20"/>
          <w:szCs w:val="20"/>
          <w:lang w:val="es-ES" w:eastAsia="en-US"/>
        </w:rPr>
        <w:t>. Éste a su vez</w:t>
      </w:r>
      <w:r w:rsidRPr="00975C02">
        <w:rPr>
          <w:kern w:val="2"/>
          <w:sz w:val="20"/>
          <w:szCs w:val="20"/>
          <w:lang w:val="es-ES" w:eastAsia="en-US"/>
        </w:rPr>
        <w:t xml:space="preserve"> solicitó a un juez civil que se d</w:t>
      </w:r>
      <w:r w:rsidR="00A422F9" w:rsidRPr="00975C02">
        <w:rPr>
          <w:kern w:val="2"/>
          <w:sz w:val="20"/>
          <w:szCs w:val="20"/>
          <w:lang w:val="es-ES" w:eastAsia="en-US"/>
        </w:rPr>
        <w:t>iera</w:t>
      </w:r>
      <w:r w:rsidRPr="00975C02">
        <w:rPr>
          <w:kern w:val="2"/>
          <w:sz w:val="20"/>
          <w:szCs w:val="20"/>
          <w:lang w:val="es-ES" w:eastAsia="en-US"/>
        </w:rPr>
        <w:t xml:space="preserve"> respuesta a la solicitud de nulidad de veredicto de inocencia presentado por V.P.C.</w:t>
      </w:r>
      <w:r w:rsidR="00A422F9" w:rsidRPr="00975C02">
        <w:rPr>
          <w:kern w:val="2"/>
          <w:sz w:val="20"/>
          <w:szCs w:val="20"/>
          <w:lang w:val="es-ES" w:eastAsia="en-US"/>
        </w:rPr>
        <w:t xml:space="preserve"> “con la finalidad de que la retardación de justicia no afecte sus derechos humanos”</w:t>
      </w:r>
      <w:r w:rsidR="00A422F9" w:rsidRPr="00975C02">
        <w:rPr>
          <w:rStyle w:val="FootnoteReference"/>
          <w:kern w:val="2"/>
          <w:sz w:val="20"/>
          <w:szCs w:val="20"/>
          <w:lang w:val="es-ES" w:eastAsia="en-US"/>
        </w:rPr>
        <w:footnoteReference w:id="280"/>
      </w:r>
      <w:r w:rsidR="00A422F9" w:rsidRPr="00975C02">
        <w:rPr>
          <w:kern w:val="2"/>
          <w:sz w:val="20"/>
          <w:szCs w:val="20"/>
          <w:lang w:val="es-ES" w:eastAsia="en-US"/>
        </w:rPr>
        <w:t>.</w:t>
      </w:r>
      <w:r w:rsidR="00053399" w:rsidRPr="00975C02">
        <w:rPr>
          <w:kern w:val="2"/>
          <w:sz w:val="20"/>
          <w:szCs w:val="20"/>
          <w:lang w:val="es-ES" w:eastAsia="en-US"/>
        </w:rPr>
        <w:t xml:space="preserve"> No obstante, el Estado no informó si tal informe efectivamente se llevó a cabo u otras actuaciones que se hubieran derivado del mismo.</w:t>
      </w:r>
    </w:p>
    <w:p w14:paraId="3FA83389" w14:textId="77777777" w:rsidR="00F63EBB" w:rsidRPr="00975C02" w:rsidRDefault="00F63EBB" w:rsidP="00F63EBB">
      <w:pPr>
        <w:widowControl/>
        <w:tabs>
          <w:tab w:val="left" w:pos="567"/>
        </w:tabs>
        <w:adjustRightInd/>
        <w:spacing w:line="240" w:lineRule="auto"/>
        <w:jc w:val="left"/>
        <w:textAlignment w:val="auto"/>
        <w:rPr>
          <w:kern w:val="2"/>
          <w:sz w:val="20"/>
          <w:szCs w:val="20"/>
          <w:lang w:val="es-ES" w:eastAsia="en-US"/>
        </w:rPr>
      </w:pPr>
    </w:p>
    <w:p w14:paraId="32CDD3DB" w14:textId="27223EEF" w:rsidR="00F63EBB" w:rsidRPr="00975C02" w:rsidRDefault="004E6B37" w:rsidP="00F63EBB">
      <w:pPr>
        <w:widowControl/>
        <w:numPr>
          <w:ilvl w:val="0"/>
          <w:numId w:val="2"/>
        </w:numPr>
        <w:tabs>
          <w:tab w:val="left" w:pos="567"/>
          <w:tab w:val="num" w:pos="12305"/>
        </w:tabs>
        <w:adjustRightInd/>
        <w:spacing w:line="240" w:lineRule="auto"/>
        <w:ind w:left="0" w:firstLine="0"/>
        <w:textAlignment w:val="auto"/>
        <w:rPr>
          <w:kern w:val="2"/>
          <w:sz w:val="20"/>
          <w:szCs w:val="20"/>
          <w:lang w:val="es-ES" w:eastAsia="en-US"/>
        </w:rPr>
      </w:pPr>
      <w:r w:rsidRPr="00975C02">
        <w:rPr>
          <w:kern w:val="2"/>
          <w:sz w:val="20"/>
          <w:szCs w:val="20"/>
          <w:lang w:val="es-ES" w:eastAsia="en-US"/>
        </w:rPr>
        <w:t>Por otra parte, e</w:t>
      </w:r>
      <w:r w:rsidR="00D87E4C" w:rsidRPr="00975C02">
        <w:rPr>
          <w:kern w:val="2"/>
          <w:sz w:val="20"/>
          <w:szCs w:val="20"/>
          <w:lang w:val="es-ES" w:eastAsia="en-US"/>
        </w:rPr>
        <w:t xml:space="preserve">l Tribunal nota que la Procuraduría para la Defensa de los Derechos Humanos actuó como agente fiscalizador en el proceso penal por violación sexual </w:t>
      </w:r>
      <w:r w:rsidR="00D87E4C" w:rsidRPr="00975C02">
        <w:rPr>
          <w:kern w:val="2"/>
          <w:sz w:val="20"/>
          <w:szCs w:val="20"/>
          <w:lang w:val="es-ES"/>
        </w:rPr>
        <w:t>en perjuicio de la niña</w:t>
      </w:r>
      <w:r w:rsidR="00D87E4C" w:rsidRPr="00975C02">
        <w:rPr>
          <w:kern w:val="2"/>
          <w:sz w:val="20"/>
          <w:szCs w:val="20"/>
          <w:lang w:val="es-ES" w:eastAsia="en-US"/>
        </w:rPr>
        <w:t xml:space="preserve"> y emitió un informe resaltando diversas irregularidades en el proceso</w:t>
      </w:r>
      <w:r w:rsidR="00236DB3" w:rsidRPr="00975C02">
        <w:rPr>
          <w:kern w:val="2"/>
          <w:sz w:val="20"/>
          <w:szCs w:val="20"/>
          <w:lang w:val="es-ES" w:eastAsia="en-US"/>
        </w:rPr>
        <w:t xml:space="preserve"> (</w:t>
      </w:r>
      <w:r w:rsidR="00236DB3" w:rsidRPr="00975C02">
        <w:rPr>
          <w:i/>
          <w:kern w:val="2"/>
          <w:sz w:val="20"/>
          <w:szCs w:val="20"/>
          <w:lang w:val="es-ES" w:eastAsia="en-US"/>
        </w:rPr>
        <w:t>supra</w:t>
      </w:r>
      <w:r w:rsidR="00236DB3" w:rsidRPr="00975C02">
        <w:rPr>
          <w:kern w:val="2"/>
          <w:sz w:val="20"/>
          <w:szCs w:val="20"/>
          <w:lang w:val="es-ES" w:eastAsia="en-US"/>
        </w:rPr>
        <w:t xml:space="preserve"> párr. </w:t>
      </w:r>
      <w:r w:rsidR="009D646B" w:rsidRPr="00975C02">
        <w:rPr>
          <w:kern w:val="2"/>
          <w:sz w:val="20"/>
          <w:szCs w:val="20"/>
          <w:lang w:val="es-ES" w:eastAsia="en-US"/>
        </w:rPr>
        <w:t>100</w:t>
      </w:r>
      <w:r w:rsidR="00236DB3" w:rsidRPr="00975C02">
        <w:rPr>
          <w:kern w:val="2"/>
          <w:sz w:val="20"/>
          <w:szCs w:val="20"/>
          <w:lang w:val="es-ES" w:eastAsia="en-US"/>
        </w:rPr>
        <w:t>)</w:t>
      </w:r>
      <w:r w:rsidRPr="00975C02">
        <w:rPr>
          <w:kern w:val="2"/>
          <w:sz w:val="20"/>
          <w:szCs w:val="20"/>
          <w:lang w:val="es-ES" w:eastAsia="en-US"/>
        </w:rPr>
        <w:t xml:space="preserve">. </w:t>
      </w:r>
      <w:r w:rsidR="00F63EBB" w:rsidRPr="00975C02">
        <w:rPr>
          <w:kern w:val="2"/>
          <w:sz w:val="20"/>
          <w:szCs w:val="20"/>
          <w:lang w:val="es-ES" w:eastAsia="en-US"/>
        </w:rPr>
        <w:t xml:space="preserve">Sin embargo, </w:t>
      </w:r>
      <w:r w:rsidR="00800834" w:rsidRPr="00975C02">
        <w:rPr>
          <w:kern w:val="2"/>
          <w:sz w:val="20"/>
          <w:szCs w:val="20"/>
          <w:lang w:val="es-ES" w:eastAsia="en-US"/>
        </w:rPr>
        <w:t>conforme a la información con la que cuenta la Corte,</w:t>
      </w:r>
      <w:r w:rsidR="00F63EBB" w:rsidRPr="00975C02">
        <w:rPr>
          <w:kern w:val="2"/>
          <w:sz w:val="20"/>
          <w:szCs w:val="20"/>
          <w:lang w:val="es-ES" w:eastAsia="en-US"/>
        </w:rPr>
        <w:t xml:space="preserve"> </w:t>
      </w:r>
      <w:r w:rsidR="00800834" w:rsidRPr="00975C02">
        <w:rPr>
          <w:kern w:val="2"/>
          <w:sz w:val="20"/>
          <w:szCs w:val="20"/>
          <w:lang w:val="es-ES" w:eastAsia="en-US"/>
        </w:rPr>
        <w:t xml:space="preserve">dicha institución no </w:t>
      </w:r>
      <w:r w:rsidR="00F63EBB" w:rsidRPr="00975C02">
        <w:rPr>
          <w:kern w:val="2"/>
          <w:sz w:val="20"/>
          <w:szCs w:val="20"/>
          <w:lang w:val="es-ES" w:eastAsia="en-US"/>
        </w:rPr>
        <w:t xml:space="preserve">tenía las competencias para representar </w:t>
      </w:r>
      <w:r w:rsidR="00800834" w:rsidRPr="00975C02">
        <w:rPr>
          <w:kern w:val="2"/>
          <w:sz w:val="20"/>
          <w:szCs w:val="20"/>
          <w:lang w:val="es-ES" w:eastAsia="en-US"/>
        </w:rPr>
        <w:t>los</w:t>
      </w:r>
      <w:r w:rsidR="00F63EBB" w:rsidRPr="00975C02">
        <w:rPr>
          <w:kern w:val="2"/>
          <w:sz w:val="20"/>
          <w:szCs w:val="20"/>
          <w:lang w:val="es-ES" w:eastAsia="en-US"/>
        </w:rPr>
        <w:t xml:space="preserve"> intereses</w:t>
      </w:r>
      <w:r w:rsidR="00800834" w:rsidRPr="00975C02">
        <w:rPr>
          <w:kern w:val="2"/>
          <w:sz w:val="20"/>
          <w:szCs w:val="20"/>
          <w:lang w:val="es-ES" w:eastAsia="en-US"/>
        </w:rPr>
        <w:t xml:space="preserve"> de V.R.P.</w:t>
      </w:r>
      <w:r w:rsidR="00F63EBB" w:rsidRPr="00975C02">
        <w:rPr>
          <w:kern w:val="2"/>
          <w:sz w:val="20"/>
          <w:szCs w:val="20"/>
          <w:lang w:val="es-ES" w:eastAsia="en-US"/>
        </w:rPr>
        <w:t xml:space="preserve"> durante el proceso penal del caso, lo cual habría podido evitar los actos revictimizantes a los cuales fue sometida V.R.P. durante la sustanciación del proceso.</w:t>
      </w:r>
    </w:p>
    <w:p w14:paraId="1D453E2B" w14:textId="77777777" w:rsidR="00B5625C" w:rsidRPr="00975C02" w:rsidRDefault="00B5625C" w:rsidP="00B5625C">
      <w:pPr>
        <w:widowControl/>
        <w:adjustRightInd/>
        <w:spacing w:line="240" w:lineRule="auto"/>
        <w:jc w:val="left"/>
        <w:textAlignment w:val="auto"/>
        <w:rPr>
          <w:kern w:val="2"/>
          <w:sz w:val="20"/>
          <w:szCs w:val="20"/>
          <w:lang w:val="es-ES" w:eastAsia="en-US"/>
        </w:rPr>
      </w:pPr>
    </w:p>
    <w:p w14:paraId="046EC7A6" w14:textId="77777777" w:rsidR="004D41D9" w:rsidRPr="00975C02" w:rsidRDefault="004D41D9" w:rsidP="004D41D9">
      <w:pPr>
        <w:widowControl/>
        <w:numPr>
          <w:ilvl w:val="0"/>
          <w:numId w:val="2"/>
        </w:numPr>
        <w:tabs>
          <w:tab w:val="left" w:pos="567"/>
          <w:tab w:val="num" w:pos="12305"/>
        </w:tabs>
        <w:adjustRightInd/>
        <w:spacing w:line="240" w:lineRule="auto"/>
        <w:ind w:left="0" w:firstLine="0"/>
        <w:textAlignment w:val="auto"/>
        <w:rPr>
          <w:kern w:val="2"/>
          <w:sz w:val="20"/>
          <w:szCs w:val="20"/>
          <w:lang w:val="es-ES" w:eastAsia="en-US"/>
        </w:rPr>
      </w:pPr>
      <w:r w:rsidRPr="00975C02">
        <w:rPr>
          <w:kern w:val="2"/>
          <w:sz w:val="20"/>
          <w:szCs w:val="20"/>
          <w:lang w:val="es-ES" w:eastAsia="en-US"/>
        </w:rPr>
        <w:t>En conclusión, la Corte considera que el Estado no brindó acompañamiento y atención integral a la niña V.R.P. durante la sustanciación del proceso ni con posterioridad, para lograr su recuperación, reintegración y rehabilitación.</w:t>
      </w:r>
    </w:p>
    <w:p w14:paraId="28EDDE7C" w14:textId="77777777" w:rsidR="004D41D9" w:rsidRPr="00975C02" w:rsidRDefault="004D41D9" w:rsidP="00B5625C">
      <w:pPr>
        <w:widowControl/>
        <w:adjustRightInd/>
        <w:spacing w:line="240" w:lineRule="auto"/>
        <w:jc w:val="left"/>
        <w:textAlignment w:val="auto"/>
        <w:rPr>
          <w:kern w:val="2"/>
          <w:sz w:val="20"/>
          <w:szCs w:val="20"/>
          <w:lang w:val="es-ES" w:eastAsia="en-US"/>
        </w:rPr>
      </w:pPr>
    </w:p>
    <w:p w14:paraId="487CF0D8" w14:textId="77777777" w:rsidR="009E077B" w:rsidRPr="00975C02" w:rsidRDefault="009E077B" w:rsidP="009E077B">
      <w:pPr>
        <w:pStyle w:val="Heading3"/>
        <w:rPr>
          <w:b w:val="0"/>
          <w:i/>
        </w:rPr>
      </w:pPr>
      <w:bookmarkStart w:id="131" w:name="_Toc514172636"/>
      <w:r w:rsidRPr="00975C02">
        <w:rPr>
          <w:b w:val="0"/>
          <w:i/>
        </w:rPr>
        <w:t xml:space="preserve">A.2.f </w:t>
      </w:r>
      <w:r w:rsidRPr="00975C02">
        <w:rPr>
          <w:b w:val="0"/>
          <w:i/>
        </w:rPr>
        <w:tab/>
        <w:t>Conclusión</w:t>
      </w:r>
      <w:bookmarkEnd w:id="131"/>
    </w:p>
    <w:p w14:paraId="7C307857" w14:textId="77777777" w:rsidR="009E077B" w:rsidRPr="00975C02" w:rsidRDefault="009E077B" w:rsidP="00B5625C">
      <w:pPr>
        <w:widowControl/>
        <w:adjustRightInd/>
        <w:spacing w:line="240" w:lineRule="auto"/>
        <w:jc w:val="left"/>
        <w:textAlignment w:val="auto"/>
        <w:rPr>
          <w:kern w:val="2"/>
          <w:sz w:val="20"/>
          <w:szCs w:val="20"/>
          <w:lang w:val="es-ES" w:eastAsia="en-US"/>
        </w:rPr>
      </w:pPr>
    </w:p>
    <w:p w14:paraId="6A8594B1" w14:textId="64BC2C1E" w:rsidR="002B490F" w:rsidRPr="00975C02" w:rsidRDefault="002B490F" w:rsidP="00B564C6">
      <w:pPr>
        <w:widowControl/>
        <w:numPr>
          <w:ilvl w:val="0"/>
          <w:numId w:val="2"/>
        </w:numPr>
        <w:tabs>
          <w:tab w:val="left" w:pos="567"/>
          <w:tab w:val="num" w:pos="12305"/>
        </w:tabs>
        <w:adjustRightInd/>
        <w:spacing w:line="240" w:lineRule="auto"/>
        <w:ind w:left="0" w:firstLine="0"/>
        <w:textAlignment w:val="auto"/>
        <w:rPr>
          <w:kern w:val="2"/>
          <w:sz w:val="20"/>
          <w:szCs w:val="20"/>
          <w:lang w:val="es-ES" w:eastAsia="en-US"/>
        </w:rPr>
      </w:pPr>
      <w:r w:rsidRPr="00975C02">
        <w:rPr>
          <w:kern w:val="2"/>
          <w:sz w:val="20"/>
          <w:szCs w:val="20"/>
          <w:lang w:val="es-ES" w:eastAsia="en-US"/>
        </w:rPr>
        <w:t>A raíz de las consideraciones precedentes, la Corte concluye que el Estado es responsable por la</w:t>
      </w:r>
      <w:r w:rsidR="00B564C6" w:rsidRPr="00975C02">
        <w:rPr>
          <w:kern w:val="2"/>
          <w:sz w:val="20"/>
          <w:szCs w:val="20"/>
          <w:lang w:val="es-ES" w:eastAsia="en-US"/>
        </w:rPr>
        <w:t xml:space="preserve"> violación </w:t>
      </w:r>
      <w:r w:rsidR="00D526EE" w:rsidRPr="00975C02">
        <w:rPr>
          <w:kern w:val="2"/>
          <w:sz w:val="20"/>
          <w:szCs w:val="20"/>
          <w:lang w:val="es-ES" w:eastAsia="en-US"/>
        </w:rPr>
        <w:t>de los derechos a la integridad personal, a las garantías judiciales, a la vida privada y familiar y a la protección judicial, tanto por acción como por omisión, en los términos de los artículos 5</w:t>
      </w:r>
      <w:r w:rsidR="00D61200" w:rsidRPr="00975C02">
        <w:rPr>
          <w:kern w:val="2"/>
          <w:sz w:val="20"/>
          <w:szCs w:val="20"/>
          <w:lang w:val="es-ES" w:eastAsia="en-US"/>
        </w:rPr>
        <w:t>.1</w:t>
      </w:r>
      <w:r w:rsidR="00D526EE" w:rsidRPr="00975C02">
        <w:rPr>
          <w:kern w:val="2"/>
          <w:sz w:val="20"/>
          <w:szCs w:val="20"/>
          <w:lang w:val="es-ES" w:eastAsia="en-US"/>
        </w:rPr>
        <w:t>, 8.1, 11.2 y 25.1 de la Convención Americana sobre Derechos Humanos, en relación con los artículos 1.1 y 19 de la misma,</w:t>
      </w:r>
      <w:r w:rsidR="00B564C6" w:rsidRPr="00975C02">
        <w:rPr>
          <w:kern w:val="2"/>
          <w:sz w:val="20"/>
          <w:szCs w:val="20"/>
          <w:lang w:val="es-ES" w:eastAsia="en-US"/>
        </w:rPr>
        <w:t xml:space="preserve"> así como por el incumplimiento de las obligaciones derivadas del artículo 7.b) de la Convención de Belém do Pará, en perjuicio de V.R.P. y V.P.C.</w:t>
      </w:r>
    </w:p>
    <w:p w14:paraId="21A64A81" w14:textId="77777777" w:rsidR="009E077B" w:rsidRPr="00975C02" w:rsidRDefault="009E077B" w:rsidP="00B5625C">
      <w:pPr>
        <w:widowControl/>
        <w:adjustRightInd/>
        <w:spacing w:line="240" w:lineRule="auto"/>
        <w:jc w:val="left"/>
        <w:textAlignment w:val="auto"/>
        <w:rPr>
          <w:kern w:val="2"/>
          <w:sz w:val="20"/>
          <w:szCs w:val="20"/>
          <w:lang w:val="es-ES" w:eastAsia="en-US"/>
        </w:rPr>
      </w:pPr>
    </w:p>
    <w:p w14:paraId="0385088A" w14:textId="77777777" w:rsidR="00B5625C" w:rsidRPr="00975C02" w:rsidRDefault="006F71B8" w:rsidP="00A92F94">
      <w:pPr>
        <w:pStyle w:val="ListParagraph"/>
        <w:keepNext/>
        <w:keepLines/>
        <w:widowControl/>
        <w:numPr>
          <w:ilvl w:val="0"/>
          <w:numId w:val="16"/>
        </w:numPr>
        <w:tabs>
          <w:tab w:val="left" w:pos="1134"/>
        </w:tabs>
        <w:autoSpaceDE w:val="0"/>
        <w:autoSpaceDN w:val="0"/>
        <w:adjustRightInd/>
        <w:spacing w:line="240" w:lineRule="auto"/>
        <w:ind w:left="1134" w:hanging="567"/>
        <w:textAlignment w:val="auto"/>
        <w:outlineLvl w:val="1"/>
        <w:rPr>
          <w:rFonts w:eastAsia="MS Mincho" w:cs="Arial"/>
          <w:b/>
          <w:bCs/>
          <w:i/>
          <w:kern w:val="2"/>
          <w:sz w:val="20"/>
          <w:szCs w:val="20"/>
          <w:lang w:val="es-ES" w:eastAsia="en-US"/>
        </w:rPr>
      </w:pPr>
      <w:bookmarkStart w:id="132" w:name="_Toc514172637"/>
      <w:bookmarkEnd w:id="103"/>
      <w:bookmarkEnd w:id="104"/>
      <w:bookmarkEnd w:id="105"/>
      <w:r w:rsidRPr="00975C02">
        <w:rPr>
          <w:rFonts w:eastAsia="MS Mincho" w:cs="Arial"/>
          <w:b/>
          <w:bCs/>
          <w:i/>
          <w:kern w:val="2"/>
          <w:sz w:val="20"/>
          <w:szCs w:val="20"/>
          <w:lang w:val="es-ES" w:eastAsia="en-US"/>
        </w:rPr>
        <w:t>La aplicación de las exigencias del debido proceso al juicio por jurados</w:t>
      </w:r>
      <w:bookmarkEnd w:id="132"/>
    </w:p>
    <w:p w14:paraId="21A54929" w14:textId="77777777" w:rsidR="00B5625C" w:rsidRPr="00975C02" w:rsidRDefault="00B5625C" w:rsidP="00B5625C">
      <w:pPr>
        <w:widowControl/>
        <w:adjustRightInd/>
        <w:spacing w:line="240" w:lineRule="auto"/>
        <w:textAlignment w:val="auto"/>
        <w:rPr>
          <w:b/>
          <w:sz w:val="20"/>
          <w:szCs w:val="20"/>
          <w:lang w:val="es-ES" w:eastAsia="en-US"/>
        </w:rPr>
      </w:pPr>
    </w:p>
    <w:p w14:paraId="5CF4781E" w14:textId="77777777" w:rsidR="00B5625C" w:rsidRPr="00975C02" w:rsidRDefault="00A92F94" w:rsidP="00B5625C">
      <w:pPr>
        <w:keepNext/>
        <w:keepLines/>
        <w:tabs>
          <w:tab w:val="left" w:pos="1701"/>
        </w:tabs>
        <w:spacing w:line="240" w:lineRule="auto"/>
        <w:ind w:left="1134"/>
        <w:outlineLvl w:val="1"/>
        <w:rPr>
          <w:bCs/>
          <w:i/>
          <w:sz w:val="20"/>
          <w:szCs w:val="20"/>
          <w:lang w:val="es-ES"/>
        </w:rPr>
      </w:pPr>
      <w:bookmarkStart w:id="133" w:name="_Toc514172638"/>
      <w:r w:rsidRPr="00975C02">
        <w:rPr>
          <w:bCs/>
          <w:i/>
          <w:sz w:val="20"/>
          <w:szCs w:val="20"/>
          <w:lang w:val="es-ES"/>
        </w:rPr>
        <w:t>B</w:t>
      </w:r>
      <w:r w:rsidR="00B5625C" w:rsidRPr="00975C02">
        <w:rPr>
          <w:bCs/>
          <w:i/>
          <w:sz w:val="20"/>
          <w:szCs w:val="20"/>
          <w:lang w:val="es-ES"/>
        </w:rPr>
        <w:t>.</w:t>
      </w:r>
      <w:r w:rsidR="0032081D" w:rsidRPr="00975C02">
        <w:rPr>
          <w:bCs/>
          <w:i/>
          <w:sz w:val="20"/>
          <w:szCs w:val="20"/>
          <w:lang w:val="es-ES"/>
        </w:rPr>
        <w:t>1</w:t>
      </w:r>
      <w:r w:rsidR="00B5625C" w:rsidRPr="00975C02">
        <w:rPr>
          <w:bCs/>
          <w:i/>
          <w:sz w:val="20"/>
          <w:szCs w:val="20"/>
          <w:lang w:val="es-ES"/>
        </w:rPr>
        <w:t xml:space="preserve"> </w:t>
      </w:r>
      <w:r w:rsidR="00B5625C" w:rsidRPr="00975C02">
        <w:rPr>
          <w:bCs/>
          <w:i/>
          <w:sz w:val="20"/>
          <w:szCs w:val="20"/>
          <w:lang w:val="es-ES"/>
        </w:rPr>
        <w:tab/>
        <w:t>Alegatos</w:t>
      </w:r>
      <w:r w:rsidR="006F71B8" w:rsidRPr="00975C02">
        <w:rPr>
          <w:lang w:val="es-ES"/>
        </w:rPr>
        <w:t xml:space="preserve"> </w:t>
      </w:r>
      <w:r w:rsidR="006F71B8" w:rsidRPr="00975C02">
        <w:rPr>
          <w:bCs/>
          <w:i/>
          <w:sz w:val="20"/>
          <w:szCs w:val="20"/>
          <w:lang w:val="es-ES"/>
        </w:rPr>
        <w:t>de las partes y de la Comisión</w:t>
      </w:r>
      <w:r w:rsidR="00B5625C" w:rsidRPr="00975C02">
        <w:rPr>
          <w:bCs/>
          <w:i/>
          <w:sz w:val="20"/>
          <w:szCs w:val="20"/>
          <w:lang w:val="es-ES"/>
        </w:rPr>
        <w:t xml:space="preserve"> en torno a la</w:t>
      </w:r>
      <w:r w:rsidR="00DD31EF" w:rsidRPr="00975C02">
        <w:rPr>
          <w:bCs/>
          <w:i/>
          <w:sz w:val="20"/>
          <w:szCs w:val="20"/>
          <w:lang w:val="es-ES"/>
        </w:rPr>
        <w:t xml:space="preserve"> imparcialidad</w:t>
      </w:r>
      <w:bookmarkEnd w:id="133"/>
    </w:p>
    <w:p w14:paraId="29B10904" w14:textId="77777777" w:rsidR="00B5625C" w:rsidRPr="00975C02" w:rsidRDefault="00B5625C" w:rsidP="00B5625C">
      <w:pPr>
        <w:widowControl/>
        <w:tabs>
          <w:tab w:val="left" w:pos="720"/>
        </w:tabs>
        <w:adjustRightInd/>
        <w:spacing w:line="240" w:lineRule="auto"/>
        <w:jc w:val="left"/>
        <w:textAlignment w:val="auto"/>
        <w:rPr>
          <w:rFonts w:eastAsia="MS Mincho"/>
          <w:b/>
          <w:sz w:val="20"/>
          <w:szCs w:val="20"/>
          <w:lang w:val="es-ES" w:eastAsia="en-US"/>
        </w:rPr>
      </w:pPr>
    </w:p>
    <w:p w14:paraId="07B3AA6F" w14:textId="78963BBC" w:rsidR="00B5625C" w:rsidRPr="00975C02" w:rsidRDefault="00B5625C" w:rsidP="004F5B40">
      <w:pPr>
        <w:widowControl/>
        <w:numPr>
          <w:ilvl w:val="0"/>
          <w:numId w:val="2"/>
        </w:numPr>
        <w:tabs>
          <w:tab w:val="left" w:pos="567"/>
          <w:tab w:val="num" w:pos="12305"/>
        </w:tabs>
        <w:adjustRightInd/>
        <w:spacing w:line="240" w:lineRule="auto"/>
        <w:ind w:left="0" w:firstLine="0"/>
        <w:textAlignment w:val="auto"/>
        <w:rPr>
          <w:rFonts w:eastAsia="Calibri" w:cs="Arial"/>
          <w:b/>
          <w:sz w:val="20"/>
          <w:szCs w:val="20"/>
          <w:lang w:val="es-ES" w:eastAsia="en-US"/>
        </w:rPr>
      </w:pPr>
      <w:r w:rsidRPr="00975C02">
        <w:rPr>
          <w:rFonts w:eastAsia="Calibri" w:cs="Arial"/>
          <w:sz w:val="20"/>
          <w:szCs w:val="20"/>
          <w:lang w:val="es-ES" w:eastAsia="en-US"/>
        </w:rPr>
        <w:t xml:space="preserve">La </w:t>
      </w:r>
      <w:r w:rsidRPr="00975C02">
        <w:rPr>
          <w:rFonts w:eastAsia="Calibri" w:cs="Arial"/>
          <w:b/>
          <w:i/>
          <w:sz w:val="20"/>
          <w:szCs w:val="20"/>
          <w:lang w:val="es-ES" w:eastAsia="en-US"/>
        </w:rPr>
        <w:t>Comisión</w:t>
      </w:r>
      <w:r w:rsidRPr="00975C02">
        <w:rPr>
          <w:rFonts w:eastAsia="Calibri" w:cs="Arial"/>
          <w:sz w:val="20"/>
          <w:szCs w:val="20"/>
          <w:lang w:val="es-ES" w:eastAsia="en-US"/>
        </w:rPr>
        <w:t xml:space="preserve"> resaltó que existieron denuncias sobre irregularidades en la conformación del jurado y emisión de la sentencia absolutoria en abril de 2002. Al respecto, la Comisión tomó nota de los alegatos de los peticionarios respecto a: i) la suspensión injustificada en dos </w:t>
      </w:r>
      <w:r w:rsidRPr="00975C02">
        <w:rPr>
          <w:rFonts w:eastAsia="MS Mincho"/>
          <w:sz w:val="20"/>
          <w:szCs w:val="20"/>
          <w:lang w:val="es-ES"/>
        </w:rPr>
        <w:t>ocasiones</w:t>
      </w:r>
      <w:r w:rsidRPr="00975C02">
        <w:rPr>
          <w:rFonts w:eastAsia="Calibri" w:cs="Arial"/>
          <w:sz w:val="20"/>
          <w:szCs w:val="20"/>
          <w:lang w:val="es-ES" w:eastAsia="en-US"/>
        </w:rPr>
        <w:t xml:space="preserve"> del jurado; ii) la afectación al derecho de defensa por haberse rechazado la solicitud de contar con dos abogados más durante la audiencia, y iii) la presunta entrega de un sobre al jurado y a la jueza por parte de la representación legal de la defensa al finalizar la audiencia. La Comisión agregó que el Estado no ha esclarecido debidamente las serias dudas que se plantearon en torno a la posible corrupción y presión ejercida por el agresor desde la situación de poder en la que supuestamente se encontraba, por haber estado vinculado en algún m</w:t>
      </w:r>
      <w:r w:rsidR="00BA3245" w:rsidRPr="00975C02">
        <w:rPr>
          <w:rFonts w:eastAsia="Calibri" w:cs="Arial"/>
          <w:sz w:val="20"/>
          <w:szCs w:val="20"/>
          <w:lang w:val="es-ES" w:eastAsia="en-US"/>
        </w:rPr>
        <w:t>omento al poder judicial local.</w:t>
      </w:r>
    </w:p>
    <w:p w14:paraId="129E1ED9" w14:textId="77777777" w:rsidR="00B5625C" w:rsidRPr="00975C02" w:rsidRDefault="00B5625C" w:rsidP="00B5625C">
      <w:pPr>
        <w:widowControl/>
        <w:tabs>
          <w:tab w:val="left" w:pos="720"/>
        </w:tabs>
        <w:adjustRightInd/>
        <w:spacing w:line="240" w:lineRule="auto"/>
        <w:jc w:val="left"/>
        <w:textAlignment w:val="auto"/>
        <w:rPr>
          <w:rFonts w:eastAsia="MS Mincho"/>
          <w:b/>
          <w:sz w:val="20"/>
          <w:szCs w:val="20"/>
          <w:lang w:val="es-ES" w:eastAsia="en-US"/>
        </w:rPr>
      </w:pPr>
    </w:p>
    <w:p w14:paraId="571218FD" w14:textId="56D58CA0" w:rsidR="00B5625C" w:rsidRPr="00975C02" w:rsidRDefault="00B5625C" w:rsidP="004F5B40">
      <w:pPr>
        <w:widowControl/>
        <w:numPr>
          <w:ilvl w:val="0"/>
          <w:numId w:val="2"/>
        </w:numPr>
        <w:tabs>
          <w:tab w:val="left" w:pos="567"/>
          <w:tab w:val="num" w:pos="12305"/>
        </w:tabs>
        <w:adjustRightInd/>
        <w:spacing w:line="240" w:lineRule="auto"/>
        <w:ind w:left="0" w:firstLine="0"/>
        <w:textAlignment w:val="auto"/>
        <w:rPr>
          <w:rFonts w:eastAsia="Calibri" w:cs="Arial"/>
          <w:b/>
          <w:sz w:val="16"/>
          <w:szCs w:val="20"/>
          <w:lang w:val="es-ES" w:eastAsia="en-US"/>
        </w:rPr>
      </w:pPr>
      <w:r w:rsidRPr="00975C02">
        <w:rPr>
          <w:rFonts w:eastAsia="Calibri" w:cs="Arial"/>
          <w:sz w:val="20"/>
          <w:szCs w:val="20"/>
          <w:lang w:val="es-ES" w:eastAsia="en-US"/>
        </w:rPr>
        <w:t xml:space="preserve">Las </w:t>
      </w:r>
      <w:r w:rsidRPr="00975C02">
        <w:rPr>
          <w:rFonts w:eastAsia="Calibri" w:cs="Arial"/>
          <w:b/>
          <w:i/>
          <w:sz w:val="20"/>
          <w:szCs w:val="20"/>
          <w:lang w:val="es-ES" w:eastAsia="en-US"/>
        </w:rPr>
        <w:t>representantes</w:t>
      </w:r>
      <w:r w:rsidRPr="00975C02">
        <w:rPr>
          <w:rFonts w:eastAsia="Calibri" w:cs="Arial"/>
          <w:sz w:val="20"/>
          <w:szCs w:val="20"/>
          <w:lang w:val="es-ES" w:eastAsia="en-US"/>
        </w:rPr>
        <w:t xml:space="preserve"> alegaron que el Estado no garantizó un juicio transparente y libre de influencias, y en él se observa la influencia política, el prejuicio por las creencias religiosas de la </w:t>
      </w:r>
      <w:r w:rsidRPr="00975C02">
        <w:rPr>
          <w:rFonts w:eastAsia="Calibri" w:cs="Arial"/>
          <w:sz w:val="20"/>
          <w:szCs w:val="20"/>
          <w:lang w:val="es-ES" w:eastAsia="en-US"/>
        </w:rPr>
        <w:lastRenderedPageBreak/>
        <w:t xml:space="preserve">madre de la víctima y la afectación del derecho a defensa de la víctima al no darle la oportunidad de contradecir el contenido del papel rosado entregado al jurado para ser visto en privado. De igual forma, señalaron la actitud denigrante que habría tenido la </w:t>
      </w:r>
      <w:r w:rsidR="003C0254" w:rsidRPr="00975C02">
        <w:rPr>
          <w:rFonts w:eastAsia="Calibri" w:cs="Arial"/>
          <w:sz w:val="20"/>
          <w:szCs w:val="20"/>
          <w:lang w:val="es-ES" w:eastAsia="en-US"/>
        </w:rPr>
        <w:t>j</w:t>
      </w:r>
      <w:r w:rsidRPr="00975C02">
        <w:rPr>
          <w:rFonts w:eastAsia="Calibri" w:cs="Arial"/>
          <w:sz w:val="20"/>
          <w:szCs w:val="20"/>
          <w:lang w:val="es-ES" w:eastAsia="en-US"/>
        </w:rPr>
        <w:t>uez</w:t>
      </w:r>
      <w:r w:rsidR="003C0254" w:rsidRPr="00975C02">
        <w:rPr>
          <w:rFonts w:eastAsia="Calibri" w:cs="Arial"/>
          <w:sz w:val="20"/>
          <w:szCs w:val="20"/>
          <w:lang w:val="es-ES" w:eastAsia="en-US"/>
        </w:rPr>
        <w:t>a</w:t>
      </w:r>
      <w:r w:rsidRPr="00975C02">
        <w:rPr>
          <w:rFonts w:eastAsia="Calibri" w:cs="Arial"/>
          <w:sz w:val="20"/>
          <w:szCs w:val="20"/>
          <w:lang w:val="es-ES" w:eastAsia="en-US"/>
        </w:rPr>
        <w:t xml:space="preserve"> hacia la madre de la víctima por el trato dado, por permitirle a la defensa utilizar lenguaje que descalificara a la señora V.P.C. y no permitirle estar presente en el momento de desinsaculación de jurados, afectando la parcialidad y transparencia del juicio. Adicionalmente, señalaron que no se le permitió contar con igual cantidad de abogados que le fue autorizado a la defensa</w:t>
      </w:r>
      <w:r w:rsidR="006233E7" w:rsidRPr="00975C02">
        <w:rPr>
          <w:rFonts w:eastAsia="Calibri" w:cs="Arial"/>
          <w:sz w:val="20"/>
          <w:szCs w:val="20"/>
          <w:lang w:val="es-ES" w:eastAsia="en-US"/>
        </w:rPr>
        <w:t>.</w:t>
      </w:r>
    </w:p>
    <w:p w14:paraId="6C55778D" w14:textId="77777777" w:rsidR="00B5625C" w:rsidRPr="00975C02" w:rsidRDefault="00B5625C" w:rsidP="00B5625C">
      <w:pPr>
        <w:widowControl/>
        <w:tabs>
          <w:tab w:val="left" w:pos="720"/>
        </w:tabs>
        <w:adjustRightInd/>
        <w:spacing w:line="240" w:lineRule="auto"/>
        <w:jc w:val="left"/>
        <w:textAlignment w:val="auto"/>
        <w:rPr>
          <w:rFonts w:eastAsia="MS Mincho"/>
          <w:b/>
          <w:sz w:val="20"/>
          <w:szCs w:val="20"/>
          <w:lang w:val="es-ES" w:eastAsia="en-US"/>
        </w:rPr>
      </w:pPr>
    </w:p>
    <w:p w14:paraId="25D84DAB" w14:textId="2F2B5113" w:rsidR="00B5625C" w:rsidRPr="00975C02" w:rsidRDefault="00B5625C" w:rsidP="004F5B40">
      <w:pPr>
        <w:widowControl/>
        <w:numPr>
          <w:ilvl w:val="0"/>
          <w:numId w:val="2"/>
        </w:numPr>
        <w:tabs>
          <w:tab w:val="left" w:pos="567"/>
          <w:tab w:val="num" w:pos="12305"/>
        </w:tabs>
        <w:adjustRightInd/>
        <w:spacing w:line="240" w:lineRule="auto"/>
        <w:ind w:left="0" w:firstLine="0"/>
        <w:textAlignment w:val="auto"/>
        <w:rPr>
          <w:rFonts w:eastAsia="Calibri" w:cs="Arial"/>
          <w:b/>
          <w:sz w:val="20"/>
          <w:szCs w:val="20"/>
          <w:lang w:val="es-ES" w:eastAsia="en-US"/>
        </w:rPr>
      </w:pPr>
      <w:r w:rsidRPr="00975C02">
        <w:rPr>
          <w:rFonts w:eastAsia="Calibri" w:cs="Arial"/>
          <w:sz w:val="20"/>
          <w:szCs w:val="20"/>
          <w:lang w:val="es-ES" w:eastAsia="en-US"/>
        </w:rPr>
        <w:t xml:space="preserve">El </w:t>
      </w:r>
      <w:r w:rsidRPr="00975C02">
        <w:rPr>
          <w:rFonts w:eastAsia="Calibri" w:cs="Arial"/>
          <w:b/>
          <w:i/>
          <w:sz w:val="20"/>
          <w:szCs w:val="20"/>
          <w:lang w:val="es-ES" w:eastAsia="en-US"/>
        </w:rPr>
        <w:t>Estado</w:t>
      </w:r>
      <w:r w:rsidRPr="00975C02">
        <w:rPr>
          <w:rFonts w:eastAsia="Calibri" w:cs="Arial"/>
          <w:sz w:val="20"/>
          <w:szCs w:val="20"/>
          <w:lang w:val="es-ES" w:eastAsia="en-US"/>
        </w:rPr>
        <w:t xml:space="preserve"> señaló que no era responsable por el veredicto emitido por los</w:t>
      </w:r>
      <w:r w:rsidR="00A84E71">
        <w:rPr>
          <w:rFonts w:eastAsia="Calibri" w:cs="Arial"/>
          <w:sz w:val="20"/>
          <w:szCs w:val="20"/>
          <w:lang w:val="es-ES" w:eastAsia="en-US"/>
        </w:rPr>
        <w:t xml:space="preserve"> ciudadanos que conformaron el T</w:t>
      </w:r>
      <w:r w:rsidRPr="00975C02">
        <w:rPr>
          <w:rFonts w:eastAsia="Calibri" w:cs="Arial"/>
          <w:sz w:val="20"/>
          <w:szCs w:val="20"/>
          <w:lang w:val="es-ES" w:eastAsia="en-US"/>
        </w:rPr>
        <w:t xml:space="preserve">ribunal de </w:t>
      </w:r>
      <w:r w:rsidR="00A84E71">
        <w:rPr>
          <w:rFonts w:eastAsia="Calibri" w:cs="Arial"/>
          <w:sz w:val="20"/>
          <w:szCs w:val="20"/>
          <w:lang w:val="es-ES" w:eastAsia="en-US"/>
        </w:rPr>
        <w:t>J</w:t>
      </w:r>
      <w:r w:rsidRPr="00975C02">
        <w:rPr>
          <w:rFonts w:eastAsia="Calibri" w:cs="Arial"/>
          <w:sz w:val="20"/>
          <w:szCs w:val="20"/>
          <w:lang w:val="es-ES" w:eastAsia="en-US"/>
        </w:rPr>
        <w:t>urados, quienes luego de debatir la prueba ofrecida en la etapa plenaria del proceso, no encontraron responsabilidad alguna en contra del señor H.R.A. en razón de su sana crítica e íntima convicción. Asimismo, destacó que no existía ninguna denuncia por la conformación de los jurados, ni existió objeción o recusación alguna por parte del abogado de V.P.C.</w:t>
      </w:r>
    </w:p>
    <w:p w14:paraId="76284CE5" w14:textId="77777777" w:rsidR="00B5625C" w:rsidRPr="00975C02" w:rsidRDefault="00B5625C" w:rsidP="00B5625C">
      <w:pPr>
        <w:widowControl/>
        <w:autoSpaceDE w:val="0"/>
        <w:autoSpaceDN w:val="0"/>
        <w:adjustRightInd/>
        <w:spacing w:line="240" w:lineRule="auto"/>
        <w:jc w:val="left"/>
        <w:textAlignment w:val="auto"/>
        <w:rPr>
          <w:rFonts w:eastAsia="Calibri" w:cs="Arial"/>
          <w:sz w:val="20"/>
          <w:szCs w:val="20"/>
          <w:lang w:val="es-ES" w:eastAsia="en-US"/>
        </w:rPr>
      </w:pPr>
    </w:p>
    <w:p w14:paraId="031ADABE" w14:textId="069AAFC9" w:rsidR="00B5625C" w:rsidRPr="00975C02" w:rsidRDefault="00B5625C" w:rsidP="004F5B40">
      <w:pPr>
        <w:widowControl/>
        <w:numPr>
          <w:ilvl w:val="0"/>
          <w:numId w:val="2"/>
        </w:numPr>
        <w:tabs>
          <w:tab w:val="left" w:pos="567"/>
          <w:tab w:val="num" w:pos="12305"/>
        </w:tabs>
        <w:adjustRightInd/>
        <w:spacing w:line="240" w:lineRule="auto"/>
        <w:ind w:left="0" w:firstLine="0"/>
        <w:textAlignment w:val="auto"/>
        <w:rPr>
          <w:rFonts w:eastAsia="Calibri" w:cs="Arial"/>
          <w:b/>
          <w:sz w:val="16"/>
          <w:szCs w:val="20"/>
          <w:lang w:val="es-ES" w:eastAsia="en-US"/>
        </w:rPr>
      </w:pPr>
      <w:r w:rsidRPr="00975C02">
        <w:rPr>
          <w:rFonts w:eastAsia="Calibri"/>
          <w:iCs/>
          <w:sz w:val="20"/>
          <w:szCs w:val="20"/>
          <w:lang w:val="es-ES" w:eastAsia="en-US"/>
        </w:rPr>
        <w:t>En relación con las reprogramaciones de la audiencia, el Estado alegó que la suspensión del jurado en dos ocasiones se debió</w:t>
      </w:r>
      <w:r w:rsidR="005E5B71" w:rsidRPr="00975C02">
        <w:rPr>
          <w:rFonts w:eastAsia="Calibri"/>
          <w:iCs/>
          <w:sz w:val="20"/>
          <w:szCs w:val="20"/>
          <w:lang w:val="es-ES" w:eastAsia="en-US"/>
        </w:rPr>
        <w:t>,</w:t>
      </w:r>
      <w:r w:rsidRPr="00975C02">
        <w:rPr>
          <w:rFonts w:eastAsia="Calibri"/>
          <w:iCs/>
          <w:sz w:val="20"/>
          <w:szCs w:val="20"/>
          <w:lang w:val="es-ES" w:eastAsia="en-US"/>
        </w:rPr>
        <w:t xml:space="preserve"> en primer lugar</w:t>
      </w:r>
      <w:r w:rsidR="005E5B71" w:rsidRPr="00975C02">
        <w:rPr>
          <w:rFonts w:eastAsia="Calibri"/>
          <w:iCs/>
          <w:sz w:val="20"/>
          <w:szCs w:val="20"/>
          <w:lang w:val="es-ES" w:eastAsia="en-US"/>
        </w:rPr>
        <w:t>,</w:t>
      </w:r>
      <w:r w:rsidRPr="00975C02">
        <w:rPr>
          <w:rFonts w:eastAsia="Calibri"/>
          <w:iCs/>
          <w:sz w:val="20"/>
          <w:szCs w:val="20"/>
          <w:lang w:val="es-ES" w:eastAsia="en-US"/>
        </w:rPr>
        <w:t xml:space="preserve"> por prudencia y</w:t>
      </w:r>
      <w:r w:rsidR="005E5B71" w:rsidRPr="00975C02">
        <w:rPr>
          <w:rFonts w:eastAsia="Calibri"/>
          <w:iCs/>
          <w:sz w:val="20"/>
          <w:szCs w:val="20"/>
          <w:lang w:val="es-ES" w:eastAsia="en-US"/>
        </w:rPr>
        <w:t>,</w:t>
      </w:r>
      <w:r w:rsidRPr="00975C02">
        <w:rPr>
          <w:rFonts w:eastAsia="Calibri"/>
          <w:iCs/>
          <w:sz w:val="20"/>
          <w:szCs w:val="20"/>
          <w:lang w:val="es-ES" w:eastAsia="en-US"/>
        </w:rPr>
        <w:t xml:space="preserve"> en segundo lugar</w:t>
      </w:r>
      <w:r w:rsidR="005E5B71" w:rsidRPr="00975C02">
        <w:rPr>
          <w:rFonts w:eastAsia="Calibri"/>
          <w:iCs/>
          <w:sz w:val="20"/>
          <w:szCs w:val="20"/>
          <w:lang w:val="es-ES" w:eastAsia="en-US"/>
        </w:rPr>
        <w:t>,</w:t>
      </w:r>
      <w:r w:rsidRPr="00975C02">
        <w:rPr>
          <w:rFonts w:eastAsia="Calibri"/>
          <w:iCs/>
          <w:sz w:val="20"/>
          <w:szCs w:val="20"/>
          <w:lang w:val="es-ES" w:eastAsia="en-US"/>
        </w:rPr>
        <w:t xml:space="preserve"> por ser un </w:t>
      </w:r>
      <w:r w:rsidRPr="00975C02">
        <w:rPr>
          <w:rFonts w:eastAsia="Calibri" w:cs="Arial"/>
          <w:sz w:val="20"/>
          <w:szCs w:val="20"/>
          <w:lang w:val="es-ES" w:eastAsia="en-US"/>
        </w:rPr>
        <w:t>acto</w:t>
      </w:r>
      <w:r w:rsidRPr="00975C02">
        <w:rPr>
          <w:rFonts w:eastAsia="Calibri"/>
          <w:iCs/>
          <w:sz w:val="20"/>
          <w:szCs w:val="20"/>
          <w:lang w:val="es-ES" w:eastAsia="en-US"/>
        </w:rPr>
        <w:t xml:space="preserve"> consentido por las partes, entre ellas, el abogado de V.P.C. La segunda reprogramación se hizo porque el abogado defensor presentó constancia médica de reposo en virtud que no estaba apto para realizar el juicio por lo que la juez</w:t>
      </w:r>
      <w:r w:rsidR="003C0254" w:rsidRPr="00975C02">
        <w:rPr>
          <w:rFonts w:eastAsia="Calibri"/>
          <w:iCs/>
          <w:sz w:val="20"/>
          <w:szCs w:val="20"/>
          <w:lang w:val="es-ES" w:eastAsia="en-US"/>
        </w:rPr>
        <w:t>a</w:t>
      </w:r>
      <w:r w:rsidRPr="00975C02">
        <w:rPr>
          <w:rFonts w:eastAsia="Calibri"/>
          <w:iCs/>
          <w:sz w:val="20"/>
          <w:szCs w:val="20"/>
          <w:lang w:val="es-ES" w:eastAsia="en-US"/>
        </w:rPr>
        <w:t xml:space="preserve"> decidió suspender el mismo por no afectar el derecho a la defensa y por estar justificado.</w:t>
      </w:r>
    </w:p>
    <w:p w14:paraId="38464DB7" w14:textId="77777777" w:rsidR="00B5625C" w:rsidRPr="00975C02" w:rsidRDefault="00B5625C" w:rsidP="00B5625C">
      <w:pPr>
        <w:widowControl/>
        <w:autoSpaceDE w:val="0"/>
        <w:autoSpaceDN w:val="0"/>
        <w:adjustRightInd/>
        <w:spacing w:line="240" w:lineRule="auto"/>
        <w:jc w:val="left"/>
        <w:textAlignment w:val="auto"/>
        <w:rPr>
          <w:rFonts w:eastAsia="Calibri" w:cs="Arial"/>
          <w:b/>
          <w:sz w:val="16"/>
          <w:szCs w:val="20"/>
          <w:lang w:val="es-ES" w:eastAsia="en-US"/>
        </w:rPr>
      </w:pPr>
    </w:p>
    <w:p w14:paraId="7C204324" w14:textId="460D400E" w:rsidR="00B5625C" w:rsidRPr="00975C02" w:rsidRDefault="00B5625C" w:rsidP="004F5B40">
      <w:pPr>
        <w:widowControl/>
        <w:numPr>
          <w:ilvl w:val="0"/>
          <w:numId w:val="2"/>
        </w:numPr>
        <w:tabs>
          <w:tab w:val="left" w:pos="567"/>
          <w:tab w:val="num" w:pos="12305"/>
        </w:tabs>
        <w:adjustRightInd/>
        <w:spacing w:line="240" w:lineRule="auto"/>
        <w:ind w:left="0" w:firstLine="0"/>
        <w:textAlignment w:val="auto"/>
        <w:rPr>
          <w:rFonts w:eastAsia="Calibri"/>
          <w:iCs/>
          <w:sz w:val="20"/>
          <w:szCs w:val="20"/>
          <w:lang w:val="es-ES" w:eastAsia="en-US"/>
        </w:rPr>
      </w:pPr>
      <w:r w:rsidRPr="00975C02">
        <w:rPr>
          <w:rFonts w:eastAsia="Calibri"/>
          <w:iCs/>
          <w:sz w:val="20"/>
          <w:szCs w:val="20"/>
          <w:lang w:val="es-ES" w:eastAsia="en-US"/>
        </w:rPr>
        <w:t xml:space="preserve">De igual forma, sobre el incidente de posible corrupción del jurado, el Estado señaló que se abrió a pruebas en forma de incidente en el que tuvieron amplia participación las partes </w:t>
      </w:r>
      <w:r w:rsidRPr="00975C02">
        <w:rPr>
          <w:rFonts w:eastAsia="Calibri" w:cs="Arial"/>
          <w:sz w:val="20"/>
          <w:szCs w:val="20"/>
          <w:lang w:val="es-ES" w:eastAsia="en-US"/>
        </w:rPr>
        <w:t>durante</w:t>
      </w:r>
      <w:r w:rsidRPr="00975C02">
        <w:rPr>
          <w:rFonts w:eastAsia="Calibri"/>
          <w:iCs/>
          <w:sz w:val="20"/>
          <w:szCs w:val="20"/>
          <w:lang w:val="es-ES" w:eastAsia="en-US"/>
        </w:rPr>
        <w:t xml:space="preserve"> el proceso y en la que se recibió la testifical de todos los implicados, se analizó el video y se inspeccionó el expediente en presencia de las partes quienes hicieron uso de sus alegatos y se pronunciaron al respecto. En el acta de inspección del expediente se indicó que en </w:t>
      </w:r>
      <w:r w:rsidR="00AA0CDA" w:rsidRPr="00975C02">
        <w:rPr>
          <w:rFonts w:eastAsia="Calibri"/>
          <w:iCs/>
          <w:sz w:val="20"/>
          <w:szCs w:val="20"/>
          <w:lang w:val="es-ES" w:eastAsia="en-US"/>
        </w:rPr>
        <w:t>éste</w:t>
      </w:r>
      <w:r w:rsidRPr="00975C02">
        <w:rPr>
          <w:rFonts w:eastAsia="Calibri"/>
          <w:iCs/>
          <w:sz w:val="20"/>
          <w:szCs w:val="20"/>
          <w:lang w:val="es-ES" w:eastAsia="en-US"/>
        </w:rPr>
        <w:t xml:space="preserve"> no constaba </w:t>
      </w:r>
      <w:r w:rsidR="00ED2ADE">
        <w:rPr>
          <w:rFonts w:eastAsia="Calibri"/>
          <w:iCs/>
          <w:sz w:val="20"/>
          <w:szCs w:val="20"/>
          <w:lang w:val="es-ES" w:eastAsia="en-US"/>
        </w:rPr>
        <w:t xml:space="preserve">el </w:t>
      </w:r>
      <w:r w:rsidRPr="00975C02">
        <w:rPr>
          <w:rFonts w:eastAsia="Calibri"/>
          <w:iCs/>
          <w:sz w:val="20"/>
          <w:szCs w:val="20"/>
          <w:lang w:val="es-ES" w:eastAsia="en-US"/>
        </w:rPr>
        <w:t xml:space="preserve">documento de color rosado manuscrito entregado por la defensa del procesado al tribunal del jurado, y que las partes involucradas en el proceso manifestaron </w:t>
      </w:r>
      <w:r w:rsidR="004F5B40" w:rsidRPr="00975C02">
        <w:rPr>
          <w:rFonts w:eastAsia="Calibri"/>
          <w:iCs/>
          <w:sz w:val="20"/>
          <w:szCs w:val="20"/>
          <w:lang w:val="es-ES" w:eastAsia="en-US"/>
        </w:rPr>
        <w:t xml:space="preserve">no </w:t>
      </w:r>
      <w:r w:rsidRPr="00975C02">
        <w:rPr>
          <w:rFonts w:eastAsia="Calibri"/>
          <w:iCs/>
          <w:sz w:val="20"/>
          <w:szCs w:val="20"/>
          <w:lang w:val="es-ES" w:eastAsia="en-US"/>
        </w:rPr>
        <w:t>haber observado anomalía ni protesta alguna en el desarrollo del proceso oral y público del jurado, por lo que no se decidió por la nulidad del veredicto.</w:t>
      </w:r>
    </w:p>
    <w:p w14:paraId="7CBCAEDD" w14:textId="77777777" w:rsidR="00B5625C" w:rsidRPr="00975C02" w:rsidRDefault="00B5625C" w:rsidP="00B5625C">
      <w:pPr>
        <w:widowControl/>
        <w:autoSpaceDE w:val="0"/>
        <w:autoSpaceDN w:val="0"/>
        <w:adjustRightInd/>
        <w:spacing w:line="240" w:lineRule="auto"/>
        <w:jc w:val="left"/>
        <w:textAlignment w:val="auto"/>
        <w:rPr>
          <w:rFonts w:eastAsia="Calibri" w:cs="Arial"/>
          <w:b/>
          <w:sz w:val="16"/>
          <w:szCs w:val="20"/>
          <w:lang w:val="es-ES" w:eastAsia="en-US"/>
        </w:rPr>
      </w:pPr>
    </w:p>
    <w:p w14:paraId="6D8D5EFA" w14:textId="61513EF3" w:rsidR="00B5625C" w:rsidRPr="00975C02" w:rsidRDefault="00B5625C" w:rsidP="004F5B40">
      <w:pPr>
        <w:widowControl/>
        <w:numPr>
          <w:ilvl w:val="0"/>
          <w:numId w:val="2"/>
        </w:numPr>
        <w:tabs>
          <w:tab w:val="left" w:pos="567"/>
          <w:tab w:val="num" w:pos="12305"/>
        </w:tabs>
        <w:adjustRightInd/>
        <w:spacing w:line="240" w:lineRule="auto"/>
        <w:ind w:left="0" w:firstLine="0"/>
        <w:textAlignment w:val="auto"/>
        <w:rPr>
          <w:rFonts w:eastAsia="Calibri" w:cs="Arial"/>
          <w:b/>
          <w:sz w:val="16"/>
          <w:szCs w:val="20"/>
          <w:lang w:val="es-ES" w:eastAsia="en-US"/>
        </w:rPr>
      </w:pPr>
      <w:r w:rsidRPr="00975C02">
        <w:rPr>
          <w:rFonts w:eastAsia="Calibri" w:cs="Arial"/>
          <w:sz w:val="20"/>
          <w:szCs w:val="20"/>
          <w:lang w:val="es-ES" w:eastAsia="en-US"/>
        </w:rPr>
        <w:t>Por otro lado, respecto a la supuesta influencia política a la que se refir</w:t>
      </w:r>
      <w:r w:rsidR="00AA0CDA" w:rsidRPr="00975C02">
        <w:rPr>
          <w:rFonts w:eastAsia="Calibri" w:cs="Arial"/>
          <w:sz w:val="20"/>
          <w:szCs w:val="20"/>
          <w:lang w:val="es-ES" w:eastAsia="en-US"/>
        </w:rPr>
        <w:t>i</w:t>
      </w:r>
      <w:r w:rsidRPr="00975C02">
        <w:rPr>
          <w:rFonts w:eastAsia="Calibri" w:cs="Arial"/>
          <w:sz w:val="20"/>
          <w:szCs w:val="20"/>
          <w:lang w:val="es-ES" w:eastAsia="en-US"/>
        </w:rPr>
        <w:t>e</w:t>
      </w:r>
      <w:r w:rsidR="00AA0CDA" w:rsidRPr="00975C02">
        <w:rPr>
          <w:rFonts w:eastAsia="Calibri" w:cs="Arial"/>
          <w:sz w:val="20"/>
          <w:szCs w:val="20"/>
          <w:lang w:val="es-ES" w:eastAsia="en-US"/>
        </w:rPr>
        <w:t>ro</w:t>
      </w:r>
      <w:r w:rsidRPr="00975C02">
        <w:rPr>
          <w:rFonts w:eastAsia="Calibri" w:cs="Arial"/>
          <w:sz w:val="20"/>
          <w:szCs w:val="20"/>
          <w:lang w:val="es-ES" w:eastAsia="en-US"/>
        </w:rPr>
        <w:t xml:space="preserve">n las representantes, el Estado señaló que no ha sido comprobada, ni a nivel interno, </w:t>
      </w:r>
      <w:r w:rsidR="00AA0CDA" w:rsidRPr="00975C02">
        <w:rPr>
          <w:rFonts w:eastAsia="Calibri" w:cs="Arial"/>
          <w:sz w:val="20"/>
          <w:szCs w:val="20"/>
          <w:lang w:val="es-ES" w:eastAsia="en-US"/>
        </w:rPr>
        <w:t xml:space="preserve">ni </w:t>
      </w:r>
      <w:r w:rsidRPr="00975C02">
        <w:rPr>
          <w:rFonts w:eastAsia="Calibri" w:cs="Arial"/>
          <w:sz w:val="20"/>
          <w:szCs w:val="20"/>
          <w:lang w:val="es-ES" w:eastAsia="en-US"/>
        </w:rPr>
        <w:t>ante la Comisión</w:t>
      </w:r>
      <w:r w:rsidR="00114139" w:rsidRPr="00975C02">
        <w:rPr>
          <w:rFonts w:eastAsia="Calibri" w:cs="Arial"/>
          <w:sz w:val="20"/>
          <w:szCs w:val="20"/>
          <w:lang w:val="es-ES" w:eastAsia="en-US"/>
        </w:rPr>
        <w:t>,</w:t>
      </w:r>
      <w:r w:rsidRPr="00975C02">
        <w:rPr>
          <w:rFonts w:eastAsia="Calibri" w:cs="Arial"/>
          <w:sz w:val="20"/>
          <w:szCs w:val="20"/>
          <w:lang w:val="es-ES" w:eastAsia="en-US"/>
        </w:rPr>
        <w:t xml:space="preserve"> por lo que </w:t>
      </w:r>
      <w:r w:rsidR="00114139" w:rsidRPr="00975C02">
        <w:rPr>
          <w:rFonts w:eastAsia="Calibri" w:cs="Arial"/>
          <w:sz w:val="20"/>
          <w:szCs w:val="20"/>
          <w:lang w:val="es-ES" w:eastAsia="en-US"/>
        </w:rPr>
        <w:t xml:space="preserve">ello constituye </w:t>
      </w:r>
      <w:r w:rsidRPr="00975C02">
        <w:rPr>
          <w:rFonts w:eastAsia="Calibri" w:cs="Arial"/>
          <w:sz w:val="20"/>
          <w:szCs w:val="20"/>
          <w:lang w:val="es-ES" w:eastAsia="en-US"/>
        </w:rPr>
        <w:t>una aseveración subjetiva e infundada. Asimismo, destacó que el Estado de Nicaragua es un Estado Laico.</w:t>
      </w:r>
    </w:p>
    <w:p w14:paraId="63817F0D" w14:textId="77777777" w:rsidR="00B5625C" w:rsidRPr="00975C02" w:rsidRDefault="00B5625C" w:rsidP="00B5625C">
      <w:pPr>
        <w:widowControl/>
        <w:adjustRightInd/>
        <w:spacing w:line="240" w:lineRule="auto"/>
        <w:textAlignment w:val="auto"/>
        <w:rPr>
          <w:sz w:val="20"/>
          <w:szCs w:val="20"/>
          <w:lang w:val="es-ES" w:eastAsia="en-US"/>
        </w:rPr>
      </w:pPr>
    </w:p>
    <w:p w14:paraId="79F3F4A7" w14:textId="77777777" w:rsidR="00B5625C" w:rsidRPr="00975C02" w:rsidRDefault="00A92F94" w:rsidP="00B5625C">
      <w:pPr>
        <w:keepNext/>
        <w:keepLines/>
        <w:tabs>
          <w:tab w:val="left" w:pos="1701"/>
        </w:tabs>
        <w:spacing w:line="240" w:lineRule="auto"/>
        <w:ind w:left="1134"/>
        <w:outlineLvl w:val="1"/>
        <w:rPr>
          <w:bCs/>
          <w:i/>
          <w:sz w:val="20"/>
          <w:szCs w:val="20"/>
          <w:lang w:val="es-ES"/>
        </w:rPr>
      </w:pPr>
      <w:bookmarkStart w:id="134" w:name="_Toc514172639"/>
      <w:r w:rsidRPr="00975C02">
        <w:rPr>
          <w:bCs/>
          <w:i/>
          <w:sz w:val="20"/>
          <w:szCs w:val="20"/>
          <w:lang w:val="es-ES"/>
        </w:rPr>
        <w:t>B</w:t>
      </w:r>
      <w:r w:rsidR="00B5625C" w:rsidRPr="00975C02">
        <w:rPr>
          <w:bCs/>
          <w:i/>
          <w:sz w:val="20"/>
          <w:szCs w:val="20"/>
          <w:lang w:val="es-ES"/>
        </w:rPr>
        <w:t xml:space="preserve">.2 </w:t>
      </w:r>
      <w:r w:rsidR="00B5625C" w:rsidRPr="00975C02">
        <w:rPr>
          <w:bCs/>
          <w:i/>
          <w:sz w:val="20"/>
          <w:szCs w:val="20"/>
          <w:lang w:val="es-ES"/>
        </w:rPr>
        <w:tab/>
        <w:t>Alegatos</w:t>
      </w:r>
      <w:r w:rsidR="006F71B8" w:rsidRPr="00975C02">
        <w:rPr>
          <w:bCs/>
          <w:i/>
          <w:sz w:val="20"/>
          <w:szCs w:val="20"/>
          <w:lang w:val="es-ES"/>
        </w:rPr>
        <w:t xml:space="preserve"> de las partes y de la Comisión</w:t>
      </w:r>
      <w:r w:rsidR="00B5625C" w:rsidRPr="00975C02">
        <w:rPr>
          <w:bCs/>
          <w:i/>
          <w:sz w:val="20"/>
          <w:szCs w:val="20"/>
          <w:lang w:val="es-ES"/>
        </w:rPr>
        <w:t xml:space="preserve"> en relación con el deber de motivar</w:t>
      </w:r>
      <w:bookmarkEnd w:id="134"/>
    </w:p>
    <w:p w14:paraId="1EFDB031" w14:textId="77777777" w:rsidR="00B5625C" w:rsidRPr="00975C02" w:rsidRDefault="00B5625C" w:rsidP="00B5625C">
      <w:pPr>
        <w:widowControl/>
        <w:tabs>
          <w:tab w:val="left" w:pos="720"/>
        </w:tabs>
        <w:adjustRightInd/>
        <w:spacing w:line="240" w:lineRule="auto"/>
        <w:jc w:val="left"/>
        <w:textAlignment w:val="auto"/>
        <w:rPr>
          <w:rFonts w:eastAsia="MS Mincho"/>
          <w:sz w:val="20"/>
          <w:szCs w:val="20"/>
          <w:lang w:val="es-ES" w:eastAsia="en-US"/>
        </w:rPr>
      </w:pPr>
    </w:p>
    <w:p w14:paraId="055D15A8" w14:textId="70243DBF" w:rsidR="00B5625C" w:rsidRPr="00975C02" w:rsidRDefault="00B5625C" w:rsidP="005B46F8">
      <w:pPr>
        <w:widowControl/>
        <w:numPr>
          <w:ilvl w:val="0"/>
          <w:numId w:val="2"/>
        </w:numPr>
        <w:tabs>
          <w:tab w:val="left" w:pos="567"/>
          <w:tab w:val="num" w:pos="12305"/>
        </w:tabs>
        <w:adjustRightInd/>
        <w:spacing w:line="240" w:lineRule="auto"/>
        <w:ind w:left="0" w:firstLine="0"/>
        <w:textAlignment w:val="auto"/>
        <w:rPr>
          <w:rFonts w:eastAsia="Calibri" w:cs="Arial"/>
          <w:b/>
          <w:sz w:val="16"/>
          <w:szCs w:val="20"/>
          <w:lang w:val="es-ES" w:eastAsia="en-US"/>
        </w:rPr>
      </w:pPr>
      <w:r w:rsidRPr="00975C02">
        <w:rPr>
          <w:rFonts w:eastAsia="Calibri" w:cs="Arial"/>
          <w:sz w:val="20"/>
          <w:szCs w:val="20"/>
          <w:lang w:val="es-ES" w:eastAsia="en-US"/>
        </w:rPr>
        <w:t xml:space="preserve">En relación con el veredicto absolutorio de abril de 2002, la </w:t>
      </w:r>
      <w:r w:rsidRPr="00975C02">
        <w:rPr>
          <w:rFonts w:eastAsia="Calibri" w:cs="Arial"/>
          <w:b/>
          <w:i/>
          <w:sz w:val="20"/>
          <w:szCs w:val="20"/>
          <w:lang w:val="es-ES" w:eastAsia="en-US"/>
        </w:rPr>
        <w:t>Comisión</w:t>
      </w:r>
      <w:r w:rsidRPr="00975C02">
        <w:rPr>
          <w:rFonts w:eastAsia="Calibri" w:cs="Arial"/>
          <w:sz w:val="20"/>
          <w:szCs w:val="20"/>
          <w:lang w:val="es-ES" w:eastAsia="en-US"/>
        </w:rPr>
        <w:t xml:space="preserve"> destacó que el mismo fue inmotivado y en ninguna otra parte del expediente se indicaron las razones por las cuales el jurado llegó a esa determinación. A este respecto, recordó que el deber de motivación es un corolario de las garantías del debido proceso, no sólo desde la legitimidad misma de la decisión y la defensa de una persona acusada, sino también desde la expectativa de acceso a la justicia que tienen las víctimas de violaciones a sus derechos. Asimismo, indicó que el deber de motivar las resoluciones es una garantía vinculada con la correcta administración de justicia, además demuestra a las partes que éstas han sido oídas y, en aquellos casos en que las decisiones son recurribles, les proporciona la posibilidad de criticar la resolución y lograr un nuevo examen de la cuestión ante las instancias superiores.</w:t>
      </w:r>
    </w:p>
    <w:p w14:paraId="5F1476F1" w14:textId="77777777" w:rsidR="00B5625C" w:rsidRPr="00975C02" w:rsidRDefault="00B5625C" w:rsidP="00B5625C">
      <w:pPr>
        <w:widowControl/>
        <w:autoSpaceDE w:val="0"/>
        <w:autoSpaceDN w:val="0"/>
        <w:adjustRightInd/>
        <w:spacing w:line="240" w:lineRule="auto"/>
        <w:jc w:val="left"/>
        <w:textAlignment w:val="auto"/>
        <w:rPr>
          <w:rFonts w:eastAsia="Calibri" w:cs="Arial"/>
          <w:sz w:val="20"/>
          <w:szCs w:val="20"/>
          <w:lang w:val="es-ES" w:eastAsia="en-US"/>
        </w:rPr>
      </w:pPr>
    </w:p>
    <w:p w14:paraId="2F23DC22" w14:textId="2ACBBE95" w:rsidR="00B5625C" w:rsidRPr="00975C02" w:rsidRDefault="00B5625C" w:rsidP="005B46F8">
      <w:pPr>
        <w:widowControl/>
        <w:numPr>
          <w:ilvl w:val="0"/>
          <w:numId w:val="2"/>
        </w:numPr>
        <w:tabs>
          <w:tab w:val="left" w:pos="567"/>
          <w:tab w:val="num" w:pos="12305"/>
        </w:tabs>
        <w:adjustRightInd/>
        <w:spacing w:line="240" w:lineRule="auto"/>
        <w:ind w:left="0" w:firstLine="0"/>
        <w:textAlignment w:val="auto"/>
        <w:rPr>
          <w:rFonts w:eastAsia="Calibri" w:cs="Arial"/>
          <w:sz w:val="20"/>
          <w:szCs w:val="20"/>
          <w:lang w:val="es-ES" w:eastAsia="en-US"/>
        </w:rPr>
      </w:pPr>
      <w:r w:rsidRPr="00975C02">
        <w:rPr>
          <w:rFonts w:eastAsia="Calibri" w:cs="Arial"/>
          <w:sz w:val="20"/>
          <w:szCs w:val="20"/>
          <w:lang w:val="es-ES" w:eastAsia="en-US"/>
        </w:rPr>
        <w:t xml:space="preserve">La Comisión especificó que, “en relación con las víctimas de violencia y violación sexual, el cumplimiento de este deber exige que la propia víctima que denuncia la vivencia de una experiencia severamente traumática, pueda contar con una explicación seria y detallada sobre </w:t>
      </w:r>
      <w:r w:rsidRPr="00975C02">
        <w:rPr>
          <w:rFonts w:eastAsia="Calibri" w:cs="Arial"/>
          <w:sz w:val="20"/>
          <w:szCs w:val="20"/>
          <w:lang w:val="es-ES" w:eastAsia="en-US"/>
        </w:rPr>
        <w:lastRenderedPageBreak/>
        <w:t xml:space="preserve">cómo fue tomado en consideración su testimonio, y no una escueta y/o prejuiciada determinación de que su verdad no fue considerada como creíble”, lo cual está ligado a la forma en que debe valorarse el testimonio de una víctima de violencia y violación sexual como una prueba fundamental en el proceso. Agregó que, por tratarse de una niña de corta edad, su testimonio debía valorarse desde una perspectiva de género y el principio general del interés superior. Así, sostuvo que aún en el caso de procesos adelantados con tribunales de jurado, los Estados deben asegurar el cumplimiento de la obligación relacionada con que toda decisión judicial debe dar cuenta de manera motivada la forma en que </w:t>
      </w:r>
      <w:r w:rsidR="00ED2ADE">
        <w:rPr>
          <w:rFonts w:eastAsia="Calibri" w:cs="Arial"/>
          <w:sz w:val="20"/>
          <w:szCs w:val="20"/>
          <w:lang w:val="es-ES" w:eastAsia="en-US"/>
        </w:rPr>
        <w:t xml:space="preserve">se ha considerado </w:t>
      </w:r>
      <w:r w:rsidRPr="00975C02">
        <w:rPr>
          <w:rFonts w:eastAsia="Calibri" w:cs="Arial"/>
          <w:sz w:val="20"/>
          <w:szCs w:val="20"/>
          <w:lang w:val="es-ES" w:eastAsia="en-US"/>
        </w:rPr>
        <w:t>el parecer del niño o niña involucrado en el proceso. Si bien el Estado indicó que la decisión fue adoptada con base en la normativa penal interna vigente, la Comisión entendió que no pueden oponerse cuestiones de derecho interno para eximir el cumplimiento de las obligaciones internacionales.</w:t>
      </w:r>
    </w:p>
    <w:p w14:paraId="0DC0E35D" w14:textId="77777777" w:rsidR="00B5625C" w:rsidRPr="00975C02" w:rsidRDefault="00B5625C" w:rsidP="00B5625C">
      <w:pPr>
        <w:widowControl/>
        <w:tabs>
          <w:tab w:val="left" w:pos="567"/>
        </w:tabs>
        <w:autoSpaceDE w:val="0"/>
        <w:autoSpaceDN w:val="0"/>
        <w:spacing w:line="240" w:lineRule="auto"/>
        <w:textAlignment w:val="auto"/>
        <w:rPr>
          <w:rFonts w:eastAsia="Calibri" w:cs="Arial"/>
          <w:sz w:val="20"/>
          <w:szCs w:val="20"/>
          <w:lang w:val="es-ES" w:eastAsia="en-US"/>
        </w:rPr>
      </w:pPr>
    </w:p>
    <w:p w14:paraId="3BDF268D" w14:textId="52C17AFC" w:rsidR="00B5625C" w:rsidRPr="00975C02" w:rsidRDefault="00B5625C" w:rsidP="005B46F8">
      <w:pPr>
        <w:widowControl/>
        <w:numPr>
          <w:ilvl w:val="0"/>
          <w:numId w:val="2"/>
        </w:numPr>
        <w:tabs>
          <w:tab w:val="left" w:pos="567"/>
          <w:tab w:val="num" w:pos="12305"/>
        </w:tabs>
        <w:adjustRightInd/>
        <w:spacing w:line="240" w:lineRule="auto"/>
        <w:ind w:left="0" w:firstLine="0"/>
        <w:textAlignment w:val="auto"/>
        <w:rPr>
          <w:rFonts w:eastAsia="Calibri" w:cs="Arial"/>
          <w:sz w:val="20"/>
          <w:szCs w:val="20"/>
          <w:lang w:val="es-ES" w:eastAsia="en-US"/>
        </w:rPr>
      </w:pPr>
      <w:r w:rsidRPr="00975C02">
        <w:rPr>
          <w:rFonts w:eastAsia="Calibri" w:cs="Arial"/>
          <w:sz w:val="20"/>
          <w:szCs w:val="20"/>
          <w:lang w:val="es-ES" w:eastAsia="en-US"/>
        </w:rPr>
        <w:t>La Comisión notó que, luego de la absolución, la representante de V.P.C. presentó distintos recursos a efectos de cuestionar las falencias e irregularidades del proceso. De la información disponible, la Comisión observó que dichos recursos no resultaron efectivos</w:t>
      </w:r>
      <w:r w:rsidR="002A4FDB">
        <w:rPr>
          <w:rFonts w:eastAsia="Calibri" w:cs="Arial"/>
          <w:sz w:val="20"/>
          <w:szCs w:val="20"/>
          <w:lang w:val="es-ES" w:eastAsia="en-US"/>
        </w:rPr>
        <w:t>,</w:t>
      </w:r>
      <w:r w:rsidRPr="00975C02">
        <w:rPr>
          <w:rFonts w:eastAsia="Calibri" w:cs="Arial"/>
          <w:sz w:val="20"/>
          <w:szCs w:val="20"/>
          <w:lang w:val="es-ES" w:eastAsia="en-US"/>
        </w:rPr>
        <w:t xml:space="preserve"> en tanto no proveyeron a V.R.P. y a su madre de la posibilidad de que sus alegatos fueran analizados adecuadamente y se aplicaran los correctivos necesarios a la investigación.</w:t>
      </w:r>
    </w:p>
    <w:p w14:paraId="7AD6B8CD" w14:textId="77777777" w:rsidR="00B5625C" w:rsidRPr="00975C02" w:rsidRDefault="00B5625C" w:rsidP="00B5625C">
      <w:pPr>
        <w:widowControl/>
        <w:autoSpaceDE w:val="0"/>
        <w:autoSpaceDN w:val="0"/>
        <w:adjustRightInd/>
        <w:spacing w:line="240" w:lineRule="auto"/>
        <w:jc w:val="left"/>
        <w:textAlignment w:val="auto"/>
        <w:rPr>
          <w:rFonts w:eastAsia="Calibri" w:cs="Arial"/>
          <w:sz w:val="20"/>
          <w:szCs w:val="20"/>
          <w:lang w:val="es-ES" w:eastAsia="en-US"/>
        </w:rPr>
      </w:pPr>
    </w:p>
    <w:p w14:paraId="1A7C788D" w14:textId="5E21C0BC" w:rsidR="00B5625C" w:rsidRPr="00975C02" w:rsidRDefault="00B5625C" w:rsidP="005B46F8">
      <w:pPr>
        <w:widowControl/>
        <w:numPr>
          <w:ilvl w:val="0"/>
          <w:numId w:val="2"/>
        </w:numPr>
        <w:tabs>
          <w:tab w:val="left" w:pos="567"/>
          <w:tab w:val="num" w:pos="12305"/>
        </w:tabs>
        <w:adjustRightInd/>
        <w:spacing w:line="240" w:lineRule="auto"/>
        <w:ind w:left="0" w:firstLine="0"/>
        <w:textAlignment w:val="auto"/>
        <w:rPr>
          <w:rFonts w:eastAsia="Calibri" w:cs="Arial"/>
          <w:sz w:val="20"/>
          <w:szCs w:val="20"/>
          <w:lang w:val="es-ES" w:eastAsia="en-US"/>
        </w:rPr>
      </w:pPr>
      <w:r w:rsidRPr="00975C02">
        <w:rPr>
          <w:rFonts w:eastAsia="Calibri" w:cs="Arial"/>
          <w:sz w:val="20"/>
          <w:szCs w:val="20"/>
          <w:lang w:val="es-ES" w:eastAsia="en-US"/>
        </w:rPr>
        <w:t xml:space="preserve">Las </w:t>
      </w:r>
      <w:r w:rsidRPr="00975C02">
        <w:rPr>
          <w:rFonts w:eastAsia="Calibri" w:cs="Arial"/>
          <w:b/>
          <w:i/>
          <w:sz w:val="20"/>
          <w:szCs w:val="20"/>
          <w:lang w:val="es-ES" w:eastAsia="en-US"/>
        </w:rPr>
        <w:t>representantes</w:t>
      </w:r>
      <w:r w:rsidRPr="00975C02">
        <w:rPr>
          <w:rFonts w:eastAsia="Calibri" w:cs="Arial"/>
          <w:sz w:val="20"/>
          <w:szCs w:val="20"/>
          <w:lang w:val="es-ES" w:eastAsia="en-US"/>
        </w:rPr>
        <w:t xml:space="preserve"> se refirieron a la jurisprudencia de esta Corte que ha señalado que el deber de motivación es una de las “debidas garantías” incluidas en el artículo 8.1 para salvaguardar el derecho a un debido proceso. Las representantes añadieron que la víctima no tuvo la posibilidad de conocer las razones en las que se basaba el veredicto de inocencia. Sostuvieron que en el presente caso, a 15 años del veredicto por el cual fue absuelto el agresor de la presunta víctima, no ha sido posible recibir una explicación de cuáles fueron los hechos, los motivos, las normas y las pruebas en las que se basó el jurado para tomar la decisión en un espacio de 15 minutos, sin creerle al relato “claro y coherente” de V.R.P. respecto a la culpabilidad de su padre. Indicaron que tampoco fue posible conocer si los alegatos planteados por el abogado acusador fueron tomados en consideración, si el jurado analizó las pruebas, o si por el contrario, fue el contenido del papel rosado que recibieron de uno de los defensores con la instrucción de leerlo en privado lo que influyó en la decisión, o si fue real y efectivamente la influencia política imperante en el país sobre la justicia, y que se puso de manifiesto en el caso. Concluyeron que, con sólo observar el veredicto, establecido en media página de papel, es posible concluir que se trata de una decisión carente de motivación y “a todas luces arbitraria”, que no cumplió con los estándares establecidos por la Corte.</w:t>
      </w:r>
    </w:p>
    <w:p w14:paraId="3429783D" w14:textId="77777777" w:rsidR="00B5625C" w:rsidRPr="00975C02" w:rsidRDefault="00B5625C" w:rsidP="00B5625C">
      <w:pPr>
        <w:widowControl/>
        <w:autoSpaceDE w:val="0"/>
        <w:autoSpaceDN w:val="0"/>
        <w:adjustRightInd/>
        <w:spacing w:line="240" w:lineRule="auto"/>
        <w:jc w:val="left"/>
        <w:textAlignment w:val="auto"/>
        <w:rPr>
          <w:rFonts w:eastAsia="Calibri" w:cs="Arial"/>
          <w:sz w:val="20"/>
          <w:szCs w:val="20"/>
          <w:lang w:val="es-ES" w:eastAsia="en-US"/>
        </w:rPr>
      </w:pPr>
    </w:p>
    <w:p w14:paraId="35F68CC9" w14:textId="24986D51" w:rsidR="00B5625C" w:rsidRPr="00975C02" w:rsidRDefault="00B5625C" w:rsidP="005B46F8">
      <w:pPr>
        <w:widowControl/>
        <w:numPr>
          <w:ilvl w:val="0"/>
          <w:numId w:val="2"/>
        </w:numPr>
        <w:tabs>
          <w:tab w:val="left" w:pos="567"/>
          <w:tab w:val="num" w:pos="12305"/>
        </w:tabs>
        <w:adjustRightInd/>
        <w:spacing w:line="240" w:lineRule="auto"/>
        <w:ind w:left="0" w:firstLine="0"/>
        <w:textAlignment w:val="auto"/>
        <w:rPr>
          <w:rFonts w:eastAsia="Calibri" w:cs="Arial"/>
          <w:b/>
          <w:sz w:val="16"/>
          <w:szCs w:val="20"/>
          <w:lang w:val="es-ES" w:eastAsia="en-US"/>
        </w:rPr>
      </w:pPr>
      <w:r w:rsidRPr="00975C02">
        <w:rPr>
          <w:rFonts w:eastAsia="Calibri" w:cs="Arial"/>
          <w:sz w:val="20"/>
          <w:szCs w:val="20"/>
          <w:lang w:val="es-ES" w:eastAsia="en-US"/>
        </w:rPr>
        <w:t>Aunado a lo anterior, las representantes estimaron que no solo no se conocieron las razones del veredicto de inocencia, sino que tampoco se le ofreció a las víctimas un recurso que les permitiera una revisión efectiva del caso. El Estado no pudo garantizar la sanción del responsable del trauma de agresión sexual, como tampoco la investigación y sanción de los que actuaron con negligencia o irregularidades durante el proceso, ni de los que contribuyeron a la revictimización de la niña.</w:t>
      </w:r>
    </w:p>
    <w:p w14:paraId="4E83BF94" w14:textId="77777777" w:rsidR="00B5625C" w:rsidRPr="00975C02" w:rsidRDefault="00B5625C" w:rsidP="00B5625C">
      <w:pPr>
        <w:widowControl/>
        <w:autoSpaceDE w:val="0"/>
        <w:autoSpaceDN w:val="0"/>
        <w:adjustRightInd/>
        <w:spacing w:line="240" w:lineRule="auto"/>
        <w:jc w:val="left"/>
        <w:textAlignment w:val="auto"/>
        <w:rPr>
          <w:rFonts w:eastAsia="Calibri" w:cs="Arial"/>
          <w:sz w:val="20"/>
          <w:szCs w:val="20"/>
          <w:lang w:val="es-ES" w:eastAsia="en-US"/>
        </w:rPr>
      </w:pPr>
    </w:p>
    <w:p w14:paraId="2F597253" w14:textId="5A1D3F80" w:rsidR="00B5625C" w:rsidRPr="00975C02" w:rsidRDefault="00B5625C" w:rsidP="005B46F8">
      <w:pPr>
        <w:widowControl/>
        <w:numPr>
          <w:ilvl w:val="0"/>
          <w:numId w:val="2"/>
        </w:numPr>
        <w:tabs>
          <w:tab w:val="left" w:pos="567"/>
          <w:tab w:val="num" w:pos="12305"/>
        </w:tabs>
        <w:adjustRightInd/>
        <w:spacing w:line="240" w:lineRule="auto"/>
        <w:ind w:left="0" w:firstLine="0"/>
        <w:textAlignment w:val="auto"/>
        <w:rPr>
          <w:rFonts w:eastAsia="Calibri" w:cs="Arial"/>
          <w:b/>
          <w:sz w:val="16"/>
          <w:szCs w:val="20"/>
          <w:lang w:val="es-ES" w:eastAsia="en-US"/>
        </w:rPr>
      </w:pPr>
      <w:r w:rsidRPr="00975C02">
        <w:rPr>
          <w:rFonts w:eastAsia="Calibri"/>
          <w:sz w:val="20"/>
          <w:szCs w:val="20"/>
          <w:lang w:val="es-ES" w:eastAsia="en-US"/>
        </w:rPr>
        <w:t xml:space="preserve">El </w:t>
      </w:r>
      <w:r w:rsidRPr="00975C02">
        <w:rPr>
          <w:rFonts w:eastAsia="Calibri"/>
          <w:b/>
          <w:i/>
          <w:sz w:val="20"/>
          <w:szCs w:val="20"/>
          <w:lang w:val="es-ES" w:eastAsia="en-US"/>
        </w:rPr>
        <w:t>Estado</w:t>
      </w:r>
      <w:r w:rsidRPr="00975C02">
        <w:rPr>
          <w:rFonts w:eastAsia="Calibri"/>
          <w:sz w:val="20"/>
          <w:szCs w:val="20"/>
          <w:lang w:val="es-ES" w:eastAsia="en-US"/>
        </w:rPr>
        <w:t xml:space="preserve"> </w:t>
      </w:r>
      <w:r w:rsidRPr="00975C02">
        <w:rPr>
          <w:rFonts w:eastAsia="Calibri" w:cs="Arial"/>
          <w:sz w:val="20"/>
          <w:szCs w:val="20"/>
          <w:lang w:val="es-ES" w:eastAsia="en-US"/>
        </w:rPr>
        <w:t>señaló que la institución de jurado en Nicaragua no consistía en una figura excepcional en su ordenamiento jurídico interno, sino que existe en muchos países del mundo, siendo el jurado un juez de los hechos y jamás del derecho. Añadió que, la legislación interna de Nicaragua en el artículo 22 del Código de Instrucción Criminal, establecía en la época que “los delitos comunes que merezcan penas más que correccional deberán ser sometidos al conocimiento del Tribunal de Jurados, quien emitirá su veredicto de íntima convicción, pronunciándose sobre la responsabilidad del procesado declarándolo inocente o culpable. Con este veredicto, el Juez de Distrito dictará su sentencia absolviendo, o imponiendo la pena”.</w:t>
      </w:r>
      <w:r w:rsidRPr="00975C02">
        <w:rPr>
          <w:rFonts w:eastAsia="Calibri" w:cs="Arial"/>
          <w:b/>
          <w:sz w:val="16"/>
          <w:szCs w:val="20"/>
          <w:lang w:val="es-ES" w:eastAsia="en-US"/>
        </w:rPr>
        <w:t xml:space="preserve"> </w:t>
      </w:r>
      <w:r w:rsidRPr="00975C02">
        <w:rPr>
          <w:rFonts w:eastAsia="Calibri" w:cs="Arial"/>
          <w:sz w:val="20"/>
          <w:szCs w:val="20"/>
          <w:lang w:val="es-ES" w:eastAsia="en-US"/>
        </w:rPr>
        <w:t xml:space="preserve">Asimismo, </w:t>
      </w:r>
      <w:r w:rsidRPr="00975C02">
        <w:rPr>
          <w:rFonts w:eastAsia="Calibri"/>
          <w:sz w:val="20"/>
          <w:szCs w:val="20"/>
          <w:lang w:val="es-ES" w:eastAsia="en-US"/>
        </w:rPr>
        <w:t xml:space="preserve">indicó que el Tribunal del Jurado estaba “exento de fundamentar su decisión, la cual se tomaba de acuerdo a la sana lógica y a la íntima convicción”. </w:t>
      </w:r>
      <w:r w:rsidRPr="00975C02">
        <w:rPr>
          <w:rFonts w:eastAsia="Calibri" w:cs="Arial"/>
          <w:sz w:val="20"/>
          <w:szCs w:val="20"/>
          <w:lang w:val="es-ES" w:eastAsia="en-US"/>
        </w:rPr>
        <w:t xml:space="preserve">La ley no impone al juzgador ningún tipo de regla que deba aplicar en la apreciación de los diversos medios probatorios; y la convicción que logra obtener el jurado no </w:t>
      </w:r>
      <w:r w:rsidRPr="00975C02">
        <w:rPr>
          <w:rFonts w:eastAsia="Calibri" w:cs="Arial"/>
          <w:sz w:val="20"/>
          <w:szCs w:val="20"/>
          <w:lang w:val="es-ES" w:eastAsia="en-US"/>
        </w:rPr>
        <w:lastRenderedPageBreak/>
        <w:t xml:space="preserve">se encuentra sujeta a ningún tipo de formalidad preestablecida. </w:t>
      </w:r>
      <w:r w:rsidRPr="00975C02">
        <w:rPr>
          <w:rFonts w:eastAsia="Calibri"/>
          <w:sz w:val="20"/>
          <w:szCs w:val="20"/>
          <w:lang w:val="es-ES" w:eastAsia="en-US"/>
        </w:rPr>
        <w:t>Agregó que, en virtud del m</w:t>
      </w:r>
      <w:r w:rsidR="00A84E71">
        <w:rPr>
          <w:rFonts w:eastAsia="Calibri"/>
          <w:sz w:val="20"/>
          <w:szCs w:val="20"/>
          <w:lang w:val="es-ES" w:eastAsia="en-US"/>
        </w:rPr>
        <w:t>arco jurídico de actuación del T</w:t>
      </w:r>
      <w:r w:rsidRPr="00975C02">
        <w:rPr>
          <w:rFonts w:eastAsia="Calibri"/>
          <w:sz w:val="20"/>
          <w:szCs w:val="20"/>
          <w:lang w:val="es-ES" w:eastAsia="en-US"/>
        </w:rPr>
        <w:t xml:space="preserve">ribunal de </w:t>
      </w:r>
      <w:r w:rsidR="00A84E71">
        <w:rPr>
          <w:rFonts w:eastAsia="Calibri"/>
          <w:sz w:val="20"/>
          <w:szCs w:val="20"/>
          <w:lang w:val="es-ES" w:eastAsia="en-US"/>
        </w:rPr>
        <w:t>J</w:t>
      </w:r>
      <w:r w:rsidRPr="00975C02">
        <w:rPr>
          <w:rFonts w:eastAsia="Calibri"/>
          <w:sz w:val="20"/>
          <w:szCs w:val="20"/>
          <w:lang w:val="es-ES" w:eastAsia="en-US"/>
        </w:rPr>
        <w:t xml:space="preserve">urados, no se les debe pedir razones por las que llegaron a la convicción de condenar o absolver a una persona sujeta a un proceso penal. </w:t>
      </w:r>
      <w:r w:rsidRPr="00975C02">
        <w:rPr>
          <w:rFonts w:eastAsia="Calibri" w:cs="Arial"/>
          <w:sz w:val="20"/>
          <w:szCs w:val="20"/>
          <w:lang w:val="es-ES" w:eastAsia="en-US"/>
        </w:rPr>
        <w:t>Subrayó que lo señalado por la Comisión en cuanto a que la sentencia de abril de 2002 debió motivarse se prestaba a confusión, debido a que lo que se emitió ahí fue un veredicto por el Tribunal de Jurado</w:t>
      </w:r>
      <w:r w:rsidR="00A84E71">
        <w:rPr>
          <w:rFonts w:eastAsia="Calibri" w:cs="Arial"/>
          <w:sz w:val="20"/>
          <w:szCs w:val="20"/>
          <w:lang w:val="es-ES" w:eastAsia="en-US"/>
        </w:rPr>
        <w:t>s</w:t>
      </w:r>
      <w:r w:rsidRPr="00975C02">
        <w:rPr>
          <w:rFonts w:eastAsia="Calibri" w:cs="Arial"/>
          <w:sz w:val="20"/>
          <w:szCs w:val="20"/>
          <w:lang w:val="es-ES" w:eastAsia="en-US"/>
        </w:rPr>
        <w:t xml:space="preserve"> cuya conclusión fue declarar inocente al señor H.R.A. y no una sentencia interlocutoria. Los veredictos no requieren motivarse. Por tanto, el Estado indicó que el jurado no </w:t>
      </w:r>
      <w:r w:rsidR="00FD2B2D" w:rsidRPr="00975C02">
        <w:rPr>
          <w:rFonts w:eastAsia="Calibri" w:cs="Arial"/>
          <w:sz w:val="20"/>
          <w:szCs w:val="20"/>
          <w:lang w:val="es-ES" w:eastAsia="en-US"/>
        </w:rPr>
        <w:t xml:space="preserve">tenía </w:t>
      </w:r>
      <w:r w:rsidRPr="00975C02">
        <w:rPr>
          <w:rFonts w:eastAsia="Calibri" w:cs="Arial"/>
          <w:sz w:val="20"/>
          <w:szCs w:val="20"/>
          <w:lang w:val="es-ES" w:eastAsia="en-US"/>
        </w:rPr>
        <w:t>la obligación ni el deber de razonar o fundamentar los motivos para haber dictado la sentencia, ya que la verdad del proceso se determina a partir de la convicción moral, la conciencia y libre albedrío del jurado popular. Finalmente, el Estado aclaró que, de acuerdo con el artículo 309 del Código de Instrucción Criminal de la época, el veredicto se escribiría con una fórmula prediseñada e indispensable.</w:t>
      </w:r>
    </w:p>
    <w:p w14:paraId="1583A0AA" w14:textId="77777777" w:rsidR="00B5625C" w:rsidRPr="00975C02" w:rsidRDefault="00B5625C" w:rsidP="00B5625C">
      <w:pPr>
        <w:widowControl/>
        <w:adjustRightInd/>
        <w:spacing w:line="240" w:lineRule="auto"/>
        <w:textAlignment w:val="auto"/>
        <w:rPr>
          <w:sz w:val="20"/>
          <w:szCs w:val="20"/>
          <w:lang w:val="es-ES" w:eastAsia="en-US"/>
        </w:rPr>
      </w:pPr>
    </w:p>
    <w:p w14:paraId="75B74A4F" w14:textId="77777777" w:rsidR="00B5625C" w:rsidRPr="00975C02" w:rsidRDefault="00A92F94" w:rsidP="00A92F94">
      <w:pPr>
        <w:keepNext/>
        <w:keepLines/>
        <w:tabs>
          <w:tab w:val="left" w:pos="1701"/>
        </w:tabs>
        <w:spacing w:line="240" w:lineRule="auto"/>
        <w:ind w:left="1134"/>
        <w:outlineLvl w:val="1"/>
        <w:rPr>
          <w:bCs/>
          <w:i/>
          <w:sz w:val="20"/>
          <w:szCs w:val="20"/>
          <w:lang w:val="es-ES"/>
        </w:rPr>
      </w:pPr>
      <w:bookmarkStart w:id="135" w:name="_Toc514172640"/>
      <w:r w:rsidRPr="00975C02">
        <w:rPr>
          <w:bCs/>
          <w:i/>
          <w:sz w:val="20"/>
          <w:szCs w:val="20"/>
          <w:lang w:val="es-ES"/>
        </w:rPr>
        <w:t>B</w:t>
      </w:r>
      <w:r w:rsidR="00B5625C" w:rsidRPr="00975C02">
        <w:rPr>
          <w:bCs/>
          <w:i/>
          <w:sz w:val="20"/>
          <w:szCs w:val="20"/>
          <w:lang w:val="es-ES"/>
        </w:rPr>
        <w:t>.</w:t>
      </w:r>
      <w:r w:rsidR="0032081D" w:rsidRPr="00975C02">
        <w:rPr>
          <w:bCs/>
          <w:i/>
          <w:sz w:val="20"/>
          <w:szCs w:val="20"/>
          <w:lang w:val="es-ES"/>
        </w:rPr>
        <w:t>3</w:t>
      </w:r>
      <w:r w:rsidR="00B5625C" w:rsidRPr="00975C02">
        <w:rPr>
          <w:bCs/>
          <w:i/>
          <w:sz w:val="20"/>
          <w:szCs w:val="20"/>
          <w:lang w:val="es-ES"/>
        </w:rPr>
        <w:tab/>
        <w:t>Consideraciones de la Corte</w:t>
      </w:r>
      <w:bookmarkEnd w:id="135"/>
    </w:p>
    <w:p w14:paraId="13AAAD84" w14:textId="77777777" w:rsidR="00B5625C" w:rsidRPr="00975C02" w:rsidRDefault="00B5625C" w:rsidP="00B5625C">
      <w:pPr>
        <w:widowControl/>
        <w:adjustRightInd/>
        <w:spacing w:line="240" w:lineRule="auto"/>
        <w:textAlignment w:val="auto"/>
        <w:rPr>
          <w:sz w:val="20"/>
          <w:szCs w:val="20"/>
          <w:lang w:val="es-ES" w:eastAsia="en-US"/>
        </w:rPr>
      </w:pPr>
    </w:p>
    <w:p w14:paraId="15CF5B53" w14:textId="13CAA67C" w:rsidR="007814C0" w:rsidRPr="00975C02" w:rsidRDefault="007814C0" w:rsidP="007814C0">
      <w:pPr>
        <w:widowControl/>
        <w:numPr>
          <w:ilvl w:val="0"/>
          <w:numId w:val="2"/>
        </w:numPr>
        <w:tabs>
          <w:tab w:val="left" w:pos="567"/>
          <w:tab w:val="num" w:pos="12305"/>
        </w:tabs>
        <w:adjustRightInd/>
        <w:spacing w:line="240" w:lineRule="auto"/>
        <w:ind w:left="0" w:firstLine="0"/>
        <w:textAlignment w:val="auto"/>
        <w:rPr>
          <w:sz w:val="20"/>
          <w:szCs w:val="20"/>
          <w:lang w:val="es-ES" w:eastAsia="en-US"/>
        </w:rPr>
      </w:pPr>
      <w:r w:rsidRPr="00975C02">
        <w:rPr>
          <w:sz w:val="20"/>
          <w:szCs w:val="20"/>
          <w:lang w:val="es-ES" w:eastAsia="en-US"/>
        </w:rPr>
        <w:t>La controversia que la Corte abordará en este apartado se relaciona con los alegatos referidos a la imparcialidad y al deber de motivar los fallos, principalmente en lo que se refiere al accionar del Tribunal de Jurados, que fue el órgano encargado de conocer en la etapa de plenario y de impartir justicia en el presente caso. Ello remite a esta Corte a la cuestión de la aplicabilidad de las garantías del debido proceso al modelo del juicio por jurados, vigente al momento de los hechos en Nicaragua (</w:t>
      </w:r>
      <w:r w:rsidRPr="00975C02">
        <w:rPr>
          <w:i/>
          <w:sz w:val="20"/>
          <w:szCs w:val="20"/>
          <w:lang w:val="es-ES" w:eastAsia="en-US"/>
        </w:rPr>
        <w:t>infra</w:t>
      </w:r>
      <w:r w:rsidRPr="00975C02">
        <w:rPr>
          <w:sz w:val="20"/>
          <w:szCs w:val="20"/>
          <w:lang w:val="es-ES" w:eastAsia="en-US"/>
        </w:rPr>
        <w:t xml:space="preserve"> párr</w:t>
      </w:r>
      <w:r w:rsidR="003D231B" w:rsidRPr="00975C02">
        <w:rPr>
          <w:sz w:val="20"/>
          <w:szCs w:val="20"/>
          <w:lang w:val="es-ES" w:eastAsia="en-US"/>
        </w:rPr>
        <w:t>s</w:t>
      </w:r>
      <w:r w:rsidRPr="00975C02">
        <w:rPr>
          <w:sz w:val="20"/>
          <w:szCs w:val="20"/>
          <w:lang w:val="es-ES" w:eastAsia="en-US"/>
        </w:rPr>
        <w:t xml:space="preserve">. </w:t>
      </w:r>
      <w:r w:rsidR="003D231B" w:rsidRPr="00975C02">
        <w:rPr>
          <w:sz w:val="20"/>
          <w:szCs w:val="20"/>
          <w:lang w:val="es-ES" w:eastAsia="en-US"/>
        </w:rPr>
        <w:t>227 a 235</w:t>
      </w:r>
      <w:r w:rsidRPr="00975C02">
        <w:rPr>
          <w:sz w:val="20"/>
          <w:szCs w:val="20"/>
          <w:lang w:val="es-ES" w:eastAsia="en-US"/>
        </w:rPr>
        <w:t>)</w:t>
      </w:r>
      <w:r w:rsidR="00EA2CA7" w:rsidRPr="00975C02">
        <w:rPr>
          <w:sz w:val="20"/>
          <w:szCs w:val="20"/>
          <w:lang w:val="es-ES" w:eastAsia="en-US"/>
        </w:rPr>
        <w:t>, para luego hacer el análisis del caso en concreto</w:t>
      </w:r>
      <w:r w:rsidRPr="00975C02">
        <w:rPr>
          <w:sz w:val="20"/>
          <w:szCs w:val="20"/>
          <w:lang w:val="es-ES" w:eastAsia="en-US"/>
        </w:rPr>
        <w:t>.</w:t>
      </w:r>
    </w:p>
    <w:p w14:paraId="4EEF45BC" w14:textId="77777777" w:rsidR="007814C0" w:rsidRPr="00975C02" w:rsidRDefault="007814C0" w:rsidP="00B5625C">
      <w:pPr>
        <w:widowControl/>
        <w:adjustRightInd/>
        <w:spacing w:line="240" w:lineRule="auto"/>
        <w:textAlignment w:val="auto"/>
        <w:rPr>
          <w:sz w:val="20"/>
          <w:szCs w:val="20"/>
          <w:lang w:val="es-ES" w:eastAsia="en-US"/>
        </w:rPr>
      </w:pPr>
    </w:p>
    <w:p w14:paraId="4C531B2E" w14:textId="77777777" w:rsidR="00B5625C" w:rsidRPr="00975C02" w:rsidRDefault="00B5625C" w:rsidP="005B46F8">
      <w:pPr>
        <w:widowControl/>
        <w:numPr>
          <w:ilvl w:val="0"/>
          <w:numId w:val="2"/>
        </w:numPr>
        <w:tabs>
          <w:tab w:val="left" w:pos="567"/>
          <w:tab w:val="num" w:pos="12305"/>
        </w:tabs>
        <w:adjustRightInd/>
        <w:spacing w:line="240" w:lineRule="auto"/>
        <w:ind w:left="0" w:firstLine="0"/>
        <w:textAlignment w:val="auto"/>
        <w:rPr>
          <w:sz w:val="20"/>
          <w:szCs w:val="20"/>
          <w:lang w:val="es-ES" w:eastAsia="en-US"/>
        </w:rPr>
      </w:pPr>
      <w:r w:rsidRPr="00975C02">
        <w:rPr>
          <w:sz w:val="20"/>
          <w:szCs w:val="20"/>
          <w:lang w:val="es-ES" w:eastAsia="en-US"/>
        </w:rPr>
        <w:t xml:space="preserve">La </w:t>
      </w:r>
      <w:r w:rsidRPr="00975C02">
        <w:rPr>
          <w:rFonts w:eastAsiaTheme="minorHAnsi"/>
          <w:sz w:val="20"/>
          <w:szCs w:val="20"/>
          <w:lang w:val="es-ES" w:eastAsia="en-US"/>
        </w:rPr>
        <w:t>Corte</w:t>
      </w:r>
      <w:r w:rsidRPr="00975C02">
        <w:rPr>
          <w:sz w:val="20"/>
          <w:szCs w:val="20"/>
          <w:lang w:val="es-ES" w:eastAsia="en-US"/>
        </w:rPr>
        <w:t xml:space="preserve"> ha definido el debido proceso legal como el conjunto de requisitos que deben observarse en las </w:t>
      </w:r>
      <w:r w:rsidRPr="00975C02">
        <w:rPr>
          <w:rFonts w:eastAsia="Calibri"/>
          <w:sz w:val="20"/>
          <w:szCs w:val="20"/>
          <w:lang w:val="es-ES" w:eastAsia="en-US"/>
        </w:rPr>
        <w:t>instancias</w:t>
      </w:r>
      <w:r w:rsidRPr="00975C02">
        <w:rPr>
          <w:sz w:val="20"/>
          <w:szCs w:val="20"/>
          <w:lang w:val="es-ES" w:eastAsia="en-US"/>
        </w:rPr>
        <w:t xml:space="preserve"> procesales a efectos de que las personas estén en condiciones de defender adecuadamente sus derechos ante cualquier tipo de acto del Estado que pueda afectarlos</w:t>
      </w:r>
      <w:r w:rsidRPr="00975C02">
        <w:rPr>
          <w:sz w:val="20"/>
          <w:szCs w:val="20"/>
          <w:vertAlign w:val="superscript"/>
          <w:lang w:val="es-ES" w:eastAsia="en-US"/>
        </w:rPr>
        <w:footnoteReference w:id="281"/>
      </w:r>
      <w:r w:rsidRPr="00975C02">
        <w:rPr>
          <w:sz w:val="20"/>
          <w:szCs w:val="20"/>
          <w:lang w:val="es-ES" w:eastAsia="en-US"/>
        </w:rPr>
        <w:t xml:space="preserve">. Es así que el artículo 8 contempla un sistema de garantías que condicionan el ejercicio del </w:t>
      </w:r>
      <w:r w:rsidRPr="00975C02">
        <w:rPr>
          <w:i/>
          <w:sz w:val="20"/>
          <w:szCs w:val="20"/>
          <w:lang w:val="es-ES" w:eastAsia="en-US"/>
        </w:rPr>
        <w:t xml:space="preserve">ius puniendi </w:t>
      </w:r>
      <w:r w:rsidRPr="00975C02">
        <w:rPr>
          <w:sz w:val="20"/>
          <w:szCs w:val="20"/>
          <w:lang w:val="es-ES" w:eastAsia="en-US"/>
        </w:rPr>
        <w:t>del Estado</w:t>
      </w:r>
      <w:r w:rsidRPr="00975C02">
        <w:rPr>
          <w:rFonts w:eastAsia="Calibri" w:cs="Verdana"/>
          <w:snapToGrid w:val="0"/>
          <w:sz w:val="20"/>
          <w:szCs w:val="20"/>
          <w:lang w:val="es-ES" w:eastAsia="es-ES"/>
        </w:rPr>
        <w:t xml:space="preserve"> </w:t>
      </w:r>
      <w:r w:rsidRPr="00975C02">
        <w:rPr>
          <w:sz w:val="20"/>
          <w:szCs w:val="20"/>
          <w:lang w:val="es-ES" w:eastAsia="en-US"/>
        </w:rPr>
        <w:t>y que buscan asegurar que el inculpado o imputado no sea sometido a decisiones arbitrarias, toda vez que se deben observar “las debidas garantías” que aseguren, según el procedimiento de que se trate, el derecho al debido proceso</w:t>
      </w:r>
      <w:r w:rsidRPr="00975C02">
        <w:rPr>
          <w:sz w:val="20"/>
          <w:szCs w:val="20"/>
          <w:vertAlign w:val="superscript"/>
          <w:lang w:val="es-ES" w:eastAsia="en-US"/>
        </w:rPr>
        <w:footnoteReference w:id="282"/>
      </w:r>
      <w:r w:rsidRPr="00975C02">
        <w:rPr>
          <w:sz w:val="20"/>
          <w:szCs w:val="20"/>
          <w:lang w:val="es-ES" w:eastAsia="en-US"/>
        </w:rPr>
        <w:t>.</w:t>
      </w:r>
    </w:p>
    <w:p w14:paraId="2B46A468" w14:textId="77777777" w:rsidR="00B5625C" w:rsidRPr="00975C02" w:rsidRDefault="00B5625C" w:rsidP="00B5625C">
      <w:pPr>
        <w:widowControl/>
        <w:adjustRightInd/>
        <w:spacing w:line="240" w:lineRule="auto"/>
        <w:textAlignment w:val="auto"/>
        <w:rPr>
          <w:sz w:val="20"/>
          <w:szCs w:val="20"/>
          <w:lang w:val="es-ES" w:eastAsia="en-US"/>
        </w:rPr>
      </w:pPr>
    </w:p>
    <w:p w14:paraId="501DE473" w14:textId="4124DA6C" w:rsidR="00B5625C" w:rsidRPr="00975C02" w:rsidRDefault="00B5625C" w:rsidP="005B46F8">
      <w:pPr>
        <w:widowControl/>
        <w:numPr>
          <w:ilvl w:val="0"/>
          <w:numId w:val="2"/>
        </w:numPr>
        <w:tabs>
          <w:tab w:val="left" w:pos="567"/>
          <w:tab w:val="num" w:pos="12305"/>
        </w:tabs>
        <w:adjustRightInd/>
        <w:spacing w:line="240" w:lineRule="auto"/>
        <w:ind w:left="0" w:firstLine="0"/>
        <w:textAlignment w:val="auto"/>
        <w:rPr>
          <w:sz w:val="20"/>
          <w:szCs w:val="20"/>
          <w:lang w:val="es-ES" w:eastAsia="en-US"/>
        </w:rPr>
      </w:pPr>
      <w:r w:rsidRPr="00975C02">
        <w:rPr>
          <w:sz w:val="20"/>
          <w:szCs w:val="20"/>
          <w:lang w:val="es-ES" w:eastAsia="en-US"/>
        </w:rPr>
        <w:t xml:space="preserve">En el presente caso, quien se reputa presunta víctima de la violación de estas garantías no es el </w:t>
      </w:r>
      <w:r w:rsidRPr="00975C02">
        <w:rPr>
          <w:rFonts w:eastAsiaTheme="minorHAnsi"/>
          <w:sz w:val="20"/>
          <w:szCs w:val="20"/>
          <w:lang w:val="es-ES" w:eastAsia="en-US"/>
        </w:rPr>
        <w:t>inculpado</w:t>
      </w:r>
      <w:r w:rsidRPr="00975C02">
        <w:rPr>
          <w:sz w:val="20"/>
          <w:szCs w:val="20"/>
          <w:lang w:val="es-ES" w:eastAsia="en-US"/>
        </w:rPr>
        <w:t xml:space="preserve"> del delito, destinatario originario de toda la arquitectura ilustrada que procuraba poner coto al avance del poder punitivo del Estado, sino la agraviada del delito y su madre. En esta medida, la Corte recuerda que las “debidas garantías” del artículo 8.1 de la Convención amparan </w:t>
      </w:r>
      <w:r w:rsidRPr="00975C02">
        <w:rPr>
          <w:rFonts w:cs="Arial"/>
          <w:sz w:val="20"/>
          <w:lang w:val="es-ES" w:eastAsia="en-US"/>
        </w:rPr>
        <w:t>el derecho a un debido proceso del imputado y, en casos como el presente,</w:t>
      </w:r>
      <w:r w:rsidRPr="00975C02">
        <w:rPr>
          <w:sz w:val="20"/>
          <w:lang w:val="es-ES" w:eastAsia="en-US"/>
        </w:rPr>
        <w:t xml:space="preserve"> también salvaguardan los derechos de acceso a la justicia </w:t>
      </w:r>
      <w:r w:rsidRPr="00975C02">
        <w:rPr>
          <w:sz w:val="20"/>
          <w:szCs w:val="20"/>
          <w:lang w:val="es-ES" w:eastAsia="en-US"/>
        </w:rPr>
        <w:t xml:space="preserve">de la víctima de un delito o </w:t>
      </w:r>
      <w:r w:rsidR="00FD2B2D" w:rsidRPr="00975C02">
        <w:rPr>
          <w:sz w:val="20"/>
          <w:szCs w:val="20"/>
          <w:lang w:val="es-ES" w:eastAsia="en-US"/>
        </w:rPr>
        <w:t xml:space="preserve">de </w:t>
      </w:r>
      <w:r w:rsidRPr="00975C02">
        <w:rPr>
          <w:sz w:val="20"/>
          <w:szCs w:val="20"/>
          <w:lang w:val="es-ES" w:eastAsia="en-US"/>
        </w:rPr>
        <w:t xml:space="preserve">sus familiares </w:t>
      </w:r>
      <w:r w:rsidRPr="00975C02">
        <w:rPr>
          <w:sz w:val="20"/>
          <w:lang w:val="es-ES" w:eastAsia="en-US"/>
        </w:rPr>
        <w:t>y a conocer la verdad de los familiares</w:t>
      </w:r>
      <w:r w:rsidRPr="00975C02">
        <w:rPr>
          <w:sz w:val="20"/>
          <w:vertAlign w:val="superscript"/>
          <w:lang w:val="es-ES" w:eastAsia="en-US"/>
        </w:rPr>
        <w:footnoteReference w:id="283"/>
      </w:r>
      <w:r w:rsidRPr="00975C02">
        <w:rPr>
          <w:sz w:val="20"/>
          <w:lang w:val="es-ES" w:eastAsia="en-US"/>
        </w:rPr>
        <w:t>.</w:t>
      </w:r>
    </w:p>
    <w:p w14:paraId="25D1F23C" w14:textId="77777777" w:rsidR="00B5625C" w:rsidRPr="00975C02" w:rsidRDefault="00B5625C" w:rsidP="00B5625C">
      <w:pPr>
        <w:widowControl/>
        <w:adjustRightInd/>
        <w:spacing w:line="240" w:lineRule="auto"/>
        <w:textAlignment w:val="auto"/>
        <w:rPr>
          <w:sz w:val="20"/>
          <w:szCs w:val="20"/>
          <w:lang w:val="es-ES" w:eastAsia="en-US"/>
        </w:rPr>
      </w:pPr>
    </w:p>
    <w:p w14:paraId="0246B534" w14:textId="77777777" w:rsidR="00B5625C" w:rsidRPr="00975C02" w:rsidRDefault="00B5625C" w:rsidP="00841EAC">
      <w:pPr>
        <w:widowControl/>
        <w:numPr>
          <w:ilvl w:val="0"/>
          <w:numId w:val="2"/>
        </w:numPr>
        <w:tabs>
          <w:tab w:val="left" w:pos="567"/>
          <w:tab w:val="num" w:pos="12305"/>
        </w:tabs>
        <w:adjustRightInd/>
        <w:spacing w:line="240" w:lineRule="auto"/>
        <w:ind w:left="0" w:firstLine="0"/>
        <w:textAlignment w:val="auto"/>
        <w:rPr>
          <w:sz w:val="20"/>
          <w:szCs w:val="20"/>
          <w:lang w:val="es-ES" w:eastAsia="en-US"/>
        </w:rPr>
      </w:pPr>
      <w:r w:rsidRPr="00975C02">
        <w:rPr>
          <w:sz w:val="20"/>
          <w:szCs w:val="20"/>
          <w:lang w:val="es-ES" w:eastAsia="en-US"/>
        </w:rPr>
        <w:t>En principio, nada excluye que las garantías judiciales recogidas en la Convención Americana sean aplicables al sistema de juicio por jurados, pues sus redactores no tenían en mente un sistema procesal penal específico. En efecto, la Corte ya ha afirmado que:</w:t>
      </w:r>
    </w:p>
    <w:p w14:paraId="6DA2315A" w14:textId="77777777" w:rsidR="00B5625C" w:rsidRPr="00975C02" w:rsidRDefault="00B5625C" w:rsidP="00B5625C">
      <w:pPr>
        <w:widowControl/>
        <w:adjustRightInd/>
        <w:spacing w:line="240" w:lineRule="auto"/>
        <w:textAlignment w:val="auto"/>
        <w:rPr>
          <w:sz w:val="20"/>
          <w:szCs w:val="20"/>
          <w:lang w:val="es-ES" w:eastAsia="en-US"/>
        </w:rPr>
      </w:pPr>
    </w:p>
    <w:p w14:paraId="024C4303" w14:textId="77777777" w:rsidR="00B5625C" w:rsidRPr="00975C02" w:rsidRDefault="00B5625C" w:rsidP="005B457C">
      <w:pPr>
        <w:widowControl/>
        <w:adjustRightInd/>
        <w:spacing w:line="240" w:lineRule="auto"/>
        <w:ind w:left="567" w:right="582"/>
        <w:textAlignment w:val="auto"/>
        <w:rPr>
          <w:sz w:val="16"/>
          <w:szCs w:val="16"/>
          <w:lang w:val="es-ES" w:eastAsia="en-US"/>
        </w:rPr>
      </w:pPr>
      <w:r w:rsidRPr="00975C02">
        <w:rPr>
          <w:sz w:val="16"/>
          <w:szCs w:val="16"/>
          <w:lang w:val="es-ES" w:eastAsia="en-US"/>
        </w:rPr>
        <w:t xml:space="preserve">[l]a Convención no acoge un sistema procesal penal en particular. Deja a los Estados en libertad para determinar el que consideren preferible, siempre que respeten las garantías establecidas en la propia </w:t>
      </w:r>
      <w:r w:rsidRPr="00975C02">
        <w:rPr>
          <w:sz w:val="16"/>
          <w:szCs w:val="16"/>
          <w:lang w:val="es-ES" w:eastAsia="en-US"/>
        </w:rPr>
        <w:lastRenderedPageBreak/>
        <w:t>Convención, en el derecho interno, en otros tratados internacionales aplicables, en las normas consuetudinarias y en las disposiciones imperativas de derecho internacional</w:t>
      </w:r>
      <w:r w:rsidRPr="00975C02">
        <w:rPr>
          <w:sz w:val="16"/>
          <w:szCs w:val="16"/>
          <w:vertAlign w:val="superscript"/>
          <w:lang w:val="es-ES" w:eastAsia="en-US"/>
        </w:rPr>
        <w:footnoteReference w:id="284"/>
      </w:r>
      <w:r w:rsidRPr="00975C02">
        <w:rPr>
          <w:sz w:val="16"/>
          <w:szCs w:val="16"/>
          <w:lang w:val="es-ES" w:eastAsia="en-US"/>
        </w:rPr>
        <w:t>.</w:t>
      </w:r>
    </w:p>
    <w:p w14:paraId="42B37121" w14:textId="77777777" w:rsidR="00B5625C" w:rsidRPr="00975C02" w:rsidRDefault="00B5625C" w:rsidP="00B5625C">
      <w:pPr>
        <w:widowControl/>
        <w:adjustRightInd/>
        <w:spacing w:line="240" w:lineRule="auto"/>
        <w:textAlignment w:val="auto"/>
        <w:rPr>
          <w:sz w:val="20"/>
          <w:szCs w:val="20"/>
          <w:lang w:val="es-ES" w:eastAsia="en-US"/>
        </w:rPr>
      </w:pPr>
    </w:p>
    <w:p w14:paraId="7907CAD1" w14:textId="51ACAD00" w:rsidR="00B5625C" w:rsidRPr="00975C02" w:rsidRDefault="00B5625C" w:rsidP="00841EAC">
      <w:pPr>
        <w:widowControl/>
        <w:numPr>
          <w:ilvl w:val="0"/>
          <w:numId w:val="2"/>
        </w:numPr>
        <w:tabs>
          <w:tab w:val="left" w:pos="567"/>
          <w:tab w:val="num" w:pos="12305"/>
        </w:tabs>
        <w:adjustRightInd/>
        <w:spacing w:line="240" w:lineRule="auto"/>
        <w:ind w:left="0" w:firstLine="0"/>
        <w:textAlignment w:val="auto"/>
        <w:rPr>
          <w:sz w:val="20"/>
          <w:szCs w:val="20"/>
          <w:lang w:val="es-ES" w:eastAsia="en-US"/>
        </w:rPr>
      </w:pPr>
      <w:r w:rsidRPr="00975C02">
        <w:rPr>
          <w:sz w:val="20"/>
          <w:szCs w:val="20"/>
          <w:lang w:val="es-ES" w:eastAsia="en-US"/>
        </w:rPr>
        <w:t xml:space="preserve">En igual sentido se han expedido los órganos tanto del sistema regional europeo como del sistema universal. En efecto, en el </w:t>
      </w:r>
      <w:r w:rsidR="00FD5E2A" w:rsidRPr="00975C02">
        <w:rPr>
          <w:i/>
          <w:sz w:val="20"/>
          <w:szCs w:val="20"/>
          <w:lang w:val="es-ES" w:eastAsia="en-US"/>
        </w:rPr>
        <w:t>C</w:t>
      </w:r>
      <w:r w:rsidRPr="00975C02">
        <w:rPr>
          <w:i/>
          <w:sz w:val="20"/>
          <w:szCs w:val="20"/>
          <w:lang w:val="es-ES" w:eastAsia="en-US"/>
        </w:rPr>
        <w:t>aso</w:t>
      </w:r>
      <w:r w:rsidRPr="00975C02">
        <w:rPr>
          <w:sz w:val="20"/>
          <w:szCs w:val="20"/>
          <w:lang w:val="es-ES" w:eastAsia="en-US"/>
        </w:rPr>
        <w:t xml:space="preserve"> </w:t>
      </w:r>
      <w:r w:rsidRPr="00975C02">
        <w:rPr>
          <w:i/>
          <w:sz w:val="20"/>
          <w:szCs w:val="20"/>
          <w:lang w:val="es-ES" w:eastAsia="en-US"/>
        </w:rPr>
        <w:t xml:space="preserve">Taxquet </w:t>
      </w:r>
      <w:r w:rsidR="00FD5E2A" w:rsidRPr="00975C02">
        <w:rPr>
          <w:i/>
          <w:sz w:val="20"/>
          <w:szCs w:val="20"/>
          <w:lang w:val="es-ES" w:eastAsia="en-US"/>
        </w:rPr>
        <w:t>Vs</w:t>
      </w:r>
      <w:r w:rsidRPr="00975C02">
        <w:rPr>
          <w:i/>
          <w:sz w:val="20"/>
          <w:szCs w:val="20"/>
          <w:lang w:val="es-ES" w:eastAsia="en-US"/>
        </w:rPr>
        <w:t>. Bélgica</w:t>
      </w:r>
      <w:r w:rsidRPr="00975C02">
        <w:rPr>
          <w:sz w:val="20"/>
          <w:szCs w:val="20"/>
          <w:lang w:val="es-ES" w:eastAsia="en-US"/>
        </w:rPr>
        <w:t>, el Tribunal Europeo de Derechos Humanos señaló que:</w:t>
      </w:r>
    </w:p>
    <w:p w14:paraId="3AFC9DE0" w14:textId="77777777" w:rsidR="00B5625C" w:rsidRPr="00975C02" w:rsidRDefault="00B5625C" w:rsidP="00B5625C">
      <w:pPr>
        <w:widowControl/>
        <w:adjustRightInd/>
        <w:spacing w:line="240" w:lineRule="auto"/>
        <w:textAlignment w:val="auto"/>
        <w:rPr>
          <w:sz w:val="20"/>
          <w:szCs w:val="20"/>
          <w:lang w:val="es-ES" w:eastAsia="en-US"/>
        </w:rPr>
      </w:pPr>
    </w:p>
    <w:p w14:paraId="08416E39" w14:textId="77777777" w:rsidR="00B5625C" w:rsidRPr="00975C02" w:rsidRDefault="00B5625C" w:rsidP="005B457C">
      <w:pPr>
        <w:widowControl/>
        <w:adjustRightInd/>
        <w:spacing w:line="240" w:lineRule="auto"/>
        <w:ind w:left="567" w:right="582"/>
        <w:textAlignment w:val="auto"/>
        <w:rPr>
          <w:sz w:val="16"/>
          <w:szCs w:val="16"/>
          <w:lang w:val="es-ES" w:eastAsia="en-US"/>
        </w:rPr>
      </w:pPr>
      <w:r w:rsidRPr="00975C02">
        <w:rPr>
          <w:sz w:val="16"/>
          <w:szCs w:val="16"/>
          <w:lang w:val="es-ES" w:eastAsia="en-US"/>
        </w:rPr>
        <w:t>[…] varios Estados miembros del Consejo de Europa conocen la institución del jurado popular, que procede de la voluntad legítima de vincular a los ciudadanos con la acción de la justicia, en particular respecto a los delitos más graves. […] Se trata ésta de una ilustración entre otras de la variedad de los sistemas jurídicos existentes en Europa, que no corresponde al Tribunal uniformizar. En efecto, la elección para un Estado de uno u otro sistema penal escapa, en principio, al control europeo que el Tribunal ejerce, siempre y cuando el sistema admitido no vulnere los principios del Convenio […]</w:t>
      </w:r>
      <w:r w:rsidRPr="00975C02">
        <w:rPr>
          <w:sz w:val="16"/>
          <w:szCs w:val="16"/>
          <w:vertAlign w:val="superscript"/>
          <w:lang w:val="es-ES" w:eastAsia="en-US"/>
        </w:rPr>
        <w:footnoteReference w:id="285"/>
      </w:r>
      <w:r w:rsidRPr="00975C02">
        <w:rPr>
          <w:sz w:val="16"/>
          <w:szCs w:val="16"/>
          <w:lang w:val="es-ES" w:eastAsia="en-US"/>
        </w:rPr>
        <w:t>.</w:t>
      </w:r>
    </w:p>
    <w:p w14:paraId="512E3DFF" w14:textId="77777777" w:rsidR="00B5625C" w:rsidRPr="00975C02" w:rsidRDefault="00B5625C" w:rsidP="00B5625C">
      <w:pPr>
        <w:widowControl/>
        <w:adjustRightInd/>
        <w:spacing w:line="240" w:lineRule="auto"/>
        <w:ind w:left="708" w:right="758"/>
        <w:textAlignment w:val="auto"/>
        <w:rPr>
          <w:sz w:val="16"/>
          <w:szCs w:val="16"/>
          <w:lang w:val="es-ES" w:eastAsia="en-US"/>
        </w:rPr>
      </w:pPr>
    </w:p>
    <w:p w14:paraId="760D4FCD" w14:textId="77777777" w:rsidR="00B5625C" w:rsidRPr="00975C02" w:rsidRDefault="00B5625C" w:rsidP="005B457C">
      <w:pPr>
        <w:widowControl/>
        <w:adjustRightInd/>
        <w:spacing w:line="240" w:lineRule="auto"/>
        <w:ind w:left="567" w:right="582"/>
        <w:textAlignment w:val="auto"/>
        <w:rPr>
          <w:sz w:val="16"/>
          <w:szCs w:val="16"/>
          <w:lang w:val="es-ES" w:eastAsia="en-US"/>
        </w:rPr>
      </w:pPr>
      <w:r w:rsidRPr="00975C02">
        <w:rPr>
          <w:sz w:val="16"/>
          <w:szCs w:val="16"/>
          <w:lang w:val="es-ES" w:eastAsia="en-US"/>
        </w:rPr>
        <w:t>[…] En efecto, los Estados contratantes gozan de gran libertad en la elección de los medios que permitan a su sistema judicial cumplir los imperativos del artículo 6. La tarea del Tribunal consiste en determinar si, en un litigio concreto, los resultados de la vía seguida son compatibles con el Convenio, teniendo en cuenta igualmente las circunstancias específicas de la causa, su índole y su complejidad. En síntesis, debe examinar si el procedimiento, en conjunto, tuvo un carácter equitativo</w:t>
      </w:r>
      <w:r w:rsidRPr="00975C02">
        <w:rPr>
          <w:sz w:val="16"/>
          <w:szCs w:val="16"/>
          <w:vertAlign w:val="superscript"/>
          <w:lang w:val="es-ES" w:eastAsia="en-US"/>
        </w:rPr>
        <w:footnoteReference w:id="286"/>
      </w:r>
      <w:r w:rsidRPr="00975C02">
        <w:rPr>
          <w:sz w:val="16"/>
          <w:szCs w:val="16"/>
          <w:lang w:val="es-ES" w:eastAsia="en-US"/>
        </w:rPr>
        <w:t>.</w:t>
      </w:r>
    </w:p>
    <w:p w14:paraId="77BB6873" w14:textId="77777777" w:rsidR="00B5625C" w:rsidRPr="00975C02" w:rsidRDefault="00B5625C" w:rsidP="00B5625C">
      <w:pPr>
        <w:widowControl/>
        <w:adjustRightInd/>
        <w:spacing w:line="240" w:lineRule="auto"/>
        <w:textAlignment w:val="auto"/>
        <w:rPr>
          <w:sz w:val="20"/>
          <w:szCs w:val="20"/>
          <w:lang w:val="es-ES" w:eastAsia="en-US"/>
        </w:rPr>
      </w:pPr>
    </w:p>
    <w:p w14:paraId="6BA30314" w14:textId="77777777" w:rsidR="00B5625C" w:rsidRPr="00975C02" w:rsidRDefault="00B5625C" w:rsidP="00841EAC">
      <w:pPr>
        <w:widowControl/>
        <w:numPr>
          <w:ilvl w:val="0"/>
          <w:numId w:val="2"/>
        </w:numPr>
        <w:tabs>
          <w:tab w:val="left" w:pos="567"/>
          <w:tab w:val="num" w:pos="12305"/>
        </w:tabs>
        <w:adjustRightInd/>
        <w:spacing w:line="240" w:lineRule="auto"/>
        <w:ind w:left="0" w:firstLine="0"/>
        <w:textAlignment w:val="auto"/>
        <w:rPr>
          <w:sz w:val="20"/>
          <w:szCs w:val="20"/>
          <w:lang w:val="es-ES" w:eastAsia="en-US"/>
        </w:rPr>
      </w:pPr>
      <w:r w:rsidRPr="00975C02">
        <w:rPr>
          <w:sz w:val="20"/>
          <w:szCs w:val="20"/>
          <w:lang w:val="es-ES" w:eastAsia="en-US"/>
        </w:rPr>
        <w:t>Por su parte, el Comité de Derechos Humanos sostuvo que:</w:t>
      </w:r>
    </w:p>
    <w:p w14:paraId="67BA077B" w14:textId="77777777" w:rsidR="00B5625C" w:rsidRPr="00975C02" w:rsidRDefault="00B5625C" w:rsidP="00B5625C">
      <w:pPr>
        <w:widowControl/>
        <w:adjustRightInd/>
        <w:spacing w:line="240" w:lineRule="auto"/>
        <w:textAlignment w:val="auto"/>
        <w:rPr>
          <w:sz w:val="20"/>
          <w:szCs w:val="20"/>
          <w:lang w:val="es-ES" w:eastAsia="en-US"/>
        </w:rPr>
      </w:pPr>
    </w:p>
    <w:p w14:paraId="66BDE534" w14:textId="77777777" w:rsidR="00B5625C" w:rsidRPr="00975C02" w:rsidRDefault="00B5625C" w:rsidP="005B457C">
      <w:pPr>
        <w:widowControl/>
        <w:adjustRightInd/>
        <w:spacing w:line="240" w:lineRule="auto"/>
        <w:ind w:left="567" w:right="582"/>
        <w:textAlignment w:val="auto"/>
        <w:rPr>
          <w:sz w:val="16"/>
          <w:szCs w:val="16"/>
          <w:lang w:val="es-ES" w:eastAsia="en-US"/>
        </w:rPr>
      </w:pPr>
      <w:r w:rsidRPr="00975C02">
        <w:rPr>
          <w:sz w:val="16"/>
          <w:szCs w:val="16"/>
          <w:lang w:val="es-ES" w:eastAsia="en-US"/>
        </w:rPr>
        <w:t>[…] el Pacto no reconoce el derecho a un juicio por jurado en un proceso ni civil ni penal, sino que su piedra angular es que todos los procesos judiciales, con o sin jurado, se sustancien con las debidas garantías</w:t>
      </w:r>
      <w:r w:rsidRPr="00975C02">
        <w:rPr>
          <w:sz w:val="16"/>
          <w:szCs w:val="16"/>
          <w:vertAlign w:val="superscript"/>
          <w:lang w:val="es-ES" w:eastAsia="en-US"/>
        </w:rPr>
        <w:footnoteReference w:id="287"/>
      </w:r>
      <w:r w:rsidRPr="00975C02">
        <w:rPr>
          <w:sz w:val="16"/>
          <w:szCs w:val="16"/>
          <w:lang w:val="es-ES" w:eastAsia="en-US"/>
        </w:rPr>
        <w:t>.</w:t>
      </w:r>
    </w:p>
    <w:p w14:paraId="1E0EEED5" w14:textId="77777777" w:rsidR="00B5625C" w:rsidRPr="00975C02" w:rsidRDefault="00B5625C" w:rsidP="00B5625C">
      <w:pPr>
        <w:widowControl/>
        <w:adjustRightInd/>
        <w:spacing w:line="240" w:lineRule="auto"/>
        <w:textAlignment w:val="auto"/>
        <w:rPr>
          <w:sz w:val="20"/>
          <w:szCs w:val="20"/>
          <w:lang w:val="es-ES" w:eastAsia="en-US"/>
        </w:rPr>
      </w:pPr>
    </w:p>
    <w:p w14:paraId="3DED2D48" w14:textId="42E70C34" w:rsidR="00B5625C" w:rsidRPr="00975C02" w:rsidRDefault="00B5625C" w:rsidP="00841EAC">
      <w:pPr>
        <w:widowControl/>
        <w:numPr>
          <w:ilvl w:val="0"/>
          <w:numId w:val="2"/>
        </w:numPr>
        <w:tabs>
          <w:tab w:val="left" w:pos="567"/>
          <w:tab w:val="num" w:pos="12305"/>
        </w:tabs>
        <w:adjustRightInd/>
        <w:spacing w:line="240" w:lineRule="auto"/>
        <w:ind w:left="0" w:firstLine="0"/>
        <w:textAlignment w:val="auto"/>
        <w:rPr>
          <w:sz w:val="20"/>
          <w:szCs w:val="20"/>
          <w:lang w:val="es-ES" w:eastAsia="en-US"/>
        </w:rPr>
      </w:pPr>
      <w:r w:rsidRPr="00975C02">
        <w:rPr>
          <w:sz w:val="20"/>
          <w:szCs w:val="20"/>
          <w:lang w:val="es-ES" w:eastAsia="en-US"/>
        </w:rPr>
        <w:t>La Corte advierte que diversos Estados parte de la Convención han adoptado la institución del jurado como forma de juzgamiento en sus diseños procesales penales, modelo que hoy sigue proyectándose a nivel regional. Los orígenes y motivos deben ser rastreados en el desarrollo histórico, social y cultural de los sistemas jurídicos de los países de la región, así como en el valor asignado a la participación popular en la administración de justicia como opción de política judicial. El juicio por jurados se ha concebido, además, como una forma de devolver a la sociedad la confianza en el sistema judicial, como forma de democratización y acercamiento de la impartición de justicia a la comunidad</w:t>
      </w:r>
      <w:r w:rsidR="007526D4" w:rsidRPr="00975C02">
        <w:rPr>
          <w:sz w:val="20"/>
          <w:szCs w:val="20"/>
          <w:lang w:val="es-ES" w:eastAsia="en-US"/>
        </w:rPr>
        <w:t>,</w:t>
      </w:r>
      <w:r w:rsidRPr="00975C02">
        <w:rPr>
          <w:sz w:val="20"/>
          <w:szCs w:val="20"/>
          <w:lang w:val="es-ES" w:eastAsia="en-US"/>
        </w:rPr>
        <w:t xml:space="preserve"> otorgándole a ésta un rol fundamental en aquellos delitos sensibles al orden público.</w:t>
      </w:r>
    </w:p>
    <w:p w14:paraId="4EEEFD12" w14:textId="77777777" w:rsidR="00B5625C" w:rsidRPr="00975C02" w:rsidRDefault="00B5625C" w:rsidP="00B5625C">
      <w:pPr>
        <w:widowControl/>
        <w:adjustRightInd/>
        <w:spacing w:line="240" w:lineRule="auto"/>
        <w:textAlignment w:val="auto"/>
        <w:rPr>
          <w:sz w:val="20"/>
          <w:szCs w:val="20"/>
          <w:lang w:val="es-ES" w:eastAsia="en-US"/>
        </w:rPr>
      </w:pPr>
    </w:p>
    <w:p w14:paraId="416F742E" w14:textId="6875CD49" w:rsidR="00B5625C" w:rsidRPr="00975C02" w:rsidRDefault="00B5625C" w:rsidP="00841EAC">
      <w:pPr>
        <w:widowControl/>
        <w:numPr>
          <w:ilvl w:val="0"/>
          <w:numId w:val="2"/>
        </w:numPr>
        <w:tabs>
          <w:tab w:val="left" w:pos="567"/>
          <w:tab w:val="num" w:pos="12305"/>
        </w:tabs>
        <w:adjustRightInd/>
        <w:spacing w:line="240" w:lineRule="auto"/>
        <w:ind w:left="0" w:firstLine="0"/>
        <w:textAlignment w:val="auto"/>
        <w:rPr>
          <w:sz w:val="20"/>
          <w:szCs w:val="20"/>
          <w:lang w:val="es-ES" w:eastAsia="en-US"/>
        </w:rPr>
      </w:pPr>
      <w:r w:rsidRPr="00975C02">
        <w:rPr>
          <w:sz w:val="20"/>
          <w:szCs w:val="20"/>
          <w:lang w:val="es-ES" w:eastAsia="en-US"/>
        </w:rPr>
        <w:t xml:space="preserve">En efecto, de los 35 países miembros de la </w:t>
      </w:r>
      <w:r w:rsidR="007526D4" w:rsidRPr="00975C02">
        <w:rPr>
          <w:sz w:val="20"/>
          <w:szCs w:val="20"/>
          <w:lang w:val="es-ES" w:eastAsia="en-US"/>
        </w:rPr>
        <w:t>Organización de los Estados Americanos (en adelante “</w:t>
      </w:r>
      <w:r w:rsidRPr="00975C02">
        <w:rPr>
          <w:sz w:val="20"/>
          <w:szCs w:val="20"/>
          <w:lang w:val="es-ES" w:eastAsia="en-US"/>
        </w:rPr>
        <w:t>OEA</w:t>
      </w:r>
      <w:r w:rsidR="007526D4" w:rsidRPr="00975C02">
        <w:rPr>
          <w:sz w:val="20"/>
          <w:szCs w:val="20"/>
          <w:lang w:val="es-ES" w:eastAsia="en-US"/>
        </w:rPr>
        <w:t>”)</w:t>
      </w:r>
      <w:r w:rsidRPr="00975C02">
        <w:rPr>
          <w:sz w:val="20"/>
          <w:szCs w:val="20"/>
          <w:lang w:val="es-ES" w:eastAsia="en-US"/>
        </w:rPr>
        <w:t>, 21 Estados</w:t>
      </w:r>
      <w:r w:rsidRPr="00975C02">
        <w:rPr>
          <w:sz w:val="20"/>
          <w:szCs w:val="20"/>
          <w:vertAlign w:val="superscript"/>
          <w:lang w:val="es-ES" w:eastAsia="en-US"/>
        </w:rPr>
        <w:footnoteReference w:id="288"/>
      </w:r>
      <w:r w:rsidRPr="00975C02">
        <w:rPr>
          <w:sz w:val="20"/>
          <w:szCs w:val="20"/>
          <w:lang w:val="es-ES" w:eastAsia="en-US"/>
        </w:rPr>
        <w:t xml:space="preserve"> prevén el juicio por jurados, siendo el modelo clásico</w:t>
      </w:r>
      <w:r w:rsidRPr="00975C02">
        <w:rPr>
          <w:sz w:val="20"/>
          <w:szCs w:val="20"/>
          <w:vertAlign w:val="superscript"/>
          <w:lang w:val="es-ES" w:eastAsia="en-US"/>
        </w:rPr>
        <w:footnoteReference w:id="289"/>
      </w:r>
      <w:r w:rsidRPr="00975C02">
        <w:rPr>
          <w:sz w:val="20"/>
          <w:szCs w:val="20"/>
          <w:lang w:val="es-ES" w:eastAsia="en-US"/>
        </w:rPr>
        <w:t xml:space="preserve"> el más utilizado en la región. En este sentido, la Constitución de Nicaragua establece la necesidad de que se garantice la participación popular en el sistema judicial, delegando en el legislador la forma en que tal mandato se instrumente. Desde la sanción del Código de Instrucción Criminal, en el año </w:t>
      </w:r>
      <w:r w:rsidRPr="00975C02">
        <w:rPr>
          <w:sz w:val="20"/>
          <w:szCs w:val="20"/>
          <w:lang w:val="es-ES" w:eastAsia="en-US"/>
        </w:rPr>
        <w:lastRenderedPageBreak/>
        <w:t>1879, la participación popular se canaliza mediante el sistema de juicio por jurados en el procedimiento penal.</w:t>
      </w:r>
    </w:p>
    <w:p w14:paraId="6BC8DDFA" w14:textId="77777777" w:rsidR="00B5625C" w:rsidRPr="00975C02" w:rsidRDefault="00B5625C" w:rsidP="00B5625C">
      <w:pPr>
        <w:widowControl/>
        <w:adjustRightInd/>
        <w:spacing w:line="240" w:lineRule="auto"/>
        <w:textAlignment w:val="auto"/>
        <w:rPr>
          <w:sz w:val="20"/>
          <w:szCs w:val="20"/>
          <w:lang w:val="es-ES" w:eastAsia="en-US"/>
        </w:rPr>
      </w:pPr>
    </w:p>
    <w:p w14:paraId="13F8B4C9" w14:textId="1D848593" w:rsidR="00B5625C" w:rsidRPr="00975C02" w:rsidRDefault="00B5625C" w:rsidP="00841EAC">
      <w:pPr>
        <w:widowControl/>
        <w:numPr>
          <w:ilvl w:val="0"/>
          <w:numId w:val="2"/>
        </w:numPr>
        <w:tabs>
          <w:tab w:val="left" w:pos="567"/>
          <w:tab w:val="num" w:pos="12305"/>
        </w:tabs>
        <w:adjustRightInd/>
        <w:spacing w:line="240" w:lineRule="auto"/>
        <w:ind w:left="0" w:firstLine="0"/>
        <w:textAlignment w:val="auto"/>
        <w:rPr>
          <w:sz w:val="20"/>
          <w:szCs w:val="20"/>
          <w:lang w:val="es-ES" w:eastAsia="en-US"/>
        </w:rPr>
      </w:pPr>
      <w:r w:rsidRPr="00975C02">
        <w:rPr>
          <w:sz w:val="20"/>
          <w:szCs w:val="20"/>
          <w:lang w:val="es-ES" w:eastAsia="en-US"/>
        </w:rPr>
        <w:t xml:space="preserve">El modelo de enjuiciamiento penal adoptado por un Estado no resulta inocuo, en tanto va a tener un impacto directo en el diseño orgánico y en la arquitectura del sistema de garantías judiciales. Por ejemplo, el sistema de valoración de la prueba evidentemente va a moldear el esquema de fundamentación probatoria y, a la postre, la exigencia de motivación o la forma de exteriorización de la fundamentación. </w:t>
      </w:r>
      <w:r w:rsidR="00B7508C" w:rsidRPr="00975C02">
        <w:rPr>
          <w:sz w:val="20"/>
          <w:szCs w:val="20"/>
          <w:lang w:val="es-ES" w:eastAsia="en-US"/>
        </w:rPr>
        <w:t>Sin embargo, como ya se adelantó, la Convención Americana no establece un modelo único de enjuiciamiento penal (</w:t>
      </w:r>
      <w:r w:rsidR="00B7508C" w:rsidRPr="00975C02">
        <w:rPr>
          <w:i/>
          <w:sz w:val="20"/>
          <w:szCs w:val="20"/>
          <w:lang w:val="es-ES" w:eastAsia="en-US"/>
        </w:rPr>
        <w:t>supra</w:t>
      </w:r>
      <w:r w:rsidR="00B7508C" w:rsidRPr="00975C02">
        <w:rPr>
          <w:sz w:val="20"/>
          <w:szCs w:val="20"/>
          <w:lang w:val="es-ES" w:eastAsia="en-US"/>
        </w:rPr>
        <w:t xml:space="preserve"> párr. </w:t>
      </w:r>
      <w:r w:rsidR="003D231B" w:rsidRPr="00975C02">
        <w:rPr>
          <w:sz w:val="20"/>
          <w:szCs w:val="20"/>
          <w:lang w:val="es-ES" w:eastAsia="en-US"/>
        </w:rPr>
        <w:t>219</w:t>
      </w:r>
      <w:r w:rsidR="00B7508C" w:rsidRPr="00975C02">
        <w:rPr>
          <w:sz w:val="20"/>
          <w:szCs w:val="20"/>
          <w:lang w:val="es-ES" w:eastAsia="en-US"/>
        </w:rPr>
        <w:t>).</w:t>
      </w:r>
    </w:p>
    <w:p w14:paraId="473C4B53" w14:textId="77777777" w:rsidR="00B5625C" w:rsidRPr="00975C02" w:rsidRDefault="00B5625C" w:rsidP="00B5625C">
      <w:pPr>
        <w:widowControl/>
        <w:tabs>
          <w:tab w:val="left" w:pos="284"/>
        </w:tabs>
        <w:adjustRightInd/>
        <w:spacing w:line="240" w:lineRule="auto"/>
        <w:textAlignment w:val="auto"/>
        <w:rPr>
          <w:rFonts w:eastAsia="Calibri"/>
          <w:kern w:val="1"/>
          <w:sz w:val="20"/>
          <w:lang w:val="es-ES" w:eastAsia="en-US"/>
        </w:rPr>
      </w:pPr>
    </w:p>
    <w:p w14:paraId="6F2293DA" w14:textId="77777777" w:rsidR="00B5625C" w:rsidRPr="00975C02" w:rsidRDefault="00B5625C" w:rsidP="00841EAC">
      <w:pPr>
        <w:widowControl/>
        <w:numPr>
          <w:ilvl w:val="0"/>
          <w:numId w:val="2"/>
        </w:numPr>
        <w:tabs>
          <w:tab w:val="left" w:pos="567"/>
          <w:tab w:val="num" w:pos="12305"/>
        </w:tabs>
        <w:adjustRightInd/>
        <w:spacing w:line="240" w:lineRule="auto"/>
        <w:ind w:left="0" w:firstLine="0"/>
        <w:textAlignment w:val="auto"/>
        <w:rPr>
          <w:sz w:val="20"/>
          <w:szCs w:val="20"/>
          <w:lang w:val="es-ES" w:eastAsia="en-US"/>
        </w:rPr>
      </w:pPr>
      <w:r w:rsidRPr="00975C02">
        <w:rPr>
          <w:sz w:val="20"/>
          <w:szCs w:val="20"/>
          <w:lang w:val="es-ES" w:eastAsia="en-US"/>
        </w:rPr>
        <w:t>La afirmación anterior no implica que los sistemas de enjuiciamiento penal por jurados queden al arbitrio del diseño estatal o que la legislación interna tenga preeminencia sobre los requerimientos convencionales, sino que el diseño de los ordenamientos procesales debe responder a los postulados de garantía que exige la Convención Americana. Es en esta medida que la Corte deberá ejercer su control de convencionalidad para examinar si los procedimientos, tal como fueron diseñados e implementados por el Estado, se ajustan a los parámetros dictados por el artículo 8.</w:t>
      </w:r>
    </w:p>
    <w:p w14:paraId="1C8F1732" w14:textId="77777777" w:rsidR="00B5625C" w:rsidRPr="00975C02" w:rsidRDefault="00B5625C" w:rsidP="00B5625C">
      <w:pPr>
        <w:widowControl/>
        <w:adjustRightInd/>
        <w:spacing w:line="240" w:lineRule="auto"/>
        <w:textAlignment w:val="auto"/>
        <w:rPr>
          <w:sz w:val="20"/>
          <w:szCs w:val="20"/>
          <w:lang w:val="es-ES" w:eastAsia="en-US"/>
        </w:rPr>
      </w:pPr>
    </w:p>
    <w:p w14:paraId="38799C86" w14:textId="77777777" w:rsidR="00B5625C" w:rsidRPr="00975C02" w:rsidRDefault="00B5625C" w:rsidP="00841EAC">
      <w:pPr>
        <w:widowControl/>
        <w:numPr>
          <w:ilvl w:val="0"/>
          <w:numId w:val="2"/>
        </w:numPr>
        <w:tabs>
          <w:tab w:val="left" w:pos="567"/>
          <w:tab w:val="num" w:pos="12305"/>
        </w:tabs>
        <w:adjustRightInd/>
        <w:spacing w:line="240" w:lineRule="auto"/>
        <w:ind w:left="0" w:firstLine="0"/>
        <w:textAlignment w:val="auto"/>
        <w:rPr>
          <w:sz w:val="20"/>
          <w:szCs w:val="20"/>
          <w:lang w:val="es-ES" w:eastAsia="en-US"/>
        </w:rPr>
      </w:pPr>
      <w:r w:rsidRPr="00975C02">
        <w:rPr>
          <w:sz w:val="20"/>
          <w:szCs w:val="20"/>
          <w:lang w:val="es-ES" w:eastAsia="en-US"/>
        </w:rPr>
        <w:t>En suma, la Corte habrá de evaluar en cada caso “las circunstancias de un procedimiento particular, su significación, su carácter y su contexto en un sistema legal particular”</w:t>
      </w:r>
      <w:r w:rsidRPr="00975C02">
        <w:rPr>
          <w:sz w:val="20"/>
          <w:szCs w:val="20"/>
          <w:vertAlign w:val="superscript"/>
          <w:lang w:val="es-ES" w:eastAsia="en-US"/>
        </w:rPr>
        <w:footnoteReference w:id="290"/>
      </w:r>
      <w:r w:rsidRPr="00975C02">
        <w:rPr>
          <w:sz w:val="20"/>
          <w:szCs w:val="20"/>
          <w:lang w:val="es-ES" w:eastAsia="en-US"/>
        </w:rPr>
        <w:t>, para determinar la medida y el alcance de las garantías debidas y su conformidad con la Convención Americana. Dentro de este marco, a continuación, la Corte hará una breve exposición sobre el desarrollo del proceso penal en la etapa plenaria en Nicaragua al momento de los hechos y luego examinará la cuestión relativa a la alegada falta de imparcialidad y de motivación del veredicto emitido por el jurado.</w:t>
      </w:r>
    </w:p>
    <w:p w14:paraId="2C76A5D6" w14:textId="77777777" w:rsidR="00B5625C" w:rsidRPr="00975C02" w:rsidRDefault="00B5625C" w:rsidP="00B5625C">
      <w:pPr>
        <w:widowControl/>
        <w:adjustRightInd/>
        <w:spacing w:line="240" w:lineRule="auto"/>
        <w:textAlignment w:val="auto"/>
        <w:rPr>
          <w:sz w:val="20"/>
          <w:szCs w:val="20"/>
          <w:lang w:val="es-ES" w:eastAsia="en-US"/>
        </w:rPr>
      </w:pPr>
    </w:p>
    <w:p w14:paraId="5EC4BE75" w14:textId="77777777" w:rsidR="00B5625C" w:rsidRPr="00975C02" w:rsidRDefault="00A92F94" w:rsidP="00A92F94">
      <w:pPr>
        <w:pStyle w:val="Heading3"/>
        <w:rPr>
          <w:b w:val="0"/>
          <w:i/>
        </w:rPr>
      </w:pPr>
      <w:bookmarkStart w:id="136" w:name="_Toc514172641"/>
      <w:r w:rsidRPr="00975C02">
        <w:rPr>
          <w:b w:val="0"/>
          <w:i/>
        </w:rPr>
        <w:t>B.3.a</w:t>
      </w:r>
      <w:r w:rsidR="00B5625C" w:rsidRPr="00975C02">
        <w:rPr>
          <w:b w:val="0"/>
          <w:i/>
        </w:rPr>
        <w:tab/>
        <w:t>La legislación procesal penal relativa a los jurados en Nicaragua en la época de los hechos</w:t>
      </w:r>
      <w:bookmarkEnd w:id="136"/>
    </w:p>
    <w:p w14:paraId="3CCB85CA" w14:textId="77777777" w:rsidR="00B5625C" w:rsidRPr="00975C02" w:rsidRDefault="00B5625C" w:rsidP="00B5625C">
      <w:pPr>
        <w:widowControl/>
        <w:adjustRightInd/>
        <w:spacing w:line="240" w:lineRule="auto"/>
        <w:textAlignment w:val="auto"/>
        <w:rPr>
          <w:sz w:val="20"/>
          <w:szCs w:val="20"/>
          <w:lang w:val="es-ES" w:eastAsia="en-US"/>
        </w:rPr>
      </w:pPr>
    </w:p>
    <w:p w14:paraId="66D876D0" w14:textId="77777777" w:rsidR="00B5625C" w:rsidRPr="00975C02" w:rsidRDefault="00B5625C" w:rsidP="00841EAC">
      <w:pPr>
        <w:widowControl/>
        <w:numPr>
          <w:ilvl w:val="0"/>
          <w:numId w:val="2"/>
        </w:numPr>
        <w:tabs>
          <w:tab w:val="left" w:pos="567"/>
          <w:tab w:val="num" w:pos="12305"/>
        </w:tabs>
        <w:adjustRightInd/>
        <w:spacing w:line="240" w:lineRule="auto"/>
        <w:ind w:left="0" w:firstLine="0"/>
        <w:textAlignment w:val="auto"/>
        <w:rPr>
          <w:rFonts w:cs="Univers-Light"/>
          <w:sz w:val="20"/>
          <w:szCs w:val="16"/>
          <w:lang w:val="es-ES"/>
        </w:rPr>
      </w:pPr>
      <w:r w:rsidRPr="00975C02">
        <w:rPr>
          <w:rFonts w:cs="Univers-Light"/>
          <w:sz w:val="20"/>
          <w:szCs w:val="16"/>
          <w:lang w:val="es-ES"/>
        </w:rPr>
        <w:t xml:space="preserve">El sustrato del juicio por jurados en Nicaragua se encuentra en su Constitución de 1987. En este sentido, </w:t>
      </w:r>
      <w:r w:rsidRPr="00975C02">
        <w:rPr>
          <w:sz w:val="20"/>
          <w:szCs w:val="20"/>
          <w:lang w:val="es-ES" w:eastAsia="en-US"/>
        </w:rPr>
        <w:t>el</w:t>
      </w:r>
      <w:r w:rsidRPr="00975C02">
        <w:rPr>
          <w:rFonts w:cs="Univers-Light"/>
          <w:sz w:val="20"/>
          <w:szCs w:val="16"/>
          <w:lang w:val="es-ES"/>
        </w:rPr>
        <w:t xml:space="preserve"> artículo 166 establece que: “[l]a administración de justicia se organizará y funcionará con </w:t>
      </w:r>
      <w:r w:rsidRPr="00975C02">
        <w:rPr>
          <w:sz w:val="20"/>
          <w:szCs w:val="20"/>
          <w:lang w:val="es-ES" w:eastAsia="en-US"/>
        </w:rPr>
        <w:t>participación</w:t>
      </w:r>
      <w:r w:rsidRPr="00975C02">
        <w:rPr>
          <w:rFonts w:cs="Univers-Light"/>
          <w:sz w:val="20"/>
          <w:szCs w:val="16"/>
          <w:lang w:val="es-ES"/>
        </w:rPr>
        <w:t xml:space="preserve"> popular, que será determinada por las leyes. Los miembros de los Tribunales de Justicia, sean abogados o no, tienen iguales facultades en el ejercicio de sus funciones jurisdiccionales”</w:t>
      </w:r>
      <w:r w:rsidRPr="00975C02">
        <w:rPr>
          <w:rFonts w:cs="Univers-Light"/>
          <w:sz w:val="20"/>
          <w:szCs w:val="16"/>
          <w:vertAlign w:val="superscript"/>
          <w:lang w:val="es-ES"/>
        </w:rPr>
        <w:footnoteReference w:id="291"/>
      </w:r>
      <w:r w:rsidRPr="00975C02">
        <w:rPr>
          <w:rFonts w:cs="Univers-Light"/>
          <w:sz w:val="20"/>
          <w:szCs w:val="16"/>
          <w:lang w:val="es-ES"/>
        </w:rPr>
        <w:t>.</w:t>
      </w:r>
    </w:p>
    <w:p w14:paraId="19530100" w14:textId="77777777" w:rsidR="00B5625C" w:rsidRPr="00975C02" w:rsidRDefault="00B5625C" w:rsidP="00B5625C">
      <w:pPr>
        <w:widowControl/>
        <w:adjustRightInd/>
        <w:spacing w:line="240" w:lineRule="auto"/>
        <w:textAlignment w:val="auto"/>
        <w:rPr>
          <w:rFonts w:cs="Univers-Light"/>
          <w:sz w:val="20"/>
          <w:szCs w:val="16"/>
          <w:lang w:val="es-ES"/>
        </w:rPr>
      </w:pPr>
    </w:p>
    <w:p w14:paraId="205A2502" w14:textId="6FC7B615" w:rsidR="00B5625C" w:rsidRPr="00975C02" w:rsidRDefault="00B5625C" w:rsidP="00841EAC">
      <w:pPr>
        <w:widowControl/>
        <w:numPr>
          <w:ilvl w:val="0"/>
          <w:numId w:val="2"/>
        </w:numPr>
        <w:tabs>
          <w:tab w:val="left" w:pos="567"/>
          <w:tab w:val="num" w:pos="12305"/>
        </w:tabs>
        <w:adjustRightInd/>
        <w:spacing w:line="240" w:lineRule="auto"/>
        <w:ind w:left="0" w:firstLine="0"/>
        <w:textAlignment w:val="auto"/>
        <w:rPr>
          <w:rFonts w:cs="Univers-Light"/>
          <w:sz w:val="20"/>
          <w:szCs w:val="16"/>
          <w:lang w:val="es-ES"/>
        </w:rPr>
      </w:pPr>
      <w:r w:rsidRPr="00975C02">
        <w:rPr>
          <w:rFonts w:cs="Univers-Light"/>
          <w:sz w:val="20"/>
          <w:szCs w:val="16"/>
          <w:lang w:val="es-ES"/>
        </w:rPr>
        <w:t xml:space="preserve">En cumplimiento de ese mandato constitucional, la cláusula de participación popular en el poder judicial se canalizó procesalmente a través de la figura del jurado. El sistema fue </w:t>
      </w:r>
      <w:r w:rsidRPr="00975C02">
        <w:rPr>
          <w:sz w:val="20"/>
          <w:szCs w:val="20"/>
          <w:lang w:val="es-ES" w:eastAsia="en-US"/>
        </w:rPr>
        <w:t>implementado</w:t>
      </w:r>
      <w:r w:rsidRPr="00975C02">
        <w:rPr>
          <w:rFonts w:cs="Univers-Light"/>
          <w:sz w:val="20"/>
          <w:szCs w:val="16"/>
          <w:lang w:val="es-ES"/>
        </w:rPr>
        <w:t xml:space="preserve"> a nivel </w:t>
      </w:r>
      <w:r w:rsidRPr="00975C02">
        <w:rPr>
          <w:sz w:val="20"/>
          <w:szCs w:val="20"/>
          <w:lang w:val="es-ES" w:eastAsia="en-US"/>
        </w:rPr>
        <w:t>nacional</w:t>
      </w:r>
      <w:r w:rsidRPr="00975C02">
        <w:rPr>
          <w:rFonts w:cs="Univers-Light"/>
          <w:sz w:val="20"/>
          <w:szCs w:val="16"/>
          <w:lang w:val="es-ES"/>
        </w:rPr>
        <w:t xml:space="preserve"> tanto en el Código de Instrucción Criminal -legislación </w:t>
      </w:r>
      <w:r w:rsidRPr="00975C02">
        <w:rPr>
          <w:sz w:val="20"/>
          <w:szCs w:val="20"/>
          <w:lang w:val="es-ES" w:eastAsia="en-US"/>
        </w:rPr>
        <w:t>procesal</w:t>
      </w:r>
      <w:r w:rsidRPr="00975C02">
        <w:rPr>
          <w:rFonts w:cs="Univers-Light"/>
          <w:sz w:val="20"/>
          <w:szCs w:val="16"/>
          <w:lang w:val="es-ES"/>
        </w:rPr>
        <w:t xml:space="preserve"> penal vigente y aplicada al enjuiciamiento del presente</w:t>
      </w:r>
      <w:r w:rsidR="006233E7" w:rsidRPr="00975C02">
        <w:rPr>
          <w:rFonts w:cs="Univers-Light"/>
          <w:sz w:val="20"/>
          <w:szCs w:val="16"/>
          <w:lang w:val="es-ES"/>
        </w:rPr>
        <w:t xml:space="preserve"> caso </w:t>
      </w:r>
      <w:r w:rsidRPr="00975C02">
        <w:rPr>
          <w:rFonts w:cs="Univers-Light"/>
          <w:sz w:val="20"/>
          <w:szCs w:val="16"/>
          <w:lang w:val="es-ES"/>
        </w:rPr>
        <w:t xml:space="preserve">- como en el posterior Código Procesal Penal -Ley </w:t>
      </w:r>
      <w:r w:rsidR="000D421E" w:rsidRPr="00975C02">
        <w:rPr>
          <w:rFonts w:cs="Univers-Light"/>
          <w:sz w:val="20"/>
          <w:szCs w:val="16"/>
          <w:lang w:val="es-ES"/>
        </w:rPr>
        <w:t>N</w:t>
      </w:r>
      <w:r w:rsidRPr="00975C02">
        <w:rPr>
          <w:rFonts w:cs="Univers-Light"/>
          <w:sz w:val="20"/>
          <w:szCs w:val="16"/>
          <w:lang w:val="es-ES"/>
        </w:rPr>
        <w:t>° 406; legislación procesal penal vigente en la actualidad-.</w:t>
      </w:r>
    </w:p>
    <w:p w14:paraId="3D4A868F" w14:textId="77777777" w:rsidR="00B5625C" w:rsidRPr="00975C02" w:rsidRDefault="00B5625C" w:rsidP="00B5625C">
      <w:pPr>
        <w:widowControl/>
        <w:adjustRightInd/>
        <w:spacing w:line="240" w:lineRule="auto"/>
        <w:textAlignment w:val="auto"/>
        <w:rPr>
          <w:sz w:val="20"/>
          <w:szCs w:val="20"/>
          <w:lang w:val="es-ES" w:eastAsia="en-US"/>
        </w:rPr>
      </w:pPr>
    </w:p>
    <w:p w14:paraId="6F18E4B4" w14:textId="77777777" w:rsidR="00B5625C" w:rsidRPr="00975C02" w:rsidRDefault="00B5625C" w:rsidP="00841EAC">
      <w:pPr>
        <w:widowControl/>
        <w:numPr>
          <w:ilvl w:val="0"/>
          <w:numId w:val="2"/>
        </w:numPr>
        <w:tabs>
          <w:tab w:val="left" w:pos="567"/>
          <w:tab w:val="num" w:pos="12305"/>
        </w:tabs>
        <w:adjustRightInd/>
        <w:spacing w:line="240" w:lineRule="auto"/>
        <w:ind w:left="0" w:firstLine="0"/>
        <w:textAlignment w:val="auto"/>
        <w:rPr>
          <w:sz w:val="20"/>
          <w:szCs w:val="20"/>
          <w:lang w:val="es-ES" w:eastAsia="en-US"/>
        </w:rPr>
      </w:pPr>
      <w:r w:rsidRPr="00975C02">
        <w:rPr>
          <w:sz w:val="20"/>
          <w:szCs w:val="20"/>
          <w:lang w:val="es-ES" w:eastAsia="en-US"/>
        </w:rPr>
        <w:t>Dado que el proceso penal del presente caso se realizó bajo las disposiciones del entonces vigente Código de Instrucción Criminal</w:t>
      </w:r>
      <w:r w:rsidRPr="00975C02">
        <w:rPr>
          <w:sz w:val="20"/>
          <w:szCs w:val="20"/>
          <w:vertAlign w:val="superscript"/>
          <w:lang w:val="es-ES" w:eastAsia="en-US"/>
        </w:rPr>
        <w:footnoteReference w:id="292"/>
      </w:r>
      <w:r w:rsidRPr="00975C02">
        <w:rPr>
          <w:sz w:val="20"/>
          <w:szCs w:val="20"/>
          <w:lang w:val="es-ES" w:eastAsia="en-US"/>
        </w:rPr>
        <w:t>, la Corte pasará a describir cómo era el funcionamiento del juicio por jurados. En particular, en cuanto a la implementación del juicio por jurados, el Código de Instrucción Criminal establecía que se juzgarían por un tribunal de jurados aquellos “delitos comunes que merezcan penas más que correccionales”</w:t>
      </w:r>
      <w:r w:rsidRPr="00975C02">
        <w:rPr>
          <w:sz w:val="20"/>
          <w:szCs w:val="20"/>
          <w:vertAlign w:val="superscript"/>
          <w:lang w:val="es-ES" w:eastAsia="en-US"/>
        </w:rPr>
        <w:footnoteReference w:id="293"/>
      </w:r>
      <w:r w:rsidRPr="00975C02">
        <w:rPr>
          <w:sz w:val="20"/>
          <w:szCs w:val="20"/>
          <w:lang w:val="es-ES" w:eastAsia="en-US"/>
        </w:rPr>
        <w:t xml:space="preserve">. El jurado, integrado </w:t>
      </w:r>
      <w:r w:rsidR="006B4385" w:rsidRPr="00975C02">
        <w:rPr>
          <w:sz w:val="20"/>
          <w:szCs w:val="20"/>
          <w:lang w:val="es-ES" w:eastAsia="en-US"/>
        </w:rPr>
        <w:t>con base en</w:t>
      </w:r>
      <w:r w:rsidRPr="00975C02">
        <w:rPr>
          <w:sz w:val="20"/>
          <w:szCs w:val="20"/>
          <w:lang w:val="es-ES" w:eastAsia="en-US"/>
        </w:rPr>
        <w:t xml:space="preserve"> listas </w:t>
      </w:r>
      <w:r w:rsidRPr="00975C02">
        <w:rPr>
          <w:sz w:val="20"/>
          <w:szCs w:val="20"/>
          <w:lang w:val="es-ES" w:eastAsia="en-US"/>
        </w:rPr>
        <w:lastRenderedPageBreak/>
        <w:t>de ciudadanos “propuestos por ellos mismos”</w:t>
      </w:r>
      <w:r w:rsidRPr="00975C02">
        <w:rPr>
          <w:sz w:val="20"/>
          <w:szCs w:val="20"/>
          <w:vertAlign w:val="superscript"/>
          <w:lang w:val="es-ES" w:eastAsia="en-US"/>
        </w:rPr>
        <w:footnoteReference w:id="294"/>
      </w:r>
      <w:r w:rsidRPr="00975C02">
        <w:rPr>
          <w:sz w:val="20"/>
          <w:szCs w:val="20"/>
          <w:lang w:val="es-ES" w:eastAsia="en-US"/>
        </w:rPr>
        <w:t>, emitía su veredicto de “íntima convicción” sobre la responsabilidad del acusado, declarándolo inocente o culpable.</w:t>
      </w:r>
    </w:p>
    <w:p w14:paraId="290AB58B" w14:textId="77777777" w:rsidR="00B5625C" w:rsidRPr="00975C02" w:rsidRDefault="00B5625C" w:rsidP="00B5625C">
      <w:pPr>
        <w:widowControl/>
        <w:adjustRightInd/>
        <w:spacing w:line="240" w:lineRule="auto"/>
        <w:textAlignment w:val="auto"/>
        <w:rPr>
          <w:sz w:val="20"/>
          <w:szCs w:val="20"/>
          <w:lang w:val="es-ES" w:eastAsia="en-US"/>
        </w:rPr>
      </w:pPr>
    </w:p>
    <w:p w14:paraId="1AE35B8E" w14:textId="525BF9F2" w:rsidR="00B5625C" w:rsidRPr="00975C02" w:rsidRDefault="00B5625C" w:rsidP="00841EAC">
      <w:pPr>
        <w:widowControl/>
        <w:numPr>
          <w:ilvl w:val="0"/>
          <w:numId w:val="2"/>
        </w:numPr>
        <w:tabs>
          <w:tab w:val="left" w:pos="567"/>
          <w:tab w:val="num" w:pos="12305"/>
        </w:tabs>
        <w:adjustRightInd/>
        <w:spacing w:line="240" w:lineRule="auto"/>
        <w:ind w:left="0" w:firstLine="0"/>
        <w:textAlignment w:val="auto"/>
        <w:rPr>
          <w:sz w:val="20"/>
          <w:szCs w:val="20"/>
          <w:lang w:val="es-ES" w:eastAsia="en-US"/>
        </w:rPr>
      </w:pPr>
      <w:r w:rsidRPr="00975C02">
        <w:rPr>
          <w:sz w:val="20"/>
          <w:szCs w:val="20"/>
          <w:lang w:val="es-ES" w:eastAsia="en-US"/>
        </w:rPr>
        <w:t xml:space="preserve">Así, durante la etapa plenaria, el juez convocaba a la desinsaculación de la lista de diez ciudadanos que </w:t>
      </w:r>
      <w:r w:rsidR="000D421E" w:rsidRPr="00975C02">
        <w:rPr>
          <w:sz w:val="20"/>
          <w:szCs w:val="20"/>
          <w:lang w:val="es-ES" w:eastAsia="en-US"/>
        </w:rPr>
        <w:t xml:space="preserve">podían </w:t>
      </w:r>
      <w:r w:rsidRPr="00975C02">
        <w:rPr>
          <w:sz w:val="20"/>
          <w:szCs w:val="20"/>
          <w:lang w:val="es-ES" w:eastAsia="en-US"/>
        </w:rPr>
        <w:t>conformar el Tribunal de Jurados</w:t>
      </w:r>
      <w:r w:rsidRPr="00975C02">
        <w:rPr>
          <w:sz w:val="20"/>
          <w:szCs w:val="20"/>
          <w:vertAlign w:val="superscript"/>
          <w:lang w:val="es-ES" w:eastAsia="en-US"/>
        </w:rPr>
        <w:footnoteReference w:id="295"/>
      </w:r>
      <w:r w:rsidRPr="00975C02">
        <w:rPr>
          <w:sz w:val="20"/>
          <w:szCs w:val="20"/>
          <w:lang w:val="es-ES" w:eastAsia="en-US"/>
        </w:rPr>
        <w:t>, uno de los cuales podía ser recusado sin causa por cada parte</w:t>
      </w:r>
      <w:r w:rsidRPr="00975C02">
        <w:rPr>
          <w:sz w:val="20"/>
          <w:szCs w:val="20"/>
          <w:vertAlign w:val="superscript"/>
          <w:lang w:val="es-ES" w:eastAsia="en-US"/>
        </w:rPr>
        <w:footnoteReference w:id="296"/>
      </w:r>
      <w:r w:rsidRPr="00975C02">
        <w:rPr>
          <w:sz w:val="20"/>
          <w:szCs w:val="20"/>
          <w:lang w:val="es-ES" w:eastAsia="en-US"/>
        </w:rPr>
        <w:t xml:space="preserve">. En esa misma ocasión, se designaba al </w:t>
      </w:r>
      <w:r w:rsidR="003C0254" w:rsidRPr="00975C02">
        <w:rPr>
          <w:sz w:val="20"/>
          <w:szCs w:val="20"/>
          <w:lang w:val="es-ES" w:eastAsia="en-US"/>
        </w:rPr>
        <w:t>juez de derecho</w:t>
      </w:r>
      <w:r w:rsidRPr="00975C02">
        <w:rPr>
          <w:sz w:val="20"/>
          <w:szCs w:val="20"/>
          <w:lang w:val="es-ES" w:eastAsia="en-US"/>
        </w:rPr>
        <w:t xml:space="preserve"> que formaría parte del Tribunal de Jurados y se señalaba lugar, fecha y hora para realizar la audiencia de </w:t>
      </w:r>
      <w:r w:rsidR="00D47A75" w:rsidRPr="00975C02">
        <w:rPr>
          <w:sz w:val="20"/>
          <w:szCs w:val="20"/>
          <w:lang w:val="es-ES" w:eastAsia="en-US"/>
        </w:rPr>
        <w:t>vista pública</w:t>
      </w:r>
      <w:r w:rsidRPr="00975C02">
        <w:rPr>
          <w:sz w:val="20"/>
          <w:szCs w:val="20"/>
          <w:vertAlign w:val="superscript"/>
          <w:lang w:val="es-ES" w:eastAsia="en-US"/>
        </w:rPr>
        <w:footnoteReference w:id="297"/>
      </w:r>
      <w:r w:rsidRPr="00975C02">
        <w:rPr>
          <w:sz w:val="20"/>
          <w:szCs w:val="20"/>
          <w:lang w:val="es-ES" w:eastAsia="en-US"/>
        </w:rPr>
        <w:t xml:space="preserve">. Antes de la </w:t>
      </w:r>
      <w:r w:rsidR="00D47A75" w:rsidRPr="00975C02">
        <w:rPr>
          <w:sz w:val="20"/>
          <w:szCs w:val="20"/>
          <w:lang w:val="es-ES" w:eastAsia="en-US"/>
        </w:rPr>
        <w:t>vista pública</w:t>
      </w:r>
      <w:r w:rsidRPr="00975C02">
        <w:rPr>
          <w:sz w:val="20"/>
          <w:szCs w:val="20"/>
          <w:lang w:val="es-ES" w:eastAsia="en-US"/>
        </w:rPr>
        <w:t xml:space="preserve"> se procedía a la integración del Tribunal de Jurados, oportunidad en la cual las partes podían recusar con causa, evidente o demostrable a cualquiera de los jurados</w:t>
      </w:r>
      <w:r w:rsidRPr="00975C02">
        <w:rPr>
          <w:sz w:val="20"/>
          <w:szCs w:val="20"/>
          <w:vertAlign w:val="superscript"/>
          <w:lang w:val="es-ES" w:eastAsia="en-US"/>
        </w:rPr>
        <w:footnoteReference w:id="298"/>
      </w:r>
      <w:r w:rsidRPr="00975C02">
        <w:rPr>
          <w:sz w:val="20"/>
          <w:szCs w:val="20"/>
          <w:lang w:val="es-ES" w:eastAsia="en-US"/>
        </w:rPr>
        <w:t>. La recusación era resuelta por el juez en la misma sesión, no siendo procedente ulterior recurso</w:t>
      </w:r>
      <w:r w:rsidRPr="00975C02">
        <w:rPr>
          <w:sz w:val="20"/>
          <w:szCs w:val="20"/>
          <w:vertAlign w:val="superscript"/>
          <w:lang w:val="es-ES" w:eastAsia="en-US"/>
        </w:rPr>
        <w:footnoteReference w:id="299"/>
      </w:r>
      <w:r w:rsidRPr="00975C02">
        <w:rPr>
          <w:sz w:val="20"/>
          <w:szCs w:val="20"/>
          <w:lang w:val="es-ES" w:eastAsia="en-US"/>
        </w:rPr>
        <w:t xml:space="preserve">. El juez de la causa escogía a los cuatro ciudadanos que, junto con el </w:t>
      </w:r>
      <w:r w:rsidR="003C0254" w:rsidRPr="00975C02">
        <w:rPr>
          <w:sz w:val="20"/>
          <w:szCs w:val="20"/>
          <w:lang w:val="es-ES" w:eastAsia="en-US"/>
        </w:rPr>
        <w:t>juez de derecho</w:t>
      </w:r>
      <w:r w:rsidRPr="00975C02">
        <w:rPr>
          <w:sz w:val="20"/>
          <w:szCs w:val="20"/>
          <w:lang w:val="es-ES" w:eastAsia="en-US"/>
        </w:rPr>
        <w:t>, integraban el Tribunal de Jurados</w:t>
      </w:r>
      <w:r w:rsidRPr="00975C02">
        <w:rPr>
          <w:sz w:val="20"/>
          <w:szCs w:val="20"/>
          <w:vertAlign w:val="superscript"/>
          <w:lang w:val="es-ES" w:eastAsia="en-US"/>
        </w:rPr>
        <w:footnoteReference w:id="300"/>
      </w:r>
      <w:r w:rsidRPr="00975C02">
        <w:rPr>
          <w:sz w:val="20"/>
          <w:szCs w:val="20"/>
          <w:lang w:val="es-ES" w:eastAsia="en-US"/>
        </w:rPr>
        <w:t>. Asimismo, el juez de la causa contaba con la posibilidad de reponer de oficio al jurado en determinados supuestos</w:t>
      </w:r>
      <w:r w:rsidRPr="00975C02">
        <w:rPr>
          <w:sz w:val="20"/>
          <w:szCs w:val="20"/>
          <w:vertAlign w:val="superscript"/>
          <w:lang w:val="es-ES" w:eastAsia="en-US"/>
        </w:rPr>
        <w:footnoteReference w:id="301"/>
      </w:r>
      <w:r w:rsidRPr="00975C02">
        <w:rPr>
          <w:sz w:val="20"/>
          <w:szCs w:val="20"/>
          <w:lang w:val="es-ES" w:eastAsia="en-US"/>
        </w:rPr>
        <w:t>.</w:t>
      </w:r>
    </w:p>
    <w:p w14:paraId="1F3C2A0F" w14:textId="77777777" w:rsidR="00B5625C" w:rsidRPr="00975C02" w:rsidRDefault="00B5625C" w:rsidP="00B5625C">
      <w:pPr>
        <w:widowControl/>
        <w:adjustRightInd/>
        <w:spacing w:line="240" w:lineRule="auto"/>
        <w:textAlignment w:val="auto"/>
        <w:rPr>
          <w:sz w:val="20"/>
          <w:szCs w:val="20"/>
          <w:lang w:val="es-ES" w:eastAsia="en-US"/>
        </w:rPr>
      </w:pPr>
    </w:p>
    <w:p w14:paraId="62264243" w14:textId="11B19292" w:rsidR="00B5625C" w:rsidRPr="00975C02" w:rsidRDefault="00B5625C" w:rsidP="00841EAC">
      <w:pPr>
        <w:widowControl/>
        <w:numPr>
          <w:ilvl w:val="0"/>
          <w:numId w:val="2"/>
        </w:numPr>
        <w:tabs>
          <w:tab w:val="left" w:pos="567"/>
          <w:tab w:val="num" w:pos="12305"/>
        </w:tabs>
        <w:adjustRightInd/>
        <w:spacing w:line="240" w:lineRule="auto"/>
        <w:ind w:left="0" w:firstLine="0"/>
        <w:textAlignment w:val="auto"/>
        <w:rPr>
          <w:rFonts w:eastAsia="Calibri"/>
          <w:iCs/>
          <w:sz w:val="20"/>
          <w:szCs w:val="20"/>
          <w:lang w:val="es-ES" w:eastAsia="en-US"/>
        </w:rPr>
      </w:pPr>
      <w:r w:rsidRPr="00975C02">
        <w:rPr>
          <w:sz w:val="20"/>
          <w:szCs w:val="20"/>
          <w:lang w:val="es-ES" w:eastAsia="en-US"/>
        </w:rPr>
        <w:t>Una vez instalados los jurados en su cargo, luego de prestar promesa</w:t>
      </w:r>
      <w:r w:rsidRPr="00975C02">
        <w:rPr>
          <w:sz w:val="20"/>
          <w:szCs w:val="20"/>
          <w:vertAlign w:val="superscript"/>
          <w:lang w:val="es-ES" w:eastAsia="en-US"/>
        </w:rPr>
        <w:footnoteReference w:id="302"/>
      </w:r>
      <w:r w:rsidRPr="00975C02">
        <w:rPr>
          <w:sz w:val="20"/>
          <w:szCs w:val="20"/>
          <w:lang w:val="es-ES" w:eastAsia="en-US"/>
        </w:rPr>
        <w:t>, se elegía a un presidente y al secretario</w:t>
      </w:r>
      <w:r w:rsidRPr="00975C02">
        <w:rPr>
          <w:sz w:val="20"/>
          <w:szCs w:val="20"/>
          <w:vertAlign w:val="superscript"/>
          <w:lang w:val="es-ES" w:eastAsia="en-US"/>
        </w:rPr>
        <w:footnoteReference w:id="303"/>
      </w:r>
      <w:r w:rsidRPr="00975C02">
        <w:rPr>
          <w:sz w:val="20"/>
          <w:szCs w:val="20"/>
          <w:lang w:val="es-ES" w:eastAsia="en-US"/>
        </w:rPr>
        <w:t>. Se procedía a la realización de la audiencia pública</w:t>
      </w:r>
      <w:r w:rsidRPr="00975C02">
        <w:rPr>
          <w:sz w:val="20"/>
          <w:szCs w:val="20"/>
          <w:vertAlign w:val="superscript"/>
          <w:lang w:val="es-ES" w:eastAsia="en-US"/>
        </w:rPr>
        <w:footnoteReference w:id="304"/>
      </w:r>
      <w:r w:rsidRPr="00975C02">
        <w:rPr>
          <w:sz w:val="20"/>
          <w:szCs w:val="20"/>
          <w:lang w:val="es-ES" w:eastAsia="en-US"/>
        </w:rPr>
        <w:t>, luego de lo cual los miembros del jurado se reunían en sesión secreta a fin de deliberar “sobre el hecho principal y sobre cada una de sus circunstancias”</w:t>
      </w:r>
      <w:r w:rsidRPr="00975C02">
        <w:rPr>
          <w:sz w:val="20"/>
          <w:szCs w:val="20"/>
          <w:vertAlign w:val="superscript"/>
          <w:lang w:val="es-ES" w:eastAsia="en-US"/>
        </w:rPr>
        <w:footnoteReference w:id="305"/>
      </w:r>
      <w:r w:rsidRPr="00975C02">
        <w:rPr>
          <w:sz w:val="20"/>
          <w:szCs w:val="20"/>
          <w:lang w:val="es-ES" w:eastAsia="en-US"/>
        </w:rPr>
        <w:t xml:space="preserve">. </w:t>
      </w:r>
      <w:r w:rsidRPr="00975C02">
        <w:rPr>
          <w:rFonts w:eastAsia="Calibri"/>
          <w:iCs/>
          <w:sz w:val="20"/>
          <w:szCs w:val="20"/>
          <w:lang w:val="es-ES" w:eastAsia="en-US"/>
        </w:rPr>
        <w:t>Al quedar solo</w:t>
      </w:r>
      <w:r w:rsidR="00085AC8" w:rsidRPr="00975C02">
        <w:rPr>
          <w:rFonts w:eastAsia="Calibri"/>
          <w:iCs/>
          <w:sz w:val="20"/>
          <w:szCs w:val="20"/>
          <w:lang w:val="es-ES" w:eastAsia="en-US"/>
        </w:rPr>
        <w:t>s</w:t>
      </w:r>
      <w:r w:rsidRPr="00975C02">
        <w:rPr>
          <w:rFonts w:eastAsia="Calibri"/>
          <w:iCs/>
          <w:sz w:val="20"/>
          <w:szCs w:val="20"/>
          <w:lang w:val="es-ES" w:eastAsia="en-US"/>
        </w:rPr>
        <w:t xml:space="preserve"> los jurados, el </w:t>
      </w:r>
      <w:r w:rsidRPr="00975C02">
        <w:rPr>
          <w:sz w:val="20"/>
          <w:szCs w:val="20"/>
          <w:lang w:val="es-ES" w:eastAsia="en-US"/>
        </w:rPr>
        <w:t>presidente</w:t>
      </w:r>
      <w:r w:rsidRPr="00975C02">
        <w:rPr>
          <w:rFonts w:eastAsia="Calibri"/>
          <w:iCs/>
          <w:sz w:val="20"/>
          <w:szCs w:val="20"/>
          <w:lang w:val="es-ES" w:eastAsia="en-US"/>
        </w:rPr>
        <w:t xml:space="preserve"> les hacía la</w:t>
      </w:r>
      <w:r w:rsidRPr="00975C02">
        <w:rPr>
          <w:rFonts w:eastAsia="Calibri"/>
          <w:sz w:val="20"/>
          <w:szCs w:val="20"/>
          <w:lang w:val="es-ES" w:eastAsia="en-US"/>
        </w:rPr>
        <w:t xml:space="preserve"> </w:t>
      </w:r>
      <w:r w:rsidRPr="00975C02">
        <w:rPr>
          <w:rFonts w:eastAsia="Calibri"/>
          <w:iCs/>
          <w:sz w:val="20"/>
          <w:szCs w:val="20"/>
          <w:lang w:val="es-ES" w:eastAsia="en-US"/>
        </w:rPr>
        <w:t>siguiente advertencia, la que debía estar escrita con gruesos</w:t>
      </w:r>
      <w:r w:rsidRPr="00975C02">
        <w:rPr>
          <w:rFonts w:eastAsia="Calibri"/>
          <w:sz w:val="20"/>
          <w:szCs w:val="20"/>
          <w:lang w:val="es-ES" w:eastAsia="en-US"/>
        </w:rPr>
        <w:t xml:space="preserve"> </w:t>
      </w:r>
      <w:r w:rsidRPr="00975C02">
        <w:rPr>
          <w:rFonts w:eastAsia="Calibri"/>
          <w:iCs/>
          <w:sz w:val="20"/>
          <w:szCs w:val="20"/>
          <w:lang w:val="es-ES" w:eastAsia="en-US"/>
        </w:rPr>
        <w:t>caracteres y fijada en la pieza en que se reunía el</w:t>
      </w:r>
      <w:r w:rsidRPr="00975C02">
        <w:rPr>
          <w:rFonts w:eastAsia="Calibri"/>
          <w:sz w:val="20"/>
          <w:szCs w:val="20"/>
          <w:lang w:val="es-ES" w:eastAsia="en-US"/>
        </w:rPr>
        <w:t xml:space="preserve"> </w:t>
      </w:r>
      <w:r w:rsidRPr="00975C02">
        <w:rPr>
          <w:rFonts w:eastAsia="Calibri"/>
          <w:iCs/>
          <w:sz w:val="20"/>
          <w:szCs w:val="20"/>
          <w:lang w:val="es-ES" w:eastAsia="en-US"/>
        </w:rPr>
        <w:t>jurado:</w:t>
      </w:r>
    </w:p>
    <w:p w14:paraId="70C8E2BF" w14:textId="77777777" w:rsidR="00B5625C" w:rsidRPr="00975C02" w:rsidRDefault="00B5625C" w:rsidP="00B5625C">
      <w:pPr>
        <w:widowControl/>
        <w:adjustRightInd/>
        <w:spacing w:line="240" w:lineRule="auto"/>
        <w:textAlignment w:val="auto"/>
        <w:rPr>
          <w:rFonts w:eastAsia="Calibri"/>
          <w:iCs/>
          <w:sz w:val="20"/>
          <w:szCs w:val="20"/>
          <w:lang w:val="es-ES" w:eastAsia="en-US"/>
        </w:rPr>
      </w:pPr>
    </w:p>
    <w:p w14:paraId="65AFB47E" w14:textId="1C31F42E" w:rsidR="00B5625C" w:rsidRPr="00975C02" w:rsidRDefault="00B5625C" w:rsidP="0086531F">
      <w:pPr>
        <w:widowControl/>
        <w:adjustRightInd/>
        <w:spacing w:line="240" w:lineRule="auto"/>
        <w:ind w:left="567" w:right="582"/>
        <w:textAlignment w:val="auto"/>
        <w:rPr>
          <w:sz w:val="16"/>
          <w:szCs w:val="16"/>
          <w:lang w:val="es-ES" w:eastAsia="en-US"/>
        </w:rPr>
      </w:pPr>
      <w:r w:rsidRPr="00975C02">
        <w:rPr>
          <w:rFonts w:eastAsia="Calibri"/>
          <w:iCs/>
          <w:sz w:val="16"/>
          <w:szCs w:val="16"/>
          <w:lang w:val="es-ES" w:eastAsia="en-US"/>
        </w:rPr>
        <w:t xml:space="preserve">La ley no pide a los jurados cuenta de los medios por los cuales han llegado a formar su convencimiento, </w:t>
      </w:r>
      <w:r w:rsidR="00B07860" w:rsidRPr="00975C02">
        <w:rPr>
          <w:rFonts w:eastAsia="Calibri"/>
          <w:iCs/>
          <w:sz w:val="16"/>
          <w:szCs w:val="16"/>
          <w:lang w:val="es-ES" w:eastAsia="en-US"/>
        </w:rPr>
        <w:t xml:space="preserve">ni </w:t>
      </w:r>
      <w:r w:rsidRPr="00975C02">
        <w:rPr>
          <w:rFonts w:eastAsia="Calibri"/>
          <w:iCs/>
          <w:sz w:val="16"/>
          <w:szCs w:val="16"/>
          <w:lang w:val="es-ES" w:eastAsia="en-US"/>
        </w:rPr>
        <w:t>les prescribe reglas de las cuales deban deducir</w:t>
      </w:r>
      <w:r w:rsidRPr="00975C02">
        <w:rPr>
          <w:rFonts w:eastAsia="Calibri"/>
          <w:sz w:val="16"/>
          <w:szCs w:val="16"/>
          <w:lang w:val="es-ES" w:eastAsia="en-US"/>
        </w:rPr>
        <w:t xml:space="preserve"> </w:t>
      </w:r>
      <w:r w:rsidRPr="00975C02">
        <w:rPr>
          <w:rFonts w:eastAsia="Calibri"/>
          <w:iCs/>
          <w:sz w:val="16"/>
          <w:szCs w:val="16"/>
          <w:lang w:val="es-ES" w:eastAsia="en-US"/>
        </w:rPr>
        <w:t>especialmente la certeza de los hechos. Ella les</w:t>
      </w:r>
      <w:r w:rsidRPr="00975C02">
        <w:rPr>
          <w:rFonts w:eastAsia="Calibri"/>
          <w:sz w:val="16"/>
          <w:szCs w:val="16"/>
          <w:lang w:val="es-ES" w:eastAsia="en-US"/>
        </w:rPr>
        <w:t xml:space="preserve"> </w:t>
      </w:r>
      <w:r w:rsidRPr="00975C02">
        <w:rPr>
          <w:rFonts w:eastAsia="Calibri"/>
          <w:iCs/>
          <w:sz w:val="16"/>
          <w:szCs w:val="16"/>
          <w:lang w:val="es-ES" w:eastAsia="en-US"/>
        </w:rPr>
        <w:t xml:space="preserve">prescribe solamente </w:t>
      </w:r>
      <w:r w:rsidRPr="0086531F">
        <w:rPr>
          <w:sz w:val="16"/>
          <w:szCs w:val="16"/>
          <w:lang w:val="es-ES" w:eastAsia="en-US"/>
        </w:rPr>
        <w:t>interrogarse</w:t>
      </w:r>
      <w:r w:rsidRPr="00975C02">
        <w:rPr>
          <w:rFonts w:eastAsia="Calibri"/>
          <w:iCs/>
          <w:sz w:val="16"/>
          <w:szCs w:val="16"/>
          <w:lang w:val="es-ES" w:eastAsia="en-US"/>
        </w:rPr>
        <w:t xml:space="preserve"> a sí mismo, </w:t>
      </w:r>
      <w:r w:rsidRPr="00975C02">
        <w:rPr>
          <w:rFonts w:eastAsia="Calibri"/>
          <w:sz w:val="16"/>
          <w:szCs w:val="16"/>
          <w:lang w:val="es-ES" w:eastAsia="en-US"/>
        </w:rPr>
        <w:t>y</w:t>
      </w:r>
      <w:r w:rsidRPr="00975C02">
        <w:rPr>
          <w:rFonts w:eastAsia="Calibri"/>
          <w:iCs/>
          <w:sz w:val="16"/>
          <w:szCs w:val="16"/>
          <w:lang w:val="es-ES" w:eastAsia="en-US"/>
        </w:rPr>
        <w:t xml:space="preserve"> buscar</w:t>
      </w:r>
      <w:r w:rsidRPr="00975C02">
        <w:rPr>
          <w:rFonts w:eastAsia="Calibri"/>
          <w:sz w:val="16"/>
          <w:szCs w:val="16"/>
          <w:lang w:val="es-ES" w:eastAsia="en-US"/>
        </w:rPr>
        <w:t xml:space="preserve"> </w:t>
      </w:r>
      <w:r w:rsidRPr="00975C02">
        <w:rPr>
          <w:rFonts w:eastAsia="Calibri"/>
          <w:iCs/>
          <w:sz w:val="16"/>
          <w:szCs w:val="16"/>
          <w:lang w:val="es-ES" w:eastAsia="en-US"/>
        </w:rPr>
        <w:t>en la sinceridad de su conciencia qu</w:t>
      </w:r>
      <w:r w:rsidR="00B07860" w:rsidRPr="00975C02">
        <w:rPr>
          <w:rFonts w:eastAsia="Calibri"/>
          <w:iCs/>
          <w:sz w:val="16"/>
          <w:szCs w:val="16"/>
          <w:lang w:val="es-ES" w:eastAsia="en-US"/>
        </w:rPr>
        <w:t>é</w:t>
      </w:r>
      <w:r w:rsidRPr="00975C02">
        <w:rPr>
          <w:rFonts w:eastAsia="Calibri"/>
          <w:iCs/>
          <w:sz w:val="16"/>
          <w:szCs w:val="16"/>
          <w:lang w:val="es-ES" w:eastAsia="en-US"/>
        </w:rPr>
        <w:t xml:space="preserve"> impresión han hecho</w:t>
      </w:r>
      <w:r w:rsidRPr="00975C02">
        <w:rPr>
          <w:rFonts w:eastAsia="Calibri"/>
          <w:sz w:val="16"/>
          <w:szCs w:val="16"/>
          <w:lang w:val="es-ES" w:eastAsia="en-US"/>
        </w:rPr>
        <w:t xml:space="preserve"> </w:t>
      </w:r>
      <w:r w:rsidRPr="00975C02">
        <w:rPr>
          <w:rFonts w:eastAsia="Calibri"/>
          <w:iCs/>
          <w:sz w:val="16"/>
          <w:szCs w:val="16"/>
          <w:lang w:val="es-ES" w:eastAsia="en-US"/>
        </w:rPr>
        <w:t xml:space="preserve">en su </w:t>
      </w:r>
      <w:r w:rsidRPr="00975C02">
        <w:rPr>
          <w:rFonts w:eastAsia="Calibri"/>
          <w:iCs/>
          <w:sz w:val="16"/>
          <w:szCs w:val="16"/>
          <w:lang w:val="es-ES" w:eastAsia="en-US"/>
        </w:rPr>
        <w:lastRenderedPageBreak/>
        <w:t xml:space="preserve">razón las pruebas producidas en contra </w:t>
      </w:r>
      <w:r w:rsidRPr="00975C02">
        <w:rPr>
          <w:rFonts w:eastAsia="Calibri"/>
          <w:sz w:val="16"/>
          <w:szCs w:val="16"/>
          <w:lang w:val="es-ES" w:eastAsia="en-US"/>
        </w:rPr>
        <w:t xml:space="preserve">y </w:t>
      </w:r>
      <w:r w:rsidRPr="00975C02">
        <w:rPr>
          <w:rFonts w:eastAsia="Calibri"/>
          <w:iCs/>
          <w:sz w:val="16"/>
          <w:szCs w:val="16"/>
          <w:lang w:val="es-ES" w:eastAsia="en-US"/>
        </w:rPr>
        <w:t>en defensa</w:t>
      </w:r>
      <w:r w:rsidRPr="00975C02">
        <w:rPr>
          <w:rFonts w:eastAsia="Calibri"/>
          <w:sz w:val="16"/>
          <w:szCs w:val="16"/>
          <w:lang w:val="es-ES" w:eastAsia="en-US"/>
        </w:rPr>
        <w:t xml:space="preserve"> </w:t>
      </w:r>
      <w:r w:rsidRPr="00975C02">
        <w:rPr>
          <w:rFonts w:eastAsia="Calibri"/>
          <w:iCs/>
          <w:sz w:val="16"/>
          <w:szCs w:val="16"/>
          <w:lang w:val="es-ES" w:eastAsia="en-US"/>
        </w:rPr>
        <w:t>del acusado. La ley no les dice tendréis por verdad tal</w:t>
      </w:r>
      <w:r w:rsidRPr="00975C02">
        <w:rPr>
          <w:rFonts w:eastAsia="Calibri"/>
          <w:sz w:val="16"/>
          <w:szCs w:val="16"/>
          <w:lang w:val="es-ES" w:eastAsia="en-US"/>
        </w:rPr>
        <w:t xml:space="preserve"> </w:t>
      </w:r>
      <w:r w:rsidRPr="00975C02">
        <w:rPr>
          <w:rFonts w:eastAsia="Calibri"/>
          <w:iCs/>
          <w:sz w:val="16"/>
          <w:szCs w:val="16"/>
          <w:lang w:val="es-ES" w:eastAsia="en-US"/>
        </w:rPr>
        <w:t>hecho afirmado</w:t>
      </w:r>
      <w:r w:rsidR="00B07860" w:rsidRPr="00975C02">
        <w:rPr>
          <w:rFonts w:eastAsia="Calibri"/>
          <w:iCs/>
          <w:sz w:val="16"/>
          <w:szCs w:val="16"/>
          <w:lang w:val="es-ES" w:eastAsia="en-US"/>
        </w:rPr>
        <w:t>,</w:t>
      </w:r>
      <w:r w:rsidRPr="00975C02">
        <w:rPr>
          <w:rFonts w:eastAsia="Calibri"/>
          <w:iCs/>
          <w:sz w:val="16"/>
          <w:szCs w:val="16"/>
          <w:lang w:val="es-ES" w:eastAsia="en-US"/>
        </w:rPr>
        <w:t xml:space="preserve"> por tal número de testigos; ella no les</w:t>
      </w:r>
      <w:r w:rsidRPr="00975C02">
        <w:rPr>
          <w:rFonts w:eastAsia="Calibri"/>
          <w:sz w:val="16"/>
          <w:szCs w:val="16"/>
          <w:lang w:val="es-ES" w:eastAsia="en-US"/>
        </w:rPr>
        <w:t xml:space="preserve"> </w:t>
      </w:r>
      <w:r w:rsidRPr="00975C02">
        <w:rPr>
          <w:rFonts w:eastAsia="Calibri"/>
          <w:iCs/>
          <w:sz w:val="16"/>
          <w:szCs w:val="16"/>
          <w:lang w:val="es-ES" w:eastAsia="en-US"/>
        </w:rPr>
        <w:t>hace sino ésta sola pregunta, que resumen todos sus</w:t>
      </w:r>
      <w:r w:rsidRPr="00975C02">
        <w:rPr>
          <w:rFonts w:eastAsia="Calibri"/>
          <w:sz w:val="16"/>
          <w:szCs w:val="16"/>
          <w:lang w:val="es-ES" w:eastAsia="en-US"/>
        </w:rPr>
        <w:t xml:space="preserve"> </w:t>
      </w:r>
      <w:r w:rsidRPr="00975C02">
        <w:rPr>
          <w:rFonts w:eastAsia="Calibri"/>
          <w:iCs/>
          <w:sz w:val="16"/>
          <w:szCs w:val="16"/>
          <w:lang w:val="es-ES" w:eastAsia="en-US"/>
        </w:rPr>
        <w:t>deberes:</w:t>
      </w:r>
      <w:r w:rsidRPr="00975C02">
        <w:rPr>
          <w:rFonts w:eastAsia="Calibri"/>
          <w:i/>
          <w:iCs/>
          <w:sz w:val="16"/>
          <w:szCs w:val="16"/>
          <w:lang w:val="es-ES" w:eastAsia="en-US"/>
        </w:rPr>
        <w:t xml:space="preserve"> </w:t>
      </w:r>
      <w:r w:rsidR="00B07860" w:rsidRPr="00975C02">
        <w:rPr>
          <w:rFonts w:eastAsia="Calibri"/>
          <w:i/>
          <w:iCs/>
          <w:sz w:val="16"/>
          <w:szCs w:val="16"/>
          <w:lang w:val="es-ES" w:eastAsia="en-US"/>
        </w:rPr>
        <w:t>“</w:t>
      </w:r>
      <w:r w:rsidRPr="00975C02">
        <w:rPr>
          <w:rFonts w:eastAsia="HiddenHorzOCR" w:cs="HiddenHorzOCR"/>
          <w:i/>
          <w:sz w:val="16"/>
          <w:szCs w:val="16"/>
          <w:lang w:val="es-ES" w:eastAsia="en-US"/>
        </w:rPr>
        <w:t xml:space="preserve">¿Tenéis </w:t>
      </w:r>
      <w:r w:rsidRPr="00975C02">
        <w:rPr>
          <w:rFonts w:eastAsia="Calibri"/>
          <w:bCs/>
          <w:i/>
          <w:sz w:val="16"/>
          <w:szCs w:val="16"/>
          <w:lang w:val="es-ES" w:eastAsia="en-US"/>
        </w:rPr>
        <w:t xml:space="preserve">una íntima </w:t>
      </w:r>
      <w:r w:rsidRPr="00975C02">
        <w:rPr>
          <w:rFonts w:eastAsia="Calibri"/>
          <w:bCs/>
          <w:i/>
          <w:iCs/>
          <w:sz w:val="16"/>
          <w:szCs w:val="16"/>
          <w:lang w:val="es-ES" w:eastAsia="en-US"/>
        </w:rPr>
        <w:t>convicción</w:t>
      </w:r>
      <w:r w:rsidR="00B07860" w:rsidRPr="00975C02">
        <w:rPr>
          <w:sz w:val="20"/>
          <w:szCs w:val="20"/>
          <w:vertAlign w:val="superscript"/>
          <w:lang w:val="es-ES" w:eastAsia="en-US"/>
        </w:rPr>
        <w:t xml:space="preserve"> </w:t>
      </w:r>
      <w:r w:rsidR="00B07860" w:rsidRPr="00975C02">
        <w:rPr>
          <w:rFonts w:eastAsia="Calibri"/>
          <w:bCs/>
          <w:i/>
          <w:iCs/>
          <w:sz w:val="16"/>
          <w:szCs w:val="16"/>
          <w:vertAlign w:val="superscript"/>
          <w:lang w:val="es-ES" w:eastAsia="en-US"/>
        </w:rPr>
        <w:footnoteReference w:id="306"/>
      </w:r>
    </w:p>
    <w:p w14:paraId="20AC3066" w14:textId="77777777" w:rsidR="00B5625C" w:rsidRPr="00975C02" w:rsidRDefault="00B5625C" w:rsidP="00B5625C">
      <w:pPr>
        <w:widowControl/>
        <w:adjustRightInd/>
        <w:spacing w:line="240" w:lineRule="auto"/>
        <w:textAlignment w:val="auto"/>
        <w:rPr>
          <w:sz w:val="20"/>
          <w:szCs w:val="20"/>
          <w:lang w:val="es-ES" w:eastAsia="en-US"/>
        </w:rPr>
      </w:pPr>
    </w:p>
    <w:p w14:paraId="08C97EBE" w14:textId="77777777" w:rsidR="00B5625C" w:rsidRPr="00975C02" w:rsidRDefault="00B5625C" w:rsidP="00841EAC">
      <w:pPr>
        <w:widowControl/>
        <w:numPr>
          <w:ilvl w:val="0"/>
          <w:numId w:val="2"/>
        </w:numPr>
        <w:tabs>
          <w:tab w:val="left" w:pos="567"/>
          <w:tab w:val="num" w:pos="12305"/>
        </w:tabs>
        <w:adjustRightInd/>
        <w:spacing w:line="240" w:lineRule="auto"/>
        <w:ind w:left="0" w:firstLine="0"/>
        <w:textAlignment w:val="auto"/>
        <w:rPr>
          <w:sz w:val="20"/>
          <w:szCs w:val="20"/>
          <w:lang w:val="es-ES" w:eastAsia="en-US"/>
        </w:rPr>
      </w:pPr>
      <w:r w:rsidRPr="00975C02">
        <w:rPr>
          <w:sz w:val="20"/>
          <w:szCs w:val="20"/>
          <w:lang w:val="es-ES" w:eastAsia="en-US"/>
        </w:rPr>
        <w:t>Posteriormente y una vez discutido el proceso de forma suficiente, mediante votación secreta y de acuerdo a su íntima convicción, decidían la culpabilidad o la inocencia del procesado</w:t>
      </w:r>
      <w:r w:rsidRPr="00975C02">
        <w:rPr>
          <w:sz w:val="20"/>
          <w:szCs w:val="20"/>
          <w:vertAlign w:val="superscript"/>
          <w:lang w:val="es-ES" w:eastAsia="en-US"/>
        </w:rPr>
        <w:footnoteReference w:id="307"/>
      </w:r>
      <w:r w:rsidRPr="00975C02">
        <w:rPr>
          <w:sz w:val="20"/>
          <w:szCs w:val="20"/>
          <w:lang w:val="es-ES" w:eastAsia="en-US"/>
        </w:rPr>
        <w:t xml:space="preserve">. </w:t>
      </w:r>
      <w:r w:rsidRPr="00975C02">
        <w:rPr>
          <w:rFonts w:cs="Verdana"/>
          <w:sz w:val="20"/>
          <w:szCs w:val="20"/>
          <w:lang w:val="es-ES" w:eastAsia="en-US"/>
        </w:rPr>
        <w:t xml:space="preserve">La votación de </w:t>
      </w:r>
      <w:r w:rsidRPr="00975C02">
        <w:rPr>
          <w:sz w:val="20"/>
          <w:szCs w:val="20"/>
          <w:lang w:val="es-ES" w:eastAsia="en-US"/>
        </w:rPr>
        <w:t>los</w:t>
      </w:r>
      <w:r w:rsidRPr="00975C02">
        <w:rPr>
          <w:rFonts w:cs="Verdana"/>
          <w:sz w:val="20"/>
          <w:szCs w:val="20"/>
          <w:lang w:val="es-ES" w:eastAsia="en-US"/>
        </w:rPr>
        <w:t xml:space="preserve"> jurados se realizaba en sesión secreta e ininterrumpida hasta alcanzar el veredicto, el cual requería de cuatro votos en un mismo sentido</w:t>
      </w:r>
      <w:r w:rsidRPr="00975C02">
        <w:rPr>
          <w:sz w:val="20"/>
          <w:szCs w:val="20"/>
          <w:lang w:val="es-ES" w:eastAsia="en-US"/>
        </w:rPr>
        <w:t>, teniendo el jurado disidente la facultad de razonar su voto por escrito separado</w:t>
      </w:r>
      <w:r w:rsidRPr="00975C02">
        <w:rPr>
          <w:sz w:val="20"/>
          <w:szCs w:val="20"/>
          <w:vertAlign w:val="superscript"/>
          <w:lang w:val="es-ES" w:eastAsia="en-US"/>
        </w:rPr>
        <w:footnoteReference w:id="308"/>
      </w:r>
      <w:r w:rsidRPr="00975C02">
        <w:rPr>
          <w:sz w:val="20"/>
          <w:szCs w:val="20"/>
          <w:lang w:val="es-ES" w:eastAsia="en-US"/>
        </w:rPr>
        <w:t>.</w:t>
      </w:r>
    </w:p>
    <w:p w14:paraId="350FEFA7" w14:textId="77777777" w:rsidR="00B5625C" w:rsidRPr="00975C02" w:rsidRDefault="00B5625C" w:rsidP="00B5625C">
      <w:pPr>
        <w:widowControl/>
        <w:tabs>
          <w:tab w:val="left" w:pos="284"/>
        </w:tabs>
        <w:adjustRightInd/>
        <w:spacing w:line="240" w:lineRule="auto"/>
        <w:textAlignment w:val="auto"/>
        <w:rPr>
          <w:rFonts w:eastAsia="Calibri"/>
          <w:kern w:val="1"/>
          <w:sz w:val="20"/>
          <w:lang w:val="es-ES" w:eastAsia="en-US"/>
        </w:rPr>
      </w:pPr>
    </w:p>
    <w:p w14:paraId="3F69AF16" w14:textId="43713B83" w:rsidR="00B5625C" w:rsidRPr="00975C02" w:rsidRDefault="00B5625C" w:rsidP="00841EAC">
      <w:pPr>
        <w:widowControl/>
        <w:numPr>
          <w:ilvl w:val="0"/>
          <w:numId w:val="2"/>
        </w:numPr>
        <w:tabs>
          <w:tab w:val="left" w:pos="567"/>
          <w:tab w:val="num" w:pos="12305"/>
        </w:tabs>
        <w:adjustRightInd/>
        <w:spacing w:line="240" w:lineRule="auto"/>
        <w:ind w:left="0" w:firstLine="0"/>
        <w:textAlignment w:val="auto"/>
        <w:rPr>
          <w:rFonts w:eastAsia="Calibri"/>
          <w:kern w:val="1"/>
          <w:sz w:val="20"/>
          <w:lang w:val="es-ES" w:eastAsia="en-US"/>
        </w:rPr>
      </w:pPr>
      <w:r w:rsidRPr="00975C02">
        <w:rPr>
          <w:rFonts w:eastAsia="Calibri"/>
          <w:kern w:val="1"/>
          <w:sz w:val="20"/>
          <w:lang w:val="es-ES" w:eastAsia="en-US"/>
        </w:rPr>
        <w:t xml:space="preserve">El artículo 309 </w:t>
      </w:r>
      <w:r w:rsidRPr="00975C02">
        <w:rPr>
          <w:rFonts w:eastAsia="Calibri"/>
          <w:iCs/>
          <w:sz w:val="20"/>
          <w:szCs w:val="20"/>
          <w:lang w:val="es-ES" w:eastAsia="en-US"/>
        </w:rPr>
        <w:t>del Código de Instrucción Criminal</w:t>
      </w:r>
      <w:r w:rsidRPr="00975C02">
        <w:rPr>
          <w:rFonts w:eastAsia="Calibri"/>
          <w:kern w:val="1"/>
          <w:sz w:val="20"/>
          <w:lang w:val="es-ES" w:eastAsia="en-US"/>
        </w:rPr>
        <w:t xml:space="preserve"> prescribía una fórmula fija para redactar el veredicto</w:t>
      </w:r>
      <w:r w:rsidRPr="00975C02">
        <w:rPr>
          <w:rFonts w:eastAsia="Calibri"/>
          <w:kern w:val="1"/>
          <w:sz w:val="20"/>
          <w:vertAlign w:val="superscript"/>
          <w:lang w:val="es-ES" w:eastAsia="en-US"/>
        </w:rPr>
        <w:footnoteReference w:id="309"/>
      </w:r>
      <w:r w:rsidRPr="00975C02">
        <w:rPr>
          <w:rFonts w:eastAsia="Calibri"/>
          <w:kern w:val="1"/>
          <w:sz w:val="20"/>
          <w:lang w:val="es-ES" w:eastAsia="en-US"/>
        </w:rPr>
        <w:t>, el cual era entregado al juez</w:t>
      </w:r>
      <w:r w:rsidRPr="00975C02">
        <w:rPr>
          <w:sz w:val="20"/>
          <w:szCs w:val="20"/>
          <w:vertAlign w:val="superscript"/>
          <w:lang w:val="es-ES" w:eastAsia="en-US"/>
        </w:rPr>
        <w:footnoteReference w:id="310"/>
      </w:r>
      <w:r w:rsidRPr="00975C02">
        <w:rPr>
          <w:rFonts w:eastAsia="Calibri"/>
          <w:kern w:val="1"/>
          <w:sz w:val="20"/>
          <w:lang w:val="es-ES" w:eastAsia="en-US"/>
        </w:rPr>
        <w:t>. Una vez recibido por el juez el veredicto del jurado, si era absolutorio, ponía en libertad al procesado inmediatamente</w:t>
      </w:r>
      <w:r w:rsidRPr="00975C02">
        <w:rPr>
          <w:sz w:val="20"/>
          <w:szCs w:val="20"/>
          <w:vertAlign w:val="superscript"/>
          <w:lang w:val="es-ES" w:eastAsia="en-US"/>
        </w:rPr>
        <w:footnoteReference w:id="311"/>
      </w:r>
      <w:r w:rsidRPr="00975C02">
        <w:rPr>
          <w:rFonts w:eastAsia="Calibri"/>
          <w:kern w:val="1"/>
          <w:sz w:val="20"/>
          <w:lang w:val="es-ES" w:eastAsia="en-US"/>
        </w:rPr>
        <w:t xml:space="preserve">. En cambio, “[s]i el veredicto [era] </w:t>
      </w:r>
      <w:r w:rsidRPr="00975C02">
        <w:rPr>
          <w:sz w:val="20"/>
          <w:szCs w:val="20"/>
          <w:lang w:val="es-ES" w:eastAsia="en-US"/>
        </w:rPr>
        <w:t>condenatorio</w:t>
      </w:r>
      <w:r w:rsidRPr="00975C02">
        <w:rPr>
          <w:rFonts w:eastAsia="Calibri"/>
          <w:kern w:val="1"/>
          <w:sz w:val="20"/>
          <w:lang w:val="es-ES" w:eastAsia="en-US"/>
        </w:rPr>
        <w:t xml:space="preserve">, el </w:t>
      </w:r>
      <w:r w:rsidR="00085AC8" w:rsidRPr="00975C02">
        <w:rPr>
          <w:rFonts w:eastAsia="Calibri"/>
          <w:kern w:val="1"/>
          <w:sz w:val="20"/>
          <w:lang w:val="es-ES" w:eastAsia="en-US"/>
        </w:rPr>
        <w:t>J</w:t>
      </w:r>
      <w:r w:rsidRPr="00975C02">
        <w:rPr>
          <w:rFonts w:eastAsia="Calibri"/>
          <w:kern w:val="1"/>
          <w:sz w:val="20"/>
          <w:lang w:val="es-ES" w:eastAsia="en-US"/>
        </w:rPr>
        <w:t>uez dentro de ocho días de emitido, dicta[ba] sentencia bajo su responsabilidad, sea o no letrado, aplicando al reo o reos la pena establecida por la Ley; y si aquélla fuere gradual, en el grado que les corresponda y en los términos debidos, según las circunstancias de delito”</w:t>
      </w:r>
      <w:r w:rsidRPr="00975C02">
        <w:rPr>
          <w:sz w:val="20"/>
          <w:szCs w:val="20"/>
          <w:vertAlign w:val="superscript"/>
          <w:lang w:val="es-ES" w:eastAsia="en-US"/>
        </w:rPr>
        <w:footnoteReference w:id="312"/>
      </w:r>
      <w:r w:rsidRPr="00975C02">
        <w:rPr>
          <w:rFonts w:eastAsia="Calibri"/>
          <w:kern w:val="1"/>
          <w:sz w:val="20"/>
          <w:lang w:val="es-ES" w:eastAsia="en-US"/>
        </w:rPr>
        <w:t>. Posteriormente, el juez remitía los autos en consulta a la Corte de Apelaciones respectiva, dentro del tercer día de notificada la sentencia. Igual remisión hacía cuando el veredicto era absolutorio</w:t>
      </w:r>
      <w:r w:rsidRPr="00975C02">
        <w:rPr>
          <w:sz w:val="20"/>
          <w:szCs w:val="20"/>
          <w:vertAlign w:val="superscript"/>
          <w:lang w:val="es-ES" w:eastAsia="en-US"/>
        </w:rPr>
        <w:footnoteReference w:id="313"/>
      </w:r>
      <w:r w:rsidRPr="00975C02">
        <w:rPr>
          <w:rFonts w:eastAsia="Calibri"/>
          <w:kern w:val="1"/>
          <w:sz w:val="20"/>
          <w:lang w:val="es-ES" w:eastAsia="en-US"/>
        </w:rPr>
        <w:t>.</w:t>
      </w:r>
    </w:p>
    <w:p w14:paraId="710AD12C" w14:textId="77777777" w:rsidR="00B5625C" w:rsidRPr="00975C02" w:rsidRDefault="00B5625C" w:rsidP="00B5625C">
      <w:pPr>
        <w:widowControl/>
        <w:tabs>
          <w:tab w:val="left" w:pos="284"/>
        </w:tabs>
        <w:adjustRightInd/>
        <w:spacing w:line="240" w:lineRule="auto"/>
        <w:textAlignment w:val="auto"/>
        <w:rPr>
          <w:rFonts w:eastAsia="Calibri"/>
          <w:kern w:val="1"/>
          <w:sz w:val="20"/>
          <w:lang w:val="es-ES" w:eastAsia="en-US"/>
        </w:rPr>
      </w:pPr>
    </w:p>
    <w:p w14:paraId="4707870F" w14:textId="77777777" w:rsidR="00B5625C" w:rsidRPr="00975C02" w:rsidRDefault="00B5625C" w:rsidP="00841EAC">
      <w:pPr>
        <w:widowControl/>
        <w:numPr>
          <w:ilvl w:val="0"/>
          <w:numId w:val="2"/>
        </w:numPr>
        <w:tabs>
          <w:tab w:val="left" w:pos="567"/>
          <w:tab w:val="num" w:pos="12305"/>
        </w:tabs>
        <w:adjustRightInd/>
        <w:spacing w:line="240" w:lineRule="auto"/>
        <w:ind w:left="0" w:firstLine="0"/>
        <w:textAlignment w:val="auto"/>
        <w:rPr>
          <w:rFonts w:eastAsia="Calibri"/>
          <w:kern w:val="1"/>
          <w:sz w:val="20"/>
          <w:lang w:val="es-ES" w:eastAsia="en-US"/>
        </w:rPr>
      </w:pPr>
      <w:r w:rsidRPr="00975C02">
        <w:rPr>
          <w:rFonts w:eastAsia="Calibri"/>
          <w:kern w:val="1"/>
          <w:sz w:val="20"/>
          <w:lang w:val="es-ES" w:eastAsia="en-US"/>
        </w:rPr>
        <w:t xml:space="preserve">El </w:t>
      </w:r>
      <w:r w:rsidRPr="00975C02">
        <w:rPr>
          <w:sz w:val="20"/>
          <w:szCs w:val="20"/>
          <w:lang w:val="es-ES" w:eastAsia="en-US"/>
        </w:rPr>
        <w:t>Código</w:t>
      </w:r>
      <w:r w:rsidRPr="00975C02">
        <w:rPr>
          <w:rFonts w:eastAsia="Calibri"/>
          <w:kern w:val="1"/>
          <w:sz w:val="20"/>
          <w:lang w:val="es-ES" w:eastAsia="en-US"/>
        </w:rPr>
        <w:t xml:space="preserve"> preveía como nulidades sustanciales, peculiares al veredicto o declaración del jurado, las siguientes</w:t>
      </w:r>
      <w:r w:rsidRPr="00975C02">
        <w:rPr>
          <w:sz w:val="20"/>
          <w:szCs w:val="20"/>
          <w:vertAlign w:val="superscript"/>
          <w:lang w:val="es-ES" w:eastAsia="en-US"/>
        </w:rPr>
        <w:footnoteReference w:id="314"/>
      </w:r>
      <w:r w:rsidRPr="00975C02">
        <w:rPr>
          <w:rFonts w:eastAsia="Calibri"/>
          <w:kern w:val="1"/>
          <w:sz w:val="20"/>
          <w:lang w:val="es-ES" w:eastAsia="en-US"/>
        </w:rPr>
        <w:t>:</w:t>
      </w:r>
    </w:p>
    <w:p w14:paraId="06D530E1" w14:textId="77777777" w:rsidR="00B5625C" w:rsidRPr="00975C02" w:rsidRDefault="00B5625C" w:rsidP="00B5625C">
      <w:pPr>
        <w:widowControl/>
        <w:tabs>
          <w:tab w:val="left" w:pos="284"/>
        </w:tabs>
        <w:adjustRightInd/>
        <w:spacing w:line="240" w:lineRule="auto"/>
        <w:textAlignment w:val="auto"/>
        <w:rPr>
          <w:rFonts w:eastAsia="Calibri"/>
          <w:kern w:val="1"/>
          <w:sz w:val="20"/>
          <w:lang w:val="es-ES" w:eastAsia="en-US"/>
        </w:rPr>
      </w:pPr>
    </w:p>
    <w:p w14:paraId="3BC0E6D4" w14:textId="77777777" w:rsidR="00B5625C" w:rsidRPr="00975C02" w:rsidRDefault="00B5625C" w:rsidP="007C2296">
      <w:pPr>
        <w:widowControl/>
        <w:tabs>
          <w:tab w:val="left" w:pos="567"/>
        </w:tabs>
        <w:adjustRightInd/>
        <w:spacing w:line="240" w:lineRule="auto"/>
        <w:ind w:left="567"/>
        <w:textAlignment w:val="auto"/>
        <w:rPr>
          <w:rFonts w:eastAsia="Calibri"/>
          <w:kern w:val="1"/>
          <w:sz w:val="16"/>
          <w:szCs w:val="16"/>
          <w:lang w:val="es-ES" w:eastAsia="en-US"/>
        </w:rPr>
      </w:pPr>
      <w:r w:rsidRPr="00975C02">
        <w:rPr>
          <w:rFonts w:eastAsia="Calibri"/>
          <w:kern w:val="1"/>
          <w:sz w:val="16"/>
          <w:szCs w:val="16"/>
          <w:lang w:val="es-ES" w:eastAsia="en-US"/>
        </w:rPr>
        <w:t>1a. No ser el negocio de aquellos en que el jurado debe intervenir.</w:t>
      </w:r>
    </w:p>
    <w:p w14:paraId="72642A9B" w14:textId="2F19E559" w:rsidR="00B5625C" w:rsidRPr="00975C02" w:rsidRDefault="00B5625C" w:rsidP="007C2296">
      <w:pPr>
        <w:widowControl/>
        <w:tabs>
          <w:tab w:val="left" w:pos="567"/>
        </w:tabs>
        <w:adjustRightInd/>
        <w:spacing w:line="240" w:lineRule="auto"/>
        <w:ind w:left="567"/>
        <w:textAlignment w:val="auto"/>
        <w:rPr>
          <w:rFonts w:eastAsia="Calibri"/>
          <w:kern w:val="1"/>
          <w:sz w:val="16"/>
          <w:szCs w:val="16"/>
          <w:lang w:val="es-ES" w:eastAsia="en-US"/>
        </w:rPr>
      </w:pPr>
      <w:r w:rsidRPr="00975C02">
        <w:rPr>
          <w:rFonts w:eastAsia="Calibri"/>
          <w:kern w:val="1"/>
          <w:sz w:val="16"/>
          <w:szCs w:val="16"/>
          <w:lang w:val="es-ES" w:eastAsia="en-US"/>
        </w:rPr>
        <w:t>2a. La falta de citación para la desinsaculación de los nombres que deben componer el tribunal de jurado</w:t>
      </w:r>
      <w:r w:rsidR="00A84E71">
        <w:rPr>
          <w:rFonts w:eastAsia="Calibri"/>
          <w:kern w:val="1"/>
          <w:sz w:val="16"/>
          <w:szCs w:val="16"/>
          <w:lang w:val="es-ES" w:eastAsia="en-US"/>
        </w:rPr>
        <w:t>s</w:t>
      </w:r>
      <w:r w:rsidRPr="00975C02">
        <w:rPr>
          <w:rFonts w:eastAsia="Calibri"/>
          <w:kern w:val="1"/>
          <w:sz w:val="16"/>
          <w:szCs w:val="16"/>
          <w:lang w:val="es-ES" w:eastAsia="en-US"/>
        </w:rPr>
        <w:t>.</w:t>
      </w:r>
    </w:p>
    <w:p w14:paraId="07C3631D" w14:textId="77777777" w:rsidR="00B5625C" w:rsidRPr="00975C02" w:rsidRDefault="00B5625C" w:rsidP="007C2296">
      <w:pPr>
        <w:widowControl/>
        <w:tabs>
          <w:tab w:val="left" w:pos="567"/>
        </w:tabs>
        <w:adjustRightInd/>
        <w:spacing w:line="240" w:lineRule="auto"/>
        <w:ind w:left="567"/>
        <w:textAlignment w:val="auto"/>
        <w:rPr>
          <w:rFonts w:eastAsia="Calibri"/>
          <w:kern w:val="1"/>
          <w:sz w:val="16"/>
          <w:szCs w:val="16"/>
          <w:lang w:val="es-ES" w:eastAsia="en-US"/>
        </w:rPr>
      </w:pPr>
      <w:r w:rsidRPr="00975C02">
        <w:rPr>
          <w:rFonts w:eastAsia="Calibri"/>
          <w:kern w:val="1"/>
          <w:sz w:val="16"/>
          <w:szCs w:val="16"/>
          <w:lang w:val="es-ES" w:eastAsia="en-US"/>
        </w:rPr>
        <w:t>3a. No haber admitido la recusación de los jurados en los casos en que la Ley lo permite.</w:t>
      </w:r>
    </w:p>
    <w:p w14:paraId="6DBE0B1A" w14:textId="77777777" w:rsidR="00B5625C" w:rsidRPr="00975C02" w:rsidRDefault="00B5625C" w:rsidP="007C2296">
      <w:pPr>
        <w:widowControl/>
        <w:tabs>
          <w:tab w:val="left" w:pos="567"/>
        </w:tabs>
        <w:adjustRightInd/>
        <w:spacing w:line="240" w:lineRule="auto"/>
        <w:ind w:left="567"/>
        <w:textAlignment w:val="auto"/>
        <w:rPr>
          <w:rFonts w:eastAsia="Calibri"/>
          <w:kern w:val="1"/>
          <w:sz w:val="16"/>
          <w:szCs w:val="16"/>
          <w:lang w:val="es-ES" w:eastAsia="en-US"/>
        </w:rPr>
      </w:pPr>
      <w:r w:rsidRPr="00975C02">
        <w:rPr>
          <w:rFonts w:eastAsia="Calibri"/>
          <w:kern w:val="1"/>
          <w:sz w:val="16"/>
          <w:szCs w:val="16"/>
          <w:lang w:val="es-ES" w:eastAsia="en-US"/>
        </w:rPr>
        <w:t>4a. Si los jurados no prestaren la promesa establecida por esta Ley.</w:t>
      </w:r>
    </w:p>
    <w:p w14:paraId="2EBCCDCC" w14:textId="77777777" w:rsidR="00B5625C" w:rsidRPr="00975C02" w:rsidRDefault="00B5625C" w:rsidP="007C2296">
      <w:pPr>
        <w:widowControl/>
        <w:tabs>
          <w:tab w:val="left" w:pos="567"/>
        </w:tabs>
        <w:adjustRightInd/>
        <w:spacing w:line="240" w:lineRule="auto"/>
        <w:ind w:left="567"/>
        <w:textAlignment w:val="auto"/>
        <w:rPr>
          <w:rFonts w:eastAsia="Calibri"/>
          <w:kern w:val="1"/>
          <w:sz w:val="16"/>
          <w:szCs w:val="16"/>
          <w:lang w:val="es-ES" w:eastAsia="en-US"/>
        </w:rPr>
      </w:pPr>
      <w:r w:rsidRPr="00975C02">
        <w:rPr>
          <w:rFonts w:eastAsia="Calibri"/>
          <w:kern w:val="1"/>
          <w:sz w:val="16"/>
          <w:szCs w:val="16"/>
          <w:lang w:val="es-ES" w:eastAsia="en-US"/>
        </w:rPr>
        <w:t>5a. El no estar escrito o firmado el veredicto o declaración en los términos que por la Ley se establecen.</w:t>
      </w:r>
    </w:p>
    <w:p w14:paraId="1C2FCD93" w14:textId="77777777" w:rsidR="00B5625C" w:rsidRPr="00975C02" w:rsidRDefault="00B5625C" w:rsidP="007C2296">
      <w:pPr>
        <w:widowControl/>
        <w:tabs>
          <w:tab w:val="left" w:pos="567"/>
        </w:tabs>
        <w:adjustRightInd/>
        <w:spacing w:line="240" w:lineRule="auto"/>
        <w:ind w:left="567"/>
        <w:textAlignment w:val="auto"/>
        <w:rPr>
          <w:rFonts w:eastAsia="Calibri"/>
          <w:kern w:val="1"/>
          <w:sz w:val="16"/>
          <w:szCs w:val="16"/>
          <w:lang w:val="es-ES" w:eastAsia="en-US"/>
        </w:rPr>
      </w:pPr>
      <w:r w:rsidRPr="00975C02">
        <w:rPr>
          <w:rFonts w:eastAsia="Calibri"/>
          <w:kern w:val="1"/>
          <w:sz w:val="16"/>
          <w:szCs w:val="16"/>
          <w:lang w:val="es-ES" w:eastAsia="en-US"/>
        </w:rPr>
        <w:t>6a. El formar parte del jurado persona que no haya sido desinsaculada para el caso, aunque esté en la lista de los jurados sorteados por el municipio.</w:t>
      </w:r>
    </w:p>
    <w:p w14:paraId="70EE384C" w14:textId="77777777" w:rsidR="00B5625C" w:rsidRPr="00975C02" w:rsidRDefault="00B5625C" w:rsidP="007C2296">
      <w:pPr>
        <w:widowControl/>
        <w:tabs>
          <w:tab w:val="left" w:pos="567"/>
        </w:tabs>
        <w:adjustRightInd/>
        <w:spacing w:line="240" w:lineRule="auto"/>
        <w:ind w:left="567"/>
        <w:textAlignment w:val="auto"/>
        <w:rPr>
          <w:rFonts w:eastAsia="Calibri"/>
          <w:kern w:val="1"/>
          <w:sz w:val="16"/>
          <w:szCs w:val="16"/>
          <w:lang w:val="es-ES" w:eastAsia="en-US"/>
        </w:rPr>
      </w:pPr>
      <w:r w:rsidRPr="00975C02">
        <w:rPr>
          <w:rFonts w:eastAsia="Calibri"/>
          <w:kern w:val="1"/>
          <w:sz w:val="16"/>
          <w:szCs w:val="16"/>
          <w:lang w:val="es-ES" w:eastAsia="en-US"/>
        </w:rPr>
        <w:t>7a. Si se probare fraude de parte del Juez, al hacer la desinsaculación de jurados.</w:t>
      </w:r>
    </w:p>
    <w:p w14:paraId="7DF2A8C7" w14:textId="77777777" w:rsidR="00B5625C" w:rsidRPr="00975C02" w:rsidRDefault="00B5625C" w:rsidP="007C2296">
      <w:pPr>
        <w:widowControl/>
        <w:tabs>
          <w:tab w:val="left" w:pos="567"/>
        </w:tabs>
        <w:adjustRightInd/>
        <w:spacing w:line="240" w:lineRule="auto"/>
        <w:ind w:left="567"/>
        <w:textAlignment w:val="auto"/>
        <w:rPr>
          <w:rFonts w:eastAsia="Calibri"/>
          <w:kern w:val="1"/>
          <w:sz w:val="16"/>
          <w:szCs w:val="16"/>
          <w:lang w:val="es-ES" w:eastAsia="en-US"/>
        </w:rPr>
      </w:pPr>
      <w:r w:rsidRPr="00975C02">
        <w:rPr>
          <w:rFonts w:eastAsia="Calibri"/>
          <w:kern w:val="1"/>
          <w:sz w:val="16"/>
          <w:szCs w:val="16"/>
          <w:lang w:val="es-ES" w:eastAsia="en-US"/>
        </w:rPr>
        <w:t>8a. Si los jurados han sido cohechados.</w:t>
      </w:r>
    </w:p>
    <w:p w14:paraId="6141CD28" w14:textId="77777777" w:rsidR="00B5625C" w:rsidRPr="00975C02" w:rsidRDefault="00B5625C" w:rsidP="007C2296">
      <w:pPr>
        <w:widowControl/>
        <w:tabs>
          <w:tab w:val="left" w:pos="567"/>
        </w:tabs>
        <w:adjustRightInd/>
        <w:spacing w:line="240" w:lineRule="auto"/>
        <w:ind w:left="567"/>
        <w:textAlignment w:val="auto"/>
        <w:rPr>
          <w:rFonts w:eastAsia="Calibri"/>
          <w:kern w:val="1"/>
          <w:sz w:val="16"/>
          <w:szCs w:val="16"/>
          <w:lang w:val="es-ES" w:eastAsia="en-US"/>
        </w:rPr>
      </w:pPr>
      <w:r w:rsidRPr="00975C02">
        <w:rPr>
          <w:rFonts w:eastAsia="Calibri"/>
          <w:kern w:val="1"/>
          <w:sz w:val="16"/>
          <w:szCs w:val="16"/>
          <w:lang w:val="es-ES" w:eastAsia="en-US"/>
        </w:rPr>
        <w:lastRenderedPageBreak/>
        <w:t>9a. Si se hubiere formado el tribunal de jurados con un número mayor o menor del establecido en esta Ley.</w:t>
      </w:r>
    </w:p>
    <w:p w14:paraId="346862E8" w14:textId="77777777" w:rsidR="00B5625C" w:rsidRPr="00975C02" w:rsidRDefault="00B5625C" w:rsidP="007C2296">
      <w:pPr>
        <w:widowControl/>
        <w:tabs>
          <w:tab w:val="left" w:pos="567"/>
        </w:tabs>
        <w:adjustRightInd/>
        <w:spacing w:line="240" w:lineRule="auto"/>
        <w:ind w:left="567"/>
        <w:textAlignment w:val="auto"/>
        <w:rPr>
          <w:rFonts w:eastAsia="Calibri"/>
          <w:kern w:val="1"/>
          <w:sz w:val="16"/>
          <w:szCs w:val="16"/>
          <w:lang w:val="es-ES" w:eastAsia="en-US"/>
        </w:rPr>
      </w:pPr>
      <w:r w:rsidRPr="00975C02">
        <w:rPr>
          <w:rFonts w:eastAsia="Calibri"/>
          <w:kern w:val="1"/>
          <w:sz w:val="16"/>
          <w:szCs w:val="16"/>
          <w:lang w:val="es-ES" w:eastAsia="en-US"/>
        </w:rPr>
        <w:t>10a. Si hubiera asistido a las deliberaciones secretas del jurado alguna persona extraña.</w:t>
      </w:r>
    </w:p>
    <w:p w14:paraId="23A71CEC" w14:textId="77777777" w:rsidR="00B5625C" w:rsidRPr="00975C02" w:rsidRDefault="00B5625C" w:rsidP="007C2296">
      <w:pPr>
        <w:widowControl/>
        <w:tabs>
          <w:tab w:val="left" w:pos="567"/>
        </w:tabs>
        <w:adjustRightInd/>
        <w:spacing w:line="240" w:lineRule="auto"/>
        <w:ind w:left="567"/>
        <w:textAlignment w:val="auto"/>
        <w:rPr>
          <w:rFonts w:eastAsia="Calibri"/>
          <w:kern w:val="1"/>
          <w:sz w:val="16"/>
          <w:szCs w:val="16"/>
          <w:lang w:val="es-ES" w:eastAsia="en-US"/>
        </w:rPr>
      </w:pPr>
      <w:r w:rsidRPr="00975C02">
        <w:rPr>
          <w:rFonts w:eastAsia="Calibri"/>
          <w:kern w:val="1"/>
          <w:sz w:val="16"/>
          <w:szCs w:val="16"/>
          <w:lang w:val="es-ES" w:eastAsia="en-US"/>
        </w:rPr>
        <w:t>11 a. Si de la desinsaculación de los jurados a la sesión pública, transcurrieren más de ocho horas.</w:t>
      </w:r>
    </w:p>
    <w:p w14:paraId="5D0D5DE1" w14:textId="77777777" w:rsidR="00B5625C" w:rsidRPr="00975C02" w:rsidRDefault="00B5625C" w:rsidP="007C2296">
      <w:pPr>
        <w:widowControl/>
        <w:tabs>
          <w:tab w:val="left" w:pos="567"/>
        </w:tabs>
        <w:adjustRightInd/>
        <w:spacing w:line="240" w:lineRule="auto"/>
        <w:ind w:left="567"/>
        <w:textAlignment w:val="auto"/>
        <w:rPr>
          <w:rFonts w:eastAsia="Calibri"/>
          <w:kern w:val="1"/>
          <w:sz w:val="16"/>
          <w:szCs w:val="16"/>
          <w:lang w:val="es-ES" w:eastAsia="en-US"/>
        </w:rPr>
      </w:pPr>
      <w:r w:rsidRPr="00975C02">
        <w:rPr>
          <w:rFonts w:eastAsia="Calibri"/>
          <w:kern w:val="1"/>
          <w:sz w:val="16"/>
          <w:szCs w:val="16"/>
          <w:lang w:val="es-ES" w:eastAsia="en-US"/>
        </w:rPr>
        <w:t>12a. Si el voto de uno o más jurados lo hubieren hecho depender de la suerte.</w:t>
      </w:r>
    </w:p>
    <w:p w14:paraId="64D759E7" w14:textId="77777777" w:rsidR="00B5625C" w:rsidRPr="00975C02" w:rsidRDefault="00B5625C" w:rsidP="007C2296">
      <w:pPr>
        <w:widowControl/>
        <w:tabs>
          <w:tab w:val="left" w:pos="567"/>
        </w:tabs>
        <w:adjustRightInd/>
        <w:spacing w:line="240" w:lineRule="auto"/>
        <w:ind w:left="567"/>
        <w:textAlignment w:val="auto"/>
        <w:rPr>
          <w:rFonts w:eastAsia="Calibri"/>
          <w:kern w:val="1"/>
          <w:sz w:val="16"/>
          <w:szCs w:val="16"/>
          <w:lang w:val="es-ES" w:eastAsia="en-US"/>
        </w:rPr>
      </w:pPr>
      <w:r w:rsidRPr="00975C02">
        <w:rPr>
          <w:rFonts w:eastAsia="Calibri"/>
          <w:kern w:val="1"/>
          <w:sz w:val="16"/>
          <w:szCs w:val="16"/>
          <w:lang w:val="es-ES" w:eastAsia="en-US"/>
        </w:rPr>
        <w:t>13a. Cuando forme parte del tribunal alguna de las personas comprendidas en el Arto. 16 de la Ley de Jurados. (Arto. 56, Ley 21 de Septiembre de 1897).</w:t>
      </w:r>
    </w:p>
    <w:p w14:paraId="34A0D29A" w14:textId="77777777" w:rsidR="00B5625C" w:rsidRPr="00975C02" w:rsidRDefault="00B5625C" w:rsidP="00B5625C">
      <w:pPr>
        <w:widowControl/>
        <w:tabs>
          <w:tab w:val="left" w:pos="284"/>
        </w:tabs>
        <w:adjustRightInd/>
        <w:spacing w:line="240" w:lineRule="auto"/>
        <w:textAlignment w:val="auto"/>
        <w:rPr>
          <w:rFonts w:eastAsia="Calibri"/>
          <w:kern w:val="1"/>
          <w:sz w:val="20"/>
          <w:lang w:val="es-ES" w:eastAsia="en-US"/>
        </w:rPr>
      </w:pPr>
    </w:p>
    <w:p w14:paraId="18BC3610" w14:textId="7C8B9631" w:rsidR="00B5625C" w:rsidRPr="00975C02" w:rsidRDefault="00B5625C" w:rsidP="00841EAC">
      <w:pPr>
        <w:widowControl/>
        <w:numPr>
          <w:ilvl w:val="0"/>
          <w:numId w:val="2"/>
        </w:numPr>
        <w:tabs>
          <w:tab w:val="left" w:pos="567"/>
          <w:tab w:val="num" w:pos="12305"/>
        </w:tabs>
        <w:adjustRightInd/>
        <w:spacing w:line="240" w:lineRule="auto"/>
        <w:ind w:left="0" w:firstLine="0"/>
        <w:textAlignment w:val="auto"/>
        <w:rPr>
          <w:rFonts w:eastAsia="Calibri"/>
          <w:kern w:val="1"/>
          <w:sz w:val="20"/>
          <w:lang w:val="es-ES" w:eastAsia="en-US"/>
        </w:rPr>
      </w:pPr>
      <w:r w:rsidRPr="00975C02">
        <w:rPr>
          <w:rFonts w:eastAsia="Calibri"/>
          <w:bCs/>
          <w:kern w:val="1"/>
          <w:sz w:val="20"/>
          <w:lang w:val="es-ES" w:eastAsia="en-US"/>
        </w:rPr>
        <w:t>El efecto de l</w:t>
      </w:r>
      <w:r w:rsidRPr="00975C02">
        <w:rPr>
          <w:rFonts w:eastAsia="Calibri"/>
          <w:kern w:val="1"/>
          <w:sz w:val="20"/>
          <w:lang w:val="es-ES" w:eastAsia="en-US"/>
        </w:rPr>
        <w:t>as nulidades sustanciales era anular el proceso, de modo tal que el juez o tribunal mandaba a reponer la causa</w:t>
      </w:r>
      <w:r w:rsidR="003F3DA9" w:rsidRPr="00975C02">
        <w:rPr>
          <w:rFonts w:eastAsia="Calibri"/>
          <w:kern w:val="1"/>
          <w:sz w:val="20"/>
          <w:lang w:val="es-ES" w:eastAsia="en-US"/>
        </w:rPr>
        <w:t xml:space="preserve"> desde el primer acto válido inclusive. En el caso de las nulidades peculiares al veredicto, correspondía mandar a reponer la causa</w:t>
      </w:r>
      <w:r w:rsidRPr="00975C02">
        <w:rPr>
          <w:rFonts w:eastAsia="Calibri"/>
          <w:kern w:val="1"/>
          <w:sz w:val="20"/>
          <w:lang w:val="es-ES" w:eastAsia="en-US"/>
        </w:rPr>
        <w:t xml:space="preserve"> hasta practicar nueva desinsaculación para la organización del jurado previas las citaciones para el acto</w:t>
      </w:r>
      <w:r w:rsidRPr="00975C02">
        <w:rPr>
          <w:sz w:val="20"/>
          <w:szCs w:val="20"/>
          <w:vertAlign w:val="superscript"/>
          <w:lang w:val="es-ES" w:eastAsia="en-US"/>
        </w:rPr>
        <w:footnoteReference w:id="315"/>
      </w:r>
      <w:r w:rsidRPr="00975C02">
        <w:rPr>
          <w:rFonts w:eastAsia="Calibri"/>
          <w:kern w:val="1"/>
          <w:sz w:val="20"/>
          <w:lang w:val="es-ES" w:eastAsia="en-US"/>
        </w:rPr>
        <w:t>.</w:t>
      </w:r>
    </w:p>
    <w:p w14:paraId="0772CEAB" w14:textId="77777777" w:rsidR="00B5625C" w:rsidRPr="00975C02" w:rsidRDefault="00B5625C" w:rsidP="00B5625C">
      <w:pPr>
        <w:widowControl/>
        <w:tabs>
          <w:tab w:val="left" w:pos="284"/>
        </w:tabs>
        <w:adjustRightInd/>
        <w:spacing w:line="240" w:lineRule="auto"/>
        <w:textAlignment w:val="auto"/>
        <w:rPr>
          <w:rFonts w:eastAsia="Calibri"/>
          <w:kern w:val="1"/>
          <w:sz w:val="20"/>
          <w:lang w:val="es-ES" w:eastAsia="en-US"/>
        </w:rPr>
      </w:pPr>
    </w:p>
    <w:p w14:paraId="5A6F3B34" w14:textId="77777777" w:rsidR="00B5625C" w:rsidRPr="00975C02" w:rsidRDefault="00B5625C" w:rsidP="00841EAC">
      <w:pPr>
        <w:widowControl/>
        <w:numPr>
          <w:ilvl w:val="0"/>
          <w:numId w:val="2"/>
        </w:numPr>
        <w:tabs>
          <w:tab w:val="left" w:pos="567"/>
          <w:tab w:val="num" w:pos="12305"/>
        </w:tabs>
        <w:adjustRightInd/>
        <w:spacing w:line="240" w:lineRule="auto"/>
        <w:ind w:left="0" w:firstLine="0"/>
        <w:textAlignment w:val="auto"/>
        <w:rPr>
          <w:rFonts w:cs="Verdana"/>
          <w:sz w:val="20"/>
          <w:szCs w:val="20"/>
          <w:lang w:val="es-ES" w:eastAsia="en-US"/>
        </w:rPr>
      </w:pPr>
      <w:r w:rsidRPr="00975C02">
        <w:rPr>
          <w:rFonts w:cs="Verdana"/>
          <w:sz w:val="20"/>
          <w:szCs w:val="20"/>
          <w:lang w:val="es-ES" w:eastAsia="en-US"/>
        </w:rPr>
        <w:t xml:space="preserve">El Código de Instrucción Criminal de Nicaragua fue derogado y sustituido por el Código </w:t>
      </w:r>
      <w:r w:rsidRPr="00975C02">
        <w:rPr>
          <w:rFonts w:eastAsia="Calibri"/>
          <w:kern w:val="1"/>
          <w:sz w:val="20"/>
          <w:lang w:val="es-ES" w:eastAsia="en-US"/>
        </w:rPr>
        <w:t>Procesal</w:t>
      </w:r>
      <w:r w:rsidRPr="00975C02">
        <w:rPr>
          <w:rFonts w:cs="Verdana"/>
          <w:sz w:val="20"/>
          <w:szCs w:val="20"/>
          <w:lang w:val="es-ES" w:eastAsia="en-US"/>
        </w:rPr>
        <w:t xml:space="preserve"> Penal (CPPN), que entró en vigor en diciembre de 2002.</w:t>
      </w:r>
    </w:p>
    <w:p w14:paraId="783F25DC" w14:textId="77777777" w:rsidR="00B5625C" w:rsidRPr="00975C02" w:rsidRDefault="00B5625C" w:rsidP="00B5625C">
      <w:pPr>
        <w:widowControl/>
        <w:tabs>
          <w:tab w:val="left" w:pos="284"/>
        </w:tabs>
        <w:adjustRightInd/>
        <w:spacing w:line="240" w:lineRule="auto"/>
        <w:textAlignment w:val="auto"/>
        <w:rPr>
          <w:rFonts w:eastAsia="Calibri"/>
          <w:kern w:val="1"/>
          <w:sz w:val="20"/>
          <w:lang w:val="es-ES" w:eastAsia="en-US"/>
        </w:rPr>
      </w:pPr>
    </w:p>
    <w:p w14:paraId="299C5F4F" w14:textId="5A82858B" w:rsidR="00B5625C" w:rsidRPr="00975C02" w:rsidRDefault="00B5625C" w:rsidP="00841EAC">
      <w:pPr>
        <w:widowControl/>
        <w:numPr>
          <w:ilvl w:val="0"/>
          <w:numId w:val="2"/>
        </w:numPr>
        <w:tabs>
          <w:tab w:val="left" w:pos="567"/>
          <w:tab w:val="num" w:pos="12305"/>
        </w:tabs>
        <w:adjustRightInd/>
        <w:spacing w:line="240" w:lineRule="auto"/>
        <w:ind w:left="0" w:firstLine="0"/>
        <w:textAlignment w:val="auto"/>
        <w:rPr>
          <w:rFonts w:eastAsia="Calibri"/>
          <w:kern w:val="1"/>
          <w:sz w:val="20"/>
          <w:lang w:val="es-ES" w:eastAsia="en-US"/>
        </w:rPr>
      </w:pPr>
      <w:r w:rsidRPr="00975C02">
        <w:rPr>
          <w:rFonts w:eastAsia="Calibri"/>
          <w:kern w:val="1"/>
          <w:sz w:val="20"/>
          <w:lang w:val="es-ES" w:eastAsia="en-US"/>
        </w:rPr>
        <w:t xml:space="preserve">Asimismo, el Estado informó que actualmente “los procesos que provienen de delitos por violación y otros delitos </w:t>
      </w:r>
      <w:r w:rsidRPr="00975C02">
        <w:rPr>
          <w:rFonts w:cs="Verdana"/>
          <w:sz w:val="20"/>
          <w:szCs w:val="20"/>
          <w:lang w:val="es-ES" w:eastAsia="en-US"/>
        </w:rPr>
        <w:t>sexuales</w:t>
      </w:r>
      <w:r w:rsidRPr="00975C02">
        <w:rPr>
          <w:rFonts w:eastAsia="Calibri"/>
          <w:kern w:val="1"/>
          <w:sz w:val="20"/>
          <w:lang w:val="es-ES" w:eastAsia="en-US"/>
        </w:rPr>
        <w:t>, deben ser conocidos y resueltos por Jueces de derecho y no por Tribunales de Jurados, tomando en cuenta la necesidad de resolver de forma técnica y motivada los mismos”.</w:t>
      </w:r>
    </w:p>
    <w:p w14:paraId="6F01333C" w14:textId="77777777" w:rsidR="00B5625C" w:rsidRPr="00975C02" w:rsidRDefault="00B5625C" w:rsidP="00B5625C">
      <w:pPr>
        <w:widowControl/>
        <w:tabs>
          <w:tab w:val="left" w:pos="284"/>
        </w:tabs>
        <w:adjustRightInd/>
        <w:spacing w:line="240" w:lineRule="auto"/>
        <w:textAlignment w:val="auto"/>
        <w:rPr>
          <w:rFonts w:eastAsia="Calibri"/>
          <w:kern w:val="1"/>
          <w:sz w:val="20"/>
          <w:lang w:val="es-ES" w:eastAsia="en-US"/>
        </w:rPr>
      </w:pPr>
    </w:p>
    <w:p w14:paraId="1C178753" w14:textId="207FFF93" w:rsidR="00B5625C" w:rsidRPr="00975C02" w:rsidRDefault="00B5625C" w:rsidP="00841EAC">
      <w:pPr>
        <w:widowControl/>
        <w:numPr>
          <w:ilvl w:val="0"/>
          <w:numId w:val="2"/>
        </w:numPr>
        <w:tabs>
          <w:tab w:val="left" w:pos="567"/>
          <w:tab w:val="num" w:pos="12305"/>
        </w:tabs>
        <w:adjustRightInd/>
        <w:spacing w:line="240" w:lineRule="auto"/>
        <w:ind w:left="0" w:firstLine="0"/>
        <w:textAlignment w:val="auto"/>
        <w:rPr>
          <w:sz w:val="20"/>
          <w:lang w:val="es-ES" w:eastAsia="en-US"/>
        </w:rPr>
      </w:pPr>
      <w:r w:rsidRPr="00975C02">
        <w:rPr>
          <w:rFonts w:eastAsia="Calibri"/>
          <w:kern w:val="1"/>
          <w:sz w:val="20"/>
          <w:lang w:val="es-ES" w:eastAsia="en-US"/>
        </w:rPr>
        <w:t xml:space="preserve">En efecto, </w:t>
      </w:r>
      <w:r w:rsidRPr="00975C02">
        <w:rPr>
          <w:rFonts w:cs="Verdana"/>
          <w:sz w:val="20"/>
          <w:szCs w:val="20"/>
          <w:lang w:val="es-ES" w:eastAsia="en-US"/>
        </w:rPr>
        <w:t>actualmente</w:t>
      </w:r>
      <w:r w:rsidRPr="00975C02">
        <w:rPr>
          <w:rFonts w:eastAsia="Calibri"/>
          <w:kern w:val="1"/>
          <w:sz w:val="20"/>
          <w:lang w:val="es-ES" w:eastAsia="en-US"/>
        </w:rPr>
        <w:t xml:space="preserve"> </w:t>
      </w:r>
      <w:r w:rsidRPr="00975C02">
        <w:rPr>
          <w:sz w:val="20"/>
          <w:lang w:val="es-ES" w:eastAsia="en-US"/>
        </w:rPr>
        <w:t>se excluye la posibilidad de que un caso de violencia sexual sea sometido al juzgamiento de un jurado popular.</w:t>
      </w:r>
      <w:r w:rsidRPr="00975C02">
        <w:rPr>
          <w:rFonts w:eastAsia="Calibri"/>
          <w:kern w:val="1"/>
          <w:sz w:val="20"/>
          <w:lang w:val="es-ES" w:eastAsia="en-US"/>
        </w:rPr>
        <w:t xml:space="preserve"> El artículo 565 del Código Penal vigente en Nicaragua (Ley N</w:t>
      </w:r>
      <w:r w:rsidR="00951EDD" w:rsidRPr="00975C02">
        <w:rPr>
          <w:rFonts w:eastAsia="Calibri"/>
          <w:kern w:val="1"/>
          <w:sz w:val="20"/>
          <w:lang w:val="es-ES" w:eastAsia="en-US"/>
        </w:rPr>
        <w:t>°</w:t>
      </w:r>
      <w:r w:rsidRPr="00975C02">
        <w:rPr>
          <w:rFonts w:eastAsia="Calibri"/>
          <w:kern w:val="1"/>
          <w:sz w:val="20"/>
          <w:lang w:val="es-ES" w:eastAsia="en-US"/>
        </w:rPr>
        <w:t xml:space="preserve"> 641) dispone que se realicen con juez técnico los juicios por, entre otros, los delitos de violencia doméstica o intrafamiliar y los delitos contra la libertad e integridad sexual. Adicionalmente, en el mes de enero del año 201</w:t>
      </w:r>
      <w:r w:rsidR="00951EDD" w:rsidRPr="00975C02">
        <w:rPr>
          <w:rFonts w:eastAsia="Calibri"/>
          <w:kern w:val="1"/>
          <w:sz w:val="20"/>
          <w:lang w:val="es-ES" w:eastAsia="en-US"/>
        </w:rPr>
        <w:t>2</w:t>
      </w:r>
      <w:r w:rsidRPr="00975C02">
        <w:rPr>
          <w:rFonts w:eastAsia="Calibri"/>
          <w:kern w:val="1"/>
          <w:sz w:val="20"/>
          <w:lang w:val="es-ES" w:eastAsia="en-US"/>
        </w:rPr>
        <w:t xml:space="preserve"> se aprobó la </w:t>
      </w:r>
      <w:r w:rsidR="00CB5403">
        <w:rPr>
          <w:rFonts w:eastAsia="Calibri"/>
          <w:kern w:val="1"/>
          <w:sz w:val="20"/>
          <w:lang w:val="es-ES" w:eastAsia="en-US"/>
        </w:rPr>
        <w:t>Ley N°</w:t>
      </w:r>
      <w:r w:rsidRPr="00975C02">
        <w:rPr>
          <w:rFonts w:eastAsia="Calibri"/>
          <w:kern w:val="1"/>
          <w:sz w:val="20"/>
          <w:lang w:val="es-ES" w:eastAsia="en-US"/>
        </w:rPr>
        <w:t xml:space="preserve"> 779, </w:t>
      </w:r>
      <w:r w:rsidR="00980760" w:rsidRPr="00975C02">
        <w:rPr>
          <w:sz w:val="20"/>
          <w:szCs w:val="20"/>
          <w:lang w:val="es-ES"/>
        </w:rPr>
        <w:t xml:space="preserve">“Ley Integral Contra la Violencia hacia las Mujeres y de Reformas a la </w:t>
      </w:r>
      <w:r w:rsidR="00CB5403">
        <w:rPr>
          <w:sz w:val="20"/>
          <w:szCs w:val="20"/>
          <w:lang w:val="es-ES"/>
        </w:rPr>
        <w:t>Ley N°</w:t>
      </w:r>
      <w:r w:rsidR="00980760" w:rsidRPr="00975C02">
        <w:rPr>
          <w:sz w:val="20"/>
          <w:szCs w:val="20"/>
          <w:lang w:val="es-ES"/>
        </w:rPr>
        <w:t xml:space="preserve"> 641, ‘Código Penal’”</w:t>
      </w:r>
      <w:r w:rsidRPr="00975C02">
        <w:rPr>
          <w:rFonts w:cs="Verdana"/>
          <w:sz w:val="20"/>
          <w:szCs w:val="20"/>
          <w:lang w:val="es-ES" w:eastAsia="en-US"/>
        </w:rPr>
        <w:t xml:space="preserve">, que entró en vigor en el mes de </w:t>
      </w:r>
      <w:r w:rsidR="00951EDD" w:rsidRPr="00975C02">
        <w:rPr>
          <w:rFonts w:cs="Verdana"/>
          <w:sz w:val="20"/>
          <w:szCs w:val="20"/>
          <w:lang w:val="es-ES" w:eastAsia="en-US"/>
        </w:rPr>
        <w:t xml:space="preserve">junio </w:t>
      </w:r>
      <w:r w:rsidRPr="00975C02">
        <w:rPr>
          <w:rFonts w:cs="Verdana"/>
          <w:sz w:val="20"/>
          <w:szCs w:val="20"/>
          <w:lang w:val="es-ES" w:eastAsia="en-US"/>
        </w:rPr>
        <w:t xml:space="preserve">de ese mismo año. </w:t>
      </w:r>
      <w:r w:rsidRPr="00975C02">
        <w:rPr>
          <w:sz w:val="20"/>
          <w:lang w:val="es-ES" w:eastAsia="en-US"/>
        </w:rPr>
        <w:t>Conforme los considerandos expuestos a modo de expresión de los motivos de sanción de la ley, la nueva legislación se fundamenta en la evidencia de que “la normativa existente para frenar la violencia de género en contra de las mujeres, no ha obtenido los resultados buscados para la efectiva protección de su vida, libertad e integridad personal, por lo que resulta indispensable la promulgación de una Ley autónoma de carácter especial, que aborde en forma integral este problema, tipificando y sancionando las diferentes manifestaciones de violencia hacia la mujer”</w:t>
      </w:r>
      <w:r w:rsidRPr="00975C02">
        <w:rPr>
          <w:sz w:val="20"/>
          <w:vertAlign w:val="superscript"/>
          <w:lang w:val="es-ES" w:eastAsia="en-US"/>
        </w:rPr>
        <w:footnoteReference w:id="316"/>
      </w:r>
      <w:r w:rsidRPr="00975C02">
        <w:rPr>
          <w:sz w:val="20"/>
          <w:lang w:val="es-ES" w:eastAsia="en-US"/>
        </w:rPr>
        <w:t>. En particular, en cuanto aquí interesa con relación a la implementación del sistema de enjuiciamiento de casos de violencia de género, y casos de violencia sexual en particular, la ley dispone la creación de los Juzgados de Distrito Especializados en Violencia</w:t>
      </w:r>
      <w:r w:rsidRPr="00975C02">
        <w:rPr>
          <w:sz w:val="20"/>
          <w:vertAlign w:val="superscript"/>
          <w:lang w:val="es-ES" w:eastAsia="en-US"/>
        </w:rPr>
        <w:footnoteReference w:id="317"/>
      </w:r>
      <w:r w:rsidRPr="00975C02">
        <w:rPr>
          <w:sz w:val="20"/>
          <w:lang w:val="es-ES" w:eastAsia="en-US"/>
        </w:rPr>
        <w:t>, que se integran por un juez técnico especializado en la materia</w:t>
      </w:r>
      <w:r w:rsidRPr="00975C02">
        <w:rPr>
          <w:sz w:val="20"/>
          <w:vertAlign w:val="superscript"/>
          <w:lang w:val="es-ES" w:eastAsia="en-US"/>
        </w:rPr>
        <w:footnoteReference w:id="318"/>
      </w:r>
      <w:r w:rsidRPr="00975C02">
        <w:rPr>
          <w:sz w:val="20"/>
          <w:lang w:val="es-ES" w:eastAsia="en-US"/>
        </w:rPr>
        <w:t>.</w:t>
      </w:r>
    </w:p>
    <w:p w14:paraId="4DAF3ED0" w14:textId="77777777" w:rsidR="00B5625C" w:rsidRPr="00975C02" w:rsidRDefault="00B5625C" w:rsidP="00B5625C">
      <w:pPr>
        <w:widowControl/>
        <w:adjustRightInd/>
        <w:spacing w:line="240" w:lineRule="auto"/>
        <w:textAlignment w:val="auto"/>
        <w:rPr>
          <w:sz w:val="20"/>
          <w:szCs w:val="20"/>
          <w:highlight w:val="yellow"/>
          <w:lang w:val="es-ES" w:eastAsia="en-US"/>
        </w:rPr>
      </w:pPr>
    </w:p>
    <w:p w14:paraId="57098C3A" w14:textId="0BA0E93A" w:rsidR="00B5625C" w:rsidRPr="00975C02" w:rsidRDefault="00B5625C" w:rsidP="00A92F94">
      <w:pPr>
        <w:pStyle w:val="Heading3"/>
        <w:rPr>
          <w:b w:val="0"/>
          <w:i/>
        </w:rPr>
      </w:pPr>
      <w:bookmarkStart w:id="137" w:name="_Toc514172642"/>
      <w:r w:rsidRPr="00975C02">
        <w:rPr>
          <w:b w:val="0"/>
          <w:i/>
        </w:rPr>
        <w:t>B.3</w:t>
      </w:r>
      <w:r w:rsidR="00A92F94" w:rsidRPr="00975C02">
        <w:rPr>
          <w:b w:val="0"/>
          <w:i/>
        </w:rPr>
        <w:t>.b</w:t>
      </w:r>
      <w:r w:rsidR="00C37341">
        <w:rPr>
          <w:b w:val="0"/>
          <w:i/>
        </w:rPr>
        <w:tab/>
        <w:t>La garantía de i</w:t>
      </w:r>
      <w:r w:rsidRPr="00975C02">
        <w:rPr>
          <w:b w:val="0"/>
          <w:i/>
        </w:rPr>
        <w:t>mparcialidad de los jurados</w:t>
      </w:r>
      <w:bookmarkEnd w:id="137"/>
    </w:p>
    <w:p w14:paraId="24555EAB" w14:textId="77777777" w:rsidR="00B5625C" w:rsidRPr="00975C02" w:rsidRDefault="00B5625C" w:rsidP="00B5625C">
      <w:pPr>
        <w:widowControl/>
        <w:adjustRightInd/>
        <w:spacing w:line="240" w:lineRule="auto"/>
        <w:textAlignment w:val="auto"/>
        <w:rPr>
          <w:sz w:val="20"/>
          <w:szCs w:val="20"/>
          <w:lang w:val="es-ES" w:eastAsia="en-US"/>
        </w:rPr>
      </w:pPr>
    </w:p>
    <w:p w14:paraId="7A1D988A" w14:textId="27C8B3C4" w:rsidR="00B5625C" w:rsidRPr="00975C02" w:rsidRDefault="00B5625C" w:rsidP="00841EAC">
      <w:pPr>
        <w:widowControl/>
        <w:numPr>
          <w:ilvl w:val="0"/>
          <w:numId w:val="2"/>
        </w:numPr>
        <w:tabs>
          <w:tab w:val="left" w:pos="567"/>
          <w:tab w:val="num" w:pos="12305"/>
        </w:tabs>
        <w:adjustRightInd/>
        <w:spacing w:line="240" w:lineRule="auto"/>
        <w:ind w:left="0" w:firstLine="0"/>
        <w:textAlignment w:val="auto"/>
        <w:rPr>
          <w:sz w:val="20"/>
          <w:lang w:val="es-ES" w:eastAsia="en-US"/>
        </w:rPr>
      </w:pPr>
      <w:r w:rsidRPr="00975C02">
        <w:rPr>
          <w:rFonts w:cs="Arial"/>
          <w:sz w:val="20"/>
          <w:lang w:val="es-ES" w:eastAsia="en-US"/>
        </w:rPr>
        <w:t xml:space="preserve">Este Tribunal ha establecido que </w:t>
      </w:r>
      <w:r w:rsidRPr="00975C02">
        <w:rPr>
          <w:sz w:val="20"/>
          <w:lang w:val="es-ES" w:eastAsia="en-US"/>
        </w:rPr>
        <w:t xml:space="preserve">la imparcialidad exige que el juez que interviene en una contienda particular se aproxime a los hechos de la causa careciendo, de manera subjetiva, de </w:t>
      </w:r>
      <w:r w:rsidRPr="00975C02">
        <w:rPr>
          <w:rFonts w:eastAsia="Calibri"/>
          <w:kern w:val="1"/>
          <w:sz w:val="20"/>
          <w:lang w:val="es-ES" w:eastAsia="en-US"/>
        </w:rPr>
        <w:t>todo</w:t>
      </w:r>
      <w:r w:rsidRPr="00975C02">
        <w:rPr>
          <w:sz w:val="20"/>
          <w:lang w:val="es-ES" w:eastAsia="en-US"/>
        </w:rPr>
        <w:t xml:space="preserve"> prejuicio y, asimismo, ofreciendo garantías suficientes de índole objetiva que permitan desterrar toda duda que el justiciable o la comunidad puedan albergar respecto de la ausencia de imparcialidad</w:t>
      </w:r>
      <w:r w:rsidRPr="00975C02">
        <w:rPr>
          <w:sz w:val="20"/>
          <w:vertAlign w:val="superscript"/>
          <w:lang w:val="es-ES" w:eastAsia="en-US"/>
        </w:rPr>
        <w:footnoteReference w:id="319"/>
      </w:r>
      <w:r w:rsidRPr="00975C02">
        <w:rPr>
          <w:sz w:val="20"/>
          <w:lang w:val="es-ES" w:eastAsia="en-US"/>
        </w:rPr>
        <w:t>.</w:t>
      </w:r>
      <w:r w:rsidRPr="00975C02">
        <w:rPr>
          <w:lang w:val="es-ES" w:eastAsia="en-US"/>
        </w:rPr>
        <w:t xml:space="preserve"> </w:t>
      </w:r>
      <w:r w:rsidRPr="00975C02">
        <w:rPr>
          <w:sz w:val="20"/>
          <w:lang w:val="es-ES" w:eastAsia="en-US"/>
        </w:rPr>
        <w:t>En este sentido, la recusación y la excusación son instrumentos procesales que permiten proteger el derecho a ser juzgado por un órgano imparcial.</w:t>
      </w:r>
      <w:r w:rsidRPr="00975C02">
        <w:rPr>
          <w:rFonts w:eastAsiaTheme="minorHAnsi"/>
          <w:sz w:val="20"/>
          <w:lang w:val="es-ES"/>
        </w:rPr>
        <w:t xml:space="preserve"> </w:t>
      </w:r>
      <w:r w:rsidRPr="00975C02">
        <w:rPr>
          <w:sz w:val="20"/>
          <w:lang w:val="es-ES" w:eastAsia="en-US"/>
        </w:rPr>
        <w:t>La garantía de imparcialidad implica que los integrantes del tribunal no tengan un interés directo, una posición tomada, una preferencia por alguna de las partes y que no se encuentren involucrados en la controversia</w:t>
      </w:r>
      <w:r w:rsidR="009F39CB">
        <w:rPr>
          <w:sz w:val="20"/>
          <w:lang w:val="es-ES" w:eastAsia="en-US"/>
        </w:rPr>
        <w:t>,</w:t>
      </w:r>
      <w:r w:rsidRPr="00975C02">
        <w:rPr>
          <w:sz w:val="20"/>
          <w:lang w:val="es-ES" w:eastAsia="en-US"/>
        </w:rPr>
        <w:t xml:space="preserve"> y que inspiren la confianza necesaria a las partes en el caso, así como a los ciudadanos en una sociedad democrática</w:t>
      </w:r>
      <w:r w:rsidRPr="00975C02">
        <w:rPr>
          <w:sz w:val="20"/>
          <w:vertAlign w:val="superscript"/>
          <w:lang w:val="es-ES" w:eastAsia="en-US"/>
        </w:rPr>
        <w:footnoteReference w:id="320"/>
      </w:r>
      <w:r w:rsidRPr="00975C02">
        <w:rPr>
          <w:sz w:val="20"/>
          <w:lang w:val="es-ES" w:eastAsia="en-US"/>
        </w:rPr>
        <w:t xml:space="preserve">. La imparcialidad </w:t>
      </w:r>
      <w:r w:rsidRPr="00975C02">
        <w:rPr>
          <w:iCs/>
          <w:sz w:val="20"/>
          <w:lang w:val="es-ES" w:eastAsia="en-US"/>
        </w:rPr>
        <w:t>personal</w:t>
      </w:r>
      <w:r w:rsidRPr="00975C02">
        <w:rPr>
          <w:sz w:val="20"/>
          <w:lang w:val="es-ES" w:eastAsia="en-US"/>
        </w:rPr>
        <w:t xml:space="preserve"> o subjetiva se presume a menos que exista prueba en contrario, consistente por ejemplo en la demostración de que algún miembro de un tribunal o juez guarda prejuicios o parcialidades de índole personal contra los litigantes. Por su parte, la denominada </w:t>
      </w:r>
      <w:r w:rsidR="00730B0A" w:rsidRPr="00975C02">
        <w:rPr>
          <w:sz w:val="20"/>
          <w:lang w:val="es-ES" w:eastAsia="en-US"/>
        </w:rPr>
        <w:t>imparcialidad</w:t>
      </w:r>
      <w:r w:rsidRPr="00975C02">
        <w:rPr>
          <w:sz w:val="20"/>
          <w:lang w:val="es-ES" w:eastAsia="en-US"/>
        </w:rPr>
        <w:t xml:space="preserve"> objetiva consiste en determinar si el juez cuestionado brindó elementos convincentes que permitan eliminar temores legítimos o fundadas sospechas de parcialidad sobre su persona</w:t>
      </w:r>
      <w:r w:rsidRPr="00975C02">
        <w:rPr>
          <w:sz w:val="20"/>
          <w:vertAlign w:val="superscript"/>
          <w:lang w:val="es-ES" w:eastAsia="en-US"/>
        </w:rPr>
        <w:footnoteReference w:id="321"/>
      </w:r>
      <w:r w:rsidRPr="00975C02">
        <w:rPr>
          <w:sz w:val="20"/>
          <w:lang w:val="es-ES" w:eastAsia="en-US"/>
        </w:rPr>
        <w:t>. La Corte advierte que dichos parámetros son aplicables también a los miembros del jurado</w:t>
      </w:r>
      <w:r w:rsidR="001D67F0" w:rsidRPr="00975C02">
        <w:rPr>
          <w:rStyle w:val="FootnoteReference"/>
          <w:sz w:val="20"/>
          <w:lang w:val="es-ES" w:eastAsia="en-US"/>
        </w:rPr>
        <w:footnoteReference w:id="322"/>
      </w:r>
      <w:r w:rsidRPr="00975C02">
        <w:rPr>
          <w:sz w:val="20"/>
          <w:lang w:val="es-ES" w:eastAsia="en-US"/>
        </w:rPr>
        <w:t>.</w:t>
      </w:r>
    </w:p>
    <w:p w14:paraId="5C71DED7" w14:textId="77777777" w:rsidR="00B5625C" w:rsidRPr="00975C02" w:rsidRDefault="00B5625C" w:rsidP="00B5625C">
      <w:pPr>
        <w:widowControl/>
        <w:adjustRightInd/>
        <w:spacing w:line="240" w:lineRule="auto"/>
        <w:textAlignment w:val="auto"/>
        <w:rPr>
          <w:sz w:val="20"/>
          <w:szCs w:val="20"/>
          <w:lang w:val="es-ES" w:eastAsia="en-US"/>
        </w:rPr>
      </w:pPr>
    </w:p>
    <w:p w14:paraId="177ECFED" w14:textId="772FC294" w:rsidR="00B5625C" w:rsidRPr="00975C02" w:rsidRDefault="00B5625C" w:rsidP="00730B0A">
      <w:pPr>
        <w:widowControl/>
        <w:numPr>
          <w:ilvl w:val="0"/>
          <w:numId w:val="2"/>
        </w:numPr>
        <w:tabs>
          <w:tab w:val="left" w:pos="567"/>
          <w:tab w:val="num" w:pos="12305"/>
        </w:tabs>
        <w:adjustRightInd/>
        <w:spacing w:line="240" w:lineRule="auto"/>
        <w:ind w:left="0" w:firstLine="0"/>
        <w:textAlignment w:val="auto"/>
        <w:rPr>
          <w:sz w:val="20"/>
          <w:szCs w:val="20"/>
          <w:lang w:val="es-ES" w:eastAsia="en-US"/>
        </w:rPr>
      </w:pPr>
      <w:r w:rsidRPr="00975C02">
        <w:rPr>
          <w:sz w:val="20"/>
          <w:szCs w:val="20"/>
          <w:lang w:val="es-ES" w:eastAsia="en-US"/>
        </w:rPr>
        <w:t xml:space="preserve">En esta línea, el Tribunal Europeo de Derechos Humanos ha sostenido que, cualquiera sea el sistema procesal de enjuiciamiento que se implemente, resulta fundamental para la </w:t>
      </w:r>
      <w:r w:rsidRPr="00975C02">
        <w:rPr>
          <w:iCs/>
          <w:sz w:val="20"/>
          <w:lang w:val="es-ES" w:eastAsia="en-US"/>
        </w:rPr>
        <w:t>existencia</w:t>
      </w:r>
      <w:r w:rsidRPr="00975C02">
        <w:rPr>
          <w:sz w:val="20"/>
          <w:szCs w:val="20"/>
          <w:lang w:val="es-ES" w:eastAsia="en-US"/>
        </w:rPr>
        <w:t xml:space="preserve"> de una sociedad democrática que los tribunales inspiren confianza a los ciudadanos y, sobre todo en el proceso penal, al acusado. Para ello, ha afirmado que todo tribunal, incluido el jurado, debe ser imparcial desde un punto de vista tanto objetivo como subjetivo</w:t>
      </w:r>
      <w:r w:rsidRPr="00975C02">
        <w:rPr>
          <w:sz w:val="20"/>
          <w:szCs w:val="20"/>
          <w:vertAlign w:val="superscript"/>
          <w:lang w:val="es-ES" w:eastAsia="en-US"/>
        </w:rPr>
        <w:footnoteReference w:id="323"/>
      </w:r>
      <w:r w:rsidRPr="00975C02">
        <w:rPr>
          <w:sz w:val="20"/>
          <w:szCs w:val="20"/>
          <w:lang w:val="es-ES" w:eastAsia="en-US"/>
        </w:rPr>
        <w:t>. La imparcialidad del juez y del jurado se presume, siempre que no se demuestre lo contrario</w:t>
      </w:r>
      <w:r w:rsidRPr="00975C02">
        <w:rPr>
          <w:sz w:val="20"/>
          <w:szCs w:val="20"/>
          <w:vertAlign w:val="superscript"/>
          <w:lang w:val="es-ES" w:eastAsia="en-US"/>
        </w:rPr>
        <w:footnoteReference w:id="324"/>
      </w:r>
      <w:r w:rsidR="00517083" w:rsidRPr="00975C02">
        <w:rPr>
          <w:sz w:val="20"/>
          <w:szCs w:val="20"/>
          <w:lang w:val="es-ES" w:eastAsia="en-US"/>
        </w:rPr>
        <w:t>,</w:t>
      </w:r>
      <w:r w:rsidRPr="00975C02">
        <w:rPr>
          <w:sz w:val="20"/>
          <w:szCs w:val="20"/>
          <w:lang w:val="es-ES" w:eastAsia="en-US"/>
        </w:rPr>
        <w:t xml:space="preserve"> según las circunstancias del caso concreto</w:t>
      </w:r>
      <w:r w:rsidRPr="00975C02">
        <w:rPr>
          <w:sz w:val="20"/>
          <w:szCs w:val="20"/>
          <w:vertAlign w:val="superscript"/>
          <w:lang w:val="es-ES" w:eastAsia="en-US"/>
        </w:rPr>
        <w:footnoteReference w:id="325"/>
      </w:r>
      <w:r w:rsidRPr="00975C02">
        <w:rPr>
          <w:sz w:val="20"/>
          <w:szCs w:val="20"/>
          <w:lang w:val="es-ES" w:eastAsia="en-US"/>
        </w:rPr>
        <w:t>.</w:t>
      </w:r>
    </w:p>
    <w:p w14:paraId="76FB6733" w14:textId="77777777" w:rsidR="00B5625C" w:rsidRPr="00975C02" w:rsidRDefault="00B5625C" w:rsidP="00B5625C">
      <w:pPr>
        <w:widowControl/>
        <w:adjustRightInd/>
        <w:spacing w:line="240" w:lineRule="auto"/>
        <w:textAlignment w:val="auto"/>
        <w:rPr>
          <w:sz w:val="20"/>
          <w:szCs w:val="20"/>
          <w:lang w:val="es-ES" w:eastAsia="en-US"/>
        </w:rPr>
      </w:pPr>
    </w:p>
    <w:p w14:paraId="25B300E5" w14:textId="77777777" w:rsidR="00730B0A" w:rsidRPr="00975C02" w:rsidRDefault="00730B0A" w:rsidP="00730B0A">
      <w:pPr>
        <w:widowControl/>
        <w:numPr>
          <w:ilvl w:val="0"/>
          <w:numId w:val="2"/>
        </w:numPr>
        <w:tabs>
          <w:tab w:val="left" w:pos="567"/>
          <w:tab w:val="num" w:pos="12305"/>
        </w:tabs>
        <w:adjustRightInd/>
        <w:spacing w:line="240" w:lineRule="auto"/>
        <w:ind w:left="0" w:firstLine="0"/>
        <w:textAlignment w:val="auto"/>
        <w:rPr>
          <w:sz w:val="20"/>
          <w:szCs w:val="20"/>
          <w:lang w:val="es-ES" w:eastAsia="en-US"/>
        </w:rPr>
      </w:pPr>
      <w:r w:rsidRPr="00975C02">
        <w:rPr>
          <w:sz w:val="20"/>
          <w:szCs w:val="20"/>
          <w:lang w:val="es-ES" w:eastAsia="en-US"/>
        </w:rPr>
        <w:t xml:space="preserve">En </w:t>
      </w:r>
      <w:r w:rsidRPr="00975C02">
        <w:rPr>
          <w:rFonts w:cs="MinionPro-Regular"/>
          <w:sz w:val="20"/>
          <w:szCs w:val="20"/>
          <w:lang w:val="es-ES" w:eastAsia="en-US"/>
        </w:rPr>
        <w:t>efecto</w:t>
      </w:r>
      <w:r w:rsidRPr="00975C02">
        <w:rPr>
          <w:sz w:val="20"/>
          <w:szCs w:val="20"/>
          <w:lang w:val="es-ES" w:eastAsia="en-US"/>
        </w:rPr>
        <w:t xml:space="preserve">, la Corte resalta que en el análisis de la vertiente objetiva de la imparcialidad no se cuestiona las capacidades personales </w:t>
      </w:r>
      <w:r w:rsidR="00154886" w:rsidRPr="00975C02">
        <w:rPr>
          <w:sz w:val="20"/>
          <w:szCs w:val="20"/>
          <w:lang w:val="es-ES" w:eastAsia="en-US"/>
        </w:rPr>
        <w:t xml:space="preserve">o las convicciones sobre el caso concreto </w:t>
      </w:r>
      <w:r w:rsidRPr="00975C02">
        <w:rPr>
          <w:sz w:val="20"/>
          <w:szCs w:val="20"/>
          <w:lang w:val="es-ES" w:eastAsia="en-US"/>
        </w:rPr>
        <w:t xml:space="preserve">de los juzgadores o sus posibles relaciones con las partes, sino hechos que razonablemente podrían </w:t>
      </w:r>
      <w:r w:rsidR="00154886" w:rsidRPr="00975C02">
        <w:rPr>
          <w:sz w:val="20"/>
          <w:szCs w:val="20"/>
          <w:lang w:val="es-ES" w:eastAsia="en-US"/>
        </w:rPr>
        <w:t>justificar</w:t>
      </w:r>
      <w:r w:rsidRPr="00975C02">
        <w:rPr>
          <w:sz w:val="20"/>
          <w:szCs w:val="20"/>
          <w:lang w:val="es-ES" w:eastAsia="en-US"/>
        </w:rPr>
        <w:t xml:space="preserve"> en un observador </w:t>
      </w:r>
      <w:r w:rsidR="00154886" w:rsidRPr="00975C02">
        <w:rPr>
          <w:sz w:val="20"/>
          <w:szCs w:val="20"/>
          <w:lang w:val="es-ES" w:eastAsia="en-US"/>
        </w:rPr>
        <w:t>objetivo</w:t>
      </w:r>
      <w:r w:rsidRPr="00975C02">
        <w:rPr>
          <w:sz w:val="20"/>
          <w:szCs w:val="20"/>
          <w:lang w:val="es-ES" w:eastAsia="en-US"/>
        </w:rPr>
        <w:t xml:space="preserve"> falta de confianza en quienes se encuentran a cargo de la importante misión de </w:t>
      </w:r>
      <w:r w:rsidR="00AB18BF" w:rsidRPr="00975C02">
        <w:rPr>
          <w:sz w:val="20"/>
          <w:szCs w:val="20"/>
          <w:lang w:val="es-ES" w:eastAsia="en-US"/>
        </w:rPr>
        <w:t>impartir</w:t>
      </w:r>
      <w:r w:rsidRPr="00975C02">
        <w:rPr>
          <w:sz w:val="20"/>
          <w:szCs w:val="20"/>
          <w:lang w:val="es-ES" w:eastAsia="en-US"/>
        </w:rPr>
        <w:t xml:space="preserve"> justicia</w:t>
      </w:r>
      <w:r w:rsidR="00AB18BF" w:rsidRPr="00975C02">
        <w:rPr>
          <w:sz w:val="20"/>
          <w:szCs w:val="20"/>
          <w:lang w:val="es-ES" w:eastAsia="en-US"/>
        </w:rPr>
        <w:t xml:space="preserve"> en un</w:t>
      </w:r>
      <w:r w:rsidR="006B05F7" w:rsidRPr="00975C02">
        <w:rPr>
          <w:sz w:val="20"/>
          <w:szCs w:val="20"/>
          <w:lang w:val="es-ES" w:eastAsia="en-US"/>
        </w:rPr>
        <w:t xml:space="preserve"> determinado</w:t>
      </w:r>
      <w:r w:rsidR="00AB18BF" w:rsidRPr="00975C02">
        <w:rPr>
          <w:sz w:val="20"/>
          <w:szCs w:val="20"/>
          <w:lang w:val="es-ES" w:eastAsia="en-US"/>
        </w:rPr>
        <w:t xml:space="preserve"> caso</w:t>
      </w:r>
      <w:r w:rsidRPr="00975C02">
        <w:rPr>
          <w:sz w:val="20"/>
          <w:szCs w:val="20"/>
          <w:lang w:val="es-ES" w:eastAsia="en-US"/>
        </w:rPr>
        <w:t>.</w:t>
      </w:r>
    </w:p>
    <w:p w14:paraId="5F362449" w14:textId="77777777" w:rsidR="00B5625C" w:rsidRPr="00975C02" w:rsidRDefault="00B5625C" w:rsidP="00B5625C">
      <w:pPr>
        <w:widowControl/>
        <w:adjustRightInd/>
        <w:spacing w:line="240" w:lineRule="auto"/>
        <w:textAlignment w:val="auto"/>
        <w:rPr>
          <w:iCs/>
          <w:sz w:val="20"/>
          <w:lang w:val="es-ES" w:eastAsia="en-US"/>
        </w:rPr>
      </w:pPr>
    </w:p>
    <w:p w14:paraId="3B1AEF38" w14:textId="77777777" w:rsidR="00B5625C" w:rsidRPr="00975C02" w:rsidRDefault="00B5625C" w:rsidP="00730B0A">
      <w:pPr>
        <w:widowControl/>
        <w:numPr>
          <w:ilvl w:val="0"/>
          <w:numId w:val="2"/>
        </w:numPr>
        <w:tabs>
          <w:tab w:val="left" w:pos="567"/>
          <w:tab w:val="num" w:pos="12305"/>
        </w:tabs>
        <w:adjustRightInd/>
        <w:spacing w:line="240" w:lineRule="auto"/>
        <w:ind w:left="0" w:firstLine="0"/>
        <w:textAlignment w:val="auto"/>
        <w:rPr>
          <w:iCs/>
          <w:sz w:val="20"/>
          <w:lang w:val="es-ES" w:eastAsia="en-US"/>
        </w:rPr>
      </w:pPr>
      <w:r w:rsidRPr="00975C02">
        <w:rPr>
          <w:iCs/>
          <w:sz w:val="20"/>
          <w:lang w:val="es-ES" w:eastAsia="en-US"/>
        </w:rPr>
        <w:t xml:space="preserve">Bajo esta </w:t>
      </w:r>
      <w:r w:rsidRPr="00975C02">
        <w:rPr>
          <w:sz w:val="20"/>
          <w:szCs w:val="20"/>
          <w:lang w:val="es-ES" w:eastAsia="en-US"/>
        </w:rPr>
        <w:t>órbita</w:t>
      </w:r>
      <w:r w:rsidRPr="00975C02">
        <w:rPr>
          <w:iCs/>
          <w:sz w:val="20"/>
          <w:lang w:val="es-ES" w:eastAsia="en-US"/>
        </w:rPr>
        <w:t>, el Tribunal Europeo ha especificado que:</w:t>
      </w:r>
    </w:p>
    <w:p w14:paraId="13580400" w14:textId="77777777" w:rsidR="00B5625C" w:rsidRPr="00975C02" w:rsidRDefault="00B5625C" w:rsidP="00B5625C">
      <w:pPr>
        <w:widowControl/>
        <w:adjustRightInd/>
        <w:spacing w:line="240" w:lineRule="auto"/>
        <w:textAlignment w:val="auto"/>
        <w:rPr>
          <w:iCs/>
          <w:sz w:val="20"/>
          <w:lang w:val="es-ES" w:eastAsia="en-US"/>
        </w:rPr>
      </w:pPr>
    </w:p>
    <w:p w14:paraId="329E2082" w14:textId="71B1479A" w:rsidR="00B5625C" w:rsidRPr="00975C02" w:rsidRDefault="00B5625C" w:rsidP="00AB262F">
      <w:pPr>
        <w:widowControl/>
        <w:adjustRightInd/>
        <w:spacing w:line="240" w:lineRule="auto"/>
        <w:ind w:left="567" w:right="582"/>
        <w:textAlignment w:val="auto"/>
        <w:rPr>
          <w:b/>
          <w:sz w:val="16"/>
          <w:szCs w:val="16"/>
          <w:u w:val="single"/>
          <w:lang w:val="es-ES" w:eastAsia="en-US"/>
        </w:rPr>
      </w:pPr>
      <w:r w:rsidRPr="00975C02">
        <w:rPr>
          <w:iCs/>
          <w:sz w:val="16"/>
          <w:szCs w:val="16"/>
          <w:lang w:val="es-ES" w:eastAsia="en-US"/>
        </w:rPr>
        <w:t xml:space="preserve">[b]ajo el análisis objetivo, se debe determinar si, aparte del comportamiento personal </w:t>
      </w:r>
      <w:r w:rsidRPr="00975C02">
        <w:rPr>
          <w:sz w:val="16"/>
          <w:szCs w:val="16"/>
          <w:lang w:val="es-ES" w:eastAsia="en-US"/>
        </w:rPr>
        <w:t>de</w:t>
      </w:r>
      <w:r w:rsidRPr="00975C02">
        <w:rPr>
          <w:iCs/>
          <w:sz w:val="16"/>
          <w:szCs w:val="16"/>
          <w:lang w:val="es-ES" w:eastAsia="en-US"/>
        </w:rPr>
        <w:t xml:space="preserve"> los jueces, hay hechos averiguables que podrán suscitar dudas respecto de su imparcialidad. En este sentido, hasta las </w:t>
      </w:r>
      <w:r w:rsidRPr="00975C02">
        <w:rPr>
          <w:iCs/>
          <w:sz w:val="16"/>
          <w:szCs w:val="16"/>
          <w:lang w:val="es-ES" w:eastAsia="en-US"/>
        </w:rPr>
        <w:lastRenderedPageBreak/>
        <w:t xml:space="preserve">apariencias </w:t>
      </w:r>
      <w:r w:rsidRPr="00AB262F">
        <w:rPr>
          <w:sz w:val="16"/>
          <w:szCs w:val="16"/>
          <w:lang w:val="es-ES" w:eastAsia="en-US"/>
        </w:rPr>
        <w:t>podrán</w:t>
      </w:r>
      <w:r w:rsidRPr="00975C02">
        <w:rPr>
          <w:iCs/>
          <w:sz w:val="16"/>
          <w:szCs w:val="16"/>
          <w:lang w:val="es-ES" w:eastAsia="en-US"/>
        </w:rPr>
        <w:t xml:space="preserve"> tener cierta importancia. Lo que está en juego es la confianza que deben inspirar los tribunales a los ciudadanos en una sociedad democrática, y sobre todo, en las partes del caso</w:t>
      </w:r>
      <w:r w:rsidRPr="00975C02">
        <w:rPr>
          <w:iCs/>
          <w:sz w:val="16"/>
          <w:szCs w:val="16"/>
          <w:vertAlign w:val="superscript"/>
          <w:lang w:val="es-ES" w:eastAsia="en-US"/>
        </w:rPr>
        <w:footnoteReference w:id="326"/>
      </w:r>
      <w:r w:rsidRPr="00975C02">
        <w:rPr>
          <w:iCs/>
          <w:sz w:val="16"/>
          <w:szCs w:val="16"/>
          <w:lang w:val="es-ES" w:eastAsia="en-US"/>
        </w:rPr>
        <w:t>.</w:t>
      </w:r>
    </w:p>
    <w:p w14:paraId="7751F104" w14:textId="77777777" w:rsidR="00B5625C" w:rsidRPr="00975C02" w:rsidRDefault="00B5625C" w:rsidP="00B5625C">
      <w:pPr>
        <w:widowControl/>
        <w:adjustRightInd/>
        <w:spacing w:line="240" w:lineRule="auto"/>
        <w:textAlignment w:val="auto"/>
        <w:rPr>
          <w:sz w:val="20"/>
          <w:szCs w:val="20"/>
          <w:lang w:val="es-ES" w:eastAsia="en-US"/>
        </w:rPr>
      </w:pPr>
    </w:p>
    <w:p w14:paraId="1D9825D5" w14:textId="3A3BE07B" w:rsidR="00730B0A" w:rsidRPr="00975C02" w:rsidRDefault="00730B0A" w:rsidP="00730B0A">
      <w:pPr>
        <w:widowControl/>
        <w:numPr>
          <w:ilvl w:val="0"/>
          <w:numId w:val="2"/>
        </w:numPr>
        <w:tabs>
          <w:tab w:val="left" w:pos="567"/>
          <w:tab w:val="num" w:pos="12305"/>
        </w:tabs>
        <w:adjustRightInd/>
        <w:spacing w:line="240" w:lineRule="auto"/>
        <w:ind w:left="0" w:firstLine="0"/>
        <w:textAlignment w:val="auto"/>
        <w:rPr>
          <w:iCs/>
          <w:sz w:val="20"/>
          <w:lang w:val="es-ES" w:eastAsia="en-US"/>
        </w:rPr>
      </w:pPr>
      <w:r w:rsidRPr="00975C02">
        <w:rPr>
          <w:iCs/>
          <w:sz w:val="20"/>
          <w:lang w:val="es-ES" w:eastAsia="en-US"/>
        </w:rPr>
        <w:t xml:space="preserve">La Corte considera que en este caso no se encuentran implicadas causales de índole subjetiva que afectaran la imparcialidad de los juzgadores </w:t>
      </w:r>
      <w:r w:rsidRPr="00975C02">
        <w:rPr>
          <w:i/>
          <w:iCs/>
          <w:sz w:val="20"/>
          <w:lang w:val="es-ES" w:eastAsia="en-US"/>
        </w:rPr>
        <w:t>ab initio</w:t>
      </w:r>
      <w:r w:rsidRPr="00975C02">
        <w:rPr>
          <w:iCs/>
          <w:sz w:val="20"/>
          <w:lang w:val="es-ES" w:eastAsia="en-US"/>
        </w:rPr>
        <w:t xml:space="preserve">, en este caso constituidos por la jueza a cargo de la causa, la </w:t>
      </w:r>
      <w:r w:rsidRPr="00975C02">
        <w:rPr>
          <w:sz w:val="20"/>
          <w:szCs w:val="20"/>
          <w:lang w:val="es-ES" w:eastAsia="en-US"/>
        </w:rPr>
        <w:t>jueza</w:t>
      </w:r>
      <w:r w:rsidRPr="00975C02">
        <w:rPr>
          <w:iCs/>
          <w:sz w:val="20"/>
          <w:lang w:val="es-ES" w:eastAsia="en-US"/>
        </w:rPr>
        <w:t xml:space="preserve"> de derecho presidenta del Tribunal de Jurados y los miembros del </w:t>
      </w:r>
      <w:r w:rsidR="00A84E71">
        <w:rPr>
          <w:iCs/>
          <w:sz w:val="20"/>
          <w:lang w:val="es-ES" w:eastAsia="en-US"/>
        </w:rPr>
        <w:t>j</w:t>
      </w:r>
      <w:r w:rsidRPr="00975C02">
        <w:rPr>
          <w:iCs/>
          <w:sz w:val="20"/>
          <w:lang w:val="es-ES" w:eastAsia="en-US"/>
        </w:rPr>
        <w:t xml:space="preserve">urado, sino que los alegatos </w:t>
      </w:r>
      <w:r w:rsidR="005A7647">
        <w:rPr>
          <w:iCs/>
          <w:sz w:val="20"/>
          <w:lang w:val="es-ES" w:eastAsia="en-US"/>
        </w:rPr>
        <w:t>están</w:t>
      </w:r>
      <w:r w:rsidRPr="00975C02">
        <w:rPr>
          <w:iCs/>
          <w:sz w:val="20"/>
          <w:lang w:val="es-ES" w:eastAsia="en-US"/>
        </w:rPr>
        <w:t xml:space="preserve"> relacionados con la vertiente objetiva de la imparcialidad. Por ende, la Corte pasará a analizar los hechos y aspectos alegados a fin de determinar si existió un temor fundado que pusiera en duda el ejercicio de las funciones de la jueza a cargo del proceso y del Tribunal de Jurados</w:t>
      </w:r>
      <w:r w:rsidR="00486513" w:rsidRPr="00975C02">
        <w:rPr>
          <w:iCs/>
          <w:sz w:val="20"/>
          <w:lang w:val="es-ES" w:eastAsia="en-US"/>
        </w:rPr>
        <w:t xml:space="preserve"> en el caso en concreto</w:t>
      </w:r>
      <w:r w:rsidRPr="00975C02">
        <w:rPr>
          <w:iCs/>
          <w:sz w:val="20"/>
          <w:lang w:val="es-ES" w:eastAsia="en-US"/>
        </w:rPr>
        <w:t>.</w:t>
      </w:r>
    </w:p>
    <w:p w14:paraId="70F02E1F" w14:textId="77777777" w:rsidR="00B5625C" w:rsidRPr="00975C02" w:rsidRDefault="00B5625C" w:rsidP="00B5625C">
      <w:pPr>
        <w:widowControl/>
        <w:adjustRightInd/>
        <w:spacing w:line="240" w:lineRule="auto"/>
        <w:textAlignment w:val="auto"/>
        <w:rPr>
          <w:sz w:val="20"/>
          <w:szCs w:val="20"/>
          <w:lang w:val="es-ES" w:eastAsia="en-US"/>
        </w:rPr>
      </w:pPr>
    </w:p>
    <w:p w14:paraId="492661FC" w14:textId="503CC568" w:rsidR="00B5625C" w:rsidRPr="00975C02" w:rsidRDefault="00B5625C" w:rsidP="00730B0A">
      <w:pPr>
        <w:widowControl/>
        <w:numPr>
          <w:ilvl w:val="0"/>
          <w:numId w:val="2"/>
        </w:numPr>
        <w:tabs>
          <w:tab w:val="left" w:pos="567"/>
          <w:tab w:val="num" w:pos="12305"/>
        </w:tabs>
        <w:adjustRightInd/>
        <w:spacing w:line="240" w:lineRule="auto"/>
        <w:ind w:left="0" w:firstLine="0"/>
        <w:textAlignment w:val="auto"/>
        <w:rPr>
          <w:sz w:val="20"/>
          <w:szCs w:val="20"/>
          <w:lang w:val="es-ES" w:eastAsia="en-US"/>
        </w:rPr>
      </w:pPr>
      <w:r w:rsidRPr="00975C02">
        <w:rPr>
          <w:sz w:val="20"/>
          <w:szCs w:val="20"/>
          <w:lang w:val="es-ES" w:eastAsia="en-US"/>
        </w:rPr>
        <w:t>En este caso, los alegatos de falta de imparcialidad versan principalmente sobre las siguientes cuestiones fácticas: i) el hecho de que se habría suspendido en dos oportunidades la audiencia supuestamente de forma injustificada; ii) el hecho de que no se dejara participar a la señora V.P.C. en una de las audiencias de desinsaculación del jurado; iii) el hecho de que no se dejara al abogado de la parte acusadora contar con la colaboración de otro letrado</w:t>
      </w:r>
      <w:r w:rsidR="00CE1C96" w:rsidRPr="00975C02">
        <w:rPr>
          <w:sz w:val="20"/>
          <w:szCs w:val="20"/>
          <w:lang w:val="es-ES" w:eastAsia="en-US"/>
        </w:rPr>
        <w:t>, y</w:t>
      </w:r>
      <w:r w:rsidRPr="00975C02">
        <w:rPr>
          <w:sz w:val="20"/>
          <w:szCs w:val="20"/>
          <w:lang w:val="es-ES" w:eastAsia="en-US"/>
        </w:rPr>
        <w:t xml:space="preserve"> iv) el hecho acaecido al finalizar la audiencia de vista y antes de que el jurado se retirara a su deliberación secreta: la entrega </w:t>
      </w:r>
      <w:r w:rsidR="00540556" w:rsidRPr="00975C02">
        <w:rPr>
          <w:sz w:val="20"/>
          <w:szCs w:val="20"/>
          <w:lang w:val="es-ES" w:eastAsia="en-US"/>
        </w:rPr>
        <w:t xml:space="preserve">a la jueza presidenta </w:t>
      </w:r>
      <w:r w:rsidRPr="00975C02">
        <w:rPr>
          <w:sz w:val="20"/>
          <w:szCs w:val="20"/>
          <w:lang w:val="es-ES" w:eastAsia="en-US"/>
        </w:rPr>
        <w:t>de una bolsa gris metálica y de unas hojas de papel rosado enviad</w:t>
      </w:r>
      <w:r w:rsidR="00E21A75" w:rsidRPr="00975C02">
        <w:rPr>
          <w:sz w:val="20"/>
          <w:szCs w:val="20"/>
          <w:lang w:val="es-ES" w:eastAsia="en-US"/>
        </w:rPr>
        <w:t>as</w:t>
      </w:r>
      <w:r w:rsidR="00540556">
        <w:rPr>
          <w:sz w:val="20"/>
          <w:szCs w:val="20"/>
          <w:lang w:val="es-ES" w:eastAsia="en-US"/>
        </w:rPr>
        <w:t xml:space="preserve"> por el imputado para que las</w:t>
      </w:r>
      <w:r w:rsidRPr="00975C02">
        <w:rPr>
          <w:sz w:val="20"/>
          <w:szCs w:val="20"/>
          <w:lang w:val="es-ES" w:eastAsia="en-US"/>
        </w:rPr>
        <w:t xml:space="preserve"> leyeran en la sesión privada.</w:t>
      </w:r>
    </w:p>
    <w:p w14:paraId="6089CACD" w14:textId="77777777" w:rsidR="00B5625C" w:rsidRPr="00975C02" w:rsidRDefault="00B5625C" w:rsidP="00B5625C">
      <w:pPr>
        <w:widowControl/>
        <w:adjustRightInd/>
        <w:spacing w:line="240" w:lineRule="auto"/>
        <w:textAlignment w:val="auto"/>
        <w:rPr>
          <w:sz w:val="20"/>
          <w:szCs w:val="20"/>
          <w:lang w:val="es-ES" w:eastAsia="en-US"/>
        </w:rPr>
      </w:pPr>
    </w:p>
    <w:p w14:paraId="2135F48A" w14:textId="4B2F8BE6" w:rsidR="00B5625C" w:rsidRPr="00975C02" w:rsidRDefault="00B5625C" w:rsidP="00730B0A">
      <w:pPr>
        <w:widowControl/>
        <w:numPr>
          <w:ilvl w:val="0"/>
          <w:numId w:val="2"/>
        </w:numPr>
        <w:tabs>
          <w:tab w:val="left" w:pos="567"/>
          <w:tab w:val="num" w:pos="12305"/>
        </w:tabs>
        <w:adjustRightInd/>
        <w:spacing w:line="240" w:lineRule="auto"/>
        <w:ind w:left="0" w:firstLine="0"/>
        <w:textAlignment w:val="auto"/>
        <w:rPr>
          <w:rFonts w:cs="MinionPro-Regular"/>
          <w:sz w:val="20"/>
          <w:szCs w:val="20"/>
          <w:lang w:val="es-ES" w:eastAsia="en-US"/>
        </w:rPr>
      </w:pPr>
      <w:r w:rsidRPr="00975C02">
        <w:rPr>
          <w:rFonts w:cs="MinionPro-Regular"/>
          <w:sz w:val="20"/>
          <w:szCs w:val="20"/>
          <w:lang w:val="es-ES" w:eastAsia="en-US"/>
        </w:rPr>
        <w:t xml:space="preserve">La Corte nota que el procedimiento central en que puede disiparse la posible imparcialidad del jurado </w:t>
      </w:r>
      <w:r w:rsidRPr="00975C02">
        <w:rPr>
          <w:sz w:val="20"/>
          <w:szCs w:val="20"/>
          <w:lang w:val="es-ES" w:eastAsia="en-US"/>
        </w:rPr>
        <w:t>es</w:t>
      </w:r>
      <w:r w:rsidRPr="00975C02">
        <w:rPr>
          <w:rFonts w:cs="MinionPro-Regular"/>
          <w:sz w:val="20"/>
          <w:szCs w:val="20"/>
          <w:lang w:val="es-ES" w:eastAsia="en-US"/>
        </w:rPr>
        <w:t xml:space="preserve"> la audiencia de desinsaculación, que en los sistemas anglo-sajones se denomina </w:t>
      </w:r>
      <w:r w:rsidRPr="00975C02">
        <w:rPr>
          <w:rFonts w:cs="MinionPro-Regular"/>
          <w:i/>
          <w:sz w:val="20"/>
          <w:szCs w:val="20"/>
          <w:lang w:val="es-ES" w:eastAsia="en-US"/>
        </w:rPr>
        <w:t>voir dire.</w:t>
      </w:r>
      <w:r w:rsidRPr="00975C02">
        <w:rPr>
          <w:rFonts w:cs="MinionPro-Regular"/>
          <w:sz w:val="20"/>
          <w:szCs w:val="20"/>
          <w:lang w:val="es-ES" w:eastAsia="en-US"/>
        </w:rPr>
        <w:t xml:space="preserve"> Este procedimiento cobra especial relevancia en casos de violencia sexual, a fin de establecer si los jurados portan prejuicios y creencias falsas al respecto que pudieran influir negativamente sobre su valoración del caso </w:t>
      </w:r>
      <w:r w:rsidR="00501B73" w:rsidRPr="00975C02">
        <w:rPr>
          <w:rFonts w:cs="MinionPro-Regular"/>
          <w:sz w:val="20"/>
          <w:szCs w:val="20"/>
          <w:lang w:val="es-ES" w:eastAsia="en-US"/>
        </w:rPr>
        <w:t xml:space="preserve">en concreto </w:t>
      </w:r>
      <w:r w:rsidRPr="00975C02">
        <w:rPr>
          <w:rFonts w:cs="MinionPro-Regular"/>
          <w:sz w:val="20"/>
          <w:szCs w:val="20"/>
          <w:lang w:val="es-ES" w:eastAsia="en-US"/>
        </w:rPr>
        <w:t xml:space="preserve">a través de los prejuicios y mitos presentes en el </w:t>
      </w:r>
      <w:r w:rsidRPr="00975C02">
        <w:rPr>
          <w:sz w:val="20"/>
          <w:szCs w:val="20"/>
          <w:lang w:val="es-ES" w:eastAsia="en-US"/>
        </w:rPr>
        <w:t>imaginario</w:t>
      </w:r>
      <w:r w:rsidRPr="00975C02">
        <w:rPr>
          <w:rFonts w:cs="MinionPro-Regular"/>
          <w:sz w:val="20"/>
          <w:szCs w:val="20"/>
          <w:lang w:val="es-ES" w:eastAsia="en-US"/>
        </w:rPr>
        <w:t xml:space="preserve"> social. En el caso de Nicaragua, se preveía dicha instancia con la posibilidad de recusar a un jurado sin causa (</w:t>
      </w:r>
      <w:r w:rsidRPr="00975C02">
        <w:rPr>
          <w:rFonts w:cs="MinionPro-Regular"/>
          <w:i/>
          <w:sz w:val="20"/>
          <w:szCs w:val="20"/>
          <w:lang w:val="es-ES" w:eastAsia="en-US"/>
        </w:rPr>
        <w:t xml:space="preserve">supra </w:t>
      </w:r>
      <w:r w:rsidRPr="00975C02">
        <w:rPr>
          <w:rFonts w:cs="MinionPro-Regular"/>
          <w:sz w:val="20"/>
          <w:szCs w:val="20"/>
          <w:lang w:val="es-ES" w:eastAsia="en-US"/>
        </w:rPr>
        <w:t xml:space="preserve">párr. </w:t>
      </w:r>
      <w:r w:rsidR="00CC7568" w:rsidRPr="00975C02">
        <w:rPr>
          <w:rFonts w:cs="MinionPro-Regular"/>
          <w:sz w:val="20"/>
          <w:szCs w:val="20"/>
          <w:lang w:val="es-ES" w:eastAsia="en-US"/>
        </w:rPr>
        <w:t>230</w:t>
      </w:r>
      <w:r w:rsidR="005E5B71" w:rsidRPr="00975C02">
        <w:rPr>
          <w:rFonts w:cs="MinionPro-Regular"/>
          <w:sz w:val="20"/>
          <w:szCs w:val="20"/>
          <w:lang w:val="es-ES" w:eastAsia="en-US"/>
        </w:rPr>
        <w:t>).</w:t>
      </w:r>
    </w:p>
    <w:p w14:paraId="2DF31259" w14:textId="77777777" w:rsidR="00B5625C" w:rsidRPr="00975C02" w:rsidRDefault="00B5625C" w:rsidP="00B5625C">
      <w:pPr>
        <w:widowControl/>
        <w:adjustRightInd/>
        <w:spacing w:line="240" w:lineRule="auto"/>
        <w:textAlignment w:val="auto"/>
        <w:rPr>
          <w:sz w:val="20"/>
          <w:szCs w:val="20"/>
          <w:lang w:val="es-ES" w:eastAsia="en-US"/>
        </w:rPr>
      </w:pPr>
    </w:p>
    <w:p w14:paraId="6113AD5B" w14:textId="5A172F69" w:rsidR="00B5625C" w:rsidRPr="00975C02" w:rsidRDefault="00B5625C" w:rsidP="00730B0A">
      <w:pPr>
        <w:widowControl/>
        <w:numPr>
          <w:ilvl w:val="0"/>
          <w:numId w:val="2"/>
        </w:numPr>
        <w:tabs>
          <w:tab w:val="left" w:pos="567"/>
          <w:tab w:val="num" w:pos="12305"/>
        </w:tabs>
        <w:adjustRightInd/>
        <w:spacing w:line="240" w:lineRule="auto"/>
        <w:ind w:left="0" w:firstLine="0"/>
        <w:textAlignment w:val="auto"/>
        <w:rPr>
          <w:sz w:val="20"/>
          <w:szCs w:val="20"/>
          <w:lang w:val="es-ES" w:eastAsia="en-US"/>
        </w:rPr>
      </w:pPr>
      <w:r w:rsidRPr="00975C02">
        <w:rPr>
          <w:sz w:val="20"/>
          <w:szCs w:val="20"/>
          <w:lang w:val="es-ES" w:eastAsia="en-US"/>
        </w:rPr>
        <w:t>Sobre la suspensión de la audiencia en dos ocasiones (</w:t>
      </w:r>
      <w:r w:rsidRPr="00975C02">
        <w:rPr>
          <w:i/>
          <w:sz w:val="20"/>
          <w:szCs w:val="20"/>
          <w:lang w:val="es-ES" w:eastAsia="en-US"/>
        </w:rPr>
        <w:t>supra</w:t>
      </w:r>
      <w:r w:rsidRPr="00975C02">
        <w:rPr>
          <w:sz w:val="20"/>
          <w:szCs w:val="20"/>
          <w:lang w:val="es-ES" w:eastAsia="en-US"/>
        </w:rPr>
        <w:t xml:space="preserve"> párr. </w:t>
      </w:r>
      <w:r w:rsidR="005E5B71" w:rsidRPr="00975C02">
        <w:rPr>
          <w:sz w:val="20"/>
          <w:szCs w:val="20"/>
          <w:lang w:val="es-ES" w:eastAsia="en-US"/>
        </w:rPr>
        <w:t>95</w:t>
      </w:r>
      <w:r w:rsidRPr="00975C02">
        <w:rPr>
          <w:sz w:val="20"/>
          <w:szCs w:val="20"/>
          <w:lang w:val="es-ES" w:eastAsia="en-US"/>
        </w:rPr>
        <w:t>), la Corte nota que, tal como indicó el Estado, no existen elementos que pudieran objetivamente indicar que ello afectó la imparcialidad de los juzgadores.</w:t>
      </w:r>
    </w:p>
    <w:p w14:paraId="4AEE71C5" w14:textId="77777777" w:rsidR="00B5625C" w:rsidRPr="00975C02" w:rsidRDefault="00B5625C" w:rsidP="00B5625C">
      <w:pPr>
        <w:widowControl/>
        <w:adjustRightInd/>
        <w:spacing w:line="240" w:lineRule="auto"/>
        <w:textAlignment w:val="auto"/>
        <w:rPr>
          <w:sz w:val="20"/>
          <w:szCs w:val="20"/>
          <w:lang w:val="es-ES" w:eastAsia="en-US"/>
        </w:rPr>
      </w:pPr>
    </w:p>
    <w:p w14:paraId="388F7A1E" w14:textId="5BECFBB6" w:rsidR="00B5625C" w:rsidRPr="00975C02" w:rsidRDefault="00B5625C" w:rsidP="00730B0A">
      <w:pPr>
        <w:widowControl/>
        <w:numPr>
          <w:ilvl w:val="0"/>
          <w:numId w:val="2"/>
        </w:numPr>
        <w:tabs>
          <w:tab w:val="left" w:pos="567"/>
          <w:tab w:val="num" w:pos="12305"/>
        </w:tabs>
        <w:adjustRightInd/>
        <w:spacing w:line="240" w:lineRule="auto"/>
        <w:ind w:left="0" w:firstLine="0"/>
        <w:textAlignment w:val="auto"/>
        <w:rPr>
          <w:sz w:val="20"/>
          <w:szCs w:val="20"/>
          <w:lang w:val="es-ES" w:eastAsia="en-US"/>
        </w:rPr>
      </w:pPr>
      <w:r w:rsidRPr="00975C02">
        <w:rPr>
          <w:sz w:val="20"/>
          <w:szCs w:val="20"/>
          <w:lang w:val="es-ES" w:eastAsia="en-US"/>
        </w:rPr>
        <w:t>Otro de los vicios alegados en el desarrollo del proceso, es que no se le permitió a V.P.C. estar presente en una audiencia de desinsaculación del jurado, lo que le habría impedido recusar a algunos miembros. La Corte nota que su representante legal acreditado en la causa sí est</w:t>
      </w:r>
      <w:r w:rsidR="005E5B71" w:rsidRPr="00975C02">
        <w:rPr>
          <w:sz w:val="20"/>
          <w:szCs w:val="20"/>
          <w:lang w:val="es-ES" w:eastAsia="en-US"/>
        </w:rPr>
        <w:t>uvo</w:t>
      </w:r>
      <w:r w:rsidRPr="00975C02">
        <w:rPr>
          <w:sz w:val="20"/>
          <w:szCs w:val="20"/>
          <w:lang w:val="es-ES" w:eastAsia="en-US"/>
        </w:rPr>
        <w:t xml:space="preserve"> presente</w:t>
      </w:r>
      <w:r w:rsidR="005929E6" w:rsidRPr="00975C02">
        <w:rPr>
          <w:rStyle w:val="FootnoteReference"/>
          <w:sz w:val="20"/>
          <w:szCs w:val="20"/>
          <w:lang w:val="es-ES" w:eastAsia="en-US"/>
        </w:rPr>
        <w:footnoteReference w:id="327"/>
      </w:r>
      <w:r w:rsidRPr="00975C02">
        <w:rPr>
          <w:sz w:val="20"/>
          <w:szCs w:val="20"/>
          <w:lang w:val="es-ES" w:eastAsia="en-US"/>
        </w:rPr>
        <w:t>. En este sentido, no se especificó qué hechos o circunstancias podrían haber constituido razones para recusar a alguno de los miembros del jurado que su abogado desconociera y que no pudo formular en dicha instancia. Por consiguiente, la Corte no encuentra que existiera una afectación en el caso en concreto, más aún que esa conformación no fue el Tribunal de Jurados que estuvo en la audiencia de vista pública.</w:t>
      </w:r>
    </w:p>
    <w:p w14:paraId="734CABC9" w14:textId="77777777" w:rsidR="00B5625C" w:rsidRPr="00975C02" w:rsidRDefault="00B5625C" w:rsidP="00B5625C">
      <w:pPr>
        <w:widowControl/>
        <w:adjustRightInd/>
        <w:spacing w:line="240" w:lineRule="auto"/>
        <w:textAlignment w:val="auto"/>
        <w:rPr>
          <w:sz w:val="20"/>
          <w:szCs w:val="20"/>
          <w:lang w:val="es-ES" w:eastAsia="en-US"/>
        </w:rPr>
      </w:pPr>
    </w:p>
    <w:p w14:paraId="5F672485" w14:textId="3172D8E8" w:rsidR="00B5625C" w:rsidRPr="00975C02" w:rsidRDefault="00B5625C" w:rsidP="00730B0A">
      <w:pPr>
        <w:widowControl/>
        <w:numPr>
          <w:ilvl w:val="0"/>
          <w:numId w:val="2"/>
        </w:numPr>
        <w:tabs>
          <w:tab w:val="left" w:pos="567"/>
          <w:tab w:val="num" w:pos="12305"/>
        </w:tabs>
        <w:adjustRightInd/>
        <w:spacing w:line="240" w:lineRule="auto"/>
        <w:ind w:left="0" w:firstLine="0"/>
        <w:textAlignment w:val="auto"/>
        <w:rPr>
          <w:sz w:val="20"/>
          <w:szCs w:val="20"/>
          <w:lang w:val="es-ES" w:eastAsia="en-US"/>
        </w:rPr>
      </w:pPr>
      <w:r w:rsidRPr="00975C02">
        <w:rPr>
          <w:sz w:val="20"/>
          <w:szCs w:val="20"/>
          <w:lang w:val="es-ES" w:eastAsia="en-US"/>
        </w:rPr>
        <w:t>Por otra parte, la Corte nota que, en lo que respecta a la composición del Tribunal de Jurados, las partes pudieron presentar recusaciones con y sin causa, de acuerdo a lo regulado en el Código de Instrucción Criminal (</w:t>
      </w:r>
      <w:r w:rsidRPr="00975C02">
        <w:rPr>
          <w:i/>
          <w:sz w:val="20"/>
          <w:szCs w:val="20"/>
          <w:lang w:val="es-ES" w:eastAsia="en-US"/>
        </w:rPr>
        <w:t>supra</w:t>
      </w:r>
      <w:r w:rsidRPr="00975C02">
        <w:rPr>
          <w:sz w:val="20"/>
          <w:szCs w:val="20"/>
          <w:lang w:val="es-ES" w:eastAsia="en-US"/>
        </w:rPr>
        <w:t xml:space="preserve"> párr. </w:t>
      </w:r>
      <w:r w:rsidR="00E50575" w:rsidRPr="00975C02">
        <w:rPr>
          <w:sz w:val="20"/>
          <w:szCs w:val="20"/>
          <w:lang w:val="es-ES" w:eastAsia="en-US"/>
        </w:rPr>
        <w:t>230</w:t>
      </w:r>
      <w:r w:rsidRPr="00975C02">
        <w:rPr>
          <w:sz w:val="20"/>
          <w:szCs w:val="20"/>
          <w:lang w:val="es-ES" w:eastAsia="en-US"/>
        </w:rPr>
        <w:t xml:space="preserve">), y que efectivamente hicieron uso de dicho derecho en todas las desinsaculaciones salvo justamente en la última. </w:t>
      </w:r>
      <w:r w:rsidR="00290039" w:rsidRPr="00975C02">
        <w:rPr>
          <w:sz w:val="20"/>
          <w:szCs w:val="20"/>
          <w:lang w:val="es-ES" w:eastAsia="en-US"/>
        </w:rPr>
        <w:t xml:space="preserve">En efecto, el abogado de V.P.C. no presentó ninguna recusación en la desinsaculación de los jurados que finalmente conocieron de la vista pública y emitieron el veredicto. </w:t>
      </w:r>
      <w:r w:rsidRPr="00975C02">
        <w:rPr>
          <w:sz w:val="20"/>
          <w:szCs w:val="20"/>
          <w:lang w:val="es-ES" w:eastAsia="en-US"/>
        </w:rPr>
        <w:t xml:space="preserve">La Corte advierte que </w:t>
      </w:r>
      <w:r w:rsidRPr="00975C02">
        <w:rPr>
          <w:rFonts w:cs="MinionPro-Regular"/>
          <w:sz w:val="20"/>
          <w:szCs w:val="20"/>
          <w:lang w:val="es-ES" w:eastAsia="en-US"/>
        </w:rPr>
        <w:t xml:space="preserve">tampoco se hicieron preguntas a los jurados sobre sus creencias en torno a cuestiones susceptibles de ser </w:t>
      </w:r>
      <w:r w:rsidRPr="00975C02">
        <w:rPr>
          <w:rFonts w:cs="MinionPro-Regular"/>
          <w:sz w:val="20"/>
          <w:szCs w:val="20"/>
          <w:lang w:val="es-ES" w:eastAsia="en-US"/>
        </w:rPr>
        <w:lastRenderedPageBreak/>
        <w:t>condicionadas por estereotipos y prejuicios sociales</w:t>
      </w:r>
      <w:r w:rsidR="00290039" w:rsidRPr="00975C02">
        <w:rPr>
          <w:rFonts w:cs="MinionPro-Regular"/>
          <w:sz w:val="20"/>
          <w:szCs w:val="20"/>
          <w:lang w:val="es-ES" w:eastAsia="en-US"/>
        </w:rPr>
        <w:t>, aspecto que no estaba previsto expresamente en la legislación nicaragüense</w:t>
      </w:r>
      <w:r w:rsidRPr="00975C02">
        <w:rPr>
          <w:rFonts w:cs="MinionPro-Regular"/>
          <w:sz w:val="20"/>
          <w:szCs w:val="20"/>
          <w:lang w:val="es-ES" w:eastAsia="en-US"/>
        </w:rPr>
        <w:t xml:space="preserve">. </w:t>
      </w:r>
      <w:r w:rsidR="00F02390" w:rsidRPr="00975C02">
        <w:rPr>
          <w:rFonts w:cs="MinionPro-Regular"/>
          <w:sz w:val="20"/>
          <w:szCs w:val="20"/>
          <w:lang w:val="es-ES" w:eastAsia="en-US"/>
        </w:rPr>
        <w:t xml:space="preserve">Todo </w:t>
      </w:r>
      <w:r w:rsidR="00F02390" w:rsidRPr="00975C02">
        <w:rPr>
          <w:sz w:val="20"/>
          <w:szCs w:val="20"/>
          <w:lang w:val="es-ES" w:eastAsia="en-US"/>
        </w:rPr>
        <w:t>el</w:t>
      </w:r>
      <w:r w:rsidRPr="00975C02">
        <w:rPr>
          <w:sz w:val="20"/>
          <w:szCs w:val="20"/>
          <w:lang w:val="es-ES" w:eastAsia="en-US"/>
        </w:rPr>
        <w:t>lo es indicativo de que en lo que hace a la integración del jurado, no existían cuestionamientos o elementos subjetivos que afectaran la imparcialidad de sus miembros</w:t>
      </w:r>
      <w:r w:rsidR="00B32E26" w:rsidRPr="00975C02">
        <w:rPr>
          <w:sz w:val="20"/>
          <w:szCs w:val="20"/>
          <w:lang w:val="es-ES" w:eastAsia="en-US"/>
        </w:rPr>
        <w:t xml:space="preserve"> antes de la vista pública</w:t>
      </w:r>
      <w:r w:rsidRPr="00975C02">
        <w:rPr>
          <w:sz w:val="20"/>
          <w:szCs w:val="20"/>
          <w:lang w:val="es-ES" w:eastAsia="en-US"/>
        </w:rPr>
        <w:t xml:space="preserve">. Más aún, no fue alegada ninguna circunstancia particular respecto a la mecánica de dicha desinsaculación que pudiera poner en duda la imparcialidad subjetiva de los juzgadores. </w:t>
      </w:r>
    </w:p>
    <w:p w14:paraId="12F0EEBE" w14:textId="77777777" w:rsidR="00B5625C" w:rsidRPr="00975C02" w:rsidRDefault="00B5625C" w:rsidP="00B5625C">
      <w:pPr>
        <w:widowControl/>
        <w:adjustRightInd/>
        <w:spacing w:line="240" w:lineRule="auto"/>
        <w:textAlignment w:val="auto"/>
        <w:rPr>
          <w:sz w:val="20"/>
          <w:szCs w:val="20"/>
          <w:lang w:val="es-ES" w:eastAsia="en-US"/>
        </w:rPr>
      </w:pPr>
    </w:p>
    <w:p w14:paraId="40039C21" w14:textId="201DC271" w:rsidR="00B5625C" w:rsidRPr="00975C02" w:rsidRDefault="00B5625C" w:rsidP="00730B0A">
      <w:pPr>
        <w:widowControl/>
        <w:numPr>
          <w:ilvl w:val="0"/>
          <w:numId w:val="2"/>
        </w:numPr>
        <w:tabs>
          <w:tab w:val="left" w:pos="567"/>
          <w:tab w:val="num" w:pos="12305"/>
        </w:tabs>
        <w:adjustRightInd/>
        <w:spacing w:line="240" w:lineRule="auto"/>
        <w:ind w:left="0" w:firstLine="0"/>
        <w:textAlignment w:val="auto"/>
        <w:rPr>
          <w:sz w:val="20"/>
          <w:szCs w:val="20"/>
          <w:lang w:val="es-ES" w:eastAsia="en-US"/>
        </w:rPr>
      </w:pPr>
      <w:r w:rsidRPr="00975C02">
        <w:rPr>
          <w:sz w:val="20"/>
          <w:szCs w:val="20"/>
          <w:lang w:val="es-ES" w:eastAsia="en-US"/>
        </w:rPr>
        <w:t>En lo que se refiere al hecho de que no se dejara al abogado de la parte acusadora contar con la colaboración de otro letrado, la Corte constata que en el expediente con el que cuenta no surge que la jueza a cargo del caso hubiera dado una respuesta por escrito a dicho pedido, como sí lo hizo respecto de la solicitud de la defensa (</w:t>
      </w:r>
      <w:r w:rsidRPr="00975C02">
        <w:rPr>
          <w:i/>
          <w:sz w:val="20"/>
          <w:szCs w:val="20"/>
          <w:lang w:val="es-ES" w:eastAsia="en-US"/>
        </w:rPr>
        <w:t>supra</w:t>
      </w:r>
      <w:r w:rsidRPr="00975C02">
        <w:rPr>
          <w:sz w:val="20"/>
          <w:szCs w:val="20"/>
          <w:lang w:val="es-ES" w:eastAsia="en-US"/>
        </w:rPr>
        <w:t xml:space="preserve"> párr. </w:t>
      </w:r>
      <w:r w:rsidR="00D66AEE" w:rsidRPr="00975C02">
        <w:rPr>
          <w:sz w:val="20"/>
          <w:szCs w:val="20"/>
          <w:lang w:val="es-ES" w:eastAsia="en-US"/>
        </w:rPr>
        <w:t>97</w:t>
      </w:r>
      <w:r w:rsidRPr="00975C02">
        <w:rPr>
          <w:sz w:val="20"/>
          <w:szCs w:val="20"/>
          <w:lang w:val="es-ES" w:eastAsia="en-US"/>
        </w:rPr>
        <w:t xml:space="preserve">). De acuerdo a lo indicado, la respuesta habría sido brindada </w:t>
      </w:r>
      <w:r w:rsidRPr="00975C02">
        <w:rPr>
          <w:i/>
          <w:sz w:val="20"/>
          <w:szCs w:val="20"/>
          <w:lang w:val="es-ES" w:eastAsia="en-US"/>
        </w:rPr>
        <w:t>in voce</w:t>
      </w:r>
      <w:r w:rsidRPr="00975C02">
        <w:rPr>
          <w:sz w:val="20"/>
          <w:szCs w:val="20"/>
          <w:lang w:val="es-ES" w:eastAsia="en-US"/>
        </w:rPr>
        <w:t xml:space="preserve"> sin que surja ninguna actuación que la cuestionara. La Corte entiende, en todo caso, que dicha circunstancia no tendría un agravio particular en relación con la garantía que se está analizando.</w:t>
      </w:r>
    </w:p>
    <w:p w14:paraId="6589852A" w14:textId="77777777" w:rsidR="00B5625C" w:rsidRPr="00975C02" w:rsidRDefault="00B5625C" w:rsidP="00B5625C">
      <w:pPr>
        <w:widowControl/>
        <w:adjustRightInd/>
        <w:spacing w:line="240" w:lineRule="auto"/>
        <w:textAlignment w:val="auto"/>
        <w:rPr>
          <w:sz w:val="20"/>
          <w:szCs w:val="20"/>
          <w:lang w:val="es-ES" w:eastAsia="en-US"/>
        </w:rPr>
      </w:pPr>
    </w:p>
    <w:p w14:paraId="67C67AAA" w14:textId="4A97BF97" w:rsidR="00B5625C" w:rsidRPr="00975C02" w:rsidRDefault="00B5625C" w:rsidP="00730B0A">
      <w:pPr>
        <w:widowControl/>
        <w:numPr>
          <w:ilvl w:val="0"/>
          <w:numId w:val="2"/>
        </w:numPr>
        <w:tabs>
          <w:tab w:val="left" w:pos="567"/>
          <w:tab w:val="num" w:pos="12305"/>
        </w:tabs>
        <w:adjustRightInd/>
        <w:spacing w:line="240" w:lineRule="auto"/>
        <w:ind w:left="0" w:firstLine="0"/>
        <w:textAlignment w:val="auto"/>
        <w:rPr>
          <w:sz w:val="20"/>
          <w:szCs w:val="20"/>
          <w:lang w:val="es-ES" w:eastAsia="en-US"/>
        </w:rPr>
      </w:pPr>
      <w:r w:rsidRPr="00975C02">
        <w:rPr>
          <w:sz w:val="20"/>
          <w:szCs w:val="20"/>
          <w:lang w:val="es-ES" w:eastAsia="en-US"/>
        </w:rPr>
        <w:t>Ahora bien, la Corte es de la opinión que existen dos aspectos que, de acuerdo a lo alegado, tuvieron entidad suficiente para generar un temor fundado de parcialidad en la parte acusadora</w:t>
      </w:r>
      <w:r w:rsidR="00250C15">
        <w:rPr>
          <w:sz w:val="20"/>
          <w:szCs w:val="20"/>
          <w:lang w:val="es-ES" w:eastAsia="en-US"/>
        </w:rPr>
        <w:t>:</w:t>
      </w:r>
      <w:r w:rsidRPr="00975C02">
        <w:rPr>
          <w:sz w:val="20"/>
          <w:szCs w:val="20"/>
          <w:lang w:val="es-ES" w:eastAsia="en-US"/>
        </w:rPr>
        <w:t xml:space="preserve"> </w:t>
      </w:r>
      <w:r w:rsidR="00250C15">
        <w:rPr>
          <w:sz w:val="20"/>
          <w:szCs w:val="20"/>
          <w:lang w:val="es-ES" w:eastAsia="en-US"/>
        </w:rPr>
        <w:t>l</w:t>
      </w:r>
      <w:r w:rsidRPr="00975C02">
        <w:rPr>
          <w:sz w:val="20"/>
          <w:szCs w:val="20"/>
          <w:lang w:val="es-ES" w:eastAsia="en-US"/>
        </w:rPr>
        <w:t xml:space="preserve">a entrega </w:t>
      </w:r>
      <w:r w:rsidR="00540556" w:rsidRPr="00975C02">
        <w:rPr>
          <w:sz w:val="20"/>
          <w:szCs w:val="20"/>
          <w:lang w:val="es-ES" w:eastAsia="en-US"/>
        </w:rPr>
        <w:t xml:space="preserve">a la jueza presidenta del jurado </w:t>
      </w:r>
      <w:r w:rsidRPr="00975C02">
        <w:rPr>
          <w:sz w:val="20"/>
          <w:szCs w:val="20"/>
          <w:lang w:val="es-ES" w:eastAsia="en-US"/>
        </w:rPr>
        <w:t>de una bolsa gris metálica y de dos hojas de papel rosado enviad</w:t>
      </w:r>
      <w:r w:rsidR="00E21A75" w:rsidRPr="00975C02">
        <w:rPr>
          <w:sz w:val="20"/>
          <w:szCs w:val="20"/>
          <w:lang w:val="es-ES" w:eastAsia="en-US"/>
        </w:rPr>
        <w:t>as</w:t>
      </w:r>
      <w:r w:rsidRPr="00975C02">
        <w:rPr>
          <w:sz w:val="20"/>
          <w:szCs w:val="20"/>
          <w:lang w:val="es-ES" w:eastAsia="en-US"/>
        </w:rPr>
        <w:t xml:space="preserve"> por el imputado para que l</w:t>
      </w:r>
      <w:r w:rsidR="00540556">
        <w:rPr>
          <w:sz w:val="20"/>
          <w:szCs w:val="20"/>
          <w:lang w:val="es-ES" w:eastAsia="en-US"/>
        </w:rPr>
        <w:t>as</w:t>
      </w:r>
      <w:r w:rsidRPr="00975C02">
        <w:rPr>
          <w:sz w:val="20"/>
          <w:szCs w:val="20"/>
          <w:lang w:val="es-ES" w:eastAsia="en-US"/>
        </w:rPr>
        <w:t xml:space="preserve"> leyeran en la sesión privada.</w:t>
      </w:r>
    </w:p>
    <w:p w14:paraId="445CC6DD" w14:textId="77777777" w:rsidR="00B5625C" w:rsidRPr="00975C02" w:rsidRDefault="00B5625C" w:rsidP="00B5625C">
      <w:pPr>
        <w:widowControl/>
        <w:adjustRightInd/>
        <w:spacing w:line="240" w:lineRule="auto"/>
        <w:textAlignment w:val="auto"/>
        <w:rPr>
          <w:sz w:val="20"/>
          <w:szCs w:val="20"/>
          <w:lang w:val="es-ES" w:eastAsia="en-US"/>
        </w:rPr>
      </w:pPr>
    </w:p>
    <w:p w14:paraId="3645F6D6" w14:textId="2EEE5EF1" w:rsidR="00B5625C" w:rsidRPr="00975C02" w:rsidRDefault="00B5625C" w:rsidP="00730B0A">
      <w:pPr>
        <w:widowControl/>
        <w:numPr>
          <w:ilvl w:val="0"/>
          <w:numId w:val="2"/>
        </w:numPr>
        <w:tabs>
          <w:tab w:val="left" w:pos="567"/>
          <w:tab w:val="num" w:pos="12305"/>
        </w:tabs>
        <w:adjustRightInd/>
        <w:spacing w:line="240" w:lineRule="auto"/>
        <w:ind w:left="0" w:firstLine="0"/>
        <w:textAlignment w:val="auto"/>
        <w:rPr>
          <w:sz w:val="20"/>
          <w:szCs w:val="20"/>
          <w:lang w:val="es-ES" w:eastAsia="en-US"/>
        </w:rPr>
      </w:pPr>
      <w:r w:rsidRPr="00975C02">
        <w:rPr>
          <w:sz w:val="20"/>
          <w:szCs w:val="20"/>
          <w:lang w:val="es-ES" w:eastAsia="en-US"/>
        </w:rPr>
        <w:t>Al respecto, la Corte considera que, a pesar de que el video mediante el cual se filmó la audiencia de vista no ha sido aportado a este Tribunal</w:t>
      </w:r>
      <w:r w:rsidRPr="00975C02">
        <w:rPr>
          <w:sz w:val="20"/>
          <w:szCs w:val="20"/>
          <w:vertAlign w:val="superscript"/>
          <w:lang w:val="es-ES" w:eastAsia="en-US"/>
        </w:rPr>
        <w:footnoteReference w:id="328"/>
      </w:r>
      <w:r w:rsidRPr="00975C02">
        <w:rPr>
          <w:sz w:val="20"/>
          <w:szCs w:val="20"/>
          <w:lang w:val="es-ES" w:eastAsia="en-US"/>
        </w:rPr>
        <w:t>, la existencia de estos dos hechos no se encuentra controvertida, ya que ambos fueron verificados en la diligencia de inspección del mismo (</w:t>
      </w:r>
      <w:r w:rsidRPr="00975C02">
        <w:rPr>
          <w:i/>
          <w:sz w:val="20"/>
          <w:szCs w:val="20"/>
          <w:lang w:val="es-ES" w:eastAsia="en-US"/>
        </w:rPr>
        <w:t>supra</w:t>
      </w:r>
      <w:r w:rsidR="00B31B77" w:rsidRPr="00975C02">
        <w:rPr>
          <w:sz w:val="20"/>
          <w:szCs w:val="20"/>
          <w:lang w:val="es-ES" w:eastAsia="en-US"/>
        </w:rPr>
        <w:t xml:space="preserve"> párr. 118</w:t>
      </w:r>
      <w:r w:rsidRPr="00975C02">
        <w:rPr>
          <w:sz w:val="20"/>
          <w:szCs w:val="20"/>
          <w:lang w:val="es-ES" w:eastAsia="en-US"/>
        </w:rPr>
        <w:t>) y por la Procuraduría para la Defensa de los Derechos Humanos (</w:t>
      </w:r>
      <w:r w:rsidRPr="00975C02">
        <w:rPr>
          <w:i/>
          <w:sz w:val="20"/>
          <w:szCs w:val="20"/>
          <w:lang w:val="es-ES" w:eastAsia="en-US"/>
        </w:rPr>
        <w:t>supra</w:t>
      </w:r>
      <w:r w:rsidRPr="00975C02">
        <w:rPr>
          <w:sz w:val="20"/>
          <w:szCs w:val="20"/>
          <w:lang w:val="es-ES" w:eastAsia="en-US"/>
        </w:rPr>
        <w:t xml:space="preserve"> párr. </w:t>
      </w:r>
      <w:r w:rsidR="00B31B77" w:rsidRPr="00975C02">
        <w:rPr>
          <w:sz w:val="20"/>
          <w:szCs w:val="20"/>
          <w:lang w:val="es-ES" w:eastAsia="en-US"/>
        </w:rPr>
        <w:t>100</w:t>
      </w:r>
      <w:r w:rsidRPr="00975C02">
        <w:rPr>
          <w:sz w:val="20"/>
          <w:szCs w:val="20"/>
          <w:lang w:val="es-ES" w:eastAsia="en-US"/>
        </w:rPr>
        <w:t xml:space="preserve">). Por lo tanto, la Corte da por establecida la entrega de una bolsa plástica metálica a la </w:t>
      </w:r>
      <w:r w:rsidR="003C0254" w:rsidRPr="00975C02">
        <w:rPr>
          <w:sz w:val="20"/>
          <w:szCs w:val="20"/>
          <w:lang w:val="es-ES" w:eastAsia="en-US"/>
        </w:rPr>
        <w:t>jueza de derecho</w:t>
      </w:r>
      <w:r w:rsidRPr="00975C02">
        <w:rPr>
          <w:sz w:val="20"/>
          <w:szCs w:val="20"/>
          <w:lang w:val="es-ES" w:eastAsia="en-US"/>
        </w:rPr>
        <w:t xml:space="preserve"> y de dos hojas de papel de color rosado escritas por el imputado para que las leyera el jurado de forma privada. Lo que no se tiene certeza es cuál era el contenido tanto de la bolsa como del papel rosado.</w:t>
      </w:r>
    </w:p>
    <w:p w14:paraId="351B2E75" w14:textId="77777777" w:rsidR="00B5625C" w:rsidRPr="00975C02" w:rsidRDefault="00B5625C" w:rsidP="00B5625C">
      <w:pPr>
        <w:widowControl/>
        <w:adjustRightInd/>
        <w:spacing w:line="240" w:lineRule="auto"/>
        <w:textAlignment w:val="auto"/>
        <w:rPr>
          <w:sz w:val="20"/>
          <w:szCs w:val="20"/>
          <w:lang w:val="es-ES" w:eastAsia="en-US"/>
        </w:rPr>
      </w:pPr>
    </w:p>
    <w:p w14:paraId="6ED2199D" w14:textId="4EEBD229" w:rsidR="00B5625C" w:rsidRPr="00975C02" w:rsidRDefault="00B5625C" w:rsidP="00730B0A">
      <w:pPr>
        <w:widowControl/>
        <w:numPr>
          <w:ilvl w:val="0"/>
          <w:numId w:val="2"/>
        </w:numPr>
        <w:tabs>
          <w:tab w:val="left" w:pos="567"/>
          <w:tab w:val="num" w:pos="12305"/>
        </w:tabs>
        <w:adjustRightInd/>
        <w:spacing w:line="240" w:lineRule="auto"/>
        <w:ind w:left="0" w:firstLine="0"/>
        <w:textAlignment w:val="auto"/>
        <w:rPr>
          <w:sz w:val="20"/>
          <w:szCs w:val="20"/>
          <w:lang w:val="es-ES" w:eastAsia="en-US"/>
        </w:rPr>
      </w:pPr>
      <w:r w:rsidRPr="00975C02">
        <w:rPr>
          <w:sz w:val="20"/>
          <w:szCs w:val="20"/>
          <w:lang w:val="es-ES" w:eastAsia="en-US"/>
        </w:rPr>
        <w:t xml:space="preserve">Si bien tanto la señora V.P.C. como la </w:t>
      </w:r>
      <w:r w:rsidR="003C0254" w:rsidRPr="00975C02">
        <w:rPr>
          <w:sz w:val="20"/>
          <w:szCs w:val="20"/>
          <w:lang w:val="es-ES" w:eastAsia="en-US"/>
        </w:rPr>
        <w:t>jueza de derecho</w:t>
      </w:r>
      <w:r w:rsidRPr="00975C02">
        <w:rPr>
          <w:sz w:val="20"/>
          <w:szCs w:val="20"/>
          <w:lang w:val="es-ES" w:eastAsia="en-US"/>
        </w:rPr>
        <w:t xml:space="preserve"> dieron su versión de los hechos</w:t>
      </w:r>
      <w:r w:rsidRPr="00975C02">
        <w:rPr>
          <w:sz w:val="20"/>
          <w:szCs w:val="20"/>
          <w:vertAlign w:val="superscript"/>
          <w:lang w:val="es-ES" w:eastAsia="en-US"/>
        </w:rPr>
        <w:footnoteReference w:id="329"/>
      </w:r>
      <w:r w:rsidRPr="00975C02">
        <w:rPr>
          <w:sz w:val="20"/>
          <w:szCs w:val="20"/>
          <w:lang w:val="es-ES" w:eastAsia="en-US"/>
        </w:rPr>
        <w:t xml:space="preserve"> respecto de la bolsa plástica metálica, lo cierto es que esta Corte no tiene forma de establecer lo </w:t>
      </w:r>
      <w:r w:rsidRPr="00975C02">
        <w:rPr>
          <w:sz w:val="20"/>
          <w:szCs w:val="20"/>
          <w:lang w:val="es-ES" w:eastAsia="en-US"/>
        </w:rPr>
        <w:lastRenderedPageBreak/>
        <w:t xml:space="preserve">que la misma contenía. Por otra parte, </w:t>
      </w:r>
      <w:r w:rsidR="00E21A75" w:rsidRPr="00975C02">
        <w:rPr>
          <w:sz w:val="20"/>
          <w:szCs w:val="20"/>
          <w:lang w:val="es-ES" w:eastAsia="en-US"/>
        </w:rPr>
        <w:t xml:space="preserve">las hojas de </w:t>
      </w:r>
      <w:r w:rsidRPr="00975C02">
        <w:rPr>
          <w:sz w:val="20"/>
          <w:szCs w:val="20"/>
          <w:lang w:val="es-ES" w:eastAsia="en-US"/>
        </w:rPr>
        <w:t>papel rosado no consta</w:t>
      </w:r>
      <w:r w:rsidR="00E21A75" w:rsidRPr="00975C02">
        <w:rPr>
          <w:sz w:val="20"/>
          <w:szCs w:val="20"/>
          <w:lang w:val="es-ES" w:eastAsia="en-US"/>
        </w:rPr>
        <w:t>n</w:t>
      </w:r>
      <w:r w:rsidRPr="00975C02">
        <w:rPr>
          <w:sz w:val="20"/>
          <w:szCs w:val="20"/>
          <w:lang w:val="es-ES" w:eastAsia="en-US"/>
        </w:rPr>
        <w:t xml:space="preserve"> en el expediente, por lo que es imposible saber su contenido.</w:t>
      </w:r>
    </w:p>
    <w:p w14:paraId="0D2D9772" w14:textId="77777777" w:rsidR="00B5625C" w:rsidRPr="00975C02" w:rsidRDefault="00B5625C" w:rsidP="00B5625C">
      <w:pPr>
        <w:widowControl/>
        <w:adjustRightInd/>
        <w:spacing w:line="240" w:lineRule="auto"/>
        <w:textAlignment w:val="auto"/>
        <w:rPr>
          <w:sz w:val="20"/>
          <w:szCs w:val="20"/>
          <w:lang w:val="es-ES" w:eastAsia="en-US"/>
        </w:rPr>
      </w:pPr>
    </w:p>
    <w:p w14:paraId="2917AA2F" w14:textId="51951BD6" w:rsidR="00B5625C" w:rsidRPr="00975C02" w:rsidRDefault="00B5625C" w:rsidP="00730B0A">
      <w:pPr>
        <w:widowControl/>
        <w:numPr>
          <w:ilvl w:val="0"/>
          <w:numId w:val="2"/>
        </w:numPr>
        <w:tabs>
          <w:tab w:val="left" w:pos="567"/>
          <w:tab w:val="num" w:pos="12305"/>
        </w:tabs>
        <w:adjustRightInd/>
        <w:spacing w:line="240" w:lineRule="auto"/>
        <w:ind w:left="0" w:firstLine="0"/>
        <w:textAlignment w:val="auto"/>
        <w:rPr>
          <w:sz w:val="20"/>
          <w:szCs w:val="20"/>
          <w:lang w:val="es-ES" w:eastAsia="en-US"/>
        </w:rPr>
      </w:pPr>
      <w:r w:rsidRPr="00975C02">
        <w:rPr>
          <w:sz w:val="20"/>
          <w:szCs w:val="20"/>
          <w:lang w:val="es-ES" w:eastAsia="en-US"/>
        </w:rPr>
        <w:t>No obstante ello, la Corte considera que estos hechos por sí mismos constituyen elementos convincentes que permiten cuestionar</w:t>
      </w:r>
      <w:r w:rsidR="006964E6" w:rsidRPr="00975C02">
        <w:rPr>
          <w:sz w:val="20"/>
          <w:szCs w:val="20"/>
          <w:lang w:val="es-ES" w:eastAsia="en-US"/>
        </w:rPr>
        <w:t xml:space="preserve"> a cualquier observador objetivo</w:t>
      </w:r>
      <w:r w:rsidRPr="00975C02">
        <w:rPr>
          <w:sz w:val="20"/>
          <w:szCs w:val="20"/>
          <w:lang w:val="es-ES" w:eastAsia="en-US"/>
        </w:rPr>
        <w:t xml:space="preserve"> la imparcialidad de los miembros del Tribunal de Jurados, toda vez que pudieron generar un temor de parcialidad </w:t>
      </w:r>
      <w:r w:rsidR="006964E6" w:rsidRPr="00975C02">
        <w:rPr>
          <w:sz w:val="20"/>
          <w:szCs w:val="20"/>
          <w:lang w:val="es-ES" w:eastAsia="en-US"/>
        </w:rPr>
        <w:t xml:space="preserve">legítimo </w:t>
      </w:r>
      <w:r w:rsidRPr="00975C02">
        <w:rPr>
          <w:sz w:val="20"/>
          <w:szCs w:val="20"/>
          <w:lang w:val="es-ES" w:eastAsia="en-US"/>
        </w:rPr>
        <w:t>en la víctima y la parte acusadora que no fue disipado, dado que no se mostró el contenido de la bolsa ni se leyó lo escrito en l</w:t>
      </w:r>
      <w:r w:rsidR="00E21A75" w:rsidRPr="00975C02">
        <w:rPr>
          <w:sz w:val="20"/>
          <w:szCs w:val="20"/>
          <w:lang w:val="es-ES" w:eastAsia="en-US"/>
        </w:rPr>
        <w:t>a</w:t>
      </w:r>
      <w:r w:rsidRPr="00975C02">
        <w:rPr>
          <w:sz w:val="20"/>
          <w:szCs w:val="20"/>
          <w:lang w:val="es-ES" w:eastAsia="en-US"/>
        </w:rPr>
        <w:t>s</w:t>
      </w:r>
      <w:r w:rsidR="00E21A75" w:rsidRPr="00975C02">
        <w:rPr>
          <w:sz w:val="20"/>
          <w:szCs w:val="20"/>
          <w:lang w:val="es-ES" w:eastAsia="en-US"/>
        </w:rPr>
        <w:t xml:space="preserve"> hojas de</w:t>
      </w:r>
      <w:r w:rsidRPr="00975C02">
        <w:rPr>
          <w:sz w:val="20"/>
          <w:szCs w:val="20"/>
          <w:lang w:val="es-ES" w:eastAsia="en-US"/>
        </w:rPr>
        <w:t xml:space="preserve"> papel rosado en la presencia de las partes. Tampoco el Estado </w:t>
      </w:r>
      <w:r w:rsidRPr="00975C02">
        <w:rPr>
          <w:sz w:val="20"/>
          <w:lang w:val="es-ES" w:eastAsia="en-US"/>
        </w:rPr>
        <w:t>realiz</w:t>
      </w:r>
      <w:r w:rsidR="0034199C">
        <w:rPr>
          <w:sz w:val="20"/>
          <w:lang w:val="es-ES" w:eastAsia="en-US"/>
        </w:rPr>
        <w:t>ó</w:t>
      </w:r>
      <w:r w:rsidRPr="00975C02">
        <w:rPr>
          <w:sz w:val="20"/>
          <w:szCs w:val="20"/>
          <w:lang w:val="es-ES" w:eastAsia="en-US"/>
        </w:rPr>
        <w:t xml:space="preserve"> una investigación de las denuncias de posible cohecho a raíz de estos acontecimientos, más allá de lo resuelto mediante el recurso de nulidad (</w:t>
      </w:r>
      <w:r w:rsidRPr="00975C02">
        <w:rPr>
          <w:i/>
          <w:sz w:val="20"/>
          <w:szCs w:val="20"/>
          <w:lang w:val="es-ES" w:eastAsia="en-US"/>
        </w:rPr>
        <w:t>supra</w:t>
      </w:r>
      <w:r w:rsidR="00B31B77" w:rsidRPr="00975C02">
        <w:rPr>
          <w:sz w:val="20"/>
          <w:szCs w:val="20"/>
          <w:lang w:val="es-ES" w:eastAsia="en-US"/>
        </w:rPr>
        <w:t xml:space="preserve"> párr. 107</w:t>
      </w:r>
      <w:r w:rsidRPr="00975C02">
        <w:rPr>
          <w:sz w:val="20"/>
          <w:szCs w:val="20"/>
          <w:lang w:val="es-ES" w:eastAsia="en-US"/>
        </w:rPr>
        <w:t xml:space="preserve">). Por consiguiente, el temor en este caso es considerado por esta Corte como objetivamente justificado, lo que constituye una violación </w:t>
      </w:r>
      <w:r w:rsidR="006964E6" w:rsidRPr="00975C02">
        <w:rPr>
          <w:sz w:val="20"/>
          <w:szCs w:val="20"/>
          <w:lang w:val="es-ES" w:eastAsia="en-US"/>
        </w:rPr>
        <w:t xml:space="preserve">de la garantía de imparcialidad objetiva, prevista en </w:t>
      </w:r>
      <w:r w:rsidRPr="00975C02">
        <w:rPr>
          <w:sz w:val="20"/>
          <w:szCs w:val="20"/>
          <w:lang w:val="es-ES" w:eastAsia="en-US"/>
        </w:rPr>
        <w:t>el artículo 8.1 de la Convención.</w:t>
      </w:r>
    </w:p>
    <w:p w14:paraId="75A3E015" w14:textId="77777777" w:rsidR="00B5625C" w:rsidRPr="00975C02" w:rsidRDefault="00B5625C" w:rsidP="00B5625C">
      <w:pPr>
        <w:widowControl/>
        <w:adjustRightInd/>
        <w:spacing w:line="240" w:lineRule="auto"/>
        <w:textAlignment w:val="auto"/>
        <w:rPr>
          <w:sz w:val="20"/>
          <w:szCs w:val="20"/>
          <w:lang w:val="es-ES" w:eastAsia="en-US"/>
        </w:rPr>
      </w:pPr>
    </w:p>
    <w:p w14:paraId="2AD882D6" w14:textId="77777777" w:rsidR="00B5625C" w:rsidRPr="00975C02" w:rsidRDefault="00B5625C" w:rsidP="00A92F94">
      <w:pPr>
        <w:pStyle w:val="Heading3"/>
        <w:rPr>
          <w:b w:val="0"/>
          <w:i/>
        </w:rPr>
      </w:pPr>
      <w:bookmarkStart w:id="138" w:name="_Toc514172643"/>
      <w:r w:rsidRPr="00975C02">
        <w:rPr>
          <w:b w:val="0"/>
          <w:i/>
        </w:rPr>
        <w:t>B.</w:t>
      </w:r>
      <w:r w:rsidR="00A92F94" w:rsidRPr="00975C02">
        <w:rPr>
          <w:b w:val="0"/>
          <w:i/>
        </w:rPr>
        <w:t>3.c</w:t>
      </w:r>
      <w:r w:rsidRPr="00975C02">
        <w:rPr>
          <w:b w:val="0"/>
          <w:i/>
        </w:rPr>
        <w:t xml:space="preserve"> </w:t>
      </w:r>
      <w:r w:rsidRPr="00975C02">
        <w:rPr>
          <w:b w:val="0"/>
          <w:i/>
        </w:rPr>
        <w:tab/>
      </w:r>
      <w:r w:rsidR="00D32FC9" w:rsidRPr="00975C02">
        <w:rPr>
          <w:b w:val="0"/>
          <w:i/>
        </w:rPr>
        <w:t xml:space="preserve">El deber </w:t>
      </w:r>
      <w:r w:rsidR="0041516D" w:rsidRPr="00975C02">
        <w:rPr>
          <w:b w:val="0"/>
          <w:i/>
        </w:rPr>
        <w:t>de m</w:t>
      </w:r>
      <w:r w:rsidRPr="00975C02">
        <w:rPr>
          <w:b w:val="0"/>
          <w:i/>
        </w:rPr>
        <w:t xml:space="preserve">otivación </w:t>
      </w:r>
      <w:r w:rsidR="0041516D" w:rsidRPr="00975C02">
        <w:rPr>
          <w:b w:val="0"/>
          <w:i/>
        </w:rPr>
        <w:t>y</w:t>
      </w:r>
      <w:r w:rsidR="00D32FC9" w:rsidRPr="00975C02">
        <w:rPr>
          <w:b w:val="0"/>
          <w:i/>
        </w:rPr>
        <w:t xml:space="preserve"> las</w:t>
      </w:r>
      <w:r w:rsidR="0041516D" w:rsidRPr="00975C02">
        <w:rPr>
          <w:b w:val="0"/>
          <w:i/>
        </w:rPr>
        <w:t xml:space="preserve"> garantías contra la arbitrariedad</w:t>
      </w:r>
      <w:r w:rsidR="00D32FC9" w:rsidRPr="00975C02">
        <w:rPr>
          <w:b w:val="0"/>
          <w:i/>
        </w:rPr>
        <w:t xml:space="preserve"> del veredicto</w:t>
      </w:r>
      <w:bookmarkEnd w:id="138"/>
    </w:p>
    <w:p w14:paraId="4F20134C" w14:textId="77777777" w:rsidR="00B5625C" w:rsidRPr="00975C02" w:rsidRDefault="00B5625C" w:rsidP="00B5625C">
      <w:pPr>
        <w:widowControl/>
        <w:autoSpaceDE w:val="0"/>
        <w:autoSpaceDN w:val="0"/>
        <w:adjustRightInd/>
        <w:spacing w:line="240" w:lineRule="auto"/>
        <w:jc w:val="left"/>
        <w:textAlignment w:val="auto"/>
        <w:rPr>
          <w:rFonts w:eastAsia="Calibri" w:cs="Arial"/>
          <w:sz w:val="20"/>
          <w:szCs w:val="20"/>
          <w:lang w:val="es-ES" w:eastAsia="en-US"/>
        </w:rPr>
      </w:pPr>
    </w:p>
    <w:p w14:paraId="1C91365C" w14:textId="77777777" w:rsidR="00B5625C" w:rsidRPr="00975C02" w:rsidRDefault="00B5625C" w:rsidP="00730B0A">
      <w:pPr>
        <w:widowControl/>
        <w:numPr>
          <w:ilvl w:val="0"/>
          <w:numId w:val="2"/>
        </w:numPr>
        <w:tabs>
          <w:tab w:val="left" w:pos="567"/>
          <w:tab w:val="num" w:pos="12305"/>
        </w:tabs>
        <w:adjustRightInd/>
        <w:spacing w:line="240" w:lineRule="auto"/>
        <w:ind w:left="0" w:firstLine="0"/>
        <w:textAlignment w:val="auto"/>
        <w:rPr>
          <w:sz w:val="20"/>
          <w:lang w:val="es-ES" w:eastAsia="en-US"/>
        </w:rPr>
      </w:pPr>
      <w:r w:rsidRPr="00975C02">
        <w:rPr>
          <w:sz w:val="20"/>
          <w:lang w:val="es-ES" w:eastAsia="en-US"/>
        </w:rPr>
        <w:t xml:space="preserve">La </w:t>
      </w:r>
      <w:r w:rsidRPr="00975C02">
        <w:rPr>
          <w:sz w:val="20"/>
          <w:szCs w:val="20"/>
          <w:lang w:val="es-ES" w:eastAsia="en-US"/>
        </w:rPr>
        <w:t>Corte</w:t>
      </w:r>
      <w:r w:rsidRPr="00975C02">
        <w:rPr>
          <w:sz w:val="20"/>
          <w:lang w:val="es-ES" w:eastAsia="en-US"/>
        </w:rPr>
        <w:t xml:space="preserve"> ha señalado que “el deber de motivación es una de las ‘debidas garantías’ incluidas en el artículo 8.1 para salvaguardar el derecho a un debido proceso”</w:t>
      </w:r>
      <w:r w:rsidRPr="00975C02">
        <w:rPr>
          <w:sz w:val="20"/>
          <w:vertAlign w:val="superscript"/>
          <w:lang w:val="es-ES" w:eastAsia="en-US"/>
        </w:rPr>
        <w:footnoteReference w:id="330"/>
      </w:r>
      <w:r w:rsidRPr="00975C02">
        <w:rPr>
          <w:sz w:val="20"/>
          <w:lang w:val="es-ES" w:eastAsia="en-US"/>
        </w:rPr>
        <w:t>. La Corte ha precisado que la motivación “es la exteriorización de la justificación razonada que permite llegar a una conclusión”</w:t>
      </w:r>
      <w:r w:rsidRPr="00975C02">
        <w:rPr>
          <w:sz w:val="20"/>
          <w:vertAlign w:val="superscript"/>
          <w:lang w:val="es-ES" w:eastAsia="en-US"/>
        </w:rPr>
        <w:footnoteReference w:id="331"/>
      </w:r>
      <w:r w:rsidRPr="00975C02">
        <w:rPr>
          <w:sz w:val="20"/>
          <w:lang w:val="es-ES" w:eastAsia="en-US"/>
        </w:rPr>
        <w:t xml:space="preserve"> y conlleva una exposición racional de las razones que llevan al juzgador a adoptar una decisión. La </w:t>
      </w:r>
      <w:r w:rsidRPr="00975C02">
        <w:rPr>
          <w:rFonts w:cs="MSTT3132dbeaafO05102100"/>
          <w:sz w:val="20"/>
          <w:lang w:val="es-ES" w:eastAsia="en-US"/>
        </w:rPr>
        <w:t xml:space="preserve">relevancia de esta garantía </w:t>
      </w:r>
      <w:r w:rsidRPr="00975C02">
        <w:rPr>
          <w:sz w:val="20"/>
          <w:lang w:val="es-ES" w:eastAsia="en-US"/>
        </w:rPr>
        <w:t>se encuentra ligada a la correcta administración de justicia y a evitar que se emitan decisiones arbitrarias. Asimismo, la motivación otorga credibilidad de las decisiones jurídicas en el marco de una sociedad democrática</w:t>
      </w:r>
      <w:bookmarkStart w:id="139" w:name="_ftnref67"/>
      <w:r w:rsidRPr="00975C02">
        <w:rPr>
          <w:sz w:val="20"/>
          <w:lang w:val="es-ES" w:eastAsia="en-US"/>
        </w:rPr>
        <w:t xml:space="preserve"> </w:t>
      </w:r>
      <w:r w:rsidRPr="00975C02">
        <w:rPr>
          <w:rFonts w:eastAsia="Calibri"/>
          <w:sz w:val="20"/>
          <w:lang w:val="es-ES" w:eastAsia="en-US"/>
        </w:rPr>
        <w:t>y demuestra a las partes que éstas han sido oídas</w:t>
      </w:r>
      <w:r w:rsidRPr="00975C02">
        <w:rPr>
          <w:rFonts w:eastAsia="Calibri"/>
          <w:sz w:val="20"/>
          <w:vertAlign w:val="superscript"/>
          <w:lang w:val="es-ES" w:eastAsia="en-US"/>
        </w:rPr>
        <w:footnoteReference w:id="332"/>
      </w:r>
      <w:hyperlink r:id="rId9" w:anchor="_ftn67" w:history="1"/>
      <w:bookmarkEnd w:id="139"/>
      <w:r w:rsidRPr="00975C02">
        <w:rPr>
          <w:sz w:val="20"/>
          <w:lang w:val="es-ES" w:eastAsia="en-US"/>
        </w:rPr>
        <w:t>.</w:t>
      </w:r>
    </w:p>
    <w:p w14:paraId="09DF228B" w14:textId="77777777" w:rsidR="00B5625C" w:rsidRPr="00975C02" w:rsidRDefault="00B5625C" w:rsidP="00B5625C">
      <w:pPr>
        <w:widowControl/>
        <w:adjustRightInd/>
        <w:spacing w:line="240" w:lineRule="auto"/>
        <w:textAlignment w:val="auto"/>
        <w:rPr>
          <w:sz w:val="20"/>
          <w:szCs w:val="20"/>
          <w:lang w:val="es-ES" w:eastAsia="en-US"/>
        </w:rPr>
      </w:pPr>
    </w:p>
    <w:p w14:paraId="503CEE09" w14:textId="77777777" w:rsidR="00B5625C" w:rsidRPr="00975C02" w:rsidRDefault="00B5625C" w:rsidP="00730B0A">
      <w:pPr>
        <w:widowControl/>
        <w:numPr>
          <w:ilvl w:val="0"/>
          <w:numId w:val="2"/>
        </w:numPr>
        <w:tabs>
          <w:tab w:val="left" w:pos="567"/>
          <w:tab w:val="num" w:pos="12305"/>
        </w:tabs>
        <w:adjustRightInd/>
        <w:spacing w:line="240" w:lineRule="auto"/>
        <w:ind w:left="0" w:firstLine="0"/>
        <w:textAlignment w:val="auto"/>
        <w:rPr>
          <w:rFonts w:eastAsia="Calibri"/>
          <w:sz w:val="20"/>
          <w:lang w:val="es-ES" w:eastAsia="en-US"/>
        </w:rPr>
      </w:pPr>
      <w:r w:rsidRPr="00975C02">
        <w:rPr>
          <w:sz w:val="20"/>
          <w:lang w:val="es-ES" w:eastAsia="en-US"/>
        </w:rPr>
        <w:t xml:space="preserve">Ello, se </w:t>
      </w:r>
      <w:r w:rsidRPr="00975C02">
        <w:rPr>
          <w:sz w:val="20"/>
          <w:szCs w:val="20"/>
          <w:lang w:val="es-ES" w:eastAsia="en-US"/>
        </w:rPr>
        <w:t>encuentra</w:t>
      </w:r>
      <w:r w:rsidRPr="00975C02">
        <w:rPr>
          <w:sz w:val="20"/>
          <w:lang w:val="es-ES" w:eastAsia="en-US"/>
        </w:rPr>
        <w:t xml:space="preserve"> ligado con otro de los aspectos que realzan el valor de la motivación como garantía, que es proporcionar la posibilidad, </w:t>
      </w:r>
      <w:r w:rsidRPr="00975C02">
        <w:rPr>
          <w:rFonts w:eastAsia="Calibri" w:cs="Arial"/>
          <w:snapToGrid w:val="0"/>
          <w:sz w:val="20"/>
          <w:lang w:val="es-ES" w:eastAsia="es-ES"/>
        </w:rPr>
        <w:t>en aquellos casos en que las decisiones son recurribles,</w:t>
      </w:r>
      <w:r w:rsidRPr="00975C02">
        <w:rPr>
          <w:sz w:val="20"/>
          <w:lang w:val="es-ES" w:eastAsia="en-US"/>
        </w:rPr>
        <w:t xml:space="preserve"> de criticar la resolución y lograr un nuevo examen de la cuestión ante las instancias superiores. </w:t>
      </w:r>
      <w:r w:rsidRPr="00975C02">
        <w:rPr>
          <w:rFonts w:eastAsia="Calibri" w:cs="Arial"/>
          <w:snapToGrid w:val="0"/>
          <w:sz w:val="20"/>
          <w:lang w:val="es-ES" w:eastAsia="es-ES"/>
        </w:rPr>
        <w:t xml:space="preserve">De este modo, </w:t>
      </w:r>
      <w:r w:rsidRPr="00975C02">
        <w:rPr>
          <w:rFonts w:eastAsia="Calibri"/>
          <w:sz w:val="20"/>
          <w:lang w:val="es-ES" w:eastAsia="en-US"/>
        </w:rPr>
        <w:t xml:space="preserve">la Corte ya ha señalado que “la motivación de la decisión </w:t>
      </w:r>
      <w:r w:rsidRPr="00975C02">
        <w:rPr>
          <w:sz w:val="20"/>
          <w:lang w:val="es-ES" w:eastAsia="en-US"/>
        </w:rPr>
        <w:t>judicial</w:t>
      </w:r>
      <w:r w:rsidRPr="00975C02">
        <w:rPr>
          <w:rFonts w:eastAsia="Calibri"/>
          <w:sz w:val="20"/>
          <w:lang w:val="es-ES" w:eastAsia="en-US"/>
        </w:rPr>
        <w:t xml:space="preserve"> es condición de posibilidad para garantizar el derecho de defensa”</w:t>
      </w:r>
      <w:r w:rsidRPr="00975C02">
        <w:rPr>
          <w:rFonts w:eastAsia="Calibri"/>
          <w:sz w:val="20"/>
          <w:vertAlign w:val="superscript"/>
          <w:lang w:val="es-ES" w:eastAsia="en-US"/>
        </w:rPr>
        <w:footnoteReference w:id="333"/>
      </w:r>
      <w:r w:rsidRPr="00975C02">
        <w:rPr>
          <w:rFonts w:eastAsia="Calibri"/>
          <w:sz w:val="20"/>
          <w:lang w:val="es-ES" w:eastAsia="en-US"/>
        </w:rPr>
        <w:t>. Sin embargo, la Corte también ha referido que el deber de motivar no exige una respuesta detallada a todo argumento de las partes, sino que puede variar según la naturaleza de la decisión, y que corresponde analizar en cada caso si dicha garantía ha sido satisfecha</w:t>
      </w:r>
      <w:r w:rsidRPr="00975C02">
        <w:rPr>
          <w:rFonts w:eastAsia="Calibri"/>
          <w:sz w:val="20"/>
          <w:vertAlign w:val="superscript"/>
          <w:lang w:val="es-ES" w:eastAsia="en-US"/>
        </w:rPr>
        <w:footnoteReference w:id="334"/>
      </w:r>
      <w:r w:rsidRPr="00975C02">
        <w:rPr>
          <w:rFonts w:eastAsia="Calibri"/>
          <w:sz w:val="20"/>
          <w:lang w:val="es-ES" w:eastAsia="en-US"/>
        </w:rPr>
        <w:t>.</w:t>
      </w:r>
    </w:p>
    <w:p w14:paraId="4C84AA4F" w14:textId="77777777" w:rsidR="00B5625C" w:rsidRPr="00975C02" w:rsidRDefault="00B5625C" w:rsidP="00B5625C">
      <w:pPr>
        <w:widowControl/>
        <w:adjustRightInd/>
        <w:spacing w:line="240" w:lineRule="auto"/>
        <w:textAlignment w:val="auto"/>
        <w:rPr>
          <w:sz w:val="20"/>
          <w:szCs w:val="20"/>
          <w:lang w:val="es-ES" w:eastAsia="en-US"/>
        </w:rPr>
      </w:pPr>
    </w:p>
    <w:p w14:paraId="188666C7" w14:textId="77777777" w:rsidR="00B5625C" w:rsidRPr="00975C02" w:rsidRDefault="00B5625C" w:rsidP="00730B0A">
      <w:pPr>
        <w:widowControl/>
        <w:numPr>
          <w:ilvl w:val="0"/>
          <w:numId w:val="2"/>
        </w:numPr>
        <w:tabs>
          <w:tab w:val="left" w:pos="567"/>
          <w:tab w:val="num" w:pos="12305"/>
        </w:tabs>
        <w:adjustRightInd/>
        <w:spacing w:line="240" w:lineRule="auto"/>
        <w:ind w:left="0" w:firstLine="0"/>
        <w:textAlignment w:val="auto"/>
        <w:rPr>
          <w:sz w:val="20"/>
          <w:lang w:val="es-ES" w:eastAsia="en-US"/>
        </w:rPr>
      </w:pPr>
      <w:r w:rsidRPr="00975C02">
        <w:rPr>
          <w:sz w:val="20"/>
          <w:lang w:val="es-ES" w:eastAsia="en-US"/>
        </w:rPr>
        <w:t>En el ámbito penal, como garantía del inculpado, se dirige también a asegurar</w:t>
      </w:r>
      <w:r w:rsidRPr="00975C02">
        <w:rPr>
          <w:rFonts w:cs="MSTT3132dbeaafO05102100"/>
          <w:sz w:val="20"/>
          <w:lang w:val="es-ES" w:eastAsia="en-US"/>
        </w:rPr>
        <w:t xml:space="preserve"> el principio de presunción de inocencia, </w:t>
      </w:r>
      <w:r w:rsidRPr="00975C02">
        <w:rPr>
          <w:sz w:val="20"/>
          <w:lang w:val="es-ES" w:eastAsia="en-US"/>
        </w:rPr>
        <w:t xml:space="preserve">ya que permite a quien se ve sometido al poder penal del Estado comprender las razones por las que fue posible obtener convicción sobre la imputación y la </w:t>
      </w:r>
      <w:r w:rsidRPr="00975C02">
        <w:rPr>
          <w:sz w:val="20"/>
          <w:szCs w:val="20"/>
          <w:lang w:val="es-ES" w:eastAsia="en-US"/>
        </w:rPr>
        <w:t>responsabilidad</w:t>
      </w:r>
      <w:r w:rsidRPr="00975C02">
        <w:rPr>
          <w:sz w:val="20"/>
          <w:lang w:val="es-ES" w:eastAsia="en-US"/>
        </w:rPr>
        <w:t xml:space="preserve"> penal, así como la apreciación de las pruebas para desvirtuar cualquier hipótesis de inocencia, y solo así poder confirmar o refutar la hipótesis acusatoria</w:t>
      </w:r>
      <w:r w:rsidRPr="00975C02">
        <w:rPr>
          <w:sz w:val="20"/>
          <w:vertAlign w:val="superscript"/>
          <w:lang w:val="es-ES" w:eastAsia="en-US"/>
        </w:rPr>
        <w:footnoteReference w:id="335"/>
      </w:r>
      <w:r w:rsidRPr="00975C02">
        <w:rPr>
          <w:sz w:val="20"/>
          <w:lang w:val="es-ES" w:eastAsia="en-US"/>
        </w:rPr>
        <w:t xml:space="preserve">. Lo anterior, permitiría desvirtuar la presunción de inocencia y determinar la responsabilidad penal más allá de toda duda </w:t>
      </w:r>
      <w:r w:rsidRPr="00975C02">
        <w:rPr>
          <w:sz w:val="20"/>
          <w:lang w:val="es-ES" w:eastAsia="en-US"/>
        </w:rPr>
        <w:lastRenderedPageBreak/>
        <w:t xml:space="preserve">razonable, así como posibilitar el ejercicio de la defensa a través </w:t>
      </w:r>
      <w:r w:rsidRPr="00975C02">
        <w:rPr>
          <w:rFonts w:eastAsia="Calibri" w:cs="Arial"/>
          <w:snapToGrid w:val="0"/>
          <w:sz w:val="20"/>
          <w:lang w:val="es-ES" w:eastAsia="es-ES"/>
        </w:rPr>
        <w:t>de la facultad de recurrir el fallo condenatorio.</w:t>
      </w:r>
    </w:p>
    <w:p w14:paraId="77219E1B" w14:textId="77777777" w:rsidR="00BD142E" w:rsidRPr="00975C02" w:rsidRDefault="00BD142E" w:rsidP="00BD142E">
      <w:pPr>
        <w:widowControl/>
        <w:tabs>
          <w:tab w:val="left" w:pos="567"/>
        </w:tabs>
        <w:adjustRightInd/>
        <w:spacing w:line="240" w:lineRule="auto"/>
        <w:textAlignment w:val="auto"/>
        <w:rPr>
          <w:sz w:val="20"/>
          <w:lang w:val="es-ES" w:eastAsia="en-US"/>
        </w:rPr>
      </w:pPr>
    </w:p>
    <w:p w14:paraId="5FBB6C64" w14:textId="77777777" w:rsidR="00BD142E" w:rsidRPr="00975C02" w:rsidRDefault="00BD142E" w:rsidP="00BD142E">
      <w:pPr>
        <w:widowControl/>
        <w:numPr>
          <w:ilvl w:val="0"/>
          <w:numId w:val="2"/>
        </w:numPr>
        <w:tabs>
          <w:tab w:val="left" w:pos="567"/>
          <w:tab w:val="num" w:pos="12305"/>
        </w:tabs>
        <w:adjustRightInd/>
        <w:spacing w:line="240" w:lineRule="auto"/>
        <w:ind w:left="0" w:firstLine="0"/>
        <w:textAlignment w:val="auto"/>
        <w:rPr>
          <w:sz w:val="20"/>
          <w:lang w:val="es-ES" w:eastAsia="en-US"/>
        </w:rPr>
      </w:pPr>
      <w:r w:rsidRPr="00975C02">
        <w:rPr>
          <w:rFonts w:eastAsia="Calibri"/>
          <w:kern w:val="1"/>
          <w:sz w:val="20"/>
          <w:lang w:val="es-ES" w:eastAsia="en-US"/>
        </w:rPr>
        <w:t xml:space="preserve">Ahora bien, la Corte estima pertinente precisar que la motivación </w:t>
      </w:r>
      <w:r w:rsidRPr="00975C02">
        <w:rPr>
          <w:sz w:val="20"/>
          <w:lang w:val="es-ES" w:eastAsia="en-US"/>
        </w:rPr>
        <w:t xml:space="preserve">de las decisiones adoptadas por los </w:t>
      </w:r>
      <w:r w:rsidRPr="00975C02">
        <w:rPr>
          <w:sz w:val="20"/>
          <w:szCs w:val="20"/>
          <w:lang w:val="es-ES" w:eastAsia="en-US"/>
        </w:rPr>
        <w:t>órganos</w:t>
      </w:r>
      <w:r w:rsidRPr="00975C02">
        <w:rPr>
          <w:sz w:val="20"/>
          <w:lang w:val="es-ES" w:eastAsia="en-US"/>
        </w:rPr>
        <w:t xml:space="preserve"> encargados de impartir justicia </w:t>
      </w:r>
      <w:r w:rsidRPr="00975C02">
        <w:rPr>
          <w:rFonts w:eastAsia="Calibri"/>
          <w:kern w:val="1"/>
          <w:sz w:val="20"/>
          <w:lang w:val="es-ES" w:eastAsia="en-US"/>
        </w:rPr>
        <w:t>no es sólo relevante para el inculpado del delito, sino que</w:t>
      </w:r>
      <w:r w:rsidRPr="00975C02">
        <w:rPr>
          <w:sz w:val="20"/>
          <w:lang w:val="es-ES" w:eastAsia="en-US"/>
        </w:rPr>
        <w:t xml:space="preserve"> permite también el control ciudadano de los actos de gobierno, en este caso de </w:t>
      </w:r>
      <w:r w:rsidRPr="00975C02">
        <w:rPr>
          <w:sz w:val="20"/>
          <w:szCs w:val="20"/>
          <w:lang w:val="es-ES" w:eastAsia="en-US"/>
        </w:rPr>
        <w:t>la</w:t>
      </w:r>
      <w:r w:rsidRPr="00975C02">
        <w:rPr>
          <w:sz w:val="20"/>
          <w:lang w:val="es-ES" w:eastAsia="en-US"/>
        </w:rPr>
        <w:t xml:space="preserve"> administración de la justicia y los expone a su escrutinio. En el caso de los jurados,</w:t>
      </w:r>
      <w:r w:rsidR="008F3821" w:rsidRPr="00975C02">
        <w:rPr>
          <w:sz w:val="20"/>
          <w:lang w:val="es-ES" w:eastAsia="en-US"/>
        </w:rPr>
        <w:t xml:space="preserve"> dicha vertiente se entiende cubierta en razón de</w:t>
      </w:r>
      <w:r w:rsidRPr="00975C02">
        <w:rPr>
          <w:sz w:val="20"/>
          <w:lang w:val="es-ES" w:eastAsia="en-US"/>
        </w:rPr>
        <w:t xml:space="preserve"> la participación </w:t>
      </w:r>
      <w:r w:rsidR="008F3821" w:rsidRPr="00975C02">
        <w:rPr>
          <w:sz w:val="20"/>
          <w:lang w:val="es-ES" w:eastAsia="en-US"/>
        </w:rPr>
        <w:t xml:space="preserve">directa de la </w:t>
      </w:r>
      <w:r w:rsidRPr="00975C02">
        <w:rPr>
          <w:sz w:val="20"/>
          <w:lang w:val="es-ES" w:eastAsia="en-US"/>
        </w:rPr>
        <w:t>ciudadan</w:t>
      </w:r>
      <w:r w:rsidR="008F3821" w:rsidRPr="00975C02">
        <w:rPr>
          <w:sz w:val="20"/>
          <w:lang w:val="es-ES" w:eastAsia="en-US"/>
        </w:rPr>
        <w:t>ía</w:t>
      </w:r>
      <w:r w:rsidRPr="00975C02">
        <w:rPr>
          <w:sz w:val="20"/>
          <w:lang w:val="es-ES" w:eastAsia="en-US"/>
        </w:rPr>
        <w:t>.</w:t>
      </w:r>
    </w:p>
    <w:p w14:paraId="343A1876" w14:textId="77777777" w:rsidR="00B5625C" w:rsidRPr="00975C02" w:rsidRDefault="00B5625C" w:rsidP="00B5625C">
      <w:pPr>
        <w:widowControl/>
        <w:tabs>
          <w:tab w:val="left" w:pos="284"/>
        </w:tabs>
        <w:adjustRightInd/>
        <w:spacing w:line="240" w:lineRule="auto"/>
        <w:textAlignment w:val="auto"/>
        <w:rPr>
          <w:rFonts w:eastAsia="Calibri"/>
          <w:kern w:val="1"/>
          <w:sz w:val="20"/>
          <w:lang w:val="es-ES" w:eastAsia="en-US"/>
        </w:rPr>
      </w:pPr>
    </w:p>
    <w:p w14:paraId="33C9426E" w14:textId="4C69D89C" w:rsidR="00264C1D" w:rsidRPr="00975C02" w:rsidRDefault="00F2372D" w:rsidP="00F2372D">
      <w:pPr>
        <w:widowControl/>
        <w:numPr>
          <w:ilvl w:val="0"/>
          <w:numId w:val="2"/>
        </w:numPr>
        <w:tabs>
          <w:tab w:val="left" w:pos="567"/>
          <w:tab w:val="num" w:pos="12305"/>
        </w:tabs>
        <w:adjustRightInd/>
        <w:spacing w:line="240" w:lineRule="auto"/>
        <w:ind w:left="0" w:firstLine="0"/>
        <w:textAlignment w:val="auto"/>
        <w:rPr>
          <w:sz w:val="20"/>
          <w:szCs w:val="20"/>
          <w:lang w:val="es-ES" w:eastAsia="en-US"/>
        </w:rPr>
      </w:pPr>
      <w:r w:rsidRPr="00975C02">
        <w:rPr>
          <w:sz w:val="20"/>
          <w:szCs w:val="20"/>
          <w:lang w:val="es-ES" w:eastAsia="en-US"/>
        </w:rPr>
        <w:t xml:space="preserve">En esta línea, la Corte considera que el </w:t>
      </w:r>
      <w:r w:rsidR="00B75585" w:rsidRPr="00975C02">
        <w:rPr>
          <w:sz w:val="20"/>
          <w:szCs w:val="20"/>
          <w:lang w:val="es-ES" w:eastAsia="en-US"/>
        </w:rPr>
        <w:t xml:space="preserve">argumento </w:t>
      </w:r>
      <w:r w:rsidRPr="00975C02">
        <w:rPr>
          <w:sz w:val="20"/>
          <w:szCs w:val="20"/>
          <w:lang w:val="es-ES" w:eastAsia="en-US"/>
        </w:rPr>
        <w:t xml:space="preserve">de la Comisión, en cuanto a sostener que el hecho de que el </w:t>
      </w:r>
      <w:r w:rsidRPr="00975C02">
        <w:rPr>
          <w:rFonts w:eastAsia="Calibri" w:cs="Arial"/>
          <w:sz w:val="20"/>
          <w:szCs w:val="20"/>
          <w:lang w:val="es-ES" w:eastAsia="en-US"/>
        </w:rPr>
        <w:t>veredicto absolutorio fuera inmotivado</w:t>
      </w:r>
      <w:r w:rsidRPr="00975C02">
        <w:rPr>
          <w:sz w:val="20"/>
          <w:szCs w:val="20"/>
          <w:lang w:val="es-ES" w:eastAsia="en-US"/>
        </w:rPr>
        <w:t xml:space="preserve"> implica </w:t>
      </w:r>
      <w:r w:rsidRPr="00975C02">
        <w:rPr>
          <w:i/>
          <w:sz w:val="20"/>
          <w:szCs w:val="20"/>
          <w:lang w:val="es-ES" w:eastAsia="en-US"/>
        </w:rPr>
        <w:t xml:space="preserve">per se </w:t>
      </w:r>
      <w:r w:rsidRPr="00975C02">
        <w:rPr>
          <w:sz w:val="20"/>
          <w:szCs w:val="20"/>
          <w:lang w:val="es-ES" w:eastAsia="en-US"/>
        </w:rPr>
        <w:t xml:space="preserve">una violación del artículo 8.1 de la Convención Americana, resulta en una afirmación </w:t>
      </w:r>
      <w:r w:rsidR="00264C1D" w:rsidRPr="00975C02">
        <w:rPr>
          <w:sz w:val="20"/>
          <w:szCs w:val="20"/>
          <w:lang w:val="es-ES" w:eastAsia="en-US"/>
        </w:rPr>
        <w:t>general y abstracta</w:t>
      </w:r>
      <w:r w:rsidRPr="00975C02">
        <w:rPr>
          <w:sz w:val="20"/>
          <w:szCs w:val="20"/>
          <w:lang w:val="es-ES" w:eastAsia="en-US"/>
        </w:rPr>
        <w:t>, que no corresponde sea aceptada sin más argumentación o análisis del contexto histórico, social y cultural en que se desarrollaron los modelos de enjuiciamiento penal en los países del continente americano y, en particular, de cómo estaba diseñado el Tribunal de Jurados en Nicaragua. Ello</w:t>
      </w:r>
      <w:r w:rsidR="00D70BA6" w:rsidRPr="00975C02">
        <w:rPr>
          <w:sz w:val="20"/>
          <w:szCs w:val="20"/>
          <w:lang w:val="es-ES" w:eastAsia="en-US"/>
        </w:rPr>
        <w:t>,</w:t>
      </w:r>
      <w:r w:rsidRPr="00975C02">
        <w:rPr>
          <w:sz w:val="20"/>
          <w:szCs w:val="20"/>
          <w:lang w:val="es-ES" w:eastAsia="en-US"/>
        </w:rPr>
        <w:t xml:space="preserve"> toda vez que histórica y tradicionalmente el veredicto del jurado en un sentido clásico no exigía una motivación o exteriorización de la fundamentación, ya que la apreciación de la prueba se basaba en la íntima convicción de los juzgadores</w:t>
      </w:r>
      <w:r w:rsidRPr="00975C02">
        <w:rPr>
          <w:sz w:val="20"/>
          <w:szCs w:val="20"/>
          <w:vertAlign w:val="superscript"/>
          <w:lang w:val="es-ES" w:eastAsia="en-US"/>
        </w:rPr>
        <w:footnoteReference w:id="336"/>
      </w:r>
      <w:r w:rsidR="009B6CB9" w:rsidRPr="00975C02">
        <w:rPr>
          <w:sz w:val="20"/>
          <w:szCs w:val="20"/>
          <w:lang w:val="es-ES" w:eastAsia="en-US"/>
        </w:rPr>
        <w:t>. En este sentido, la Corte nota que la Comisión no expuso un razonamiento que haga eco de las particularidades de la figura del jurado desde la óptica procesal, ni en particular de su regulación en Nicaragua, al plantear la cuestión de su convencionalidad.</w:t>
      </w:r>
    </w:p>
    <w:p w14:paraId="4B064E73" w14:textId="77777777" w:rsidR="00264C1D" w:rsidRPr="00975C02" w:rsidRDefault="00264C1D" w:rsidP="00264C1D">
      <w:pPr>
        <w:widowControl/>
        <w:tabs>
          <w:tab w:val="left" w:pos="567"/>
        </w:tabs>
        <w:adjustRightInd/>
        <w:spacing w:line="240" w:lineRule="auto"/>
        <w:textAlignment w:val="auto"/>
        <w:rPr>
          <w:sz w:val="20"/>
          <w:szCs w:val="20"/>
          <w:lang w:val="es-ES" w:eastAsia="en-US"/>
        </w:rPr>
      </w:pPr>
    </w:p>
    <w:p w14:paraId="4BFC7F79" w14:textId="34CFBE5E" w:rsidR="00043EAF" w:rsidRPr="00975C02" w:rsidRDefault="00BC2312" w:rsidP="00043EAF">
      <w:pPr>
        <w:widowControl/>
        <w:numPr>
          <w:ilvl w:val="0"/>
          <w:numId w:val="2"/>
        </w:numPr>
        <w:tabs>
          <w:tab w:val="left" w:pos="567"/>
          <w:tab w:val="num" w:pos="12305"/>
        </w:tabs>
        <w:adjustRightInd/>
        <w:spacing w:line="240" w:lineRule="auto"/>
        <w:ind w:left="0" w:firstLine="0"/>
        <w:textAlignment w:val="auto"/>
        <w:rPr>
          <w:sz w:val="20"/>
          <w:szCs w:val="20"/>
          <w:lang w:val="es-ES" w:eastAsia="en-US"/>
        </w:rPr>
      </w:pPr>
      <w:r w:rsidRPr="00975C02">
        <w:rPr>
          <w:sz w:val="20"/>
          <w:szCs w:val="20"/>
          <w:lang w:val="es-ES" w:eastAsia="en-US"/>
        </w:rPr>
        <w:t xml:space="preserve">La Corte estima, como lo ha hecho el Tribunal Europeo de Derechos Humanos, </w:t>
      </w:r>
      <w:r w:rsidRPr="00975C02">
        <w:rPr>
          <w:rFonts w:eastAsia="Calibri"/>
          <w:kern w:val="1"/>
          <w:sz w:val="20"/>
          <w:lang w:val="es-ES" w:eastAsia="en-US"/>
        </w:rPr>
        <w:t>que</w:t>
      </w:r>
      <w:r w:rsidRPr="00975C02">
        <w:rPr>
          <w:sz w:val="20"/>
          <w:szCs w:val="20"/>
          <w:lang w:val="es-ES" w:eastAsia="en-US"/>
        </w:rPr>
        <w:t xml:space="preserve"> la falta de </w:t>
      </w:r>
      <w:r w:rsidR="00BD142E" w:rsidRPr="00975C02">
        <w:rPr>
          <w:sz w:val="20"/>
          <w:szCs w:val="20"/>
          <w:lang w:val="es-ES" w:eastAsia="en-US"/>
        </w:rPr>
        <w:t>exteriorización de la fundamentación</w:t>
      </w:r>
      <w:r w:rsidRPr="00975C02">
        <w:rPr>
          <w:sz w:val="20"/>
          <w:szCs w:val="20"/>
          <w:lang w:val="es-ES" w:eastAsia="en-US"/>
        </w:rPr>
        <w:t xml:space="preserve"> del veredicto no vulnera en sí misma la garantía de la motivación</w:t>
      </w:r>
      <w:r w:rsidRPr="00975C02">
        <w:rPr>
          <w:sz w:val="20"/>
          <w:szCs w:val="20"/>
          <w:vertAlign w:val="superscript"/>
          <w:lang w:val="es-ES" w:eastAsia="en-US"/>
        </w:rPr>
        <w:footnoteReference w:id="337"/>
      </w:r>
      <w:r w:rsidRPr="00975C02">
        <w:rPr>
          <w:sz w:val="20"/>
          <w:szCs w:val="20"/>
          <w:lang w:val="es-ES" w:eastAsia="en-US"/>
        </w:rPr>
        <w:t>.</w:t>
      </w:r>
      <w:r w:rsidR="00327B38" w:rsidRPr="00975C02">
        <w:rPr>
          <w:sz w:val="20"/>
          <w:szCs w:val="20"/>
          <w:lang w:val="es-ES" w:eastAsia="en-US"/>
        </w:rPr>
        <w:t xml:space="preserve"> </w:t>
      </w:r>
      <w:r w:rsidR="0041516D" w:rsidRPr="00975C02">
        <w:rPr>
          <w:sz w:val="20"/>
          <w:szCs w:val="20"/>
          <w:lang w:val="es-ES" w:eastAsia="en-US"/>
        </w:rPr>
        <w:t xml:space="preserve">En efecto, </w:t>
      </w:r>
      <w:r w:rsidR="00127805" w:rsidRPr="00975C02">
        <w:rPr>
          <w:sz w:val="20"/>
          <w:szCs w:val="20"/>
          <w:lang w:val="es-ES" w:eastAsia="en-US"/>
        </w:rPr>
        <w:t>todo veredicto siempre tiene motivación, aunque como corresponde a la esencia del jurado, no se expresa. Pero el veredicto debe permitir que, a la luz de las pruebas y el debate en la audiencia, quien lo valora pueda reconstruir el curso lógico d</w:t>
      </w:r>
      <w:r w:rsidR="00D70BA6" w:rsidRPr="00975C02">
        <w:rPr>
          <w:sz w:val="20"/>
          <w:szCs w:val="20"/>
          <w:lang w:val="es-ES" w:eastAsia="en-US"/>
        </w:rPr>
        <w:t>e</w:t>
      </w:r>
      <w:r w:rsidR="00127805" w:rsidRPr="00975C02">
        <w:rPr>
          <w:sz w:val="20"/>
          <w:szCs w:val="20"/>
          <w:lang w:val="es-ES" w:eastAsia="en-US"/>
        </w:rPr>
        <w:t xml:space="preserve"> la decisión de los </w:t>
      </w:r>
      <w:r w:rsidR="00D70BA6" w:rsidRPr="00975C02">
        <w:rPr>
          <w:sz w:val="20"/>
          <w:szCs w:val="20"/>
          <w:lang w:val="es-ES" w:eastAsia="en-US"/>
        </w:rPr>
        <w:t>j</w:t>
      </w:r>
      <w:r w:rsidR="00127805" w:rsidRPr="00975C02">
        <w:rPr>
          <w:sz w:val="20"/>
          <w:szCs w:val="20"/>
          <w:lang w:val="es-ES" w:eastAsia="en-US"/>
        </w:rPr>
        <w:t>urados, quienes habrían incurrido en arbitrariedad en el supuesto en que esta reconstrucción no fuera viable conforme a pautas racionales</w:t>
      </w:r>
      <w:r w:rsidR="004C3D74" w:rsidRPr="00975C02">
        <w:rPr>
          <w:sz w:val="20"/>
          <w:szCs w:val="20"/>
          <w:lang w:val="es-ES" w:eastAsia="en-US"/>
        </w:rPr>
        <w:t>.</w:t>
      </w:r>
    </w:p>
    <w:p w14:paraId="30B31BCD" w14:textId="77777777" w:rsidR="0006089B" w:rsidRPr="00975C02" w:rsidRDefault="0006089B" w:rsidP="0006089B">
      <w:pPr>
        <w:widowControl/>
        <w:tabs>
          <w:tab w:val="left" w:pos="567"/>
        </w:tabs>
        <w:adjustRightInd/>
        <w:spacing w:line="240" w:lineRule="auto"/>
        <w:textAlignment w:val="auto"/>
        <w:rPr>
          <w:sz w:val="20"/>
          <w:szCs w:val="20"/>
          <w:lang w:val="es-ES" w:eastAsia="en-US"/>
        </w:rPr>
      </w:pPr>
    </w:p>
    <w:p w14:paraId="623E4EF4" w14:textId="14A32847" w:rsidR="0006089B" w:rsidRPr="00975C02" w:rsidRDefault="00EC10CC" w:rsidP="00EC10CC">
      <w:pPr>
        <w:widowControl/>
        <w:numPr>
          <w:ilvl w:val="0"/>
          <w:numId w:val="2"/>
        </w:numPr>
        <w:tabs>
          <w:tab w:val="left" w:pos="567"/>
          <w:tab w:val="num" w:pos="12305"/>
        </w:tabs>
        <w:adjustRightInd/>
        <w:spacing w:line="240" w:lineRule="auto"/>
        <w:ind w:left="0" w:firstLine="0"/>
        <w:textAlignment w:val="auto"/>
        <w:rPr>
          <w:sz w:val="20"/>
          <w:szCs w:val="20"/>
          <w:lang w:val="es-ES"/>
        </w:rPr>
      </w:pPr>
      <w:r w:rsidRPr="00975C02">
        <w:rPr>
          <w:sz w:val="20"/>
          <w:szCs w:val="20"/>
          <w:lang w:val="es-ES"/>
        </w:rPr>
        <w:t>Algunos de los Estados de la OEA que implementan el sistema de enjuiciamiento por jurados establecen expresamente diferentes garantías de interdicción de la arbitrariedad en la decisión. Las instrucciones judiciales al jurado están previstas en las legislaciones procesales de Canadá</w:t>
      </w:r>
      <w:r w:rsidRPr="00975C02">
        <w:rPr>
          <w:rStyle w:val="FootnoteReference"/>
          <w:sz w:val="20"/>
          <w:szCs w:val="20"/>
          <w:lang w:val="es-ES"/>
        </w:rPr>
        <w:footnoteReference w:id="338"/>
      </w:r>
      <w:r w:rsidRPr="00975C02">
        <w:rPr>
          <w:sz w:val="20"/>
          <w:szCs w:val="20"/>
          <w:lang w:val="es-ES"/>
        </w:rPr>
        <w:t>, Estados Unidos</w:t>
      </w:r>
      <w:r w:rsidRPr="00975C02">
        <w:rPr>
          <w:rStyle w:val="FootnoteReference"/>
          <w:sz w:val="20"/>
          <w:szCs w:val="20"/>
          <w:lang w:val="es-ES"/>
        </w:rPr>
        <w:footnoteReference w:id="339"/>
      </w:r>
      <w:r w:rsidRPr="00975C02">
        <w:rPr>
          <w:sz w:val="20"/>
          <w:szCs w:val="20"/>
          <w:lang w:val="es-ES"/>
        </w:rPr>
        <w:t>, Nicaragua</w:t>
      </w:r>
      <w:r w:rsidR="00D70BA6" w:rsidRPr="00975C02">
        <w:rPr>
          <w:sz w:val="20"/>
          <w:szCs w:val="20"/>
          <w:lang w:val="es-ES"/>
        </w:rPr>
        <w:t xml:space="preserve"> en la actualidad</w:t>
      </w:r>
      <w:r w:rsidRPr="00975C02">
        <w:rPr>
          <w:rStyle w:val="FootnoteReference"/>
          <w:sz w:val="20"/>
          <w:szCs w:val="20"/>
          <w:lang w:val="es-ES"/>
        </w:rPr>
        <w:footnoteReference w:id="340"/>
      </w:r>
      <w:r w:rsidRPr="00975C02">
        <w:rPr>
          <w:sz w:val="20"/>
          <w:szCs w:val="20"/>
          <w:lang w:val="es-ES"/>
        </w:rPr>
        <w:t>, Panamá</w:t>
      </w:r>
      <w:r w:rsidRPr="00975C02">
        <w:rPr>
          <w:rStyle w:val="FootnoteReference"/>
          <w:sz w:val="20"/>
          <w:szCs w:val="20"/>
          <w:lang w:val="es-ES"/>
        </w:rPr>
        <w:footnoteReference w:id="341"/>
      </w:r>
      <w:r w:rsidRPr="00975C02">
        <w:rPr>
          <w:sz w:val="20"/>
          <w:szCs w:val="20"/>
          <w:lang w:val="es-ES"/>
        </w:rPr>
        <w:t xml:space="preserve">, </w:t>
      </w:r>
      <w:r w:rsidR="00D70BA6" w:rsidRPr="00975C02">
        <w:rPr>
          <w:sz w:val="20"/>
          <w:szCs w:val="20"/>
          <w:lang w:val="es-ES"/>
        </w:rPr>
        <w:t xml:space="preserve">El </w:t>
      </w:r>
      <w:r w:rsidRPr="00975C02">
        <w:rPr>
          <w:sz w:val="20"/>
          <w:szCs w:val="20"/>
          <w:lang w:val="es-ES"/>
        </w:rPr>
        <w:t>Salvador</w:t>
      </w:r>
      <w:r w:rsidRPr="00975C02">
        <w:rPr>
          <w:rStyle w:val="FootnoteReference"/>
          <w:sz w:val="20"/>
          <w:szCs w:val="20"/>
          <w:lang w:val="es-ES"/>
        </w:rPr>
        <w:footnoteReference w:id="342"/>
      </w:r>
      <w:r w:rsidRPr="00975C02">
        <w:rPr>
          <w:sz w:val="20"/>
          <w:szCs w:val="20"/>
          <w:lang w:val="es-ES"/>
        </w:rPr>
        <w:t>, y las provincias argentinas de Buenos Aires</w:t>
      </w:r>
      <w:r w:rsidRPr="00975C02">
        <w:rPr>
          <w:rStyle w:val="FootnoteReference"/>
          <w:sz w:val="20"/>
          <w:szCs w:val="20"/>
          <w:lang w:val="es-ES"/>
        </w:rPr>
        <w:footnoteReference w:id="343"/>
      </w:r>
      <w:r w:rsidRPr="00975C02">
        <w:rPr>
          <w:sz w:val="20"/>
          <w:szCs w:val="20"/>
          <w:lang w:val="es-ES"/>
        </w:rPr>
        <w:t>, Chaco</w:t>
      </w:r>
      <w:r w:rsidRPr="00975C02">
        <w:rPr>
          <w:rStyle w:val="FootnoteReference"/>
          <w:sz w:val="20"/>
          <w:szCs w:val="20"/>
          <w:lang w:val="es-ES"/>
        </w:rPr>
        <w:footnoteReference w:id="344"/>
      </w:r>
      <w:r w:rsidR="00F17651" w:rsidRPr="00975C02">
        <w:rPr>
          <w:sz w:val="20"/>
          <w:szCs w:val="20"/>
          <w:lang w:val="es-ES"/>
        </w:rPr>
        <w:t>,</w:t>
      </w:r>
      <w:r w:rsidRPr="00975C02">
        <w:rPr>
          <w:sz w:val="20"/>
          <w:szCs w:val="20"/>
          <w:lang w:val="es-ES"/>
        </w:rPr>
        <w:t xml:space="preserve"> Neuquén</w:t>
      </w:r>
      <w:r w:rsidRPr="00975C02">
        <w:rPr>
          <w:sz w:val="20"/>
          <w:szCs w:val="20"/>
          <w:vertAlign w:val="superscript"/>
          <w:lang w:val="es-ES"/>
        </w:rPr>
        <w:footnoteReference w:id="345"/>
      </w:r>
      <w:r w:rsidR="00F17651" w:rsidRPr="00975C02">
        <w:rPr>
          <w:sz w:val="20"/>
          <w:szCs w:val="20"/>
          <w:lang w:val="es-ES"/>
        </w:rPr>
        <w:t xml:space="preserve"> y Río Negro</w:t>
      </w:r>
      <w:r w:rsidR="00F17651" w:rsidRPr="00975C02">
        <w:rPr>
          <w:rStyle w:val="FootnoteReference"/>
          <w:sz w:val="20"/>
          <w:szCs w:val="20"/>
          <w:lang w:val="es-ES"/>
        </w:rPr>
        <w:footnoteReference w:id="346"/>
      </w:r>
      <w:r w:rsidRPr="00975C02">
        <w:rPr>
          <w:sz w:val="20"/>
          <w:szCs w:val="20"/>
          <w:lang w:val="es-ES"/>
        </w:rPr>
        <w:t xml:space="preserve">. La legislación panameña </w:t>
      </w:r>
      <w:r w:rsidRPr="00975C02">
        <w:rPr>
          <w:sz w:val="20"/>
          <w:szCs w:val="20"/>
          <w:lang w:val="es-ES"/>
        </w:rPr>
        <w:lastRenderedPageBreak/>
        <w:t>establece además que el juez técnico entregará a los jurados un cuestionario con las cuestiones a resolver, cuya respuesta deberán dar por escrito y se agregará al expediente</w:t>
      </w:r>
      <w:r w:rsidRPr="00975C02">
        <w:rPr>
          <w:rStyle w:val="FootnoteReference"/>
          <w:sz w:val="20"/>
          <w:szCs w:val="20"/>
          <w:lang w:val="es-ES"/>
        </w:rPr>
        <w:footnoteReference w:id="347"/>
      </w:r>
      <w:r w:rsidRPr="00975C02">
        <w:rPr>
          <w:sz w:val="20"/>
          <w:szCs w:val="20"/>
          <w:lang w:val="es-ES"/>
        </w:rPr>
        <w:t>. Asimismo, la legislación de la provincia argentina de Buenos Aires</w:t>
      </w:r>
      <w:r w:rsidRPr="00975C02">
        <w:rPr>
          <w:rStyle w:val="FootnoteReference"/>
          <w:sz w:val="20"/>
          <w:szCs w:val="20"/>
          <w:lang w:val="es-ES"/>
        </w:rPr>
        <w:footnoteReference w:id="348"/>
      </w:r>
      <w:r w:rsidRPr="00975C02">
        <w:rPr>
          <w:sz w:val="20"/>
          <w:szCs w:val="20"/>
          <w:lang w:val="es-ES"/>
        </w:rPr>
        <w:t xml:space="preserve"> prevé que, cuando el veredicto de culpabilidad resulte manifiestamente contrario a la prueba producida en el proceso, el juez puede anular</w:t>
      </w:r>
      <w:r w:rsidR="00862C0A">
        <w:rPr>
          <w:sz w:val="20"/>
          <w:szCs w:val="20"/>
          <w:lang w:val="es-ES"/>
        </w:rPr>
        <w:t xml:space="preserve">lo </w:t>
      </w:r>
      <w:r w:rsidRPr="00975C02">
        <w:rPr>
          <w:sz w:val="20"/>
          <w:szCs w:val="20"/>
          <w:lang w:val="es-ES"/>
        </w:rPr>
        <w:t>y ordenar un nuevo debate con otro tribunal. Por otra parte, la facultad de recusación con y sin expresión de causa se encuentra reconocida en los sistemas de Panamá</w:t>
      </w:r>
      <w:r w:rsidRPr="00975C02">
        <w:rPr>
          <w:rStyle w:val="FootnoteReference"/>
          <w:sz w:val="20"/>
          <w:szCs w:val="20"/>
          <w:lang w:val="es-ES"/>
        </w:rPr>
        <w:footnoteReference w:id="349"/>
      </w:r>
      <w:r w:rsidRPr="00975C02">
        <w:rPr>
          <w:sz w:val="20"/>
          <w:szCs w:val="20"/>
          <w:lang w:val="es-ES"/>
        </w:rPr>
        <w:t xml:space="preserve"> y de las provincias argentinas de Chaco</w:t>
      </w:r>
      <w:r w:rsidRPr="00975C02">
        <w:rPr>
          <w:rStyle w:val="FootnoteReference"/>
          <w:sz w:val="20"/>
          <w:szCs w:val="20"/>
          <w:lang w:val="es-ES"/>
        </w:rPr>
        <w:footnoteReference w:id="350"/>
      </w:r>
      <w:r w:rsidR="00F17651" w:rsidRPr="00975C02">
        <w:rPr>
          <w:sz w:val="20"/>
          <w:szCs w:val="20"/>
          <w:lang w:val="es-ES"/>
        </w:rPr>
        <w:t>,</w:t>
      </w:r>
      <w:r w:rsidRPr="00975C02">
        <w:rPr>
          <w:sz w:val="20"/>
          <w:szCs w:val="20"/>
          <w:lang w:val="es-ES"/>
        </w:rPr>
        <w:t xml:space="preserve"> Córdoba</w:t>
      </w:r>
      <w:r w:rsidRPr="00975C02">
        <w:rPr>
          <w:rStyle w:val="FootnoteReference"/>
          <w:sz w:val="20"/>
          <w:szCs w:val="20"/>
          <w:lang w:val="es-ES"/>
        </w:rPr>
        <w:footnoteReference w:id="351"/>
      </w:r>
      <w:r w:rsidR="00F17651" w:rsidRPr="00975C02">
        <w:rPr>
          <w:sz w:val="20"/>
          <w:szCs w:val="20"/>
          <w:lang w:val="es-ES"/>
        </w:rPr>
        <w:t xml:space="preserve"> y Río Negro</w:t>
      </w:r>
      <w:r w:rsidR="00F17651" w:rsidRPr="00975C02">
        <w:rPr>
          <w:rStyle w:val="FootnoteReference"/>
          <w:sz w:val="20"/>
          <w:szCs w:val="20"/>
          <w:lang w:val="es-ES"/>
        </w:rPr>
        <w:footnoteReference w:id="352"/>
      </w:r>
      <w:r w:rsidRPr="00975C02">
        <w:rPr>
          <w:sz w:val="20"/>
          <w:szCs w:val="20"/>
          <w:lang w:val="es-ES"/>
        </w:rPr>
        <w:t>. Asimismo, las legislaciones de Estados Unidos</w:t>
      </w:r>
      <w:r w:rsidRPr="00975C02">
        <w:rPr>
          <w:rStyle w:val="FootnoteReference"/>
          <w:sz w:val="20"/>
          <w:szCs w:val="20"/>
          <w:lang w:val="es-ES"/>
        </w:rPr>
        <w:footnoteReference w:id="353"/>
      </w:r>
      <w:r w:rsidRPr="00975C02">
        <w:rPr>
          <w:sz w:val="20"/>
          <w:szCs w:val="20"/>
          <w:lang w:val="es-ES"/>
        </w:rPr>
        <w:t>, Nicaragua</w:t>
      </w:r>
      <w:r w:rsidRPr="00975C02">
        <w:rPr>
          <w:rStyle w:val="FootnoteReference"/>
          <w:sz w:val="20"/>
          <w:szCs w:val="20"/>
          <w:lang w:val="es-ES"/>
        </w:rPr>
        <w:footnoteReference w:id="354"/>
      </w:r>
      <w:r w:rsidRPr="00975C02">
        <w:rPr>
          <w:sz w:val="20"/>
          <w:szCs w:val="20"/>
          <w:lang w:val="es-ES"/>
        </w:rPr>
        <w:t xml:space="preserve"> y </w:t>
      </w:r>
      <w:r w:rsidR="00884552" w:rsidRPr="00975C02">
        <w:rPr>
          <w:sz w:val="20"/>
          <w:szCs w:val="20"/>
          <w:lang w:val="es-ES"/>
        </w:rPr>
        <w:t xml:space="preserve">en </w:t>
      </w:r>
      <w:r w:rsidRPr="00975C02">
        <w:rPr>
          <w:sz w:val="20"/>
          <w:szCs w:val="20"/>
          <w:lang w:val="es-ES"/>
        </w:rPr>
        <w:t>las provincias argentinas de Buenos Aires</w:t>
      </w:r>
      <w:r w:rsidRPr="00975C02">
        <w:rPr>
          <w:rStyle w:val="FootnoteReference"/>
          <w:sz w:val="20"/>
          <w:szCs w:val="20"/>
          <w:lang w:val="es-ES"/>
        </w:rPr>
        <w:footnoteReference w:id="355"/>
      </w:r>
      <w:r w:rsidRPr="00975C02">
        <w:rPr>
          <w:sz w:val="20"/>
          <w:szCs w:val="20"/>
          <w:lang w:val="es-ES"/>
        </w:rPr>
        <w:t>, Chaco</w:t>
      </w:r>
      <w:r w:rsidRPr="00975C02">
        <w:rPr>
          <w:rStyle w:val="FootnoteReference"/>
          <w:sz w:val="20"/>
          <w:szCs w:val="20"/>
          <w:lang w:val="es-ES"/>
        </w:rPr>
        <w:footnoteReference w:id="356"/>
      </w:r>
      <w:r w:rsidR="00F17651" w:rsidRPr="00975C02">
        <w:rPr>
          <w:sz w:val="20"/>
          <w:szCs w:val="20"/>
          <w:lang w:val="es-ES"/>
        </w:rPr>
        <w:t>,</w:t>
      </w:r>
      <w:r w:rsidRPr="00975C02">
        <w:rPr>
          <w:sz w:val="20"/>
          <w:szCs w:val="20"/>
          <w:lang w:val="es-ES"/>
        </w:rPr>
        <w:t xml:space="preserve"> Neuquén</w:t>
      </w:r>
      <w:r w:rsidRPr="00975C02">
        <w:rPr>
          <w:rStyle w:val="FootnoteReference"/>
          <w:sz w:val="20"/>
          <w:szCs w:val="20"/>
          <w:lang w:val="es-ES"/>
        </w:rPr>
        <w:footnoteReference w:id="357"/>
      </w:r>
      <w:r w:rsidR="00F17651" w:rsidRPr="00975C02">
        <w:rPr>
          <w:sz w:val="20"/>
          <w:szCs w:val="20"/>
          <w:lang w:val="es-ES"/>
        </w:rPr>
        <w:t xml:space="preserve"> y Río Negro</w:t>
      </w:r>
      <w:r w:rsidR="00F17651" w:rsidRPr="00975C02">
        <w:rPr>
          <w:rStyle w:val="FootnoteReference"/>
          <w:sz w:val="20"/>
          <w:szCs w:val="20"/>
          <w:lang w:val="es-ES"/>
        </w:rPr>
        <w:footnoteReference w:id="358"/>
      </w:r>
      <w:r w:rsidRPr="00975C02">
        <w:rPr>
          <w:sz w:val="20"/>
          <w:szCs w:val="20"/>
          <w:lang w:val="es-ES"/>
        </w:rPr>
        <w:t xml:space="preserve">, establecen una audiencia especial o momento procesal específico, previo al juicio oral, para la selección de los integrantes del jurado </w:t>
      </w:r>
      <w:r w:rsidRPr="00975C02">
        <w:rPr>
          <w:color w:val="000000"/>
          <w:sz w:val="20"/>
          <w:szCs w:val="20"/>
          <w:lang w:val="es-ES"/>
        </w:rPr>
        <w:t>(</w:t>
      </w:r>
      <w:r w:rsidRPr="00975C02">
        <w:rPr>
          <w:i/>
          <w:color w:val="000000"/>
          <w:sz w:val="20"/>
          <w:szCs w:val="20"/>
          <w:lang w:val="es-ES"/>
        </w:rPr>
        <w:t>voir dire</w:t>
      </w:r>
      <w:r w:rsidRPr="00975C02">
        <w:rPr>
          <w:color w:val="000000"/>
          <w:sz w:val="20"/>
          <w:szCs w:val="20"/>
          <w:lang w:val="es-ES"/>
        </w:rPr>
        <w:t xml:space="preserve">), donde las partes cuentan con el derecho de vetar o recusar a los </w:t>
      </w:r>
      <w:r w:rsidRPr="00975C02">
        <w:rPr>
          <w:sz w:val="20"/>
          <w:szCs w:val="20"/>
          <w:lang w:val="es-ES" w:eastAsia="en-US"/>
        </w:rPr>
        <w:t>potenciales</w:t>
      </w:r>
      <w:r w:rsidRPr="00975C02">
        <w:rPr>
          <w:color w:val="000000"/>
          <w:sz w:val="20"/>
          <w:szCs w:val="20"/>
          <w:lang w:val="es-ES"/>
        </w:rPr>
        <w:t xml:space="preserve"> jurados </w:t>
      </w:r>
      <w:r w:rsidR="00884552" w:rsidRPr="00975C02">
        <w:rPr>
          <w:color w:val="000000"/>
          <w:sz w:val="20"/>
          <w:szCs w:val="20"/>
          <w:lang w:val="es-ES"/>
        </w:rPr>
        <w:t xml:space="preserve">con </w:t>
      </w:r>
      <w:r w:rsidRPr="00975C02">
        <w:rPr>
          <w:color w:val="000000"/>
          <w:sz w:val="20"/>
          <w:szCs w:val="20"/>
          <w:lang w:val="es-ES"/>
        </w:rPr>
        <w:t xml:space="preserve">base </w:t>
      </w:r>
      <w:r w:rsidR="00884552" w:rsidRPr="00975C02">
        <w:rPr>
          <w:color w:val="000000"/>
          <w:sz w:val="20"/>
          <w:szCs w:val="20"/>
          <w:lang w:val="es-ES"/>
        </w:rPr>
        <w:t>en</w:t>
      </w:r>
      <w:r w:rsidRPr="00975C02">
        <w:rPr>
          <w:color w:val="000000"/>
          <w:sz w:val="20"/>
          <w:szCs w:val="20"/>
          <w:lang w:val="es-ES"/>
        </w:rPr>
        <w:t xml:space="preserve"> preguntas que pueden formularles sobre circunstancias que afecten su imparcialidad</w:t>
      </w:r>
      <w:r w:rsidRPr="00975C02">
        <w:rPr>
          <w:rStyle w:val="FootnoteReference"/>
          <w:color w:val="000000"/>
          <w:sz w:val="20"/>
          <w:szCs w:val="20"/>
          <w:lang w:val="es-ES"/>
        </w:rPr>
        <w:footnoteReference w:id="359"/>
      </w:r>
      <w:r w:rsidRPr="00975C02">
        <w:rPr>
          <w:color w:val="000000"/>
          <w:sz w:val="20"/>
          <w:szCs w:val="20"/>
          <w:lang w:val="es-ES"/>
        </w:rPr>
        <w:t>.</w:t>
      </w:r>
      <w:r w:rsidRPr="00975C02">
        <w:rPr>
          <w:sz w:val="20"/>
          <w:szCs w:val="20"/>
          <w:lang w:val="es-ES"/>
        </w:rPr>
        <w:t xml:space="preserve"> Por otra parte, la normativa de Estados Unidos</w:t>
      </w:r>
      <w:r w:rsidRPr="00975C02">
        <w:rPr>
          <w:rStyle w:val="FootnoteReference"/>
          <w:sz w:val="20"/>
          <w:szCs w:val="20"/>
          <w:lang w:val="es-ES"/>
        </w:rPr>
        <w:footnoteReference w:id="360"/>
      </w:r>
      <w:r w:rsidRPr="00975C02">
        <w:rPr>
          <w:sz w:val="20"/>
          <w:szCs w:val="20"/>
          <w:lang w:val="es-ES"/>
        </w:rPr>
        <w:t xml:space="preserve"> y de la provincia argentina de Chaco</w:t>
      </w:r>
      <w:r w:rsidRPr="00975C02">
        <w:rPr>
          <w:rStyle w:val="FootnoteReference"/>
          <w:sz w:val="20"/>
          <w:szCs w:val="20"/>
          <w:lang w:val="es-ES"/>
        </w:rPr>
        <w:footnoteReference w:id="361"/>
      </w:r>
      <w:r w:rsidRPr="00975C02">
        <w:rPr>
          <w:sz w:val="20"/>
          <w:szCs w:val="20"/>
          <w:lang w:val="es-ES"/>
        </w:rPr>
        <w:t xml:space="preserve"> establecen la facultad de las partes o del juez, tras el resultado del veredicto, de indagar a los jurados individualmente sobre la efectiva existencia de unanimidad en la decisión del veredicto. La legislación de la provincia argentina de Córdoba</w:t>
      </w:r>
      <w:r w:rsidRPr="00975C02">
        <w:rPr>
          <w:rStyle w:val="FootnoteReference"/>
          <w:sz w:val="20"/>
          <w:szCs w:val="20"/>
          <w:lang w:val="es-ES"/>
        </w:rPr>
        <w:footnoteReference w:id="362"/>
      </w:r>
      <w:r w:rsidRPr="00975C02">
        <w:rPr>
          <w:sz w:val="20"/>
          <w:szCs w:val="20"/>
          <w:lang w:val="es-ES"/>
        </w:rPr>
        <w:t xml:space="preserve"> prevé también cursos de capacitación para ciudadanos con el objeto de promover el conocimiento y adecuado cumplimiento de la función judicial de los jurados. La asistencia y aprobación de dichos cursos no constituye un requisito para ejercer la función del jurado, pero sirve para acreditar </w:t>
      </w:r>
      <w:r w:rsidR="00884552" w:rsidRPr="00975C02">
        <w:rPr>
          <w:sz w:val="20"/>
          <w:szCs w:val="20"/>
          <w:lang w:val="es-ES"/>
        </w:rPr>
        <w:t xml:space="preserve">la </w:t>
      </w:r>
      <w:r w:rsidRPr="00975C02">
        <w:rPr>
          <w:sz w:val="20"/>
          <w:szCs w:val="20"/>
          <w:lang w:val="es-ES"/>
        </w:rPr>
        <w:t>idoneidad para cumplirla.</w:t>
      </w:r>
    </w:p>
    <w:p w14:paraId="0B67CB6C" w14:textId="77777777" w:rsidR="00327B38" w:rsidRPr="00975C02" w:rsidRDefault="00327B38" w:rsidP="00327B38">
      <w:pPr>
        <w:widowControl/>
        <w:tabs>
          <w:tab w:val="left" w:pos="567"/>
        </w:tabs>
        <w:adjustRightInd/>
        <w:spacing w:line="240" w:lineRule="auto"/>
        <w:textAlignment w:val="auto"/>
        <w:rPr>
          <w:sz w:val="20"/>
          <w:szCs w:val="20"/>
          <w:lang w:val="es-ES" w:eastAsia="en-US"/>
        </w:rPr>
      </w:pPr>
    </w:p>
    <w:p w14:paraId="27F3AD7A" w14:textId="77777777" w:rsidR="0041516D" w:rsidRPr="00975C02" w:rsidRDefault="00B5625C" w:rsidP="00730B0A">
      <w:pPr>
        <w:widowControl/>
        <w:numPr>
          <w:ilvl w:val="0"/>
          <w:numId w:val="2"/>
        </w:numPr>
        <w:tabs>
          <w:tab w:val="left" w:pos="567"/>
          <w:tab w:val="num" w:pos="12305"/>
        </w:tabs>
        <w:adjustRightInd/>
        <w:spacing w:line="240" w:lineRule="auto"/>
        <w:ind w:left="0" w:firstLine="0"/>
        <w:textAlignment w:val="auto"/>
        <w:rPr>
          <w:sz w:val="16"/>
          <w:szCs w:val="16"/>
          <w:lang w:val="es-ES" w:eastAsia="en-US"/>
        </w:rPr>
      </w:pPr>
      <w:r w:rsidRPr="00975C02">
        <w:rPr>
          <w:sz w:val="20"/>
          <w:szCs w:val="20"/>
          <w:lang w:val="es-ES" w:eastAsia="en-US"/>
        </w:rPr>
        <w:lastRenderedPageBreak/>
        <w:t xml:space="preserve">En ese sentido el Tribunal Europeo de Derechos Humanos ha </w:t>
      </w:r>
      <w:r w:rsidR="0041516D" w:rsidRPr="00975C02">
        <w:rPr>
          <w:sz w:val="20"/>
          <w:szCs w:val="20"/>
          <w:lang w:val="es-ES" w:eastAsia="en-US"/>
        </w:rPr>
        <w:t xml:space="preserve">determinado que el sistema de decisión por íntima convicción no vulnera en sí el derecho a un juicio justo siempre que, del conjunto de actuaciones realizadas en el procedimiento, la persona interesada –en ese caso la condenada- pueda entender las razones de la </w:t>
      </w:r>
      <w:r w:rsidR="00FD4557" w:rsidRPr="00975C02">
        <w:rPr>
          <w:sz w:val="20"/>
          <w:szCs w:val="20"/>
          <w:lang w:val="es-ES" w:eastAsia="en-US"/>
        </w:rPr>
        <w:t>decisión</w:t>
      </w:r>
      <w:r w:rsidR="0041516D" w:rsidRPr="00975C02">
        <w:rPr>
          <w:sz w:val="20"/>
          <w:szCs w:val="20"/>
          <w:vertAlign w:val="superscript"/>
          <w:lang w:val="es-ES" w:eastAsia="en-US"/>
        </w:rPr>
        <w:footnoteReference w:id="363"/>
      </w:r>
      <w:r w:rsidR="0041516D" w:rsidRPr="00975C02">
        <w:rPr>
          <w:sz w:val="20"/>
          <w:szCs w:val="20"/>
          <w:lang w:val="es-ES" w:eastAsia="en-US"/>
        </w:rPr>
        <w:t>.</w:t>
      </w:r>
      <w:r w:rsidRPr="00975C02">
        <w:rPr>
          <w:sz w:val="20"/>
          <w:szCs w:val="20"/>
          <w:lang w:val="es-ES" w:eastAsia="en-US"/>
        </w:rPr>
        <w:t xml:space="preserve"> De esta forma, el Tribunal Europeo ha</w:t>
      </w:r>
      <w:r w:rsidR="0041516D" w:rsidRPr="00975C02">
        <w:rPr>
          <w:sz w:val="20"/>
          <w:szCs w:val="20"/>
          <w:lang w:val="es-ES" w:eastAsia="en-US"/>
        </w:rPr>
        <w:t xml:space="preserve"> precisado que:</w:t>
      </w:r>
    </w:p>
    <w:p w14:paraId="4A52E07C" w14:textId="77777777" w:rsidR="0041516D" w:rsidRPr="00975C02" w:rsidRDefault="0041516D" w:rsidP="0041516D">
      <w:pPr>
        <w:widowControl/>
        <w:tabs>
          <w:tab w:val="left" w:pos="567"/>
        </w:tabs>
        <w:adjustRightInd/>
        <w:spacing w:line="240" w:lineRule="auto"/>
        <w:ind w:left="567" w:right="582"/>
        <w:textAlignment w:val="auto"/>
        <w:rPr>
          <w:sz w:val="16"/>
          <w:szCs w:val="16"/>
          <w:lang w:val="es-ES" w:eastAsia="en-US"/>
        </w:rPr>
      </w:pPr>
    </w:p>
    <w:p w14:paraId="687AD39B" w14:textId="77777777" w:rsidR="0041516D" w:rsidRPr="00975C02" w:rsidRDefault="0041516D" w:rsidP="00520517">
      <w:pPr>
        <w:widowControl/>
        <w:adjustRightInd/>
        <w:spacing w:line="240" w:lineRule="auto"/>
        <w:ind w:left="567" w:right="582"/>
        <w:textAlignment w:val="auto"/>
        <w:rPr>
          <w:sz w:val="16"/>
          <w:szCs w:val="16"/>
          <w:lang w:val="es-ES" w:eastAsia="en-US"/>
        </w:rPr>
      </w:pPr>
      <w:r w:rsidRPr="00975C02">
        <w:rPr>
          <w:sz w:val="16"/>
          <w:szCs w:val="16"/>
          <w:lang w:val="es-ES"/>
        </w:rPr>
        <w:t xml:space="preserve">Teniendo en cuenta el hecho de que el cumplimiento de las exigencias del proceso justo se aprecia sobre la base del conjunto del procedimiento y dentro del contexto específico del sistema jurídico en cuestión, la tarea del Tribunal, frente a un veredicto no fundamentado, consiste en examinar si, a la luz de todas las circunstancias </w:t>
      </w:r>
      <w:r w:rsidRPr="00975C02">
        <w:rPr>
          <w:sz w:val="16"/>
          <w:szCs w:val="16"/>
          <w:lang w:val="es-ES" w:eastAsia="en-US"/>
        </w:rPr>
        <w:t>de</w:t>
      </w:r>
      <w:r w:rsidRPr="00975C02">
        <w:rPr>
          <w:sz w:val="16"/>
          <w:szCs w:val="16"/>
          <w:lang w:val="es-ES"/>
        </w:rPr>
        <w:t xml:space="preserve"> la causa, el procedimiento seguido ofreció suficientes garantías contra la arbitrariedad y permitió al acusado comprender su condena</w:t>
      </w:r>
      <w:r w:rsidRPr="00975C02">
        <w:rPr>
          <w:sz w:val="16"/>
          <w:szCs w:val="16"/>
          <w:vertAlign w:val="superscript"/>
          <w:lang w:val="es-ES"/>
        </w:rPr>
        <w:footnoteReference w:id="364"/>
      </w:r>
      <w:r w:rsidRPr="00975C02">
        <w:rPr>
          <w:sz w:val="16"/>
          <w:szCs w:val="16"/>
          <w:lang w:val="es-ES"/>
        </w:rPr>
        <w:t>.</w:t>
      </w:r>
    </w:p>
    <w:p w14:paraId="4B14C3FD" w14:textId="77777777" w:rsidR="00327B38" w:rsidRPr="00975C02" w:rsidRDefault="00327B38" w:rsidP="00327B38">
      <w:pPr>
        <w:widowControl/>
        <w:tabs>
          <w:tab w:val="left" w:pos="567"/>
        </w:tabs>
        <w:adjustRightInd/>
        <w:spacing w:line="240" w:lineRule="auto"/>
        <w:textAlignment w:val="auto"/>
        <w:rPr>
          <w:b/>
          <w:sz w:val="20"/>
          <w:lang w:val="es-ES" w:eastAsia="en-US"/>
        </w:rPr>
      </w:pPr>
    </w:p>
    <w:p w14:paraId="01D03BCA" w14:textId="77777777" w:rsidR="00127805" w:rsidRPr="00975C02" w:rsidRDefault="00127805" w:rsidP="004616A4">
      <w:pPr>
        <w:widowControl/>
        <w:numPr>
          <w:ilvl w:val="0"/>
          <w:numId w:val="2"/>
        </w:numPr>
        <w:tabs>
          <w:tab w:val="left" w:pos="567"/>
          <w:tab w:val="num" w:pos="12305"/>
        </w:tabs>
        <w:adjustRightInd/>
        <w:spacing w:line="240" w:lineRule="auto"/>
        <w:ind w:left="0" w:firstLine="0"/>
        <w:textAlignment w:val="auto"/>
        <w:rPr>
          <w:sz w:val="20"/>
          <w:szCs w:val="20"/>
          <w:lang w:val="es-ES"/>
        </w:rPr>
      </w:pPr>
      <w:r w:rsidRPr="00975C02">
        <w:rPr>
          <w:sz w:val="20"/>
          <w:szCs w:val="20"/>
          <w:lang w:val="es-ES"/>
        </w:rPr>
        <w:t xml:space="preserve">La íntima convicción no es un criterio arbitrario. La libre valoración que hace el jurado no es sustancialmente diferente de la que puede hacer un juez técnico, sólo que no lo expresa. En definitiva, cualquier tribunal (técnico o popular) debe reconstruir un hecho pasado, para lo cual utiliza la lógica metodológica que es común a cualquier persona, pues no depende de que tenga o no formación o entrenamiento jurídico. Toda persona que debe reconstruir un hecho del pasado, consciente o inconscientemente, emplea el método histórico, o sea, en un primer paso delimita las pruebas que tendrá en cuenta (heurística); a continuación valora si esas pruebas no son </w:t>
      </w:r>
      <w:r w:rsidRPr="00975C02">
        <w:rPr>
          <w:sz w:val="20"/>
          <w:szCs w:val="20"/>
          <w:lang w:val="es-ES" w:eastAsia="en-US"/>
        </w:rPr>
        <w:t>materialmente</w:t>
      </w:r>
      <w:r w:rsidRPr="00975C02">
        <w:rPr>
          <w:sz w:val="20"/>
          <w:szCs w:val="20"/>
          <w:lang w:val="es-ES"/>
        </w:rPr>
        <w:t xml:space="preserve"> falsas (crítica externa); luego valora la verosimilitud del contenido de las pruebas (crítica interna) y, finalmente, llega a la síntesis. Quien valora el veredicto de un jurado, necesariamente debe reconstruir este camino, no bastando para descartarlo cualquier criterio diferente acerca de las críticas. Para descartar el veredicto de un jurado debe verificarse que la síntesis se aparte directamente de la lógica metodológica histórica antes referida, que es lo que sucede en el caso.</w:t>
      </w:r>
    </w:p>
    <w:p w14:paraId="65760EA5" w14:textId="77777777" w:rsidR="00127805" w:rsidRPr="00975C02" w:rsidRDefault="00127805" w:rsidP="00327B38">
      <w:pPr>
        <w:widowControl/>
        <w:tabs>
          <w:tab w:val="left" w:pos="567"/>
        </w:tabs>
        <w:adjustRightInd/>
        <w:spacing w:line="240" w:lineRule="auto"/>
        <w:textAlignment w:val="auto"/>
        <w:rPr>
          <w:sz w:val="20"/>
          <w:lang w:val="es-ES" w:eastAsia="en-US"/>
        </w:rPr>
      </w:pPr>
    </w:p>
    <w:p w14:paraId="76AFA337" w14:textId="722EE44C" w:rsidR="00327B38" w:rsidRPr="00975C02" w:rsidRDefault="001E5DF9" w:rsidP="00327B38">
      <w:pPr>
        <w:widowControl/>
        <w:numPr>
          <w:ilvl w:val="0"/>
          <w:numId w:val="2"/>
        </w:numPr>
        <w:tabs>
          <w:tab w:val="left" w:pos="567"/>
          <w:tab w:val="num" w:pos="12305"/>
        </w:tabs>
        <w:adjustRightInd/>
        <w:spacing w:line="240" w:lineRule="auto"/>
        <w:ind w:left="0" w:firstLine="0"/>
        <w:textAlignment w:val="auto"/>
        <w:rPr>
          <w:sz w:val="20"/>
          <w:lang w:val="es-ES" w:eastAsia="en-US"/>
        </w:rPr>
      </w:pPr>
      <w:r w:rsidRPr="00975C02">
        <w:rPr>
          <w:sz w:val="20"/>
          <w:szCs w:val="20"/>
          <w:lang w:val="es-ES" w:eastAsia="en-US"/>
        </w:rPr>
        <w:t>Por consiguiente, la Corte considera que lo que corresponde analizar es si el procedimiento penal en su conjunto ofreció mecanismos de salvaguardia contra la arbitrariedad y que permit</w:t>
      </w:r>
      <w:r w:rsidR="003245CC" w:rsidRPr="00975C02">
        <w:rPr>
          <w:sz w:val="20"/>
          <w:szCs w:val="20"/>
          <w:lang w:val="es-ES" w:eastAsia="en-US"/>
        </w:rPr>
        <w:t>ier</w:t>
      </w:r>
      <w:r w:rsidRPr="00975C02">
        <w:rPr>
          <w:sz w:val="20"/>
          <w:szCs w:val="20"/>
          <w:lang w:val="es-ES" w:eastAsia="en-US"/>
        </w:rPr>
        <w:t xml:space="preserve">an comprender las razones del veredicto –no acotado al acusado sino también a la víctima o a la parte acusadora-. En esencia, </w:t>
      </w:r>
      <w:r w:rsidR="00327B38" w:rsidRPr="00975C02">
        <w:rPr>
          <w:sz w:val="20"/>
          <w:lang w:val="es-ES" w:eastAsia="en-US"/>
        </w:rPr>
        <w:t xml:space="preserve">la necesidad de que el imputado y la víctima del delito </w:t>
      </w:r>
      <w:r w:rsidR="00327B38" w:rsidRPr="00975C02">
        <w:rPr>
          <w:sz w:val="20"/>
          <w:szCs w:val="20"/>
          <w:lang w:val="es-ES" w:eastAsia="en-US"/>
        </w:rPr>
        <w:t>o la parte acusadora</w:t>
      </w:r>
      <w:r w:rsidR="00327B38" w:rsidRPr="00975C02">
        <w:rPr>
          <w:sz w:val="20"/>
          <w:lang w:val="es-ES" w:eastAsia="en-US"/>
        </w:rPr>
        <w:t xml:space="preserve"> comprendan las razones de la decisión de culpabilidad o inocencia, que adopta el jurado a través de su veredicto, mantiene plena vigencia, como garantía contra la arbitrariedad</w:t>
      </w:r>
      <w:r w:rsidR="00327B38" w:rsidRPr="00975C02">
        <w:rPr>
          <w:sz w:val="20"/>
          <w:vertAlign w:val="superscript"/>
          <w:lang w:val="es-ES" w:eastAsia="en-US"/>
        </w:rPr>
        <w:footnoteReference w:id="365"/>
      </w:r>
      <w:r w:rsidR="00327B38" w:rsidRPr="00975C02">
        <w:rPr>
          <w:sz w:val="20"/>
          <w:lang w:val="es-ES" w:eastAsia="en-US"/>
        </w:rPr>
        <w:t>.</w:t>
      </w:r>
    </w:p>
    <w:p w14:paraId="4B155ACF" w14:textId="77777777" w:rsidR="00327B38" w:rsidRPr="00975C02" w:rsidRDefault="00327B38" w:rsidP="00327B38">
      <w:pPr>
        <w:widowControl/>
        <w:tabs>
          <w:tab w:val="left" w:pos="567"/>
        </w:tabs>
        <w:adjustRightInd/>
        <w:spacing w:line="240" w:lineRule="auto"/>
        <w:textAlignment w:val="auto"/>
        <w:rPr>
          <w:sz w:val="20"/>
          <w:szCs w:val="20"/>
          <w:lang w:val="es-ES" w:eastAsia="en-US"/>
        </w:rPr>
      </w:pPr>
    </w:p>
    <w:p w14:paraId="0D498B59" w14:textId="77777777" w:rsidR="00B5625C" w:rsidRPr="00975C02" w:rsidRDefault="00B5625C" w:rsidP="00F950BC">
      <w:pPr>
        <w:widowControl/>
        <w:numPr>
          <w:ilvl w:val="0"/>
          <w:numId w:val="2"/>
        </w:numPr>
        <w:tabs>
          <w:tab w:val="left" w:pos="567"/>
          <w:tab w:val="num" w:pos="12305"/>
        </w:tabs>
        <w:adjustRightInd/>
        <w:spacing w:line="240" w:lineRule="auto"/>
        <w:ind w:left="0" w:firstLine="0"/>
        <w:textAlignment w:val="auto"/>
        <w:rPr>
          <w:sz w:val="20"/>
          <w:szCs w:val="20"/>
          <w:lang w:val="es-ES" w:eastAsia="en-US"/>
        </w:rPr>
      </w:pPr>
      <w:r w:rsidRPr="00975C02">
        <w:rPr>
          <w:sz w:val="20"/>
          <w:lang w:val="es-ES" w:eastAsia="en-US"/>
        </w:rPr>
        <w:t>Ahora</w:t>
      </w:r>
      <w:r w:rsidRPr="00975C02">
        <w:rPr>
          <w:sz w:val="20"/>
          <w:szCs w:val="20"/>
          <w:lang w:val="es-ES" w:eastAsia="en-US"/>
        </w:rPr>
        <w:t xml:space="preserve"> bien, es necesario resaltar que el proceso penal por casos de violencia sexual lleva ínsito una serie de dificultades técnicas propias que hacen difícil su enjuiciamiento. Es común que existan escasas pruebas sobre lo sucedido, que el acusado afirme su inocencia, y que la discusión se circunscriba a la palabra de una persona contra otra. A ello se suman los prejuicios e ideas </w:t>
      </w:r>
      <w:r w:rsidR="00F950BC" w:rsidRPr="00975C02">
        <w:rPr>
          <w:sz w:val="20"/>
          <w:szCs w:val="20"/>
          <w:lang w:val="es-ES" w:eastAsia="en-US"/>
        </w:rPr>
        <w:t xml:space="preserve">preconcebidas y estereotipadas propias del sistema patriarcal </w:t>
      </w:r>
      <w:r w:rsidRPr="00975C02">
        <w:rPr>
          <w:sz w:val="20"/>
          <w:szCs w:val="20"/>
          <w:lang w:val="es-ES" w:eastAsia="en-US"/>
        </w:rPr>
        <w:t xml:space="preserve">que existen en el imaginario social </w:t>
      </w:r>
      <w:r w:rsidR="00F950BC" w:rsidRPr="00975C02">
        <w:rPr>
          <w:sz w:val="20"/>
          <w:szCs w:val="20"/>
          <w:lang w:val="es-ES" w:eastAsia="en-US"/>
        </w:rPr>
        <w:t>en torno a la</w:t>
      </w:r>
      <w:r w:rsidRPr="00975C02">
        <w:rPr>
          <w:sz w:val="20"/>
          <w:szCs w:val="20"/>
          <w:lang w:val="es-ES" w:eastAsia="en-US"/>
        </w:rPr>
        <w:t xml:space="preserve"> violencia sexual. Los jurados son susceptibles de trasladar al procedimiento tales prejuicios e ideas y ser </w:t>
      </w:r>
      <w:r w:rsidRPr="00975C02">
        <w:rPr>
          <w:sz w:val="20"/>
          <w:lang w:val="es-ES" w:eastAsia="en-US"/>
        </w:rPr>
        <w:t>influenciados</w:t>
      </w:r>
      <w:r w:rsidRPr="00975C02">
        <w:rPr>
          <w:sz w:val="20"/>
          <w:szCs w:val="20"/>
          <w:lang w:val="es-ES" w:eastAsia="en-US"/>
        </w:rPr>
        <w:t xml:space="preserve"> por ellos al momento de valorar la credibilidad de la víctima y la </w:t>
      </w:r>
      <w:r w:rsidRPr="00975C02">
        <w:rPr>
          <w:sz w:val="20"/>
          <w:lang w:val="es-ES" w:eastAsia="en-US"/>
        </w:rPr>
        <w:t>culpabilidad</w:t>
      </w:r>
      <w:r w:rsidRPr="00975C02">
        <w:rPr>
          <w:sz w:val="20"/>
          <w:szCs w:val="20"/>
          <w:lang w:val="es-ES" w:eastAsia="en-US"/>
        </w:rPr>
        <w:t xml:space="preserve"> del acusado, condicionando de modo especial a quienes no poseen una capacitación es</w:t>
      </w:r>
      <w:r w:rsidR="004727F1" w:rsidRPr="00975C02">
        <w:rPr>
          <w:sz w:val="20"/>
          <w:szCs w:val="20"/>
          <w:lang w:val="es-ES" w:eastAsia="en-US"/>
        </w:rPr>
        <w:t>pecial en este tipo de delitos.</w:t>
      </w:r>
    </w:p>
    <w:p w14:paraId="59738822" w14:textId="77777777" w:rsidR="00B5625C" w:rsidRPr="00975C02" w:rsidRDefault="00B5625C" w:rsidP="00B5625C">
      <w:pPr>
        <w:widowControl/>
        <w:adjustRightInd/>
        <w:spacing w:line="240" w:lineRule="auto"/>
        <w:textAlignment w:val="auto"/>
        <w:rPr>
          <w:sz w:val="20"/>
          <w:szCs w:val="20"/>
          <w:lang w:val="es-ES" w:eastAsia="en-US"/>
        </w:rPr>
      </w:pPr>
    </w:p>
    <w:p w14:paraId="403A6009" w14:textId="77777777" w:rsidR="00B5625C" w:rsidRPr="00975C02" w:rsidRDefault="004727F1" w:rsidP="005B0E5F">
      <w:pPr>
        <w:widowControl/>
        <w:numPr>
          <w:ilvl w:val="0"/>
          <w:numId w:val="2"/>
        </w:numPr>
        <w:tabs>
          <w:tab w:val="left" w:pos="567"/>
          <w:tab w:val="num" w:pos="12305"/>
        </w:tabs>
        <w:adjustRightInd/>
        <w:spacing w:line="240" w:lineRule="auto"/>
        <w:ind w:left="0" w:firstLine="0"/>
        <w:textAlignment w:val="auto"/>
        <w:rPr>
          <w:rFonts w:cs="Arial"/>
          <w:bCs/>
          <w:sz w:val="20"/>
          <w:szCs w:val="20"/>
          <w:lang w:val="es-ES"/>
        </w:rPr>
      </w:pPr>
      <w:r w:rsidRPr="00975C02">
        <w:rPr>
          <w:rFonts w:cs="Arial"/>
          <w:bCs/>
          <w:sz w:val="20"/>
          <w:szCs w:val="20"/>
          <w:lang w:val="es-ES"/>
        </w:rPr>
        <w:t>En razón de lo anterior</w:t>
      </w:r>
      <w:r w:rsidR="00B5625C" w:rsidRPr="00975C02">
        <w:rPr>
          <w:rFonts w:cs="Arial"/>
          <w:bCs/>
          <w:sz w:val="20"/>
          <w:szCs w:val="20"/>
          <w:lang w:val="es-ES"/>
        </w:rPr>
        <w:t>, en el caso de juicio por jurados, algunos sistemas prevén</w:t>
      </w:r>
      <w:r w:rsidR="003E488F" w:rsidRPr="00975C02">
        <w:rPr>
          <w:rFonts w:cs="Arial"/>
          <w:bCs/>
          <w:sz w:val="20"/>
          <w:szCs w:val="20"/>
          <w:lang w:val="es-ES"/>
        </w:rPr>
        <w:t>, como buenas prácticas,</w:t>
      </w:r>
      <w:r w:rsidR="00B5625C" w:rsidRPr="00975C02">
        <w:rPr>
          <w:rFonts w:cs="Arial"/>
          <w:bCs/>
          <w:sz w:val="20"/>
          <w:szCs w:val="20"/>
          <w:lang w:val="es-ES"/>
        </w:rPr>
        <w:t xml:space="preserve"> </w:t>
      </w:r>
      <w:r w:rsidR="003E488F" w:rsidRPr="00975C02">
        <w:rPr>
          <w:rFonts w:cs="Arial"/>
          <w:bCs/>
          <w:sz w:val="20"/>
          <w:szCs w:val="20"/>
          <w:lang w:val="es-ES"/>
        </w:rPr>
        <w:t xml:space="preserve">medidas para mitigar el impacto de tales </w:t>
      </w:r>
      <w:r w:rsidR="005C6502" w:rsidRPr="00975C02">
        <w:rPr>
          <w:rFonts w:cs="Arial"/>
          <w:bCs/>
          <w:sz w:val="20"/>
          <w:szCs w:val="20"/>
          <w:lang w:val="es-ES"/>
        </w:rPr>
        <w:t>condiciones</w:t>
      </w:r>
      <w:r w:rsidR="003E488F" w:rsidRPr="00975C02">
        <w:rPr>
          <w:rFonts w:cs="Arial"/>
          <w:bCs/>
          <w:sz w:val="20"/>
          <w:szCs w:val="20"/>
          <w:lang w:val="es-ES"/>
        </w:rPr>
        <w:t>. Así, establecen, por ejemplo,</w:t>
      </w:r>
      <w:r w:rsidR="00B5625C" w:rsidRPr="00975C02">
        <w:rPr>
          <w:rFonts w:cs="Arial"/>
          <w:bCs/>
          <w:sz w:val="20"/>
          <w:szCs w:val="20"/>
          <w:lang w:val="es-ES"/>
        </w:rPr>
        <w:t xml:space="preserve"> el ofrecimiento de pruebas de expertos, </w:t>
      </w:r>
      <w:r w:rsidR="00B5625C" w:rsidRPr="00975C02">
        <w:rPr>
          <w:sz w:val="20"/>
          <w:lang w:val="es-ES" w:eastAsia="en-US"/>
        </w:rPr>
        <w:t>llamadas</w:t>
      </w:r>
      <w:r w:rsidR="00B5625C" w:rsidRPr="00975C02">
        <w:rPr>
          <w:rFonts w:cs="Arial"/>
          <w:bCs/>
          <w:sz w:val="20"/>
          <w:szCs w:val="20"/>
          <w:lang w:val="es-ES"/>
        </w:rPr>
        <w:t xml:space="preserve"> pruebas contra-intuitivas, dirigidas a brindar información a los jurados sobre las particularidades de los hechos que se enjuiciarán, a fin de que puedan realizar una valoración de la prueba lo más objetivamente posible. Asimismo, se </w:t>
      </w:r>
      <w:r w:rsidR="003E488F" w:rsidRPr="00975C02">
        <w:rPr>
          <w:rFonts w:cs="Arial"/>
          <w:bCs/>
          <w:sz w:val="20"/>
          <w:szCs w:val="20"/>
          <w:lang w:val="es-ES"/>
        </w:rPr>
        <w:t>asigna</w:t>
      </w:r>
      <w:r w:rsidR="00B5625C" w:rsidRPr="00975C02">
        <w:rPr>
          <w:rFonts w:cs="Arial"/>
          <w:bCs/>
          <w:sz w:val="20"/>
          <w:szCs w:val="20"/>
          <w:lang w:val="es-ES"/>
        </w:rPr>
        <w:t xml:space="preserve"> </w:t>
      </w:r>
      <w:r w:rsidR="003E488F" w:rsidRPr="00975C02">
        <w:rPr>
          <w:rFonts w:cs="Arial"/>
          <w:bCs/>
          <w:sz w:val="20"/>
          <w:szCs w:val="20"/>
          <w:lang w:val="es-ES"/>
        </w:rPr>
        <w:t>a</w:t>
      </w:r>
      <w:r w:rsidR="00B5625C" w:rsidRPr="00975C02">
        <w:rPr>
          <w:rFonts w:cs="Arial"/>
          <w:bCs/>
          <w:sz w:val="20"/>
          <w:szCs w:val="20"/>
          <w:lang w:val="es-ES"/>
        </w:rPr>
        <w:t>l juez</w:t>
      </w:r>
      <w:r w:rsidR="00043EAF" w:rsidRPr="00975C02">
        <w:rPr>
          <w:rFonts w:cs="Arial"/>
          <w:bCs/>
          <w:sz w:val="20"/>
          <w:szCs w:val="20"/>
          <w:lang w:val="es-ES"/>
        </w:rPr>
        <w:t xml:space="preserve"> técnico</w:t>
      </w:r>
      <w:r w:rsidR="00B5625C" w:rsidRPr="00975C02">
        <w:rPr>
          <w:rFonts w:cs="Arial"/>
          <w:bCs/>
          <w:sz w:val="20"/>
          <w:szCs w:val="20"/>
          <w:lang w:val="es-ES"/>
        </w:rPr>
        <w:t xml:space="preserve"> </w:t>
      </w:r>
      <w:r w:rsidR="003E488F" w:rsidRPr="00975C02">
        <w:rPr>
          <w:rFonts w:cs="Arial"/>
          <w:bCs/>
          <w:sz w:val="20"/>
          <w:szCs w:val="20"/>
          <w:lang w:val="es-ES"/>
        </w:rPr>
        <w:t xml:space="preserve">la función de </w:t>
      </w:r>
      <w:r w:rsidR="00B5625C" w:rsidRPr="00975C02">
        <w:rPr>
          <w:rFonts w:cs="Arial"/>
          <w:bCs/>
          <w:sz w:val="20"/>
          <w:szCs w:val="20"/>
          <w:lang w:val="es-ES"/>
        </w:rPr>
        <w:t xml:space="preserve">brindar instrucciones a los jurados sobre la forma de analizar </w:t>
      </w:r>
      <w:r w:rsidR="005C6502" w:rsidRPr="00975C02">
        <w:rPr>
          <w:rFonts w:cs="Arial"/>
          <w:bCs/>
          <w:sz w:val="20"/>
          <w:szCs w:val="20"/>
          <w:lang w:val="es-ES"/>
        </w:rPr>
        <w:t>determinadas</w:t>
      </w:r>
      <w:r w:rsidR="00B5625C" w:rsidRPr="00975C02">
        <w:rPr>
          <w:rFonts w:cs="Arial"/>
          <w:bCs/>
          <w:sz w:val="20"/>
          <w:szCs w:val="20"/>
          <w:lang w:val="es-ES"/>
        </w:rPr>
        <w:t xml:space="preserve"> pruebas en el procedimiento</w:t>
      </w:r>
      <w:r w:rsidR="00D06B55" w:rsidRPr="00975C02">
        <w:rPr>
          <w:rFonts w:cs="Arial"/>
          <w:bCs/>
          <w:sz w:val="20"/>
          <w:szCs w:val="20"/>
          <w:lang w:val="es-ES"/>
        </w:rPr>
        <w:t xml:space="preserve"> o bien se establecen </w:t>
      </w:r>
      <w:r w:rsidR="00D06B55" w:rsidRPr="00975C02">
        <w:rPr>
          <w:rFonts w:eastAsia="Calibri"/>
          <w:kern w:val="1"/>
          <w:sz w:val="20"/>
          <w:lang w:val="es-ES" w:eastAsia="en-US"/>
        </w:rPr>
        <w:t xml:space="preserve">preguntas que el jurado debiera </w:t>
      </w:r>
      <w:r w:rsidR="00D06B55" w:rsidRPr="00975C02">
        <w:rPr>
          <w:sz w:val="20"/>
          <w:lang w:val="es-ES" w:eastAsia="en-US"/>
        </w:rPr>
        <w:lastRenderedPageBreak/>
        <w:t>contestar a través del veredicto</w:t>
      </w:r>
      <w:r w:rsidR="00B5625C" w:rsidRPr="00975C02">
        <w:rPr>
          <w:rFonts w:cs="Arial"/>
          <w:bCs/>
          <w:sz w:val="20"/>
          <w:szCs w:val="20"/>
          <w:lang w:val="es-ES"/>
        </w:rPr>
        <w:t xml:space="preserve">. Por otra parte, en algunos sistemas se prevé una etapa especial, conocida en el sistema anglosajón como </w:t>
      </w:r>
      <w:r w:rsidR="00B5625C" w:rsidRPr="00975C02">
        <w:rPr>
          <w:rFonts w:cs="Arial"/>
          <w:bCs/>
          <w:i/>
          <w:sz w:val="20"/>
          <w:szCs w:val="20"/>
          <w:lang w:val="es-ES"/>
        </w:rPr>
        <w:t>voir dire</w:t>
      </w:r>
      <w:r w:rsidR="00B5625C" w:rsidRPr="00975C02">
        <w:rPr>
          <w:rFonts w:cs="Arial"/>
          <w:bCs/>
          <w:sz w:val="20"/>
          <w:szCs w:val="20"/>
          <w:lang w:val="es-ES"/>
        </w:rPr>
        <w:t>, para la selección de los jurados con carácter previo al juicio, en la cual las partes tienen la facultad de vetar a aquellas personas que les puedan significar parciales o no aptas para el juzgamiento del caso.</w:t>
      </w:r>
    </w:p>
    <w:p w14:paraId="1A831163" w14:textId="77777777" w:rsidR="00B5625C" w:rsidRPr="00975C02" w:rsidRDefault="00B5625C" w:rsidP="00B5625C">
      <w:pPr>
        <w:widowControl/>
        <w:adjustRightInd/>
        <w:spacing w:line="240" w:lineRule="auto"/>
        <w:textAlignment w:val="auto"/>
        <w:rPr>
          <w:sz w:val="20"/>
          <w:szCs w:val="20"/>
          <w:lang w:val="es-ES" w:eastAsia="en-US"/>
        </w:rPr>
      </w:pPr>
    </w:p>
    <w:p w14:paraId="42953314" w14:textId="77777777" w:rsidR="00B5625C" w:rsidRPr="00975C02" w:rsidRDefault="00B5625C" w:rsidP="00374EE4">
      <w:pPr>
        <w:widowControl/>
        <w:numPr>
          <w:ilvl w:val="0"/>
          <w:numId w:val="2"/>
        </w:numPr>
        <w:tabs>
          <w:tab w:val="left" w:pos="567"/>
          <w:tab w:val="num" w:pos="12305"/>
        </w:tabs>
        <w:adjustRightInd/>
        <w:spacing w:line="240" w:lineRule="auto"/>
        <w:ind w:left="0" w:firstLine="0"/>
        <w:textAlignment w:val="auto"/>
        <w:rPr>
          <w:sz w:val="20"/>
          <w:szCs w:val="20"/>
          <w:lang w:val="es-ES" w:eastAsia="en-US"/>
        </w:rPr>
      </w:pPr>
      <w:r w:rsidRPr="00975C02">
        <w:rPr>
          <w:sz w:val="20"/>
          <w:szCs w:val="20"/>
          <w:lang w:val="es-ES" w:eastAsia="en-US"/>
        </w:rPr>
        <w:t xml:space="preserve">Por lo </w:t>
      </w:r>
      <w:r w:rsidRPr="00975C02">
        <w:rPr>
          <w:sz w:val="20"/>
          <w:lang w:val="es-ES" w:eastAsia="en-US"/>
        </w:rPr>
        <w:t>tanto</w:t>
      </w:r>
      <w:r w:rsidRPr="00975C02">
        <w:rPr>
          <w:sz w:val="20"/>
          <w:szCs w:val="20"/>
          <w:lang w:val="es-ES" w:eastAsia="en-US"/>
        </w:rPr>
        <w:t xml:space="preserve">, teniendo en cuenta el sistema de Tribunal por Jurados vigente a la época de los hechos en Nicaragua en el que el veredicto era inmotivado y el hecho de que se trataba de un delito de violencia sexual, lo que corresponde a la Corte determinar es si, en el marco de lo dispuesto por la Convención Americana, el procedimiento en su conjunto ofreció garantías suficientes contra la arbitrariedad, de modo tal que las partes pudieran comprender el resultado del proceso como una consecuencia </w:t>
      </w:r>
      <w:r w:rsidR="00D37FFE" w:rsidRPr="00975C02">
        <w:rPr>
          <w:sz w:val="20"/>
          <w:szCs w:val="20"/>
          <w:lang w:val="es-ES" w:eastAsia="en-US"/>
        </w:rPr>
        <w:t>racional</w:t>
      </w:r>
      <w:r w:rsidRPr="00975C02">
        <w:rPr>
          <w:sz w:val="20"/>
          <w:szCs w:val="20"/>
          <w:lang w:val="es-ES" w:eastAsia="en-US"/>
        </w:rPr>
        <w:t xml:space="preserve"> de la prueba incorporada al mismo durante la etapa instructiva y lo ventilado en la audiencia de vista pública.</w:t>
      </w:r>
    </w:p>
    <w:p w14:paraId="70D56280" w14:textId="77777777" w:rsidR="00D37FFE" w:rsidRPr="00975C02" w:rsidRDefault="00D37FFE" w:rsidP="00D37FFE">
      <w:pPr>
        <w:widowControl/>
        <w:tabs>
          <w:tab w:val="left" w:pos="567"/>
        </w:tabs>
        <w:adjustRightInd/>
        <w:spacing w:line="240" w:lineRule="auto"/>
        <w:textAlignment w:val="auto"/>
        <w:rPr>
          <w:rFonts w:cs="Verdana"/>
          <w:sz w:val="20"/>
          <w:szCs w:val="20"/>
          <w:lang w:val="es-ES" w:eastAsia="en-US"/>
        </w:rPr>
      </w:pPr>
    </w:p>
    <w:p w14:paraId="4530B958" w14:textId="71F57618" w:rsidR="00D37FFE" w:rsidRPr="00975C02" w:rsidRDefault="00D37FFE" w:rsidP="00D37FFE">
      <w:pPr>
        <w:widowControl/>
        <w:numPr>
          <w:ilvl w:val="0"/>
          <w:numId w:val="2"/>
        </w:numPr>
        <w:tabs>
          <w:tab w:val="left" w:pos="567"/>
          <w:tab w:val="num" w:pos="12305"/>
        </w:tabs>
        <w:adjustRightInd/>
        <w:spacing w:line="240" w:lineRule="auto"/>
        <w:ind w:left="0" w:firstLine="0"/>
        <w:textAlignment w:val="auto"/>
        <w:rPr>
          <w:rFonts w:cs="Verdana"/>
          <w:sz w:val="20"/>
          <w:szCs w:val="20"/>
          <w:lang w:val="es-ES" w:eastAsia="en-US"/>
        </w:rPr>
      </w:pPr>
      <w:r w:rsidRPr="00975C02">
        <w:rPr>
          <w:sz w:val="20"/>
          <w:szCs w:val="20"/>
          <w:lang w:val="es-ES" w:eastAsia="en-US"/>
        </w:rPr>
        <w:t xml:space="preserve">La Corte nota que el Código de Instrucción Criminal </w:t>
      </w:r>
      <w:r w:rsidRPr="00975C02">
        <w:rPr>
          <w:rFonts w:cs="Verdana"/>
          <w:sz w:val="20"/>
          <w:szCs w:val="20"/>
          <w:lang w:val="es-ES" w:eastAsia="en-US"/>
        </w:rPr>
        <w:t xml:space="preserve">no </w:t>
      </w:r>
      <w:r w:rsidR="00895C4D" w:rsidRPr="00975C02">
        <w:rPr>
          <w:rFonts w:cs="Verdana"/>
          <w:sz w:val="20"/>
          <w:szCs w:val="20"/>
          <w:lang w:val="es-ES" w:eastAsia="en-US"/>
        </w:rPr>
        <w:t xml:space="preserve">contenía una </w:t>
      </w:r>
      <w:r w:rsidRPr="00975C02">
        <w:rPr>
          <w:rFonts w:cs="Verdana"/>
          <w:sz w:val="20"/>
          <w:szCs w:val="20"/>
          <w:lang w:val="es-ES" w:eastAsia="en-US"/>
        </w:rPr>
        <w:t>regula</w:t>
      </w:r>
      <w:r w:rsidR="00895C4D" w:rsidRPr="00975C02">
        <w:rPr>
          <w:rFonts w:cs="Verdana"/>
          <w:sz w:val="20"/>
          <w:szCs w:val="20"/>
          <w:lang w:val="es-ES" w:eastAsia="en-US"/>
        </w:rPr>
        <w:t>ción expresa</w:t>
      </w:r>
      <w:r w:rsidRPr="00975C02">
        <w:rPr>
          <w:rFonts w:cs="Verdana"/>
          <w:sz w:val="20"/>
          <w:szCs w:val="20"/>
          <w:lang w:val="es-ES" w:eastAsia="en-US"/>
        </w:rPr>
        <w:t xml:space="preserve"> sobre las instrucciones del juez profesional a los jurados, tampoco contemplaba </w:t>
      </w:r>
      <w:r w:rsidRPr="00975C02">
        <w:rPr>
          <w:rFonts w:eastAsia="Calibri"/>
          <w:kern w:val="1"/>
          <w:sz w:val="20"/>
          <w:lang w:val="es-ES" w:eastAsia="en-US"/>
        </w:rPr>
        <w:t xml:space="preserve">preguntas que el jurado debiera </w:t>
      </w:r>
      <w:r w:rsidRPr="00975C02">
        <w:rPr>
          <w:sz w:val="20"/>
          <w:lang w:val="es-ES" w:eastAsia="en-US"/>
        </w:rPr>
        <w:t>contestar a través del veredicto</w:t>
      </w:r>
      <w:r w:rsidRPr="00975C02">
        <w:rPr>
          <w:rFonts w:eastAsia="Calibri"/>
          <w:kern w:val="1"/>
          <w:sz w:val="20"/>
          <w:lang w:val="es-ES" w:eastAsia="en-US"/>
        </w:rPr>
        <w:t>,</w:t>
      </w:r>
      <w:r w:rsidRPr="00975C02">
        <w:rPr>
          <w:rFonts w:cs="Verdana"/>
          <w:sz w:val="20"/>
          <w:szCs w:val="20"/>
          <w:lang w:val="es-ES" w:eastAsia="en-US"/>
        </w:rPr>
        <w:t xml:space="preserve"> ni incorporaba referencia alguna sobre la prueba contra-intuitiva, medidas todas que podrían </w:t>
      </w:r>
      <w:r w:rsidRPr="00975C02">
        <w:rPr>
          <w:sz w:val="20"/>
          <w:szCs w:val="20"/>
          <w:lang w:val="es-ES" w:eastAsia="en-US"/>
        </w:rPr>
        <w:t>haber puesto límites de racionalidad a una decisión y, que en definitiva, podrían haber</w:t>
      </w:r>
      <w:r w:rsidRPr="00975C02">
        <w:rPr>
          <w:rFonts w:cs="Verdana"/>
          <w:sz w:val="20"/>
          <w:szCs w:val="20"/>
          <w:lang w:val="es-ES" w:eastAsia="en-US"/>
        </w:rPr>
        <w:t xml:space="preserve"> fungido como</w:t>
      </w:r>
      <w:r w:rsidRPr="00975C02">
        <w:rPr>
          <w:sz w:val="20"/>
          <w:szCs w:val="20"/>
          <w:lang w:val="es-ES" w:eastAsia="en-US"/>
        </w:rPr>
        <w:t xml:space="preserve"> garantías contra una decisión arbitraria (</w:t>
      </w:r>
      <w:r w:rsidRPr="00975C02">
        <w:rPr>
          <w:i/>
          <w:sz w:val="20"/>
          <w:szCs w:val="20"/>
          <w:lang w:val="es-ES" w:eastAsia="en-US"/>
        </w:rPr>
        <w:t>supra</w:t>
      </w:r>
      <w:r w:rsidRPr="00975C02">
        <w:rPr>
          <w:sz w:val="20"/>
          <w:szCs w:val="20"/>
          <w:lang w:val="es-ES" w:eastAsia="en-US"/>
        </w:rPr>
        <w:t xml:space="preserve"> párr. </w:t>
      </w:r>
      <w:r w:rsidR="00B31B77" w:rsidRPr="00975C02">
        <w:rPr>
          <w:sz w:val="20"/>
          <w:szCs w:val="20"/>
          <w:lang w:val="es-ES" w:eastAsia="en-US"/>
        </w:rPr>
        <w:t>265</w:t>
      </w:r>
      <w:r w:rsidRPr="00975C02">
        <w:rPr>
          <w:sz w:val="20"/>
          <w:szCs w:val="20"/>
          <w:lang w:val="es-ES" w:eastAsia="en-US"/>
        </w:rPr>
        <w:t>), especialmente en este caso que trataba de un delito de violencia sexual cometido contra una niña.</w:t>
      </w:r>
    </w:p>
    <w:p w14:paraId="79432DB9" w14:textId="77777777" w:rsidR="00410DFA" w:rsidRPr="00975C02" w:rsidRDefault="00410DFA" w:rsidP="00410DFA">
      <w:pPr>
        <w:widowControl/>
        <w:tabs>
          <w:tab w:val="left" w:pos="567"/>
        </w:tabs>
        <w:adjustRightInd/>
        <w:spacing w:line="240" w:lineRule="auto"/>
        <w:textAlignment w:val="auto"/>
        <w:rPr>
          <w:sz w:val="20"/>
          <w:szCs w:val="20"/>
          <w:lang w:val="es-ES" w:eastAsia="en-US"/>
        </w:rPr>
      </w:pPr>
    </w:p>
    <w:p w14:paraId="213DFA5C" w14:textId="3C641E34" w:rsidR="00410DFA" w:rsidRPr="00975C02" w:rsidRDefault="00410DFA" w:rsidP="00410DFA">
      <w:pPr>
        <w:widowControl/>
        <w:numPr>
          <w:ilvl w:val="0"/>
          <w:numId w:val="2"/>
        </w:numPr>
        <w:tabs>
          <w:tab w:val="left" w:pos="567"/>
          <w:tab w:val="num" w:pos="12305"/>
        </w:tabs>
        <w:adjustRightInd/>
        <w:spacing w:line="240" w:lineRule="auto"/>
        <w:ind w:left="0" w:firstLine="0"/>
        <w:textAlignment w:val="auto"/>
        <w:rPr>
          <w:sz w:val="20"/>
          <w:szCs w:val="20"/>
          <w:lang w:val="es-ES" w:eastAsia="en-US"/>
        </w:rPr>
      </w:pPr>
      <w:r w:rsidRPr="00975C02">
        <w:rPr>
          <w:sz w:val="20"/>
          <w:szCs w:val="20"/>
          <w:lang w:val="es-ES" w:eastAsia="en-US"/>
        </w:rPr>
        <w:t xml:space="preserve">La anterior afirmación, se ve corroborada por lo indicado por la </w:t>
      </w:r>
      <w:r w:rsidR="003C0254" w:rsidRPr="00975C02">
        <w:rPr>
          <w:sz w:val="20"/>
          <w:szCs w:val="20"/>
          <w:lang w:val="es-ES" w:eastAsia="en-US"/>
        </w:rPr>
        <w:t xml:space="preserve">jueza de derecho y </w:t>
      </w:r>
      <w:r w:rsidR="003C0254" w:rsidRPr="00975C02">
        <w:rPr>
          <w:rFonts w:cs="Verdana"/>
          <w:sz w:val="20"/>
          <w:szCs w:val="20"/>
          <w:lang w:val="es-ES" w:eastAsia="en-US"/>
        </w:rPr>
        <w:t>presidenta</w:t>
      </w:r>
      <w:r w:rsidR="003C0254" w:rsidRPr="00975C02">
        <w:rPr>
          <w:sz w:val="20"/>
          <w:szCs w:val="20"/>
          <w:lang w:val="es-ES" w:eastAsia="en-US"/>
        </w:rPr>
        <w:t xml:space="preserve"> del Tribunal de Jurados</w:t>
      </w:r>
      <w:r w:rsidRPr="00975C02">
        <w:rPr>
          <w:sz w:val="20"/>
          <w:szCs w:val="20"/>
          <w:lang w:val="es-ES" w:eastAsia="en-US"/>
        </w:rPr>
        <w:t xml:space="preserve">, </w:t>
      </w:r>
      <w:r w:rsidRPr="00975C02">
        <w:rPr>
          <w:rFonts w:cs="Verdana"/>
          <w:sz w:val="20"/>
          <w:szCs w:val="20"/>
          <w:lang w:val="es-ES" w:eastAsia="en-US"/>
        </w:rPr>
        <w:t>quien</w:t>
      </w:r>
      <w:r w:rsidRPr="00975C02">
        <w:rPr>
          <w:sz w:val="20"/>
          <w:szCs w:val="20"/>
          <w:lang w:val="es-ES" w:eastAsia="en-US"/>
        </w:rPr>
        <w:t xml:space="preserve"> manifestó en su descargo frente a la queja que interpuso en su contra la señora V.P.C. que:</w:t>
      </w:r>
    </w:p>
    <w:p w14:paraId="61BA617A" w14:textId="77777777" w:rsidR="00410DFA" w:rsidRPr="00975C02" w:rsidRDefault="00410DFA" w:rsidP="00410DFA">
      <w:pPr>
        <w:widowControl/>
        <w:adjustRightInd/>
        <w:spacing w:line="240" w:lineRule="auto"/>
        <w:textAlignment w:val="auto"/>
        <w:rPr>
          <w:sz w:val="20"/>
          <w:szCs w:val="20"/>
          <w:lang w:val="es-ES" w:eastAsia="en-US"/>
        </w:rPr>
      </w:pPr>
    </w:p>
    <w:p w14:paraId="463A7F27" w14:textId="72CC0A0D" w:rsidR="00410DFA" w:rsidRPr="00975C02" w:rsidRDefault="00410DFA" w:rsidP="00520517">
      <w:pPr>
        <w:widowControl/>
        <w:adjustRightInd/>
        <w:spacing w:line="240" w:lineRule="auto"/>
        <w:ind w:left="567" w:right="582"/>
        <w:textAlignment w:val="auto"/>
        <w:rPr>
          <w:sz w:val="16"/>
          <w:szCs w:val="16"/>
          <w:lang w:val="es-ES" w:eastAsia="en-US"/>
        </w:rPr>
      </w:pPr>
      <w:r w:rsidRPr="00975C02">
        <w:rPr>
          <w:sz w:val="16"/>
          <w:szCs w:val="16"/>
          <w:lang w:val="es-ES" w:eastAsia="en-US"/>
        </w:rPr>
        <w:t>En cuanto al veredicto</w:t>
      </w:r>
      <w:r w:rsidR="003245CC" w:rsidRPr="00975C02">
        <w:rPr>
          <w:sz w:val="16"/>
          <w:szCs w:val="16"/>
          <w:lang w:val="es-ES" w:eastAsia="en-US"/>
        </w:rPr>
        <w:t>[,]</w:t>
      </w:r>
      <w:r w:rsidRPr="00975C02">
        <w:rPr>
          <w:sz w:val="16"/>
          <w:szCs w:val="16"/>
          <w:lang w:val="es-ES" w:eastAsia="en-US"/>
        </w:rPr>
        <w:t xml:space="preserve"> en ningún momento h</w:t>
      </w:r>
      <w:r w:rsidR="002D5F9F" w:rsidRPr="00975C02">
        <w:rPr>
          <w:sz w:val="16"/>
          <w:szCs w:val="16"/>
          <w:lang w:val="es-ES" w:eastAsia="en-US"/>
        </w:rPr>
        <w:t>[abía]</w:t>
      </w:r>
      <w:r w:rsidRPr="00975C02">
        <w:rPr>
          <w:sz w:val="16"/>
          <w:szCs w:val="16"/>
          <w:lang w:val="es-ES" w:eastAsia="en-US"/>
        </w:rPr>
        <w:t xml:space="preserve"> incidido en el Tribunal de </w:t>
      </w:r>
      <w:r w:rsidR="003245CC" w:rsidRPr="00975C02">
        <w:rPr>
          <w:sz w:val="16"/>
          <w:szCs w:val="16"/>
          <w:lang w:val="es-ES" w:eastAsia="en-US"/>
        </w:rPr>
        <w:t>[J]</w:t>
      </w:r>
      <w:r w:rsidRPr="00975C02">
        <w:rPr>
          <w:sz w:val="16"/>
          <w:szCs w:val="16"/>
          <w:lang w:val="es-ES" w:eastAsia="en-US"/>
        </w:rPr>
        <w:t>urado</w:t>
      </w:r>
      <w:r w:rsidR="002D5F9F" w:rsidRPr="00975C02">
        <w:rPr>
          <w:sz w:val="16"/>
          <w:szCs w:val="16"/>
          <w:lang w:val="es-ES" w:eastAsia="en-US"/>
        </w:rPr>
        <w:t>[;]</w:t>
      </w:r>
      <w:r w:rsidRPr="00975C02">
        <w:rPr>
          <w:sz w:val="16"/>
          <w:szCs w:val="16"/>
          <w:lang w:val="es-ES" w:eastAsia="en-US"/>
        </w:rPr>
        <w:t xml:space="preserve"> ellos c</w:t>
      </w:r>
      <w:r w:rsidR="003245CC" w:rsidRPr="00975C02">
        <w:rPr>
          <w:sz w:val="16"/>
          <w:szCs w:val="16"/>
          <w:lang w:val="es-ES" w:eastAsia="en-US"/>
        </w:rPr>
        <w:t>[o]</w:t>
      </w:r>
      <w:r w:rsidRPr="00975C02">
        <w:rPr>
          <w:sz w:val="16"/>
          <w:szCs w:val="16"/>
          <w:lang w:val="es-ES" w:eastAsia="en-US"/>
        </w:rPr>
        <w:t xml:space="preserve">mo tribunal de conciencia votaron de conformidad con su íntima convicción sin que </w:t>
      </w:r>
      <w:r w:rsidR="005C1D06" w:rsidRPr="00975C02">
        <w:rPr>
          <w:sz w:val="16"/>
          <w:szCs w:val="16"/>
          <w:lang w:val="es-ES" w:eastAsia="en-US"/>
        </w:rPr>
        <w:t>[ella]</w:t>
      </w:r>
      <w:r w:rsidRPr="00975C02">
        <w:rPr>
          <w:sz w:val="16"/>
          <w:szCs w:val="16"/>
          <w:lang w:val="es-ES" w:eastAsia="en-US"/>
        </w:rPr>
        <w:t xml:space="preserve"> haya tenido que intervenir en ningún momento, ni para aclarar un concepto técnico jurídico ya que no hubo necesidad, nadie lo solicitó todos ellos estaban claros que los dictámenes médicos legales no comprobaban que el procesado fuera el transmisor de la enfermedad que la menor portaba y esto los motivó a que el escrutinio que se realizó por única vez por unanimidad fuera declarado inocente al procesado</w:t>
      </w:r>
      <w:r w:rsidRPr="00975C02">
        <w:rPr>
          <w:sz w:val="16"/>
          <w:szCs w:val="16"/>
          <w:vertAlign w:val="superscript"/>
          <w:lang w:val="es-ES" w:eastAsia="en-US"/>
        </w:rPr>
        <w:footnoteReference w:id="366"/>
      </w:r>
      <w:r w:rsidRPr="00975C02">
        <w:rPr>
          <w:sz w:val="16"/>
          <w:szCs w:val="16"/>
          <w:lang w:val="es-ES" w:eastAsia="en-US"/>
        </w:rPr>
        <w:t>.</w:t>
      </w:r>
    </w:p>
    <w:p w14:paraId="4D2CE258" w14:textId="77777777" w:rsidR="00B5625C" w:rsidRPr="00975C02" w:rsidRDefault="00B5625C" w:rsidP="00B5625C">
      <w:pPr>
        <w:widowControl/>
        <w:adjustRightInd/>
        <w:spacing w:line="240" w:lineRule="auto"/>
        <w:textAlignment w:val="auto"/>
        <w:rPr>
          <w:sz w:val="20"/>
          <w:szCs w:val="20"/>
          <w:lang w:val="es-ES" w:eastAsia="en-US"/>
        </w:rPr>
      </w:pPr>
    </w:p>
    <w:p w14:paraId="4DF42861" w14:textId="6B2D60E0" w:rsidR="004D0B4A" w:rsidRPr="00975C02" w:rsidRDefault="00CA6659" w:rsidP="00926B9B">
      <w:pPr>
        <w:widowControl/>
        <w:numPr>
          <w:ilvl w:val="0"/>
          <w:numId w:val="2"/>
        </w:numPr>
        <w:tabs>
          <w:tab w:val="left" w:pos="567"/>
          <w:tab w:val="num" w:pos="12305"/>
        </w:tabs>
        <w:adjustRightInd/>
        <w:spacing w:line="240" w:lineRule="auto"/>
        <w:ind w:left="0" w:firstLine="0"/>
        <w:textAlignment w:val="auto"/>
        <w:rPr>
          <w:sz w:val="20"/>
          <w:szCs w:val="20"/>
          <w:lang w:val="es-ES" w:eastAsia="en-US"/>
        </w:rPr>
      </w:pPr>
      <w:r w:rsidRPr="00975C02">
        <w:rPr>
          <w:sz w:val="20"/>
          <w:szCs w:val="20"/>
          <w:lang w:val="es-ES" w:eastAsia="en-US"/>
        </w:rPr>
        <w:t>En suma</w:t>
      </w:r>
      <w:r w:rsidR="00926B9B" w:rsidRPr="00975C02">
        <w:rPr>
          <w:sz w:val="20"/>
          <w:szCs w:val="20"/>
          <w:lang w:val="es-ES" w:eastAsia="en-US"/>
        </w:rPr>
        <w:t xml:space="preserve">, </w:t>
      </w:r>
      <w:r w:rsidR="005C1D06" w:rsidRPr="00975C02">
        <w:rPr>
          <w:sz w:val="20"/>
          <w:szCs w:val="20"/>
          <w:lang w:val="es-ES" w:eastAsia="en-US"/>
        </w:rPr>
        <w:t xml:space="preserve">la Corte estima que el procedimiento no ofreció garantías suficientes para </w:t>
      </w:r>
      <w:r w:rsidR="002E444E" w:rsidRPr="00975C02">
        <w:rPr>
          <w:sz w:val="20"/>
          <w:szCs w:val="20"/>
          <w:lang w:val="es-ES" w:eastAsia="en-US"/>
        </w:rPr>
        <w:t xml:space="preserve">escrutar la decisión </w:t>
      </w:r>
      <w:r w:rsidR="00A67C2B" w:rsidRPr="00975C02">
        <w:rPr>
          <w:sz w:val="20"/>
          <w:szCs w:val="20"/>
          <w:lang w:val="es-ES" w:eastAsia="en-US"/>
        </w:rPr>
        <w:t>del jurado</w:t>
      </w:r>
      <w:r w:rsidR="002E444E" w:rsidRPr="00975C02">
        <w:rPr>
          <w:sz w:val="20"/>
          <w:szCs w:val="20"/>
          <w:lang w:val="es-ES" w:eastAsia="en-US"/>
        </w:rPr>
        <w:t xml:space="preserve"> y, por ende, </w:t>
      </w:r>
      <w:r w:rsidR="005C1D06" w:rsidRPr="00975C02">
        <w:rPr>
          <w:sz w:val="20"/>
          <w:szCs w:val="20"/>
          <w:lang w:val="es-ES" w:eastAsia="en-US"/>
        </w:rPr>
        <w:t xml:space="preserve">asegurar que la decisión no </w:t>
      </w:r>
      <w:r w:rsidR="002341DD" w:rsidRPr="00975C02">
        <w:rPr>
          <w:sz w:val="20"/>
          <w:szCs w:val="20"/>
          <w:lang w:val="es-ES" w:eastAsia="en-US"/>
        </w:rPr>
        <w:t>fuera</w:t>
      </w:r>
      <w:r w:rsidR="005C1D06" w:rsidRPr="00975C02">
        <w:rPr>
          <w:sz w:val="20"/>
          <w:szCs w:val="20"/>
          <w:lang w:val="es-ES" w:eastAsia="en-US"/>
        </w:rPr>
        <w:t xml:space="preserve"> arbitraria, por lo que </w:t>
      </w:r>
      <w:r w:rsidR="004D0B4A" w:rsidRPr="00975C02">
        <w:rPr>
          <w:sz w:val="20"/>
          <w:szCs w:val="20"/>
          <w:lang w:val="es-ES" w:eastAsia="en-US"/>
        </w:rPr>
        <w:t xml:space="preserve">es razonable concluir que el veredicto </w:t>
      </w:r>
      <w:r w:rsidR="00926B9B" w:rsidRPr="00975C02">
        <w:rPr>
          <w:sz w:val="20"/>
          <w:szCs w:val="20"/>
          <w:lang w:val="es-ES" w:eastAsia="en-US"/>
        </w:rPr>
        <w:t>que desestimó la culpabilidad del acusado</w:t>
      </w:r>
      <w:r w:rsidR="004D0B4A" w:rsidRPr="00975C02">
        <w:rPr>
          <w:sz w:val="20"/>
          <w:szCs w:val="20"/>
          <w:lang w:val="es-ES" w:eastAsia="en-US"/>
        </w:rPr>
        <w:t xml:space="preserve"> no podí</w:t>
      </w:r>
      <w:r w:rsidR="005C1D06" w:rsidRPr="00975C02">
        <w:rPr>
          <w:sz w:val="20"/>
          <w:szCs w:val="20"/>
          <w:lang w:val="es-ES" w:eastAsia="en-US"/>
        </w:rPr>
        <w:t>a ser previsto por las víctimas</w:t>
      </w:r>
      <w:r w:rsidR="005C1D06" w:rsidRPr="00975C02">
        <w:rPr>
          <w:rFonts w:cs="Verdana"/>
          <w:sz w:val="20"/>
          <w:szCs w:val="20"/>
          <w:lang w:val="es-ES" w:eastAsia="en-US"/>
        </w:rPr>
        <w:t xml:space="preserve">, </w:t>
      </w:r>
      <w:r w:rsidR="005F1290" w:rsidRPr="00975C02">
        <w:rPr>
          <w:rFonts w:cs="Verdana"/>
          <w:sz w:val="20"/>
          <w:szCs w:val="20"/>
          <w:lang w:val="es-ES" w:eastAsia="en-US"/>
        </w:rPr>
        <w:t xml:space="preserve">ya que no mostraba correlato </w:t>
      </w:r>
      <w:r w:rsidR="005C1D06" w:rsidRPr="00975C02">
        <w:rPr>
          <w:rFonts w:cs="Verdana"/>
          <w:sz w:val="20"/>
          <w:szCs w:val="20"/>
          <w:lang w:val="es-ES" w:eastAsia="en-US"/>
        </w:rPr>
        <w:t xml:space="preserve">con los </w:t>
      </w:r>
      <w:r w:rsidR="00501362" w:rsidRPr="00975C02">
        <w:rPr>
          <w:rFonts w:cs="Verdana"/>
          <w:sz w:val="20"/>
          <w:szCs w:val="20"/>
          <w:lang w:val="es-ES" w:eastAsia="en-US"/>
        </w:rPr>
        <w:t xml:space="preserve">hechos, los </w:t>
      </w:r>
      <w:r w:rsidR="005C1D06" w:rsidRPr="00975C02">
        <w:rPr>
          <w:rFonts w:cs="Verdana"/>
          <w:sz w:val="20"/>
          <w:szCs w:val="20"/>
          <w:lang w:val="es-ES" w:eastAsia="en-US"/>
        </w:rPr>
        <w:t xml:space="preserve">elementos </w:t>
      </w:r>
      <w:r w:rsidR="00501362" w:rsidRPr="00975C02">
        <w:rPr>
          <w:rFonts w:cs="Verdana"/>
          <w:sz w:val="20"/>
          <w:szCs w:val="20"/>
          <w:lang w:val="es-ES" w:eastAsia="en-US"/>
        </w:rPr>
        <w:t xml:space="preserve">de prueba </w:t>
      </w:r>
      <w:r w:rsidR="005C1D06" w:rsidRPr="00975C02">
        <w:rPr>
          <w:rFonts w:cs="Verdana"/>
          <w:sz w:val="20"/>
          <w:szCs w:val="20"/>
          <w:lang w:val="es-ES" w:eastAsia="en-US"/>
        </w:rPr>
        <w:t xml:space="preserve">descriptos en la acusación y la evidencia recibida en el proceso </w:t>
      </w:r>
      <w:r w:rsidR="005C1D06" w:rsidRPr="00975C02">
        <w:rPr>
          <w:sz w:val="20"/>
          <w:szCs w:val="20"/>
          <w:lang w:val="es-ES" w:eastAsia="en-US"/>
        </w:rPr>
        <w:t>interno.</w:t>
      </w:r>
    </w:p>
    <w:p w14:paraId="2ABDE5FC" w14:textId="77777777" w:rsidR="004D0B4A" w:rsidRPr="00975C02" w:rsidRDefault="004D0B4A" w:rsidP="00B5625C">
      <w:pPr>
        <w:widowControl/>
        <w:adjustRightInd/>
        <w:spacing w:line="240" w:lineRule="auto"/>
        <w:textAlignment w:val="auto"/>
        <w:rPr>
          <w:sz w:val="20"/>
          <w:szCs w:val="20"/>
          <w:lang w:val="es-ES" w:eastAsia="en-US"/>
        </w:rPr>
      </w:pPr>
    </w:p>
    <w:p w14:paraId="522CB8BB" w14:textId="77777777" w:rsidR="00B5625C" w:rsidRPr="00975C02" w:rsidRDefault="00B5625C" w:rsidP="003944F9">
      <w:pPr>
        <w:widowControl/>
        <w:numPr>
          <w:ilvl w:val="0"/>
          <w:numId w:val="2"/>
        </w:numPr>
        <w:tabs>
          <w:tab w:val="left" w:pos="567"/>
          <w:tab w:val="num" w:pos="12305"/>
        </w:tabs>
        <w:adjustRightInd/>
        <w:spacing w:line="240" w:lineRule="auto"/>
        <w:ind w:left="0" w:firstLine="0"/>
        <w:textAlignment w:val="auto"/>
        <w:rPr>
          <w:rFonts w:eastAsia="Calibri"/>
          <w:kern w:val="1"/>
          <w:sz w:val="20"/>
          <w:lang w:val="es-ES" w:eastAsia="en-US"/>
        </w:rPr>
      </w:pPr>
      <w:r w:rsidRPr="00975C02">
        <w:rPr>
          <w:rFonts w:eastAsia="Calibri"/>
          <w:kern w:val="1"/>
          <w:sz w:val="20"/>
          <w:lang w:val="es-ES" w:eastAsia="en-US"/>
        </w:rPr>
        <w:t xml:space="preserve">Por ende, la Corte </w:t>
      </w:r>
      <w:r w:rsidRPr="00975C02">
        <w:rPr>
          <w:rFonts w:cs="Verdana"/>
          <w:sz w:val="20"/>
          <w:szCs w:val="20"/>
          <w:lang w:val="es-ES" w:eastAsia="en-US"/>
        </w:rPr>
        <w:t>concluye</w:t>
      </w:r>
      <w:r w:rsidRPr="00975C02">
        <w:rPr>
          <w:rFonts w:eastAsia="Calibri"/>
          <w:kern w:val="1"/>
          <w:sz w:val="20"/>
          <w:lang w:val="es-ES" w:eastAsia="en-US"/>
        </w:rPr>
        <w:t xml:space="preserve"> que el procedimiento penal en su conjunto en el presente caso no aseguró a las víctimas que pudieran comprender las razones por las </w:t>
      </w:r>
      <w:r w:rsidRPr="00975C02">
        <w:rPr>
          <w:rFonts w:cs="Verdana"/>
          <w:sz w:val="20"/>
          <w:szCs w:val="20"/>
          <w:lang w:val="es-ES" w:eastAsia="en-US"/>
        </w:rPr>
        <w:t>cuales</w:t>
      </w:r>
      <w:r w:rsidRPr="00975C02">
        <w:rPr>
          <w:rFonts w:eastAsia="Calibri"/>
          <w:kern w:val="1"/>
          <w:sz w:val="20"/>
          <w:lang w:val="es-ES" w:eastAsia="en-US"/>
        </w:rPr>
        <w:t xml:space="preserve"> H.R.A. fue absuelto, en violación del artículo 8.1 de la Convención.</w:t>
      </w:r>
    </w:p>
    <w:p w14:paraId="18B7C304" w14:textId="77777777" w:rsidR="00B5625C" w:rsidRPr="00975C02" w:rsidRDefault="00B5625C" w:rsidP="00B5625C">
      <w:pPr>
        <w:widowControl/>
        <w:adjustRightInd/>
        <w:spacing w:line="240" w:lineRule="auto"/>
        <w:textAlignment w:val="auto"/>
        <w:rPr>
          <w:sz w:val="20"/>
          <w:szCs w:val="20"/>
          <w:lang w:val="es-ES" w:eastAsia="en-US"/>
        </w:rPr>
      </w:pPr>
    </w:p>
    <w:p w14:paraId="5CC12534" w14:textId="77777777" w:rsidR="00A842BE" w:rsidRPr="00975C02" w:rsidRDefault="00A842BE" w:rsidP="00A842BE">
      <w:pPr>
        <w:pStyle w:val="Heading3"/>
        <w:rPr>
          <w:b w:val="0"/>
          <w:i/>
        </w:rPr>
      </w:pPr>
      <w:bookmarkStart w:id="140" w:name="_Toc514172644"/>
      <w:r w:rsidRPr="00975C02">
        <w:rPr>
          <w:b w:val="0"/>
          <w:i/>
        </w:rPr>
        <w:t xml:space="preserve">B.3.d </w:t>
      </w:r>
      <w:r w:rsidR="001978B2" w:rsidRPr="00975C02">
        <w:rPr>
          <w:b w:val="0"/>
          <w:i/>
        </w:rPr>
        <w:tab/>
      </w:r>
      <w:r w:rsidRPr="00975C02">
        <w:rPr>
          <w:b w:val="0"/>
          <w:i/>
        </w:rPr>
        <w:t>Conclusión</w:t>
      </w:r>
      <w:bookmarkEnd w:id="140"/>
    </w:p>
    <w:p w14:paraId="78BD10EE" w14:textId="77777777" w:rsidR="00A842BE" w:rsidRPr="00975C02" w:rsidRDefault="00A842BE" w:rsidP="00B5625C">
      <w:pPr>
        <w:widowControl/>
        <w:adjustRightInd/>
        <w:spacing w:line="240" w:lineRule="auto"/>
        <w:textAlignment w:val="auto"/>
        <w:rPr>
          <w:sz w:val="20"/>
          <w:szCs w:val="20"/>
          <w:lang w:val="es-ES" w:eastAsia="en-US"/>
        </w:rPr>
      </w:pPr>
    </w:p>
    <w:p w14:paraId="083F80E3" w14:textId="3F173AE6" w:rsidR="00993C6D" w:rsidRPr="00975C02" w:rsidRDefault="00993C6D" w:rsidP="00993C6D">
      <w:pPr>
        <w:widowControl/>
        <w:numPr>
          <w:ilvl w:val="0"/>
          <w:numId w:val="2"/>
        </w:numPr>
        <w:tabs>
          <w:tab w:val="left" w:pos="567"/>
          <w:tab w:val="num" w:pos="12305"/>
        </w:tabs>
        <w:adjustRightInd/>
        <w:spacing w:line="240" w:lineRule="auto"/>
        <w:ind w:left="0" w:firstLine="0"/>
        <w:textAlignment w:val="auto"/>
        <w:rPr>
          <w:sz w:val="20"/>
          <w:szCs w:val="20"/>
          <w:lang w:val="es-ES" w:eastAsia="en-US"/>
        </w:rPr>
      </w:pPr>
      <w:r w:rsidRPr="00975C02">
        <w:rPr>
          <w:sz w:val="20"/>
          <w:szCs w:val="20"/>
          <w:lang w:val="es-ES" w:eastAsia="en-US"/>
        </w:rPr>
        <w:t>Por las consideraciones precedentes, la Corte concluye que durante el procedimiento y enjuiciamiento llevado a cabo por el Tribunal de Jurados</w:t>
      </w:r>
      <w:r w:rsidR="00F55E07" w:rsidRPr="00975C02">
        <w:rPr>
          <w:sz w:val="20"/>
          <w:szCs w:val="20"/>
          <w:lang w:val="es-ES" w:eastAsia="en-US"/>
        </w:rPr>
        <w:t xml:space="preserve"> no se respetaron las garantías de </w:t>
      </w:r>
      <w:r w:rsidR="005533E9" w:rsidRPr="00975C02">
        <w:rPr>
          <w:sz w:val="20"/>
          <w:szCs w:val="20"/>
          <w:lang w:val="es-ES" w:eastAsia="en-US"/>
        </w:rPr>
        <w:t xml:space="preserve">debido proceso referidas a la </w:t>
      </w:r>
      <w:r w:rsidR="00F55E07" w:rsidRPr="00975C02">
        <w:rPr>
          <w:sz w:val="20"/>
          <w:szCs w:val="20"/>
          <w:lang w:val="es-ES" w:eastAsia="en-US"/>
        </w:rPr>
        <w:t xml:space="preserve">imparcialidad objetiva y </w:t>
      </w:r>
      <w:r w:rsidR="005533E9" w:rsidRPr="00975C02">
        <w:rPr>
          <w:sz w:val="20"/>
          <w:szCs w:val="20"/>
          <w:lang w:val="es-ES" w:eastAsia="en-US"/>
        </w:rPr>
        <w:t>a la</w:t>
      </w:r>
      <w:r w:rsidR="00F55E07" w:rsidRPr="00975C02">
        <w:rPr>
          <w:sz w:val="20"/>
          <w:szCs w:val="20"/>
          <w:lang w:val="es-ES" w:eastAsia="en-US"/>
        </w:rPr>
        <w:t xml:space="preserve"> interdicción de la arbitrariedad, </w:t>
      </w:r>
      <w:r w:rsidR="0031341D" w:rsidRPr="00975C02">
        <w:rPr>
          <w:sz w:val="20"/>
          <w:szCs w:val="20"/>
          <w:lang w:val="es-ES" w:eastAsia="en-US"/>
        </w:rPr>
        <w:t xml:space="preserve">por lo que el Estado es responsable por la violación </w:t>
      </w:r>
      <w:r w:rsidR="00F55E07" w:rsidRPr="00975C02">
        <w:rPr>
          <w:sz w:val="20"/>
          <w:szCs w:val="20"/>
          <w:lang w:val="es-ES" w:eastAsia="en-US"/>
        </w:rPr>
        <w:t>del artículo 8.1 de la Convención Americana, en relación con el artículo 1.1 de la misma</w:t>
      </w:r>
      <w:r w:rsidR="001A107F" w:rsidRPr="00975C02">
        <w:rPr>
          <w:sz w:val="20"/>
          <w:szCs w:val="20"/>
          <w:lang w:val="es-ES" w:eastAsia="en-US"/>
        </w:rPr>
        <w:t xml:space="preserve"> y </w:t>
      </w:r>
      <w:r w:rsidR="001A107F" w:rsidRPr="00975C02">
        <w:rPr>
          <w:rFonts w:eastAsia="Batang" w:cs="Arial"/>
          <w:sz w:val="20"/>
          <w:szCs w:val="20"/>
          <w:lang w:val="es-ES" w:eastAsia="es-MX"/>
        </w:rPr>
        <w:t xml:space="preserve">el artículo 7.b) </w:t>
      </w:r>
      <w:r w:rsidR="001A107F" w:rsidRPr="00975C02">
        <w:rPr>
          <w:rFonts w:eastAsia="Batang"/>
          <w:sz w:val="20"/>
          <w:szCs w:val="20"/>
          <w:lang w:val="es-ES" w:eastAsia="es-MX"/>
        </w:rPr>
        <w:t>de la Convención de Belém do Pará</w:t>
      </w:r>
      <w:r w:rsidR="00F55E07" w:rsidRPr="00975C02">
        <w:rPr>
          <w:sz w:val="20"/>
          <w:szCs w:val="20"/>
          <w:lang w:val="es-ES" w:eastAsia="en-US"/>
        </w:rPr>
        <w:t>, en perjuicio de V.R.P. y V.P.C.</w:t>
      </w:r>
    </w:p>
    <w:p w14:paraId="074032D9" w14:textId="77777777" w:rsidR="00A842BE" w:rsidRPr="00975C02" w:rsidRDefault="00A842BE" w:rsidP="00B5625C">
      <w:pPr>
        <w:widowControl/>
        <w:adjustRightInd/>
        <w:spacing w:line="240" w:lineRule="auto"/>
        <w:textAlignment w:val="auto"/>
        <w:rPr>
          <w:sz w:val="20"/>
          <w:szCs w:val="20"/>
          <w:lang w:val="es-ES" w:eastAsia="en-US"/>
        </w:rPr>
      </w:pPr>
    </w:p>
    <w:p w14:paraId="44EB7304" w14:textId="77777777" w:rsidR="00B5625C" w:rsidRPr="00975C02" w:rsidRDefault="00B5625C" w:rsidP="00A92F94">
      <w:pPr>
        <w:pStyle w:val="ListParagraph"/>
        <w:keepNext/>
        <w:keepLines/>
        <w:widowControl/>
        <w:numPr>
          <w:ilvl w:val="0"/>
          <w:numId w:val="16"/>
        </w:numPr>
        <w:tabs>
          <w:tab w:val="left" w:pos="1134"/>
        </w:tabs>
        <w:autoSpaceDE w:val="0"/>
        <w:autoSpaceDN w:val="0"/>
        <w:adjustRightInd/>
        <w:spacing w:line="240" w:lineRule="auto"/>
        <w:ind w:left="1134" w:hanging="567"/>
        <w:textAlignment w:val="auto"/>
        <w:outlineLvl w:val="1"/>
        <w:rPr>
          <w:rFonts w:eastAsia="MS Mincho" w:cs="Arial"/>
          <w:b/>
          <w:bCs/>
          <w:i/>
          <w:kern w:val="2"/>
          <w:sz w:val="20"/>
          <w:szCs w:val="20"/>
          <w:lang w:val="es-ES" w:eastAsia="en-US"/>
        </w:rPr>
      </w:pPr>
      <w:bookmarkStart w:id="141" w:name="_Toc514172645"/>
      <w:r w:rsidRPr="00975C02">
        <w:rPr>
          <w:rFonts w:eastAsia="MS Mincho" w:cs="Arial"/>
          <w:b/>
          <w:bCs/>
          <w:i/>
          <w:kern w:val="2"/>
          <w:sz w:val="20"/>
          <w:szCs w:val="20"/>
          <w:lang w:val="es-ES" w:eastAsia="en-US"/>
        </w:rPr>
        <w:lastRenderedPageBreak/>
        <w:t>Plazo Razonable</w:t>
      </w:r>
      <w:bookmarkEnd w:id="141"/>
    </w:p>
    <w:p w14:paraId="17A84589" w14:textId="77777777" w:rsidR="00B5625C" w:rsidRPr="00975C02" w:rsidRDefault="00B5625C" w:rsidP="00B5625C">
      <w:pPr>
        <w:widowControl/>
        <w:adjustRightInd/>
        <w:spacing w:line="240" w:lineRule="auto"/>
        <w:textAlignment w:val="auto"/>
        <w:rPr>
          <w:sz w:val="20"/>
          <w:szCs w:val="20"/>
          <w:lang w:val="es-ES" w:eastAsia="en-US"/>
        </w:rPr>
      </w:pPr>
    </w:p>
    <w:p w14:paraId="2D804D85" w14:textId="77777777" w:rsidR="0032081D" w:rsidRPr="00975C02" w:rsidRDefault="00A32A5E" w:rsidP="0032081D">
      <w:pPr>
        <w:keepNext/>
        <w:keepLines/>
        <w:tabs>
          <w:tab w:val="left" w:pos="1701"/>
        </w:tabs>
        <w:spacing w:line="240" w:lineRule="auto"/>
        <w:ind w:left="1134"/>
        <w:outlineLvl w:val="1"/>
        <w:rPr>
          <w:bCs/>
          <w:i/>
          <w:sz w:val="20"/>
          <w:szCs w:val="20"/>
          <w:lang w:val="es-ES"/>
        </w:rPr>
      </w:pPr>
      <w:bookmarkStart w:id="142" w:name="_Toc514172646"/>
      <w:r w:rsidRPr="00975C02">
        <w:rPr>
          <w:bCs/>
          <w:i/>
          <w:sz w:val="20"/>
          <w:szCs w:val="20"/>
          <w:lang w:val="es-ES"/>
        </w:rPr>
        <w:t>C</w:t>
      </w:r>
      <w:r w:rsidR="0032081D" w:rsidRPr="00975C02">
        <w:rPr>
          <w:bCs/>
          <w:i/>
          <w:sz w:val="20"/>
          <w:szCs w:val="20"/>
          <w:lang w:val="es-ES"/>
        </w:rPr>
        <w:t xml:space="preserve">.1 </w:t>
      </w:r>
      <w:r w:rsidR="001978B2" w:rsidRPr="00975C02">
        <w:rPr>
          <w:bCs/>
          <w:i/>
          <w:sz w:val="20"/>
          <w:szCs w:val="20"/>
          <w:lang w:val="es-ES"/>
        </w:rPr>
        <w:tab/>
      </w:r>
      <w:r w:rsidR="0032081D" w:rsidRPr="00975C02">
        <w:rPr>
          <w:bCs/>
          <w:i/>
          <w:sz w:val="20"/>
          <w:szCs w:val="20"/>
          <w:lang w:val="es-ES"/>
        </w:rPr>
        <w:t>Alegatos de las partes y de la Comisión en relación con el plazo razonable</w:t>
      </w:r>
      <w:bookmarkEnd w:id="142"/>
    </w:p>
    <w:p w14:paraId="2E2ABC5D" w14:textId="77777777" w:rsidR="0032081D" w:rsidRPr="00975C02" w:rsidRDefault="0032081D" w:rsidP="0032081D">
      <w:pPr>
        <w:widowControl/>
        <w:adjustRightInd/>
        <w:spacing w:line="240" w:lineRule="auto"/>
        <w:textAlignment w:val="auto"/>
        <w:rPr>
          <w:sz w:val="20"/>
          <w:szCs w:val="20"/>
          <w:lang w:val="es-ES" w:eastAsia="en-US"/>
        </w:rPr>
      </w:pPr>
    </w:p>
    <w:p w14:paraId="3888F57B" w14:textId="29692C1C" w:rsidR="0032081D" w:rsidRPr="00975C02" w:rsidRDefault="00165F9C" w:rsidP="00165F9C">
      <w:pPr>
        <w:widowControl/>
        <w:numPr>
          <w:ilvl w:val="0"/>
          <w:numId w:val="2"/>
        </w:numPr>
        <w:tabs>
          <w:tab w:val="left" w:pos="567"/>
          <w:tab w:val="num" w:pos="12305"/>
        </w:tabs>
        <w:adjustRightInd/>
        <w:spacing w:line="240" w:lineRule="auto"/>
        <w:ind w:left="0" w:firstLine="0"/>
        <w:textAlignment w:val="auto"/>
        <w:rPr>
          <w:rFonts w:eastAsiaTheme="minorHAnsi" w:cs="Arial"/>
          <w:b/>
          <w:sz w:val="16"/>
          <w:szCs w:val="20"/>
          <w:lang w:val="es-ES" w:eastAsia="en-US"/>
        </w:rPr>
      </w:pPr>
      <w:r w:rsidRPr="00975C02">
        <w:rPr>
          <w:rFonts w:eastAsiaTheme="minorHAnsi" w:cs="Arial"/>
          <w:sz w:val="20"/>
          <w:szCs w:val="20"/>
          <w:lang w:val="es-ES" w:eastAsia="en-US"/>
        </w:rPr>
        <w:t>L</w:t>
      </w:r>
      <w:r w:rsidR="0032081D" w:rsidRPr="00975C02">
        <w:rPr>
          <w:rFonts w:eastAsiaTheme="minorHAnsi" w:cs="Arial"/>
          <w:sz w:val="20"/>
          <w:szCs w:val="20"/>
          <w:lang w:val="es-ES" w:eastAsia="en-US"/>
        </w:rPr>
        <w:t xml:space="preserve">a </w:t>
      </w:r>
      <w:r w:rsidR="0032081D" w:rsidRPr="00975C02">
        <w:rPr>
          <w:rFonts w:eastAsiaTheme="minorHAnsi" w:cs="Arial"/>
          <w:b/>
          <w:i/>
          <w:sz w:val="20"/>
          <w:szCs w:val="20"/>
          <w:lang w:val="es-ES" w:eastAsia="en-US"/>
        </w:rPr>
        <w:t>Comisión</w:t>
      </w:r>
      <w:r w:rsidR="0032081D" w:rsidRPr="00975C02">
        <w:rPr>
          <w:rFonts w:eastAsiaTheme="minorHAnsi" w:cs="Arial"/>
          <w:sz w:val="20"/>
          <w:szCs w:val="20"/>
          <w:lang w:val="es-ES" w:eastAsia="en-US"/>
        </w:rPr>
        <w:t xml:space="preserve"> </w:t>
      </w:r>
      <w:r w:rsidRPr="00975C02">
        <w:rPr>
          <w:rFonts w:eastAsiaTheme="minorHAnsi" w:cs="Arial"/>
          <w:sz w:val="20"/>
          <w:szCs w:val="20"/>
          <w:lang w:val="es-ES" w:eastAsia="en-US"/>
        </w:rPr>
        <w:t>alegó, c</w:t>
      </w:r>
      <w:r w:rsidR="0032081D" w:rsidRPr="00975C02">
        <w:rPr>
          <w:rFonts w:eastAsiaTheme="minorHAnsi" w:cs="Arial"/>
          <w:sz w:val="20"/>
          <w:szCs w:val="20"/>
          <w:lang w:val="es-ES" w:eastAsia="en-US"/>
        </w:rPr>
        <w:t xml:space="preserve">on relación a la complejidad, que el Estado no justificó la demora del proceso en dicho factor. En cuanto a la participación de los interesados, la Comisión observó </w:t>
      </w:r>
      <w:r w:rsidR="0032081D" w:rsidRPr="00975C02">
        <w:rPr>
          <w:rFonts w:eastAsia="Calibri" w:cs="Arial"/>
          <w:sz w:val="20"/>
          <w:szCs w:val="20"/>
          <w:lang w:val="es-ES" w:eastAsia="en-US"/>
        </w:rPr>
        <w:t>que</w:t>
      </w:r>
      <w:r w:rsidR="0032081D" w:rsidRPr="00975C02">
        <w:rPr>
          <w:rFonts w:eastAsiaTheme="minorHAnsi" w:cs="Arial"/>
          <w:sz w:val="20"/>
          <w:szCs w:val="20"/>
          <w:lang w:val="es-ES" w:eastAsia="en-US"/>
        </w:rPr>
        <w:t xml:space="preserve"> la señora V.P.C. contribuyó activamente en el proceso, dando seguimiento e impulso a la investigación, quejándose en reiteradas ocasiones por la demora en la tramitación de diligencias así como de largos plazos de inactividad procesal. Respecto de la conducta de las autoridades judiciales, la Comisión identificó distintas omisiones en la realización de diligencias. Asimismo, observó que luego de la decisión absolutoria de abril de 2002, transcurrieron casi seis años hasta la culminación del proceso. </w:t>
      </w:r>
      <w:r w:rsidR="0032081D" w:rsidRPr="00975C02">
        <w:rPr>
          <w:sz w:val="20"/>
          <w:szCs w:val="20"/>
          <w:lang w:val="es-ES" w:eastAsia="en-US"/>
        </w:rPr>
        <w:t xml:space="preserve">La Comisión resaltó que, conforme a la documentación presentada, más de un juez se habría excusado de conocer el caso alegando tener afinidad con la persona procesada y que el propio Estado reconoció que un juez se excusó de conocer el caso “sin ningún motivo”. La Comisión indicó que, frente a esta situación, el Estado debió adoptar medidas para evitar que el mecanismo de las excusas se convirtiera en un factor de demora e impunidad en el presente caso. </w:t>
      </w:r>
      <w:r w:rsidR="0032081D" w:rsidRPr="00975C02">
        <w:rPr>
          <w:rFonts w:eastAsiaTheme="minorHAnsi" w:cs="Arial"/>
          <w:sz w:val="20"/>
          <w:szCs w:val="20"/>
          <w:lang w:val="es-ES" w:eastAsia="en-US"/>
        </w:rPr>
        <w:t>En cuanto al cuarto elemento, la Comisión consideró que, debido a la situación de niña y víctima de violación sexual</w:t>
      </w:r>
      <w:r w:rsidR="003245CC" w:rsidRPr="00975C02">
        <w:rPr>
          <w:rFonts w:eastAsiaTheme="minorHAnsi" w:cs="Arial"/>
          <w:sz w:val="20"/>
          <w:szCs w:val="20"/>
          <w:lang w:val="es-ES" w:eastAsia="en-US"/>
        </w:rPr>
        <w:t xml:space="preserve"> de V.R.P.</w:t>
      </w:r>
      <w:r w:rsidR="0032081D" w:rsidRPr="00975C02">
        <w:rPr>
          <w:rFonts w:eastAsiaTheme="minorHAnsi" w:cs="Arial"/>
          <w:sz w:val="20"/>
          <w:szCs w:val="20"/>
          <w:lang w:val="es-ES" w:eastAsia="en-US"/>
        </w:rPr>
        <w:t xml:space="preserve">, existía un deber reforzado del Estado de respeto y garantía de sus derechos, el cual no se vio reflejado en la manera en que se llevó a cabo la investigación y proceso penal. </w:t>
      </w:r>
      <w:r w:rsidR="0032081D" w:rsidRPr="00975C02">
        <w:rPr>
          <w:rFonts w:eastAsia="Calibri" w:cs="Arial"/>
          <w:sz w:val="20"/>
          <w:szCs w:val="20"/>
          <w:lang w:val="es-ES" w:eastAsia="en-US"/>
        </w:rPr>
        <w:t>Finalmente</w:t>
      </w:r>
      <w:r w:rsidR="0032081D" w:rsidRPr="00975C02">
        <w:rPr>
          <w:rFonts w:eastAsiaTheme="minorHAnsi" w:cs="Arial"/>
          <w:sz w:val="20"/>
          <w:szCs w:val="20"/>
          <w:lang w:val="es-ES" w:eastAsia="en-US"/>
        </w:rPr>
        <w:t>, la Comisión resaltó que el propio Estado reconoció la demora en el proceso sin aportar justificación alguna.</w:t>
      </w:r>
    </w:p>
    <w:p w14:paraId="793E4446" w14:textId="77777777" w:rsidR="0032081D" w:rsidRPr="00975C02" w:rsidRDefault="0032081D" w:rsidP="0032081D">
      <w:pPr>
        <w:widowControl/>
        <w:autoSpaceDE w:val="0"/>
        <w:autoSpaceDN w:val="0"/>
        <w:spacing w:line="240" w:lineRule="auto"/>
        <w:textAlignment w:val="auto"/>
        <w:rPr>
          <w:rFonts w:eastAsiaTheme="minorHAnsi" w:cs="Arial"/>
          <w:b/>
          <w:i/>
          <w:sz w:val="20"/>
          <w:szCs w:val="20"/>
          <w:lang w:val="es-ES" w:eastAsia="en-US"/>
        </w:rPr>
      </w:pPr>
    </w:p>
    <w:p w14:paraId="64CE3467" w14:textId="1BBF664C" w:rsidR="0032081D" w:rsidRPr="00975C02" w:rsidRDefault="0032081D" w:rsidP="0032081D">
      <w:pPr>
        <w:widowControl/>
        <w:numPr>
          <w:ilvl w:val="0"/>
          <w:numId w:val="2"/>
        </w:numPr>
        <w:tabs>
          <w:tab w:val="left" w:pos="567"/>
          <w:tab w:val="num" w:pos="12305"/>
        </w:tabs>
        <w:autoSpaceDE w:val="0"/>
        <w:autoSpaceDN w:val="0"/>
        <w:adjustRightInd/>
        <w:spacing w:line="240" w:lineRule="auto"/>
        <w:ind w:left="0" w:firstLine="0"/>
        <w:textAlignment w:val="auto"/>
        <w:rPr>
          <w:rFonts w:eastAsiaTheme="minorHAnsi" w:cs="Arial"/>
          <w:b/>
          <w:bCs/>
          <w:sz w:val="20"/>
          <w:szCs w:val="20"/>
          <w:lang w:val="es-ES" w:eastAsia="en-US"/>
        </w:rPr>
      </w:pPr>
      <w:r w:rsidRPr="00975C02">
        <w:rPr>
          <w:rFonts w:eastAsiaTheme="minorHAnsi" w:cs="Arial"/>
          <w:sz w:val="20"/>
          <w:szCs w:val="20"/>
          <w:lang w:val="es-ES" w:eastAsia="en-US"/>
        </w:rPr>
        <w:t xml:space="preserve">Las </w:t>
      </w:r>
      <w:r w:rsidRPr="00975C02">
        <w:rPr>
          <w:rFonts w:eastAsiaTheme="minorHAnsi" w:cs="Arial"/>
          <w:b/>
          <w:i/>
          <w:sz w:val="20"/>
          <w:szCs w:val="20"/>
          <w:lang w:val="es-ES" w:eastAsia="en-US"/>
        </w:rPr>
        <w:t>representantes</w:t>
      </w:r>
      <w:r w:rsidRPr="00975C02">
        <w:rPr>
          <w:rFonts w:eastAsiaTheme="minorHAnsi" w:cs="Arial"/>
          <w:b/>
          <w:sz w:val="20"/>
          <w:szCs w:val="20"/>
          <w:lang w:val="es-ES" w:eastAsia="en-US"/>
        </w:rPr>
        <w:t xml:space="preserve"> </w:t>
      </w:r>
      <w:r w:rsidRPr="00975C02">
        <w:rPr>
          <w:rFonts w:eastAsiaTheme="minorHAnsi" w:cs="Arial"/>
          <w:sz w:val="20"/>
          <w:szCs w:val="20"/>
          <w:lang w:val="es-ES" w:eastAsia="en-US"/>
        </w:rPr>
        <w:t xml:space="preserve">agregaron que no existía complejidad de la prueba, pues solo se hacía necesario hacer estudios médicos, psicológicos e indagatorias. Además, el caso solo tenía un presunto responsable y una víctima. En cuanto a la actividad procesal del interesado y la conducta de las autoridades judiciales, las representantes </w:t>
      </w:r>
      <w:r w:rsidR="000C4892">
        <w:rPr>
          <w:rFonts w:eastAsiaTheme="minorHAnsi" w:cs="Arial"/>
          <w:sz w:val="20"/>
          <w:szCs w:val="20"/>
          <w:lang w:val="es-ES" w:eastAsia="en-US"/>
        </w:rPr>
        <w:t>indicaron</w:t>
      </w:r>
      <w:r w:rsidRPr="00975C02">
        <w:rPr>
          <w:rFonts w:eastAsiaTheme="minorHAnsi" w:cs="Arial"/>
          <w:sz w:val="20"/>
          <w:szCs w:val="20"/>
          <w:lang w:val="es-ES" w:eastAsia="en-US"/>
        </w:rPr>
        <w:t xml:space="preserve"> </w:t>
      </w:r>
      <w:r w:rsidR="003309A0" w:rsidRPr="00975C02">
        <w:rPr>
          <w:rFonts w:eastAsiaTheme="minorHAnsi" w:cs="Arial"/>
          <w:sz w:val="20"/>
          <w:szCs w:val="20"/>
          <w:lang w:val="es-ES" w:eastAsia="en-US"/>
        </w:rPr>
        <w:t>que</w:t>
      </w:r>
      <w:r w:rsidRPr="00975C02">
        <w:rPr>
          <w:rFonts w:eastAsiaTheme="minorHAnsi" w:cs="Arial"/>
          <w:sz w:val="20"/>
          <w:szCs w:val="20"/>
          <w:lang w:val="es-ES" w:eastAsia="en-US"/>
        </w:rPr>
        <w:t xml:space="preserve"> las innecesarias remisiones del proceso a personas que ya se habían pronunciado sobre el expediente, las excusas realizadas por jueces sin fundamento o mucho tiempo después de haber recibido el caso, los </w:t>
      </w:r>
      <w:r w:rsidRPr="00975C02">
        <w:rPr>
          <w:rFonts w:eastAsia="Calibri" w:cs="Arial"/>
          <w:sz w:val="20"/>
          <w:szCs w:val="20"/>
          <w:lang w:val="es-ES" w:eastAsia="en-US"/>
        </w:rPr>
        <w:t>movimientos</w:t>
      </w:r>
      <w:r w:rsidRPr="00975C02">
        <w:rPr>
          <w:rFonts w:eastAsiaTheme="minorHAnsi" w:cs="Arial"/>
          <w:sz w:val="20"/>
          <w:szCs w:val="20"/>
          <w:lang w:val="es-ES" w:eastAsia="en-US"/>
        </w:rPr>
        <w:t xml:space="preserve"> y cambios de jueces, y la existencia de plazos prolongados en los cuales el caso estaba inactivo de manera injustificada, sólo en espera de la decisión, son atribuibles al Estado, por lo que éste no actuó dentro de un plazo razonable. Las representantes sostuvieron que</w:t>
      </w:r>
      <w:r w:rsidR="003309A0" w:rsidRPr="00975C02">
        <w:rPr>
          <w:rFonts w:eastAsiaTheme="minorHAnsi" w:cs="Arial"/>
          <w:sz w:val="20"/>
          <w:szCs w:val="20"/>
          <w:lang w:val="es-ES" w:eastAsia="en-US"/>
        </w:rPr>
        <w:t>,</w:t>
      </w:r>
      <w:r w:rsidRPr="00975C02">
        <w:rPr>
          <w:rFonts w:eastAsiaTheme="minorHAnsi" w:cs="Arial"/>
          <w:sz w:val="20"/>
          <w:szCs w:val="20"/>
          <w:lang w:val="es-ES" w:eastAsia="en-US"/>
        </w:rPr>
        <w:t xml:space="preserve"> si bien el veredicto del jurado fue emitido a los 4 meses y 23 días desde la denuncia, también observaron que desde el veredicto del jurado hasta el momento de la sentencia definitiva del incidente transcurrieron 5 años, 6 meses y 11 días; y un total de 5 años, 11 </w:t>
      </w:r>
      <w:r w:rsidRPr="00975C02">
        <w:rPr>
          <w:rFonts w:eastAsiaTheme="minorHAnsi"/>
          <w:sz w:val="20"/>
          <w:szCs w:val="20"/>
          <w:lang w:val="es-ES" w:eastAsia="en-US"/>
        </w:rPr>
        <w:t>meses</w:t>
      </w:r>
      <w:r w:rsidRPr="00975C02">
        <w:rPr>
          <w:rFonts w:eastAsiaTheme="minorHAnsi" w:cs="Arial"/>
          <w:sz w:val="20"/>
          <w:szCs w:val="20"/>
          <w:lang w:val="es-ES" w:eastAsia="en-US"/>
        </w:rPr>
        <w:t xml:space="preserve"> y 4 días desde la denuncia hasta el momento de la sentencia sobre el incidente de nulidad, lo cual convierte al plazo en irrazonable.</w:t>
      </w:r>
      <w:r w:rsidR="003309A0" w:rsidRPr="00975C02">
        <w:rPr>
          <w:rFonts w:eastAsiaTheme="minorHAnsi" w:cs="Arial"/>
          <w:b/>
          <w:bCs/>
          <w:sz w:val="16"/>
          <w:szCs w:val="16"/>
          <w:lang w:val="es-ES" w:eastAsia="en-US"/>
        </w:rPr>
        <w:t xml:space="preserve"> </w:t>
      </w:r>
    </w:p>
    <w:p w14:paraId="55BD40BD" w14:textId="77777777" w:rsidR="0032081D" w:rsidRPr="00975C02" w:rsidRDefault="0032081D" w:rsidP="0032081D">
      <w:pPr>
        <w:widowControl/>
        <w:autoSpaceDE w:val="0"/>
        <w:autoSpaceDN w:val="0"/>
        <w:spacing w:line="240" w:lineRule="auto"/>
        <w:textAlignment w:val="auto"/>
        <w:rPr>
          <w:rFonts w:eastAsiaTheme="minorHAnsi" w:cs="Arial"/>
          <w:sz w:val="20"/>
          <w:szCs w:val="20"/>
          <w:lang w:val="es-ES" w:eastAsia="en-US"/>
        </w:rPr>
      </w:pPr>
    </w:p>
    <w:p w14:paraId="58696D06" w14:textId="0F8044A0" w:rsidR="0032081D" w:rsidRPr="00975C02" w:rsidRDefault="003309A0" w:rsidP="003309A0">
      <w:pPr>
        <w:widowControl/>
        <w:numPr>
          <w:ilvl w:val="0"/>
          <w:numId w:val="2"/>
        </w:numPr>
        <w:tabs>
          <w:tab w:val="left" w:pos="567"/>
          <w:tab w:val="num" w:pos="12305"/>
        </w:tabs>
        <w:adjustRightInd/>
        <w:spacing w:line="240" w:lineRule="auto"/>
        <w:ind w:left="0" w:firstLine="0"/>
        <w:textAlignment w:val="auto"/>
        <w:rPr>
          <w:rFonts w:eastAsiaTheme="minorHAnsi" w:cs="Arial"/>
          <w:b/>
          <w:sz w:val="16"/>
          <w:szCs w:val="20"/>
          <w:lang w:val="es-ES" w:eastAsia="en-US"/>
        </w:rPr>
      </w:pPr>
      <w:r w:rsidRPr="00975C02">
        <w:rPr>
          <w:rFonts w:eastAsiaTheme="minorHAnsi" w:cs="Arial"/>
          <w:sz w:val="20"/>
          <w:szCs w:val="20"/>
          <w:lang w:val="es-ES" w:eastAsia="en-US"/>
        </w:rPr>
        <w:t xml:space="preserve">El </w:t>
      </w:r>
      <w:r w:rsidRPr="00975C02">
        <w:rPr>
          <w:rFonts w:eastAsiaTheme="minorHAnsi" w:cs="Arial"/>
          <w:b/>
          <w:i/>
          <w:sz w:val="20"/>
          <w:szCs w:val="20"/>
          <w:lang w:val="es-ES" w:eastAsia="en-US"/>
        </w:rPr>
        <w:t>Estado</w:t>
      </w:r>
      <w:r w:rsidRPr="00975C02">
        <w:rPr>
          <w:rFonts w:eastAsiaTheme="minorHAnsi" w:cs="Arial"/>
          <w:sz w:val="20"/>
          <w:szCs w:val="20"/>
          <w:lang w:val="es-ES" w:eastAsia="en-US"/>
        </w:rPr>
        <w:t xml:space="preserve"> </w:t>
      </w:r>
      <w:r w:rsidRPr="00975C02">
        <w:rPr>
          <w:rFonts w:eastAsiaTheme="minorHAnsi"/>
          <w:sz w:val="20"/>
          <w:szCs w:val="20"/>
          <w:lang w:val="es-ES" w:eastAsia="en-US"/>
        </w:rPr>
        <w:t>señaló</w:t>
      </w:r>
      <w:r w:rsidR="0032081D" w:rsidRPr="00975C02">
        <w:rPr>
          <w:rFonts w:eastAsiaTheme="minorHAnsi" w:cs="Arial"/>
          <w:sz w:val="20"/>
          <w:szCs w:val="20"/>
          <w:lang w:val="es-ES" w:eastAsia="en-US"/>
        </w:rPr>
        <w:t xml:space="preserve"> </w:t>
      </w:r>
      <w:r w:rsidR="0032081D" w:rsidRPr="00975C02">
        <w:rPr>
          <w:rFonts w:eastAsiaTheme="minorHAnsi"/>
          <w:sz w:val="20"/>
          <w:szCs w:val="20"/>
          <w:lang w:val="es-ES" w:eastAsia="en-US"/>
        </w:rPr>
        <w:t>que el proceso penal en este caso estaba conformado por dos etapas: la etapa instructiva, cuya duración de acuerdo al Código de Instrucción Criminal era de 10 días con procesado detenido y 20 días sin detenido</w:t>
      </w:r>
      <w:r w:rsidR="0032081D" w:rsidRPr="00975C02">
        <w:rPr>
          <w:rFonts w:eastAsiaTheme="minorHAnsi" w:cs="Arial"/>
          <w:sz w:val="20"/>
          <w:szCs w:val="20"/>
          <w:lang w:val="es-ES" w:eastAsia="en-US"/>
        </w:rPr>
        <w:t xml:space="preserve">; </w:t>
      </w:r>
      <w:r w:rsidR="0032081D" w:rsidRPr="00975C02">
        <w:rPr>
          <w:rFonts w:eastAsiaTheme="minorHAnsi"/>
          <w:sz w:val="20"/>
          <w:szCs w:val="20"/>
          <w:lang w:val="es-ES" w:eastAsia="en-US"/>
        </w:rPr>
        <w:t>y la etapa plenaria que iniciaba con las primeras vistas después de la filiación y confesión con cargos del reo, concluyendo esta etapa con la sentencia definitiva cuando se elevaba el caso al conocimiento del Tribunal de Jurado</w:t>
      </w:r>
      <w:r w:rsidR="00A84E71">
        <w:rPr>
          <w:rFonts w:eastAsiaTheme="minorHAnsi"/>
          <w:sz w:val="20"/>
          <w:szCs w:val="20"/>
          <w:lang w:val="es-ES" w:eastAsia="en-US"/>
        </w:rPr>
        <w:t>s</w:t>
      </w:r>
      <w:r w:rsidR="0032081D" w:rsidRPr="00975C02">
        <w:rPr>
          <w:rFonts w:eastAsiaTheme="minorHAnsi"/>
          <w:sz w:val="20"/>
          <w:szCs w:val="20"/>
          <w:lang w:val="es-ES" w:eastAsia="en-US"/>
        </w:rPr>
        <w:t xml:space="preserve"> quienes, por íntima convicción, emitían su veredicto. Según el Estado, se dictó sentencia en un plazo de 4 meses y 23 días, desde la presentación de la denuncia hasta el veredicto del Tribunal de </w:t>
      </w:r>
      <w:r w:rsidR="00300318" w:rsidRPr="00975C02">
        <w:rPr>
          <w:rFonts w:eastAsiaTheme="minorHAnsi"/>
          <w:sz w:val="20"/>
          <w:szCs w:val="20"/>
          <w:lang w:val="es-ES" w:eastAsia="en-US"/>
        </w:rPr>
        <w:t>J</w:t>
      </w:r>
      <w:r w:rsidR="0032081D" w:rsidRPr="00975C02">
        <w:rPr>
          <w:rFonts w:eastAsiaTheme="minorHAnsi"/>
          <w:sz w:val="20"/>
          <w:szCs w:val="20"/>
          <w:lang w:val="es-ES" w:eastAsia="en-US"/>
        </w:rPr>
        <w:t>urado</w:t>
      </w:r>
      <w:r w:rsidR="00300318" w:rsidRPr="00975C02">
        <w:rPr>
          <w:rFonts w:eastAsiaTheme="minorHAnsi"/>
          <w:sz w:val="20"/>
          <w:szCs w:val="20"/>
          <w:lang w:val="es-ES" w:eastAsia="en-US"/>
        </w:rPr>
        <w:t>s</w:t>
      </w:r>
      <w:r w:rsidR="0032081D" w:rsidRPr="00975C02">
        <w:rPr>
          <w:rFonts w:eastAsiaTheme="minorHAnsi"/>
          <w:sz w:val="20"/>
          <w:szCs w:val="20"/>
          <w:lang w:val="es-ES" w:eastAsia="en-US"/>
        </w:rPr>
        <w:t>. Estimó que dicha duración del plazo e</w:t>
      </w:r>
      <w:r w:rsidR="00300318" w:rsidRPr="00975C02">
        <w:rPr>
          <w:rFonts w:eastAsiaTheme="minorHAnsi"/>
          <w:sz w:val="20"/>
          <w:szCs w:val="20"/>
          <w:lang w:val="es-ES" w:eastAsia="en-US"/>
        </w:rPr>
        <w:t>ra</w:t>
      </w:r>
      <w:r w:rsidR="0032081D" w:rsidRPr="00975C02">
        <w:rPr>
          <w:rFonts w:eastAsiaTheme="minorHAnsi"/>
          <w:sz w:val="20"/>
          <w:szCs w:val="20"/>
          <w:lang w:val="es-ES" w:eastAsia="en-US"/>
        </w:rPr>
        <w:t xml:space="preserve"> razonable tomando en consideración el proceso vigente en ese entonces en Nicaragua. Además, el Estado afirmó que la Comisión incurrió en un error al extender el plazo de duración del proceso con otras incidencias o situaciones del proceso como son los recursos, incidentes y sus resoluciones lo que evidencia</w:t>
      </w:r>
      <w:r w:rsidR="00300318" w:rsidRPr="00975C02">
        <w:rPr>
          <w:rFonts w:eastAsiaTheme="minorHAnsi"/>
          <w:sz w:val="20"/>
          <w:szCs w:val="20"/>
          <w:lang w:val="es-ES" w:eastAsia="en-US"/>
        </w:rPr>
        <w:t>ba</w:t>
      </w:r>
      <w:r w:rsidR="0032081D" w:rsidRPr="00975C02">
        <w:rPr>
          <w:rFonts w:eastAsiaTheme="minorHAnsi"/>
          <w:sz w:val="20"/>
          <w:szCs w:val="20"/>
          <w:lang w:val="es-ES" w:eastAsia="en-US"/>
        </w:rPr>
        <w:t xml:space="preserve"> el desconocimiento técnico jurídico del sistema procesal nicaragüense. En cuanto a la actuación de las autoridades, el Estado indicó que la etapa de incidentes y recursos posteriores a la sentencia definitiva, derivada del veredicto del jurado, duró 5 años, 6 meses y 10 días, lo cual incluyó una sentencia emitida por el Tribunal superior, resoluciones de autoridades judiciales e impulso procesal de las partes.</w:t>
      </w:r>
    </w:p>
    <w:p w14:paraId="5F885B44" w14:textId="77777777" w:rsidR="0032081D" w:rsidRPr="00975C02" w:rsidRDefault="0032081D" w:rsidP="0032081D">
      <w:pPr>
        <w:widowControl/>
        <w:adjustRightInd/>
        <w:spacing w:line="240" w:lineRule="auto"/>
        <w:textAlignment w:val="auto"/>
        <w:rPr>
          <w:sz w:val="20"/>
          <w:szCs w:val="20"/>
          <w:lang w:val="es-ES" w:eastAsia="en-US"/>
        </w:rPr>
      </w:pPr>
    </w:p>
    <w:p w14:paraId="0D22229D" w14:textId="77777777" w:rsidR="0032081D" w:rsidRPr="00975C02" w:rsidRDefault="00A32A5E" w:rsidP="00A32A5E">
      <w:pPr>
        <w:keepNext/>
        <w:keepLines/>
        <w:tabs>
          <w:tab w:val="left" w:pos="1701"/>
        </w:tabs>
        <w:spacing w:line="240" w:lineRule="auto"/>
        <w:ind w:left="1134"/>
        <w:outlineLvl w:val="1"/>
        <w:rPr>
          <w:bCs/>
          <w:i/>
          <w:sz w:val="20"/>
          <w:szCs w:val="20"/>
          <w:lang w:val="es-ES"/>
        </w:rPr>
      </w:pPr>
      <w:bookmarkStart w:id="143" w:name="_Toc514172647"/>
      <w:r w:rsidRPr="00975C02">
        <w:rPr>
          <w:bCs/>
          <w:i/>
          <w:sz w:val="20"/>
          <w:szCs w:val="20"/>
          <w:lang w:val="es-ES"/>
        </w:rPr>
        <w:lastRenderedPageBreak/>
        <w:t>C</w:t>
      </w:r>
      <w:r w:rsidR="0032081D" w:rsidRPr="00975C02">
        <w:rPr>
          <w:bCs/>
          <w:i/>
          <w:sz w:val="20"/>
          <w:szCs w:val="20"/>
          <w:lang w:val="es-ES"/>
        </w:rPr>
        <w:t>.2</w:t>
      </w:r>
      <w:r w:rsidR="0032081D" w:rsidRPr="00975C02">
        <w:rPr>
          <w:bCs/>
          <w:i/>
          <w:sz w:val="20"/>
          <w:szCs w:val="20"/>
          <w:lang w:val="es-ES"/>
        </w:rPr>
        <w:tab/>
        <w:t>Consideraciones de la Corte</w:t>
      </w:r>
      <w:bookmarkEnd w:id="143"/>
    </w:p>
    <w:p w14:paraId="71968B84" w14:textId="77777777" w:rsidR="0032081D" w:rsidRPr="00975C02" w:rsidRDefault="0032081D" w:rsidP="00B5625C">
      <w:pPr>
        <w:widowControl/>
        <w:adjustRightInd/>
        <w:spacing w:line="240" w:lineRule="auto"/>
        <w:textAlignment w:val="auto"/>
        <w:rPr>
          <w:sz w:val="20"/>
          <w:szCs w:val="20"/>
          <w:lang w:val="es-ES" w:eastAsia="en-US"/>
        </w:rPr>
      </w:pPr>
    </w:p>
    <w:p w14:paraId="377346C8" w14:textId="77777777" w:rsidR="00411EF5" w:rsidRPr="00975C02" w:rsidRDefault="00B5625C" w:rsidP="00411EF5">
      <w:pPr>
        <w:widowControl/>
        <w:numPr>
          <w:ilvl w:val="0"/>
          <w:numId w:val="2"/>
        </w:numPr>
        <w:tabs>
          <w:tab w:val="left" w:pos="567"/>
          <w:tab w:val="num" w:pos="12305"/>
        </w:tabs>
        <w:adjustRightInd/>
        <w:spacing w:line="240" w:lineRule="auto"/>
        <w:ind w:left="0" w:firstLine="0"/>
        <w:textAlignment w:val="auto"/>
        <w:rPr>
          <w:rFonts w:eastAsia="Batang"/>
          <w:sz w:val="20"/>
          <w:szCs w:val="20"/>
          <w:lang w:val="es-ES" w:eastAsia="es-MX"/>
        </w:rPr>
      </w:pPr>
      <w:r w:rsidRPr="00975C02">
        <w:rPr>
          <w:rFonts w:eastAsia="Batang" w:cs="Arial"/>
          <w:sz w:val="20"/>
          <w:szCs w:val="20"/>
          <w:lang w:val="es-ES" w:eastAsia="es-MX"/>
        </w:rPr>
        <w:t xml:space="preserve">La Corte ha </w:t>
      </w:r>
      <w:r w:rsidRPr="00975C02">
        <w:rPr>
          <w:rFonts w:eastAsia="Batang"/>
          <w:sz w:val="20"/>
          <w:szCs w:val="20"/>
          <w:lang w:val="es-ES" w:eastAsia="es-MX"/>
        </w:rPr>
        <w:t>señalado</w:t>
      </w:r>
      <w:r w:rsidRPr="00975C02">
        <w:rPr>
          <w:rFonts w:eastAsia="Batang" w:cs="Arial"/>
          <w:sz w:val="20"/>
          <w:szCs w:val="20"/>
          <w:lang w:val="es-ES" w:eastAsia="es-MX"/>
        </w:rPr>
        <w:t xml:space="preserve"> que el derecho de acceso a la justicia implica que la realización de todo lo necesario para conocer la verdad de lo sucedido y sancionar a los responsables se haga en un plazo razonable</w:t>
      </w:r>
      <w:r w:rsidRPr="00975C02">
        <w:rPr>
          <w:rFonts w:eastAsia="Batang" w:cs="Arial"/>
          <w:sz w:val="20"/>
          <w:szCs w:val="20"/>
          <w:vertAlign w:val="superscript"/>
          <w:lang w:val="es-ES" w:eastAsia="es-MX"/>
        </w:rPr>
        <w:footnoteReference w:id="367"/>
      </w:r>
      <w:r w:rsidRPr="00975C02">
        <w:rPr>
          <w:rFonts w:eastAsia="Batang"/>
          <w:sz w:val="20"/>
          <w:szCs w:val="20"/>
          <w:lang w:val="es-ES" w:eastAsia="es-MX"/>
        </w:rPr>
        <w:t xml:space="preserve">. </w:t>
      </w:r>
      <w:r w:rsidRPr="00975C02">
        <w:rPr>
          <w:rFonts w:eastAsiaTheme="minorHAnsi" w:cstheme="minorBidi"/>
          <w:sz w:val="20"/>
          <w:szCs w:val="20"/>
          <w:lang w:val="es-ES" w:eastAsia="en-US"/>
        </w:rPr>
        <w:t xml:space="preserve">En este sentido, la Corte considera que el proceso termina cuando se </w:t>
      </w:r>
      <w:r w:rsidRPr="00975C02">
        <w:rPr>
          <w:rFonts w:cs="Verdana"/>
          <w:sz w:val="20"/>
          <w:szCs w:val="20"/>
          <w:lang w:val="es-ES" w:eastAsia="en-US"/>
        </w:rPr>
        <w:t>dicta</w:t>
      </w:r>
      <w:r w:rsidRPr="00975C02">
        <w:rPr>
          <w:rFonts w:eastAsiaTheme="minorHAnsi" w:cstheme="minorBidi"/>
          <w:sz w:val="20"/>
          <w:szCs w:val="20"/>
          <w:lang w:val="es-ES" w:eastAsia="en-US"/>
        </w:rPr>
        <w:t xml:space="preserve"> sentencia definitiva y firme en el asunto, con lo cual se agota la jurisdicción y que, particularmente en materia penal, dicho plazo debe comprender todo el procedimiento, incluyendo los recursos de instancia que pudieran eventualmente presentarse</w:t>
      </w:r>
      <w:r w:rsidRPr="00975C02">
        <w:rPr>
          <w:rFonts w:eastAsiaTheme="minorHAnsi" w:cs="Verdana"/>
          <w:sz w:val="20"/>
          <w:szCs w:val="20"/>
          <w:vertAlign w:val="superscript"/>
          <w:lang w:val="es-ES" w:eastAsia="en-US"/>
        </w:rPr>
        <w:footnoteReference w:id="368"/>
      </w:r>
      <w:r w:rsidRPr="00975C02">
        <w:rPr>
          <w:rFonts w:eastAsiaTheme="minorHAnsi" w:cs="Tahoma"/>
          <w:sz w:val="20"/>
          <w:szCs w:val="20"/>
          <w:shd w:val="clear" w:color="auto" w:fill="FFFFFF"/>
          <w:lang w:val="es-ES" w:eastAsia="en-US"/>
        </w:rPr>
        <w:t xml:space="preserve">. </w:t>
      </w:r>
      <w:r w:rsidRPr="00975C02">
        <w:rPr>
          <w:rFonts w:eastAsia="Batang"/>
          <w:sz w:val="20"/>
          <w:szCs w:val="20"/>
          <w:lang w:val="es-ES" w:eastAsia="es-MX"/>
        </w:rPr>
        <w:t xml:space="preserve">Se ha </w:t>
      </w:r>
      <w:r w:rsidRPr="00975C02">
        <w:rPr>
          <w:rFonts w:eastAsia="Batang" w:cs="Arial"/>
          <w:sz w:val="20"/>
          <w:szCs w:val="20"/>
          <w:lang w:val="es-ES" w:eastAsia="es-MX"/>
        </w:rPr>
        <w:t>considerado</w:t>
      </w:r>
      <w:r w:rsidRPr="00975C02">
        <w:rPr>
          <w:rFonts w:eastAsia="Batang"/>
          <w:sz w:val="20"/>
          <w:szCs w:val="20"/>
          <w:lang w:val="es-ES" w:eastAsia="es-MX"/>
        </w:rPr>
        <w:t xml:space="preserve"> por este Tribunal que una demora prolongada puede llegar a constituir, por sí misma, una violación a las garantías judiciales</w:t>
      </w:r>
      <w:r w:rsidRPr="00975C02">
        <w:rPr>
          <w:rFonts w:eastAsia="Batang" w:cs="Verdana"/>
          <w:sz w:val="20"/>
          <w:szCs w:val="20"/>
          <w:vertAlign w:val="superscript"/>
          <w:lang w:val="es-ES" w:eastAsia="es-MX"/>
        </w:rPr>
        <w:footnoteReference w:id="369"/>
      </w:r>
      <w:r w:rsidRPr="00975C02">
        <w:rPr>
          <w:rFonts w:eastAsia="Batang"/>
          <w:sz w:val="20"/>
          <w:szCs w:val="20"/>
          <w:lang w:val="es-ES" w:eastAsia="es-MX"/>
        </w:rPr>
        <w:t>.</w:t>
      </w:r>
    </w:p>
    <w:p w14:paraId="5C6F3C00" w14:textId="77777777" w:rsidR="00411EF5" w:rsidRPr="00975C02" w:rsidRDefault="00B5625C" w:rsidP="00DF3D71">
      <w:pPr>
        <w:widowControl/>
        <w:tabs>
          <w:tab w:val="left" w:pos="567"/>
        </w:tabs>
        <w:adjustRightInd/>
        <w:spacing w:line="240" w:lineRule="auto"/>
        <w:textAlignment w:val="auto"/>
        <w:rPr>
          <w:rFonts w:eastAsia="Batang"/>
          <w:sz w:val="20"/>
          <w:szCs w:val="20"/>
          <w:lang w:val="es-ES" w:eastAsia="es-MX"/>
        </w:rPr>
      </w:pPr>
      <w:r w:rsidRPr="00975C02">
        <w:rPr>
          <w:rFonts w:eastAsia="Batang"/>
          <w:sz w:val="20"/>
          <w:szCs w:val="20"/>
          <w:lang w:val="es-ES" w:eastAsia="es-MX"/>
        </w:rPr>
        <w:t xml:space="preserve"> </w:t>
      </w:r>
    </w:p>
    <w:p w14:paraId="325DA192" w14:textId="77777777" w:rsidR="00411EF5" w:rsidRPr="00975C02" w:rsidRDefault="00411EF5" w:rsidP="00DF3D71">
      <w:pPr>
        <w:widowControl/>
        <w:numPr>
          <w:ilvl w:val="0"/>
          <w:numId w:val="2"/>
        </w:numPr>
        <w:tabs>
          <w:tab w:val="left" w:pos="567"/>
          <w:tab w:val="num" w:pos="12305"/>
        </w:tabs>
        <w:adjustRightInd/>
        <w:spacing w:line="240" w:lineRule="auto"/>
        <w:ind w:left="0" w:firstLine="0"/>
        <w:textAlignment w:val="auto"/>
        <w:rPr>
          <w:rFonts w:eastAsiaTheme="minorHAnsi"/>
          <w:sz w:val="20"/>
          <w:szCs w:val="20"/>
          <w:lang w:val="es-ES"/>
        </w:rPr>
      </w:pPr>
      <w:r w:rsidRPr="00975C02">
        <w:rPr>
          <w:sz w:val="20"/>
          <w:szCs w:val="20"/>
          <w:lang w:val="es-ES"/>
        </w:rPr>
        <w:t>Si bien es cierto que a efectos de analizar su plazo razonable, en términos generales la Corte debe considerar la duración global de un proceso hasta que se dicte sentencia definitiva</w:t>
      </w:r>
      <w:r w:rsidRPr="00975C02">
        <w:rPr>
          <w:sz w:val="20"/>
          <w:szCs w:val="20"/>
          <w:vertAlign w:val="superscript"/>
          <w:lang w:val="es-ES"/>
        </w:rPr>
        <w:footnoteReference w:id="370"/>
      </w:r>
      <w:r w:rsidRPr="00975C02">
        <w:rPr>
          <w:sz w:val="20"/>
          <w:szCs w:val="20"/>
          <w:lang w:val="es-ES"/>
        </w:rPr>
        <w:t>, en ciertas situaciones particulares puede ser pertinente una valoración específica de sus distintas etapas</w:t>
      </w:r>
      <w:r w:rsidRPr="00975C02">
        <w:rPr>
          <w:rStyle w:val="FootnoteReference"/>
          <w:sz w:val="20"/>
          <w:szCs w:val="20"/>
          <w:lang w:val="es-ES"/>
        </w:rPr>
        <w:footnoteReference w:id="371"/>
      </w:r>
      <w:r w:rsidR="0036062A" w:rsidRPr="00975C02">
        <w:rPr>
          <w:sz w:val="20"/>
          <w:szCs w:val="20"/>
          <w:lang w:val="es-ES"/>
        </w:rPr>
        <w:t>.</w:t>
      </w:r>
    </w:p>
    <w:p w14:paraId="4D0C2226" w14:textId="77777777" w:rsidR="00411EF5" w:rsidRPr="00975C02" w:rsidRDefault="00411EF5" w:rsidP="00DF3D71">
      <w:pPr>
        <w:pStyle w:val="ListParagraph"/>
        <w:spacing w:line="240" w:lineRule="auto"/>
        <w:rPr>
          <w:rFonts w:eastAsia="Batang"/>
          <w:sz w:val="20"/>
          <w:szCs w:val="20"/>
          <w:lang w:val="es-ES" w:eastAsia="es-MX"/>
        </w:rPr>
      </w:pPr>
    </w:p>
    <w:p w14:paraId="6586E9EA" w14:textId="46D577EE" w:rsidR="00B5625C" w:rsidRPr="00975C02" w:rsidRDefault="00B5625C" w:rsidP="00411EF5">
      <w:pPr>
        <w:widowControl/>
        <w:numPr>
          <w:ilvl w:val="0"/>
          <w:numId w:val="2"/>
        </w:numPr>
        <w:tabs>
          <w:tab w:val="left" w:pos="567"/>
          <w:tab w:val="num" w:pos="12305"/>
        </w:tabs>
        <w:adjustRightInd/>
        <w:spacing w:line="240" w:lineRule="auto"/>
        <w:ind w:left="0" w:firstLine="0"/>
        <w:textAlignment w:val="auto"/>
        <w:rPr>
          <w:rFonts w:eastAsia="Batang"/>
          <w:sz w:val="20"/>
          <w:szCs w:val="20"/>
          <w:lang w:val="es-ES" w:eastAsia="es-MX"/>
        </w:rPr>
      </w:pPr>
      <w:r w:rsidRPr="00975C02">
        <w:rPr>
          <w:rFonts w:eastAsia="Batang"/>
          <w:sz w:val="20"/>
          <w:szCs w:val="20"/>
          <w:lang w:val="es-ES" w:eastAsia="es-MX"/>
        </w:rPr>
        <w:t xml:space="preserve">Al respecto, la Corte nota que no existe controversia entre las partes respecto del plazo de duración del proceso </w:t>
      </w:r>
      <w:r w:rsidRPr="00975C02">
        <w:rPr>
          <w:rFonts w:eastAsiaTheme="minorHAnsi" w:cstheme="minorBidi"/>
          <w:sz w:val="20"/>
          <w:szCs w:val="20"/>
          <w:lang w:val="es-ES" w:eastAsia="en-US"/>
        </w:rPr>
        <w:t>desde</w:t>
      </w:r>
      <w:r w:rsidRPr="00975C02">
        <w:rPr>
          <w:rFonts w:eastAsia="Batang"/>
          <w:sz w:val="20"/>
          <w:szCs w:val="20"/>
          <w:lang w:val="es-ES" w:eastAsia="es-MX"/>
        </w:rPr>
        <w:t xml:space="preserve"> la denuncia penal hasta el veredicto absolutorio del Tribunal de Jurado</w:t>
      </w:r>
      <w:r w:rsidR="00A84E71">
        <w:rPr>
          <w:rFonts w:eastAsia="Batang"/>
          <w:sz w:val="20"/>
          <w:szCs w:val="20"/>
          <w:lang w:val="es-ES" w:eastAsia="es-MX"/>
        </w:rPr>
        <w:t>s</w:t>
      </w:r>
      <w:r w:rsidRPr="00975C02">
        <w:rPr>
          <w:rFonts w:eastAsia="Batang"/>
          <w:sz w:val="20"/>
          <w:szCs w:val="20"/>
          <w:lang w:val="es-ES" w:eastAsia="es-MX"/>
        </w:rPr>
        <w:t xml:space="preserve">. La controversia se basa en el tiempo transcurrido durante la etapa recursiva del caso. En </w:t>
      </w:r>
      <w:r w:rsidRPr="00975C02">
        <w:rPr>
          <w:rFonts w:eastAsiaTheme="minorHAnsi" w:cstheme="minorBidi"/>
          <w:sz w:val="20"/>
          <w:szCs w:val="20"/>
          <w:lang w:val="es-ES" w:eastAsia="en-US"/>
        </w:rPr>
        <w:t>relación</w:t>
      </w:r>
      <w:r w:rsidRPr="00975C02">
        <w:rPr>
          <w:rFonts w:eastAsia="Batang"/>
          <w:sz w:val="20"/>
          <w:szCs w:val="20"/>
          <w:lang w:val="es-ES" w:eastAsia="es-MX"/>
        </w:rPr>
        <w:t xml:space="preserve"> con lo anterior, la Corte nota que durante la etapa recursiva transcurrieron cinco años, seis meses y </w:t>
      </w:r>
      <w:r w:rsidR="00300318" w:rsidRPr="00975C02">
        <w:rPr>
          <w:rFonts w:eastAsia="Batang"/>
          <w:sz w:val="20"/>
          <w:szCs w:val="20"/>
          <w:lang w:val="es-ES" w:eastAsia="es-MX"/>
        </w:rPr>
        <w:t xml:space="preserve">once </w:t>
      </w:r>
      <w:r w:rsidRPr="00975C02">
        <w:rPr>
          <w:rFonts w:eastAsia="Batang"/>
          <w:sz w:val="20"/>
          <w:szCs w:val="20"/>
          <w:lang w:val="es-ES" w:eastAsia="es-MX"/>
        </w:rPr>
        <w:t>días, desde el veredicto absolutorio (13 de abril de 2002) hasta que la decisión quedó firme (24 de octubre de 2007). Por lo tanto, debe examinarse si la demora ocurrida durante dic</w:t>
      </w:r>
      <w:r w:rsidR="006C5AD8" w:rsidRPr="00975C02">
        <w:rPr>
          <w:rFonts w:eastAsia="Batang"/>
          <w:sz w:val="20"/>
          <w:szCs w:val="20"/>
          <w:lang w:val="es-ES" w:eastAsia="es-MX"/>
        </w:rPr>
        <w:t>ho período resulta justificada.</w:t>
      </w:r>
    </w:p>
    <w:p w14:paraId="03C8953F" w14:textId="77777777" w:rsidR="00B5625C" w:rsidRPr="00975C02" w:rsidRDefault="00B5625C" w:rsidP="00B5625C">
      <w:pPr>
        <w:widowControl/>
        <w:tabs>
          <w:tab w:val="left" w:pos="-142"/>
        </w:tabs>
        <w:adjustRightInd/>
        <w:spacing w:line="240" w:lineRule="auto"/>
        <w:textAlignment w:val="auto"/>
        <w:rPr>
          <w:rFonts w:eastAsia="Calibri" w:cs="Calibri"/>
          <w:sz w:val="20"/>
          <w:szCs w:val="20"/>
          <w:lang w:val="es-ES" w:eastAsia="es-MX"/>
        </w:rPr>
      </w:pPr>
    </w:p>
    <w:p w14:paraId="41124031" w14:textId="77777777" w:rsidR="00F11668" w:rsidRPr="00975C02" w:rsidRDefault="00B5625C" w:rsidP="00F11668">
      <w:pPr>
        <w:widowControl/>
        <w:numPr>
          <w:ilvl w:val="0"/>
          <w:numId w:val="2"/>
        </w:numPr>
        <w:tabs>
          <w:tab w:val="left" w:pos="567"/>
          <w:tab w:val="num" w:pos="12305"/>
        </w:tabs>
        <w:adjustRightInd/>
        <w:spacing w:line="240" w:lineRule="auto"/>
        <w:ind w:left="0" w:firstLine="0"/>
        <w:textAlignment w:val="auto"/>
        <w:rPr>
          <w:rFonts w:eastAsia="Batang"/>
          <w:sz w:val="20"/>
          <w:szCs w:val="20"/>
          <w:lang w:val="es-ES" w:eastAsia="es-MX"/>
        </w:rPr>
      </w:pPr>
      <w:r w:rsidRPr="00975C02">
        <w:rPr>
          <w:rFonts w:eastAsia="Batang"/>
          <w:sz w:val="20"/>
          <w:szCs w:val="20"/>
          <w:lang w:val="es-ES" w:eastAsia="es-MX"/>
        </w:rPr>
        <w:t xml:space="preserve">Los </w:t>
      </w:r>
      <w:r w:rsidRPr="00975C02">
        <w:rPr>
          <w:rFonts w:eastAsia="Batang" w:cs="Arial"/>
          <w:sz w:val="20"/>
          <w:szCs w:val="20"/>
          <w:lang w:val="es-ES" w:eastAsia="es-MX"/>
        </w:rPr>
        <w:t>elementos</w:t>
      </w:r>
      <w:r w:rsidRPr="00975C02">
        <w:rPr>
          <w:rFonts w:eastAsia="Batang"/>
          <w:sz w:val="20"/>
          <w:szCs w:val="20"/>
          <w:lang w:val="es-ES" w:eastAsia="es-MX"/>
        </w:rPr>
        <w:t xml:space="preserve"> que esta Corte ha establecido para poder determinar la razonabilidad del plazo son: a) complejidad del asunto; b) actividad procesal del interesado; c) conducta de las autoridades </w:t>
      </w:r>
      <w:r w:rsidRPr="00975C02">
        <w:rPr>
          <w:rFonts w:eastAsiaTheme="minorHAnsi" w:cstheme="minorBidi"/>
          <w:sz w:val="20"/>
          <w:szCs w:val="20"/>
          <w:lang w:val="es-ES" w:eastAsia="en-US"/>
        </w:rPr>
        <w:t>judiciales</w:t>
      </w:r>
      <w:r w:rsidRPr="00975C02">
        <w:rPr>
          <w:rFonts w:eastAsia="Batang"/>
          <w:sz w:val="20"/>
          <w:szCs w:val="20"/>
          <w:lang w:val="es-ES" w:eastAsia="es-MX"/>
        </w:rPr>
        <w:t>, y d) la afectación generada en la situación jurídica de la persona involucrada en el proceso</w:t>
      </w:r>
      <w:r w:rsidRPr="00975C02">
        <w:rPr>
          <w:rFonts w:eastAsia="Batang" w:cs="Verdana"/>
          <w:sz w:val="20"/>
          <w:szCs w:val="20"/>
          <w:vertAlign w:val="superscript"/>
          <w:lang w:val="es-ES" w:eastAsia="es-MX"/>
        </w:rPr>
        <w:footnoteReference w:id="372"/>
      </w:r>
      <w:r w:rsidRPr="00975C02">
        <w:rPr>
          <w:rFonts w:eastAsia="Batang"/>
          <w:sz w:val="20"/>
          <w:szCs w:val="20"/>
          <w:lang w:val="es-ES" w:eastAsia="es-MX"/>
        </w:rPr>
        <w:t>.</w:t>
      </w:r>
      <w:r w:rsidRPr="00975C02">
        <w:rPr>
          <w:rFonts w:eastAsia="Batang" w:cs="Arial"/>
          <w:sz w:val="20"/>
          <w:szCs w:val="20"/>
          <w:lang w:val="es-ES" w:eastAsia="es-MX"/>
        </w:rPr>
        <w:t xml:space="preserve"> </w:t>
      </w:r>
      <w:r w:rsidRPr="00975C02">
        <w:rPr>
          <w:rFonts w:eastAsia="Batang"/>
          <w:sz w:val="20"/>
          <w:szCs w:val="20"/>
          <w:lang w:val="es-ES" w:eastAsia="es-MX"/>
        </w:rPr>
        <w:t>La Corte recuerda que corresponde al Estado justificar, con fundamento en los criterios señalados, la razón por la cual ha requerido del tiempo transcurrido para tratar el caso y, de no demostrarlo, la Corte tiene amplias atribuciones para hacer su propia estimación al respecto</w:t>
      </w:r>
      <w:r w:rsidRPr="00975C02">
        <w:rPr>
          <w:rFonts w:eastAsia="Batang" w:cs="Verdana"/>
          <w:sz w:val="20"/>
          <w:szCs w:val="20"/>
          <w:vertAlign w:val="superscript"/>
          <w:lang w:val="es-ES" w:eastAsia="es-MX"/>
        </w:rPr>
        <w:footnoteReference w:id="373"/>
      </w:r>
      <w:r w:rsidRPr="00975C02">
        <w:rPr>
          <w:rFonts w:eastAsia="Batang"/>
          <w:sz w:val="20"/>
          <w:szCs w:val="20"/>
          <w:lang w:val="es-ES" w:eastAsia="es-MX"/>
        </w:rPr>
        <w:t>.</w:t>
      </w:r>
      <w:r w:rsidR="00F11668" w:rsidRPr="00975C02">
        <w:rPr>
          <w:rFonts w:eastAsia="Batang"/>
          <w:sz w:val="20"/>
          <w:szCs w:val="20"/>
          <w:lang w:val="es-ES" w:eastAsia="es-MX"/>
        </w:rPr>
        <w:t xml:space="preserve"> Asimismo, la Corte considera relevante remarcar que el proceso penal involucraba una niña víctima de violencia sexual, lo cual exige que en este caso la garantía judicial de plazo razonable establecida en el artículo 8.1 de la Convención Americana deba analizarse junto con el deber del Estado de actuar “</w:t>
      </w:r>
      <w:r w:rsidR="00F11668" w:rsidRPr="00975C02">
        <w:rPr>
          <w:rFonts w:eastAsia="Batang"/>
          <w:iCs/>
          <w:sz w:val="20"/>
          <w:szCs w:val="20"/>
          <w:lang w:val="es-ES" w:eastAsia="es-MX"/>
        </w:rPr>
        <w:t>sin dilaciones”</w:t>
      </w:r>
      <w:r w:rsidR="00F11668" w:rsidRPr="00975C02">
        <w:rPr>
          <w:rFonts w:eastAsia="Batang"/>
          <w:i/>
          <w:iCs/>
          <w:sz w:val="20"/>
          <w:szCs w:val="20"/>
          <w:lang w:val="es-ES" w:eastAsia="es-MX"/>
        </w:rPr>
        <w:t xml:space="preserve"> y </w:t>
      </w:r>
      <w:r w:rsidR="00F11668" w:rsidRPr="00975C02">
        <w:rPr>
          <w:rFonts w:eastAsia="Batang"/>
          <w:sz w:val="20"/>
          <w:szCs w:val="20"/>
          <w:lang w:val="es-ES" w:eastAsia="es-MX"/>
        </w:rPr>
        <w:t xml:space="preserve">con la debida diligencia para investigar y sancionar la violencia contra la niña, dispuesto en el artículo 7.b) de la Convención </w:t>
      </w:r>
      <w:r w:rsidR="002826C3" w:rsidRPr="00975C02">
        <w:rPr>
          <w:rFonts w:eastAsia="Batang"/>
          <w:sz w:val="20"/>
          <w:szCs w:val="20"/>
          <w:lang w:val="es-ES" w:eastAsia="es-MX"/>
        </w:rPr>
        <w:t>de Belém do Pará</w:t>
      </w:r>
      <w:r w:rsidR="00F11668" w:rsidRPr="00975C02">
        <w:rPr>
          <w:rFonts w:eastAsia="Batang"/>
          <w:sz w:val="20"/>
          <w:szCs w:val="20"/>
          <w:lang w:val="es-ES" w:eastAsia="es-MX"/>
        </w:rPr>
        <w:t>.</w:t>
      </w:r>
    </w:p>
    <w:p w14:paraId="74357B61" w14:textId="77777777" w:rsidR="00B5625C" w:rsidRPr="00975C02" w:rsidRDefault="00B5625C" w:rsidP="00B5625C">
      <w:pPr>
        <w:widowControl/>
        <w:tabs>
          <w:tab w:val="left" w:pos="-142"/>
        </w:tabs>
        <w:adjustRightInd/>
        <w:spacing w:line="240" w:lineRule="auto"/>
        <w:textAlignment w:val="auto"/>
        <w:rPr>
          <w:rFonts w:eastAsia="Calibri" w:cs="Calibri"/>
          <w:sz w:val="20"/>
          <w:szCs w:val="20"/>
          <w:lang w:val="es-ES" w:eastAsia="es-MX"/>
        </w:rPr>
      </w:pPr>
    </w:p>
    <w:p w14:paraId="42CB2170" w14:textId="5C276038" w:rsidR="00B5625C" w:rsidRPr="00975C02" w:rsidRDefault="00B5625C" w:rsidP="005F3956">
      <w:pPr>
        <w:widowControl/>
        <w:numPr>
          <w:ilvl w:val="0"/>
          <w:numId w:val="2"/>
        </w:numPr>
        <w:tabs>
          <w:tab w:val="left" w:pos="567"/>
          <w:tab w:val="num" w:pos="12305"/>
        </w:tabs>
        <w:adjustRightInd/>
        <w:spacing w:line="240" w:lineRule="auto"/>
        <w:ind w:left="0" w:firstLine="0"/>
        <w:textAlignment w:val="auto"/>
        <w:rPr>
          <w:rFonts w:eastAsia="Batang"/>
          <w:sz w:val="20"/>
          <w:szCs w:val="20"/>
          <w:lang w:val="es-ES" w:eastAsia="es-MX"/>
        </w:rPr>
      </w:pPr>
      <w:r w:rsidRPr="00975C02">
        <w:rPr>
          <w:rFonts w:eastAsia="Batang"/>
          <w:sz w:val="20"/>
          <w:szCs w:val="20"/>
          <w:lang w:val="es-ES" w:eastAsia="es-MX"/>
        </w:rPr>
        <w:lastRenderedPageBreak/>
        <w:t xml:space="preserve">Este Tribunal ha tenido en cuenta diversos criterios para determinar la </w:t>
      </w:r>
      <w:r w:rsidRPr="00975C02">
        <w:rPr>
          <w:rFonts w:eastAsia="Batang"/>
          <w:i/>
          <w:sz w:val="20"/>
          <w:szCs w:val="20"/>
          <w:lang w:val="es-ES" w:eastAsia="es-MX"/>
        </w:rPr>
        <w:t>complejidad del asunto</w:t>
      </w:r>
      <w:r w:rsidR="00300318" w:rsidRPr="00975C02">
        <w:rPr>
          <w:rFonts w:eastAsia="Batang"/>
          <w:sz w:val="20"/>
          <w:szCs w:val="20"/>
          <w:lang w:val="es-ES" w:eastAsia="es-MX"/>
        </w:rPr>
        <w:t>, como ser</w:t>
      </w:r>
      <w:r w:rsidRPr="00975C02">
        <w:rPr>
          <w:rFonts w:eastAsia="Batang"/>
          <w:sz w:val="20"/>
          <w:szCs w:val="20"/>
          <w:lang w:val="es-ES" w:eastAsia="es-MX"/>
        </w:rPr>
        <w:t xml:space="preserve"> la </w:t>
      </w:r>
      <w:r w:rsidRPr="00975C02">
        <w:rPr>
          <w:rFonts w:eastAsiaTheme="minorHAnsi" w:cstheme="minorBidi"/>
          <w:sz w:val="20"/>
          <w:szCs w:val="20"/>
          <w:lang w:val="es-ES" w:eastAsia="en-US"/>
        </w:rPr>
        <w:t>complejidad</w:t>
      </w:r>
      <w:r w:rsidRPr="00975C02">
        <w:rPr>
          <w:rFonts w:eastAsia="Batang"/>
          <w:sz w:val="20"/>
          <w:szCs w:val="20"/>
          <w:lang w:val="es-ES" w:eastAsia="es-MX"/>
        </w:rPr>
        <w:t xml:space="preserve"> de la prueba, la pluralidad de sujetos procesales o la cantidad de víctimas, el tiempo transcurrido desde la violación, y el contexto en el que ocurrió la violación</w:t>
      </w:r>
      <w:r w:rsidRPr="00975C02">
        <w:rPr>
          <w:rFonts w:eastAsia="Batang" w:cs="Verdana"/>
          <w:sz w:val="20"/>
          <w:szCs w:val="20"/>
          <w:vertAlign w:val="superscript"/>
          <w:lang w:val="es-ES" w:eastAsia="es-MX"/>
        </w:rPr>
        <w:footnoteReference w:id="374"/>
      </w:r>
      <w:r w:rsidRPr="00975C02">
        <w:rPr>
          <w:rFonts w:eastAsia="Batang"/>
          <w:sz w:val="20"/>
          <w:szCs w:val="20"/>
          <w:lang w:val="es-ES" w:eastAsia="es-MX"/>
        </w:rPr>
        <w:t>. La Corte nota que en el presente caso la víctima del hecho a investigar es solo una y que el delito tendría solo un autor material. Asimismo, durante el proceso penal pudieron realizarse diferentes pruebas en un corto tiempo</w:t>
      </w:r>
      <w:r w:rsidR="00300318" w:rsidRPr="00975C02">
        <w:rPr>
          <w:rFonts w:eastAsia="Batang"/>
          <w:sz w:val="20"/>
          <w:szCs w:val="20"/>
          <w:lang w:val="es-ES" w:eastAsia="es-MX"/>
        </w:rPr>
        <w:t>,</w:t>
      </w:r>
      <w:r w:rsidRPr="00975C02">
        <w:rPr>
          <w:rFonts w:eastAsia="Batang"/>
          <w:sz w:val="20"/>
          <w:szCs w:val="20"/>
          <w:lang w:val="es-ES" w:eastAsia="es-MX"/>
        </w:rPr>
        <w:t xml:space="preserve"> </w:t>
      </w:r>
      <w:r w:rsidR="00300318" w:rsidRPr="00975C02">
        <w:rPr>
          <w:rFonts w:eastAsia="Batang"/>
          <w:sz w:val="20"/>
          <w:szCs w:val="20"/>
          <w:lang w:val="es-ES" w:eastAsia="es-MX"/>
        </w:rPr>
        <w:t xml:space="preserve">tales como </w:t>
      </w:r>
      <w:r w:rsidRPr="00975C02">
        <w:rPr>
          <w:rFonts w:eastAsia="Batang"/>
          <w:sz w:val="20"/>
          <w:szCs w:val="20"/>
          <w:lang w:val="es-ES" w:eastAsia="es-MX"/>
        </w:rPr>
        <w:t>declaración de la víctima, declaración indagatoria del im</w:t>
      </w:r>
      <w:r w:rsidR="00EC48AA" w:rsidRPr="00975C02">
        <w:rPr>
          <w:rFonts w:eastAsia="Batang"/>
          <w:sz w:val="20"/>
          <w:szCs w:val="20"/>
          <w:lang w:val="es-ES" w:eastAsia="es-MX"/>
        </w:rPr>
        <w:t>putado, declaraciones testimoniale</w:t>
      </w:r>
      <w:r w:rsidRPr="00975C02">
        <w:rPr>
          <w:rFonts w:eastAsia="Batang"/>
          <w:sz w:val="20"/>
          <w:szCs w:val="20"/>
          <w:lang w:val="es-ES" w:eastAsia="es-MX"/>
        </w:rPr>
        <w:t>s, exámenes médicos, inspección ocular y reconstrucción de los hechos. Por ello, este Tribunal advierte que no existen elementos de complejidad.</w:t>
      </w:r>
    </w:p>
    <w:p w14:paraId="05CEA06E" w14:textId="77777777" w:rsidR="00B5625C" w:rsidRPr="00975C02" w:rsidRDefault="00B5625C" w:rsidP="00B5625C">
      <w:pPr>
        <w:widowControl/>
        <w:adjustRightInd/>
        <w:spacing w:line="240" w:lineRule="auto"/>
        <w:textAlignment w:val="auto"/>
        <w:rPr>
          <w:rFonts w:eastAsia="Calibri" w:cs="Calibri"/>
          <w:sz w:val="20"/>
          <w:szCs w:val="20"/>
          <w:lang w:val="es-ES" w:eastAsia="es-MX"/>
        </w:rPr>
      </w:pPr>
    </w:p>
    <w:p w14:paraId="62ED4E29" w14:textId="118AD862" w:rsidR="00B5625C" w:rsidRPr="00975C02" w:rsidRDefault="00B5625C" w:rsidP="005F3956">
      <w:pPr>
        <w:widowControl/>
        <w:numPr>
          <w:ilvl w:val="0"/>
          <w:numId w:val="2"/>
        </w:numPr>
        <w:tabs>
          <w:tab w:val="left" w:pos="567"/>
          <w:tab w:val="num" w:pos="12305"/>
        </w:tabs>
        <w:adjustRightInd/>
        <w:spacing w:line="240" w:lineRule="auto"/>
        <w:ind w:left="0" w:firstLine="0"/>
        <w:textAlignment w:val="auto"/>
        <w:rPr>
          <w:rFonts w:eastAsia="Batang"/>
          <w:sz w:val="20"/>
          <w:szCs w:val="20"/>
          <w:lang w:val="es-ES" w:eastAsia="es-MX"/>
        </w:rPr>
      </w:pPr>
      <w:r w:rsidRPr="00975C02">
        <w:rPr>
          <w:rFonts w:eastAsia="Batang"/>
          <w:sz w:val="20"/>
          <w:szCs w:val="20"/>
          <w:lang w:val="es-ES" w:eastAsia="es-MX"/>
        </w:rPr>
        <w:t xml:space="preserve">En lo </w:t>
      </w:r>
      <w:r w:rsidRPr="00975C02">
        <w:rPr>
          <w:rFonts w:eastAsia="Batang" w:cs="Arial"/>
          <w:sz w:val="20"/>
          <w:szCs w:val="20"/>
          <w:lang w:val="es-ES" w:eastAsia="es-MX"/>
        </w:rPr>
        <w:t>relativo</w:t>
      </w:r>
      <w:r w:rsidRPr="00975C02">
        <w:rPr>
          <w:rFonts w:eastAsia="Batang"/>
          <w:sz w:val="20"/>
          <w:szCs w:val="20"/>
          <w:lang w:val="es-ES" w:eastAsia="es-MX"/>
        </w:rPr>
        <w:t xml:space="preserve"> a la </w:t>
      </w:r>
      <w:r w:rsidRPr="00975C02">
        <w:rPr>
          <w:rFonts w:eastAsia="Batang"/>
          <w:i/>
          <w:sz w:val="20"/>
          <w:szCs w:val="20"/>
          <w:lang w:val="es-ES" w:eastAsia="es-MX"/>
        </w:rPr>
        <w:t>actividad procesal del interesado</w:t>
      </w:r>
      <w:r w:rsidRPr="00975C02">
        <w:rPr>
          <w:rFonts w:eastAsia="Batang"/>
          <w:sz w:val="20"/>
          <w:szCs w:val="20"/>
          <w:lang w:val="es-ES" w:eastAsia="es-MX"/>
        </w:rPr>
        <w:t>, la Corte nota que existió un impulso procesal promovido por V.P.C. durante todo el proceso. Así, el 20 de noviembre de 2001 V.P.C. interpuso la denuncia contra H.R.A. por el delito de violación sexual en perjuicio de su hija V.R.P. (</w:t>
      </w:r>
      <w:r w:rsidRPr="00975C02">
        <w:rPr>
          <w:rFonts w:eastAsia="Batang"/>
          <w:i/>
          <w:sz w:val="20"/>
          <w:szCs w:val="20"/>
          <w:lang w:val="es-ES" w:eastAsia="es-MX"/>
        </w:rPr>
        <w:t>supra</w:t>
      </w:r>
      <w:r w:rsidRPr="00975C02">
        <w:rPr>
          <w:rFonts w:eastAsia="Batang"/>
          <w:sz w:val="20"/>
          <w:szCs w:val="20"/>
          <w:lang w:val="es-ES" w:eastAsia="es-MX"/>
        </w:rPr>
        <w:t xml:space="preserve"> párr. </w:t>
      </w:r>
      <w:r w:rsidR="00300318" w:rsidRPr="00975C02">
        <w:rPr>
          <w:rFonts w:eastAsia="Batang"/>
          <w:sz w:val="20"/>
          <w:szCs w:val="20"/>
          <w:lang w:val="es-ES" w:eastAsia="es-MX"/>
        </w:rPr>
        <w:t>72</w:t>
      </w:r>
      <w:r w:rsidRPr="00975C02">
        <w:rPr>
          <w:rFonts w:eastAsia="Batang"/>
          <w:sz w:val="20"/>
          <w:szCs w:val="20"/>
          <w:lang w:val="es-ES" w:eastAsia="es-MX"/>
        </w:rPr>
        <w:t>), y el 2</w:t>
      </w:r>
      <w:r w:rsidR="005F3956" w:rsidRPr="00975C02">
        <w:rPr>
          <w:rFonts w:eastAsia="Batang"/>
          <w:sz w:val="20"/>
          <w:szCs w:val="20"/>
          <w:lang w:val="es-ES" w:eastAsia="es-MX"/>
        </w:rPr>
        <w:t>9 de julio de 2002</w:t>
      </w:r>
      <w:r w:rsidRPr="00975C02">
        <w:rPr>
          <w:rFonts w:eastAsia="Batang"/>
          <w:sz w:val="20"/>
          <w:szCs w:val="20"/>
          <w:lang w:val="es-ES" w:eastAsia="es-MX"/>
        </w:rPr>
        <w:t xml:space="preserve"> solicitó la intervención de un fiscal especializado para que tutelara y garantizara los derechos de su hija en el proceso</w:t>
      </w:r>
      <w:r w:rsidR="005F3956" w:rsidRPr="00975C02">
        <w:rPr>
          <w:rFonts w:eastAsia="Batang"/>
          <w:sz w:val="20"/>
          <w:szCs w:val="20"/>
          <w:lang w:val="es-ES" w:eastAsia="es-MX"/>
        </w:rPr>
        <w:t xml:space="preserve"> (</w:t>
      </w:r>
      <w:r w:rsidR="005F3956" w:rsidRPr="00975C02">
        <w:rPr>
          <w:rFonts w:eastAsia="Batang"/>
          <w:i/>
          <w:sz w:val="20"/>
          <w:szCs w:val="20"/>
          <w:lang w:val="es-ES" w:eastAsia="es-MX"/>
        </w:rPr>
        <w:t xml:space="preserve">supra </w:t>
      </w:r>
      <w:r w:rsidR="005F3956" w:rsidRPr="00975C02">
        <w:rPr>
          <w:rFonts w:eastAsia="Batang"/>
          <w:sz w:val="20"/>
          <w:szCs w:val="20"/>
          <w:lang w:val="es-ES" w:eastAsia="es-MX"/>
        </w:rPr>
        <w:t xml:space="preserve">párr. </w:t>
      </w:r>
      <w:r w:rsidR="00300318" w:rsidRPr="00975C02">
        <w:rPr>
          <w:rFonts w:eastAsia="Batang"/>
          <w:sz w:val="20"/>
          <w:szCs w:val="20"/>
          <w:lang w:val="es-ES" w:eastAsia="es-MX"/>
        </w:rPr>
        <w:t>110</w:t>
      </w:r>
      <w:r w:rsidR="005F3956" w:rsidRPr="00975C02">
        <w:rPr>
          <w:rFonts w:eastAsia="Batang"/>
          <w:sz w:val="20"/>
          <w:szCs w:val="20"/>
          <w:lang w:val="es-ES" w:eastAsia="es-MX"/>
        </w:rPr>
        <w:t>)</w:t>
      </w:r>
      <w:r w:rsidRPr="00975C02">
        <w:rPr>
          <w:rFonts w:eastAsia="Batang"/>
          <w:sz w:val="20"/>
          <w:szCs w:val="20"/>
          <w:lang w:val="es-ES" w:eastAsia="es-MX"/>
        </w:rPr>
        <w:t>. Asimismo, consta que</w:t>
      </w:r>
      <w:r w:rsidR="00B31B77" w:rsidRPr="00975C02">
        <w:rPr>
          <w:rFonts w:eastAsia="Batang"/>
          <w:sz w:val="20"/>
          <w:szCs w:val="20"/>
          <w:lang w:val="es-ES" w:eastAsia="es-MX"/>
        </w:rPr>
        <w:t>,</w:t>
      </w:r>
      <w:r w:rsidRPr="00975C02">
        <w:rPr>
          <w:rFonts w:eastAsia="Batang"/>
          <w:sz w:val="20"/>
          <w:szCs w:val="20"/>
          <w:lang w:val="es-ES" w:eastAsia="es-MX"/>
        </w:rPr>
        <w:t xml:space="preserve"> en varias oportunidades</w:t>
      </w:r>
      <w:r w:rsidR="00B31B77" w:rsidRPr="00975C02">
        <w:rPr>
          <w:rFonts w:eastAsia="Batang"/>
          <w:sz w:val="20"/>
          <w:szCs w:val="20"/>
          <w:lang w:val="es-ES" w:eastAsia="es-MX"/>
        </w:rPr>
        <w:t>,</w:t>
      </w:r>
      <w:r w:rsidRPr="00975C02">
        <w:rPr>
          <w:rFonts w:eastAsia="Batang"/>
          <w:sz w:val="20"/>
          <w:szCs w:val="20"/>
          <w:lang w:val="es-ES" w:eastAsia="es-MX"/>
        </w:rPr>
        <w:t xml:space="preserve"> la interesada cuestionó la demora del proceso y solicitó que se agilizara el caso</w:t>
      </w:r>
      <w:r w:rsidR="005F3956" w:rsidRPr="00975C02">
        <w:rPr>
          <w:rFonts w:eastAsia="Batang"/>
          <w:sz w:val="20"/>
          <w:szCs w:val="20"/>
          <w:lang w:val="es-ES" w:eastAsia="es-MX"/>
        </w:rPr>
        <w:t xml:space="preserve"> (</w:t>
      </w:r>
      <w:r w:rsidR="005F3956" w:rsidRPr="00975C02">
        <w:rPr>
          <w:rFonts w:eastAsia="Batang"/>
          <w:i/>
          <w:sz w:val="20"/>
          <w:szCs w:val="20"/>
          <w:lang w:val="es-ES" w:eastAsia="es-MX"/>
        </w:rPr>
        <w:t xml:space="preserve">supra </w:t>
      </w:r>
      <w:r w:rsidR="00B31B77" w:rsidRPr="00975C02">
        <w:rPr>
          <w:rFonts w:eastAsia="Batang"/>
          <w:sz w:val="20"/>
          <w:szCs w:val="20"/>
          <w:lang w:val="es-ES" w:eastAsia="es-MX"/>
        </w:rPr>
        <w:t>párr. 115</w:t>
      </w:r>
      <w:r w:rsidR="005F3956" w:rsidRPr="00975C02">
        <w:rPr>
          <w:rFonts w:eastAsia="Batang"/>
          <w:sz w:val="20"/>
          <w:szCs w:val="20"/>
          <w:lang w:val="es-ES" w:eastAsia="es-MX"/>
        </w:rPr>
        <w:t>).</w:t>
      </w:r>
    </w:p>
    <w:p w14:paraId="44DC6F8F" w14:textId="77777777" w:rsidR="00B5625C" w:rsidRPr="00975C02" w:rsidRDefault="00B5625C" w:rsidP="00B5625C">
      <w:pPr>
        <w:widowControl/>
        <w:tabs>
          <w:tab w:val="left" w:pos="-142"/>
        </w:tabs>
        <w:adjustRightInd/>
        <w:spacing w:line="240" w:lineRule="auto"/>
        <w:textAlignment w:val="auto"/>
        <w:rPr>
          <w:rFonts w:eastAsia="Calibri" w:cs="Calibri"/>
          <w:sz w:val="20"/>
          <w:szCs w:val="20"/>
          <w:lang w:val="es-ES" w:eastAsia="es-MX"/>
        </w:rPr>
      </w:pPr>
    </w:p>
    <w:p w14:paraId="57B093AB" w14:textId="6DA33183" w:rsidR="00B5625C" w:rsidRPr="00975C02" w:rsidRDefault="00B5625C" w:rsidP="005F3956">
      <w:pPr>
        <w:widowControl/>
        <w:numPr>
          <w:ilvl w:val="0"/>
          <w:numId w:val="2"/>
        </w:numPr>
        <w:tabs>
          <w:tab w:val="left" w:pos="567"/>
          <w:tab w:val="num" w:pos="12305"/>
        </w:tabs>
        <w:adjustRightInd/>
        <w:spacing w:line="240" w:lineRule="auto"/>
        <w:ind w:left="0" w:firstLine="0"/>
        <w:textAlignment w:val="auto"/>
        <w:rPr>
          <w:rFonts w:eastAsia="Batang" w:cs="Arial"/>
          <w:sz w:val="20"/>
          <w:szCs w:val="20"/>
          <w:lang w:val="es-ES" w:eastAsia="es-MX"/>
        </w:rPr>
      </w:pPr>
      <w:r w:rsidRPr="00975C02">
        <w:rPr>
          <w:rFonts w:eastAsia="Batang" w:cs="Arial"/>
          <w:sz w:val="20"/>
          <w:szCs w:val="20"/>
          <w:lang w:val="es-ES" w:eastAsia="es-MX"/>
        </w:rPr>
        <w:t xml:space="preserve">Respecto de la </w:t>
      </w:r>
      <w:r w:rsidRPr="00975C02">
        <w:rPr>
          <w:rFonts w:eastAsia="Batang" w:cs="Arial"/>
          <w:i/>
          <w:sz w:val="20"/>
          <w:szCs w:val="20"/>
          <w:lang w:val="es-ES" w:eastAsia="es-MX"/>
        </w:rPr>
        <w:t>conducta de las autoridades judiciales,</w:t>
      </w:r>
      <w:r w:rsidRPr="00975C02">
        <w:rPr>
          <w:rFonts w:eastAsia="Batang" w:cs="Arial"/>
          <w:sz w:val="20"/>
          <w:szCs w:val="20"/>
          <w:lang w:val="es-ES" w:eastAsia="es-MX"/>
        </w:rPr>
        <w:t xml:space="preserve"> la Corte ha entendido que</w:t>
      </w:r>
      <w:r w:rsidR="008A61D0" w:rsidRPr="00975C02">
        <w:rPr>
          <w:rFonts w:eastAsia="Batang" w:cs="Arial"/>
          <w:sz w:val="20"/>
          <w:szCs w:val="20"/>
          <w:lang w:val="es-ES" w:eastAsia="es-MX"/>
        </w:rPr>
        <w:t>,</w:t>
      </w:r>
      <w:r w:rsidRPr="00975C02">
        <w:rPr>
          <w:rFonts w:eastAsia="Batang" w:cs="Arial"/>
          <w:sz w:val="20"/>
          <w:szCs w:val="20"/>
          <w:lang w:val="es-ES" w:eastAsia="es-MX"/>
        </w:rPr>
        <w:t xml:space="preserve"> como rectoras del </w:t>
      </w:r>
      <w:r w:rsidRPr="00975C02">
        <w:rPr>
          <w:rFonts w:eastAsia="Batang"/>
          <w:sz w:val="20"/>
          <w:szCs w:val="20"/>
          <w:lang w:val="es-ES" w:eastAsia="es-MX"/>
        </w:rPr>
        <w:t>proceso</w:t>
      </w:r>
      <w:r w:rsidRPr="00975C02">
        <w:rPr>
          <w:rFonts w:eastAsia="Batang" w:cs="Arial"/>
          <w:sz w:val="20"/>
          <w:szCs w:val="20"/>
          <w:lang w:val="es-ES" w:eastAsia="es-MX"/>
        </w:rPr>
        <w:t xml:space="preserve">, tienen el deber de dirigir y encausar la investigación penal con el propósito de </w:t>
      </w:r>
      <w:r w:rsidRPr="00975C02">
        <w:rPr>
          <w:rFonts w:eastAsia="Batang"/>
          <w:sz w:val="20"/>
          <w:szCs w:val="20"/>
          <w:lang w:val="es-ES" w:eastAsia="es-MX"/>
        </w:rPr>
        <w:t>individualizar, juzgar y, en su caso, sancionar a todos los responsables de los hechos</w:t>
      </w:r>
      <w:r w:rsidRPr="00975C02">
        <w:rPr>
          <w:rFonts w:eastAsia="Batang" w:cs="Verdana"/>
          <w:sz w:val="20"/>
          <w:szCs w:val="20"/>
          <w:vertAlign w:val="superscript"/>
          <w:lang w:val="es-ES" w:eastAsia="es-MX"/>
        </w:rPr>
        <w:footnoteReference w:id="375"/>
      </w:r>
      <w:r w:rsidRPr="00975C02">
        <w:rPr>
          <w:rFonts w:eastAsia="Batang" w:cs="Arial"/>
          <w:sz w:val="20"/>
          <w:szCs w:val="20"/>
          <w:lang w:val="es-ES" w:eastAsia="es-MX"/>
        </w:rPr>
        <w:t xml:space="preserve">. En el presente caso, las autoridades estatales no han sido diligentes en la investigación </w:t>
      </w:r>
      <w:r w:rsidR="00300318" w:rsidRPr="00975C02">
        <w:rPr>
          <w:rFonts w:eastAsia="Batang" w:cs="Arial"/>
          <w:sz w:val="20"/>
          <w:szCs w:val="20"/>
          <w:lang w:val="es-ES" w:eastAsia="es-MX"/>
        </w:rPr>
        <w:t>de los hechos</w:t>
      </w:r>
      <w:r w:rsidRPr="00975C02">
        <w:rPr>
          <w:rFonts w:eastAsia="Batang" w:cs="Arial"/>
          <w:sz w:val="20"/>
          <w:szCs w:val="20"/>
          <w:lang w:val="es-ES" w:eastAsia="es-MX"/>
        </w:rPr>
        <w:t xml:space="preserve"> de violencia sexual en contra de V.R.P., ni han tomado en cuenta los efectos del tiempo durante la etapa recursiva del proceso penal, cerca de seis años desde el veredicto absolutorio del jurado.</w:t>
      </w:r>
    </w:p>
    <w:p w14:paraId="2C1DF558" w14:textId="77777777" w:rsidR="00B5625C" w:rsidRPr="00975C02" w:rsidRDefault="00B5625C" w:rsidP="00B5625C">
      <w:pPr>
        <w:widowControl/>
        <w:adjustRightInd/>
        <w:spacing w:line="240" w:lineRule="auto"/>
        <w:textAlignment w:val="auto"/>
        <w:rPr>
          <w:rFonts w:eastAsia="Calibri" w:cs="Calibri"/>
          <w:sz w:val="20"/>
          <w:szCs w:val="20"/>
          <w:lang w:val="es-ES" w:eastAsia="es-MX"/>
        </w:rPr>
      </w:pPr>
    </w:p>
    <w:p w14:paraId="1459EBDE" w14:textId="099E630A" w:rsidR="00B5625C" w:rsidRPr="00975C02" w:rsidRDefault="00B5625C" w:rsidP="008A61D0">
      <w:pPr>
        <w:widowControl/>
        <w:numPr>
          <w:ilvl w:val="0"/>
          <w:numId w:val="2"/>
        </w:numPr>
        <w:tabs>
          <w:tab w:val="left" w:pos="567"/>
          <w:tab w:val="num" w:pos="12305"/>
        </w:tabs>
        <w:adjustRightInd/>
        <w:spacing w:line="240" w:lineRule="auto"/>
        <w:ind w:left="0" w:firstLine="0"/>
        <w:textAlignment w:val="auto"/>
        <w:rPr>
          <w:rFonts w:eastAsia="Batang"/>
          <w:sz w:val="20"/>
          <w:szCs w:val="20"/>
          <w:lang w:val="es-ES" w:eastAsia="es-MX"/>
        </w:rPr>
      </w:pPr>
      <w:r w:rsidRPr="00975C02">
        <w:rPr>
          <w:rFonts w:eastAsia="Batang" w:cs="Arial"/>
          <w:sz w:val="20"/>
          <w:szCs w:val="20"/>
          <w:lang w:val="es-ES" w:eastAsia="es-MX"/>
        </w:rPr>
        <w:t xml:space="preserve">Lo anterior se constata dado que durante la etapa recursiva </w:t>
      </w:r>
      <w:r w:rsidR="00300318" w:rsidRPr="00975C02">
        <w:rPr>
          <w:rFonts w:eastAsia="Batang" w:cs="Arial"/>
          <w:sz w:val="20"/>
          <w:szCs w:val="20"/>
          <w:lang w:val="es-ES" w:eastAsia="es-MX"/>
        </w:rPr>
        <w:t>hubo</w:t>
      </w:r>
      <w:r w:rsidRPr="00975C02">
        <w:rPr>
          <w:rFonts w:eastAsia="Batang" w:cs="Arial"/>
          <w:sz w:val="20"/>
          <w:szCs w:val="20"/>
          <w:lang w:val="es-ES" w:eastAsia="es-MX"/>
        </w:rPr>
        <w:t xml:space="preserve"> períodos de inacción prolongados, sin que surja de los hechos alguna explicación o justificación por parte de las autoridades encargadas de encausar el proceso. En efecto, basta en este caso con advertir que no consta actividad alguna entre la remisión de la causa al Tribunal de Apelaciones el 15 de mayo de 2002</w:t>
      </w:r>
      <w:r w:rsidR="008A61D0" w:rsidRPr="00975C02">
        <w:rPr>
          <w:rFonts w:eastAsia="Batang" w:cs="Arial"/>
          <w:sz w:val="20"/>
          <w:szCs w:val="20"/>
          <w:lang w:val="es-ES" w:eastAsia="es-MX"/>
        </w:rPr>
        <w:t xml:space="preserve"> </w:t>
      </w:r>
      <w:r w:rsidR="008A61D0" w:rsidRPr="00975C02">
        <w:rPr>
          <w:rFonts w:eastAsia="Batang"/>
          <w:sz w:val="20"/>
          <w:szCs w:val="20"/>
          <w:lang w:val="es-ES" w:eastAsia="es-MX"/>
        </w:rPr>
        <w:t>(</w:t>
      </w:r>
      <w:r w:rsidR="008A61D0" w:rsidRPr="00975C02">
        <w:rPr>
          <w:rFonts w:eastAsia="Batang"/>
          <w:i/>
          <w:sz w:val="20"/>
          <w:szCs w:val="20"/>
          <w:lang w:val="es-ES" w:eastAsia="es-MX"/>
        </w:rPr>
        <w:t xml:space="preserve">supra </w:t>
      </w:r>
      <w:r w:rsidR="008A61D0" w:rsidRPr="00975C02">
        <w:rPr>
          <w:rFonts w:eastAsia="Batang"/>
          <w:sz w:val="20"/>
          <w:szCs w:val="20"/>
          <w:lang w:val="es-ES" w:eastAsia="es-MX"/>
        </w:rPr>
        <w:t xml:space="preserve">párr. </w:t>
      </w:r>
      <w:r w:rsidR="00300318" w:rsidRPr="00975C02">
        <w:rPr>
          <w:rFonts w:eastAsia="Batang"/>
          <w:sz w:val="20"/>
          <w:szCs w:val="20"/>
          <w:lang w:val="es-ES" w:eastAsia="es-MX"/>
        </w:rPr>
        <w:t>108</w:t>
      </w:r>
      <w:r w:rsidR="008A61D0" w:rsidRPr="00975C02">
        <w:rPr>
          <w:rFonts w:eastAsia="Batang"/>
          <w:sz w:val="20"/>
          <w:szCs w:val="20"/>
          <w:lang w:val="es-ES" w:eastAsia="es-MX"/>
        </w:rPr>
        <w:t>)</w:t>
      </w:r>
      <w:r w:rsidRPr="00975C02">
        <w:rPr>
          <w:rFonts w:eastAsia="Batang" w:cs="Arial"/>
          <w:sz w:val="20"/>
          <w:szCs w:val="20"/>
          <w:lang w:val="es-ES" w:eastAsia="es-MX"/>
        </w:rPr>
        <w:t xml:space="preserve"> y la declaración de nulidad del proceso dictado el 13 de enero de 2003</w:t>
      </w:r>
      <w:r w:rsidR="008A61D0" w:rsidRPr="00975C02">
        <w:rPr>
          <w:rFonts w:eastAsia="Batang" w:cs="Arial"/>
          <w:sz w:val="20"/>
          <w:szCs w:val="20"/>
          <w:lang w:val="es-ES" w:eastAsia="es-MX"/>
        </w:rPr>
        <w:t xml:space="preserve"> </w:t>
      </w:r>
      <w:r w:rsidR="008A61D0" w:rsidRPr="00975C02">
        <w:rPr>
          <w:rFonts w:eastAsia="Batang"/>
          <w:sz w:val="20"/>
          <w:szCs w:val="20"/>
          <w:lang w:val="es-ES" w:eastAsia="es-MX"/>
        </w:rPr>
        <w:t>(</w:t>
      </w:r>
      <w:r w:rsidR="008A61D0" w:rsidRPr="00975C02">
        <w:rPr>
          <w:rFonts w:eastAsia="Batang"/>
          <w:i/>
          <w:sz w:val="20"/>
          <w:szCs w:val="20"/>
          <w:lang w:val="es-ES" w:eastAsia="es-MX"/>
        </w:rPr>
        <w:t xml:space="preserve">supra </w:t>
      </w:r>
      <w:r w:rsidR="008A61D0" w:rsidRPr="00975C02">
        <w:rPr>
          <w:rFonts w:eastAsia="Batang"/>
          <w:sz w:val="20"/>
          <w:szCs w:val="20"/>
          <w:lang w:val="es-ES" w:eastAsia="es-MX"/>
        </w:rPr>
        <w:t xml:space="preserve">párr. </w:t>
      </w:r>
      <w:r w:rsidR="00300318" w:rsidRPr="00975C02">
        <w:rPr>
          <w:rFonts w:eastAsia="Batang"/>
          <w:sz w:val="20"/>
          <w:szCs w:val="20"/>
          <w:lang w:val="es-ES" w:eastAsia="es-MX"/>
        </w:rPr>
        <w:t>111</w:t>
      </w:r>
      <w:r w:rsidR="008A61D0" w:rsidRPr="00975C02">
        <w:rPr>
          <w:rFonts w:eastAsia="Batang"/>
          <w:sz w:val="20"/>
          <w:szCs w:val="20"/>
          <w:lang w:val="es-ES" w:eastAsia="es-MX"/>
        </w:rPr>
        <w:t>)</w:t>
      </w:r>
      <w:r w:rsidRPr="00975C02">
        <w:rPr>
          <w:rFonts w:eastAsia="Batang" w:cs="Arial"/>
          <w:sz w:val="20"/>
          <w:szCs w:val="20"/>
          <w:lang w:val="es-ES" w:eastAsia="es-MX"/>
        </w:rPr>
        <w:t>, es decir, un plazo de inactividad de ocho meses. También se advierte que</w:t>
      </w:r>
      <w:r w:rsidRPr="00975C02">
        <w:rPr>
          <w:rFonts w:eastAsia="Batang"/>
          <w:sz w:val="20"/>
          <w:szCs w:val="20"/>
          <w:lang w:val="es-ES" w:eastAsia="es-MX"/>
        </w:rPr>
        <w:t>, luego de las excusaciones pedidas por las partes cuya última petición fue rechazada el 12 de agosto de 2003</w:t>
      </w:r>
      <w:r w:rsidR="008A61D0" w:rsidRPr="00975C02">
        <w:rPr>
          <w:rFonts w:eastAsia="Batang"/>
          <w:sz w:val="20"/>
          <w:szCs w:val="20"/>
          <w:lang w:val="es-ES" w:eastAsia="es-MX"/>
        </w:rPr>
        <w:t xml:space="preserve"> (</w:t>
      </w:r>
      <w:r w:rsidR="008A61D0" w:rsidRPr="00975C02">
        <w:rPr>
          <w:rFonts w:eastAsia="Batang"/>
          <w:i/>
          <w:sz w:val="20"/>
          <w:szCs w:val="20"/>
          <w:lang w:val="es-ES" w:eastAsia="es-MX"/>
        </w:rPr>
        <w:t xml:space="preserve">supra </w:t>
      </w:r>
      <w:r w:rsidR="008A61D0" w:rsidRPr="00975C02">
        <w:rPr>
          <w:rFonts w:eastAsia="Batang"/>
          <w:sz w:val="20"/>
          <w:szCs w:val="20"/>
          <w:lang w:val="es-ES" w:eastAsia="es-MX"/>
        </w:rPr>
        <w:t xml:space="preserve">párr. </w:t>
      </w:r>
      <w:r w:rsidR="00300318" w:rsidRPr="00975C02">
        <w:rPr>
          <w:rFonts w:eastAsia="Batang"/>
          <w:sz w:val="20"/>
          <w:szCs w:val="20"/>
          <w:lang w:val="es-ES" w:eastAsia="es-MX"/>
        </w:rPr>
        <w:t>112</w:t>
      </w:r>
      <w:r w:rsidR="008A61D0" w:rsidRPr="00975C02">
        <w:rPr>
          <w:rFonts w:eastAsia="Batang"/>
          <w:sz w:val="20"/>
          <w:szCs w:val="20"/>
          <w:lang w:val="es-ES" w:eastAsia="es-MX"/>
        </w:rPr>
        <w:t>)</w:t>
      </w:r>
      <w:r w:rsidRPr="00975C02">
        <w:rPr>
          <w:rFonts w:eastAsia="Batang"/>
          <w:sz w:val="20"/>
          <w:szCs w:val="20"/>
          <w:lang w:val="es-ES" w:eastAsia="es-MX"/>
        </w:rPr>
        <w:t>, dos jueces se excusaron sin ningún motivo (el 23 de febrero de 2004 y el 1 de marzo de 2004)</w:t>
      </w:r>
      <w:r w:rsidR="008A61D0" w:rsidRPr="00975C02">
        <w:rPr>
          <w:rFonts w:eastAsia="Batang"/>
          <w:sz w:val="20"/>
          <w:szCs w:val="20"/>
          <w:lang w:val="es-ES" w:eastAsia="es-MX"/>
        </w:rPr>
        <w:t xml:space="preserve"> (</w:t>
      </w:r>
      <w:r w:rsidR="008A61D0" w:rsidRPr="00975C02">
        <w:rPr>
          <w:rFonts w:eastAsia="Batang"/>
          <w:i/>
          <w:sz w:val="20"/>
          <w:szCs w:val="20"/>
          <w:lang w:val="es-ES" w:eastAsia="es-MX"/>
        </w:rPr>
        <w:t xml:space="preserve">supra </w:t>
      </w:r>
      <w:r w:rsidR="008A61D0" w:rsidRPr="00975C02">
        <w:rPr>
          <w:rFonts w:eastAsia="Batang"/>
          <w:sz w:val="20"/>
          <w:szCs w:val="20"/>
          <w:lang w:val="es-ES" w:eastAsia="es-MX"/>
        </w:rPr>
        <w:t xml:space="preserve">párr. </w:t>
      </w:r>
      <w:r w:rsidR="00300318" w:rsidRPr="00975C02">
        <w:rPr>
          <w:rFonts w:eastAsia="Batang"/>
          <w:sz w:val="20"/>
          <w:szCs w:val="20"/>
          <w:lang w:val="es-ES" w:eastAsia="es-MX"/>
        </w:rPr>
        <w:t>114</w:t>
      </w:r>
      <w:r w:rsidR="008A61D0" w:rsidRPr="00975C02">
        <w:rPr>
          <w:rFonts w:eastAsia="Batang"/>
          <w:sz w:val="20"/>
          <w:szCs w:val="20"/>
          <w:lang w:val="es-ES" w:eastAsia="es-MX"/>
        </w:rPr>
        <w:t>)</w:t>
      </w:r>
      <w:r w:rsidRPr="00975C02">
        <w:rPr>
          <w:rFonts w:eastAsia="Batang"/>
          <w:sz w:val="20"/>
          <w:szCs w:val="20"/>
          <w:lang w:val="es-ES" w:eastAsia="es-MX"/>
        </w:rPr>
        <w:t xml:space="preserve"> y, con posterioridad, el expediente quedó en estado de inacción hasta el 13 de enero de 2005, fecha en que el Juzgado de Distrito Penal de Juicio asumió jurisdicción y competencia para tramitar la causa y ordenó la apertura a pruebas del incidente de nulidad del veredicto. Es decir, la Corte nota un período de inactividad jurisdiccional de </w:t>
      </w:r>
      <w:r w:rsidR="00804036" w:rsidRPr="00975C02">
        <w:rPr>
          <w:rFonts w:eastAsia="Batang"/>
          <w:sz w:val="20"/>
          <w:szCs w:val="20"/>
          <w:lang w:val="es-ES" w:eastAsia="es-MX"/>
        </w:rPr>
        <w:t>un año y medio</w:t>
      </w:r>
      <w:r w:rsidRPr="00975C02">
        <w:rPr>
          <w:rFonts w:eastAsia="Batang"/>
          <w:sz w:val="20"/>
          <w:szCs w:val="20"/>
          <w:lang w:val="es-ES" w:eastAsia="es-MX"/>
        </w:rPr>
        <w:t xml:space="preserve">. Por último, se advierte que el 9 de agosto de 2005 se rechazó el incidente sustancial del veredicto y el 25 de agosto de 2005 tanto el fiscal como V.P.C. apelaron esa resolución. Recién dos años y dos meses después, </w:t>
      </w:r>
      <w:r w:rsidR="00804036" w:rsidRPr="00975C02">
        <w:rPr>
          <w:rFonts w:eastAsia="Batang"/>
          <w:sz w:val="20"/>
          <w:szCs w:val="20"/>
          <w:lang w:val="es-ES" w:eastAsia="es-MX"/>
        </w:rPr>
        <w:t xml:space="preserve">eso es </w:t>
      </w:r>
      <w:r w:rsidRPr="00975C02">
        <w:rPr>
          <w:rFonts w:eastAsia="Batang"/>
          <w:sz w:val="20"/>
          <w:szCs w:val="20"/>
          <w:lang w:val="es-ES" w:eastAsia="es-MX"/>
        </w:rPr>
        <w:t>el 24 de octubre de 2007</w:t>
      </w:r>
      <w:r w:rsidR="00804036" w:rsidRPr="00975C02">
        <w:rPr>
          <w:rFonts w:eastAsia="Batang"/>
          <w:sz w:val="20"/>
          <w:szCs w:val="20"/>
          <w:lang w:val="es-ES" w:eastAsia="es-MX"/>
        </w:rPr>
        <w:t>,</w:t>
      </w:r>
      <w:r w:rsidRPr="00975C02">
        <w:rPr>
          <w:rFonts w:eastAsia="Batang"/>
          <w:sz w:val="20"/>
          <w:szCs w:val="20"/>
          <w:lang w:val="es-ES" w:eastAsia="es-MX"/>
        </w:rPr>
        <w:t xml:space="preserve"> el Tribunal de </w:t>
      </w:r>
      <w:r w:rsidR="00804036" w:rsidRPr="00975C02">
        <w:rPr>
          <w:rFonts w:eastAsia="Batang"/>
          <w:sz w:val="20"/>
          <w:szCs w:val="20"/>
          <w:lang w:val="es-ES" w:eastAsia="es-MX"/>
        </w:rPr>
        <w:t>A</w:t>
      </w:r>
      <w:r w:rsidRPr="00975C02">
        <w:rPr>
          <w:rFonts w:eastAsia="Batang"/>
          <w:sz w:val="20"/>
          <w:szCs w:val="20"/>
          <w:lang w:val="es-ES" w:eastAsia="es-MX"/>
        </w:rPr>
        <w:t xml:space="preserve">pelaciones dictó sentencia. En vista de lo anterior, si solo se consideran períodos de inactividad mayores de seis meses, ha habido, al menos, un tiempo mayor a cuatro años y </w:t>
      </w:r>
      <w:r w:rsidR="00804036" w:rsidRPr="00975C02">
        <w:rPr>
          <w:rFonts w:eastAsia="Batang"/>
          <w:sz w:val="20"/>
          <w:szCs w:val="20"/>
          <w:lang w:val="es-ES" w:eastAsia="es-MX"/>
        </w:rPr>
        <w:t xml:space="preserve">cuatro </w:t>
      </w:r>
      <w:r w:rsidRPr="00975C02">
        <w:rPr>
          <w:rFonts w:eastAsia="Batang"/>
          <w:sz w:val="20"/>
          <w:szCs w:val="20"/>
          <w:lang w:val="es-ES" w:eastAsia="es-MX"/>
        </w:rPr>
        <w:t>meses de inactividad absoluta.</w:t>
      </w:r>
      <w:r w:rsidR="008C5677" w:rsidRPr="00975C02">
        <w:rPr>
          <w:rFonts w:eastAsia="Batang"/>
          <w:sz w:val="20"/>
          <w:szCs w:val="20"/>
          <w:lang w:val="es-ES" w:eastAsia="es-MX"/>
        </w:rPr>
        <w:t xml:space="preserve"> </w:t>
      </w:r>
      <w:r w:rsidRPr="00975C02">
        <w:rPr>
          <w:rFonts w:eastAsia="Batang"/>
          <w:sz w:val="20"/>
          <w:szCs w:val="20"/>
          <w:lang w:val="es-ES" w:eastAsia="es-MX"/>
        </w:rPr>
        <w:t xml:space="preserve">Dado lo expuesto, lo que en definitiva generó la prolongación del proceso </w:t>
      </w:r>
      <w:r w:rsidR="00804036" w:rsidRPr="00975C02">
        <w:rPr>
          <w:rFonts w:eastAsia="Batang"/>
          <w:sz w:val="20"/>
          <w:szCs w:val="20"/>
          <w:lang w:val="es-ES" w:eastAsia="es-MX"/>
        </w:rPr>
        <w:t>fueron</w:t>
      </w:r>
      <w:r w:rsidRPr="00975C02">
        <w:rPr>
          <w:rFonts w:eastAsia="Batang"/>
          <w:sz w:val="20"/>
          <w:szCs w:val="20"/>
          <w:lang w:val="es-ES" w:eastAsia="es-MX"/>
        </w:rPr>
        <w:t xml:space="preserve"> distintos períodos de </w:t>
      </w:r>
      <w:r w:rsidRPr="00975C02">
        <w:rPr>
          <w:rFonts w:eastAsia="Batang" w:cs="Arial"/>
          <w:sz w:val="20"/>
          <w:szCs w:val="20"/>
          <w:lang w:val="es-ES" w:eastAsia="es-MX"/>
        </w:rPr>
        <w:t>inactividad</w:t>
      </w:r>
      <w:r w:rsidR="008C5677" w:rsidRPr="00975C02">
        <w:rPr>
          <w:rFonts w:eastAsia="Batang"/>
          <w:sz w:val="20"/>
          <w:szCs w:val="20"/>
          <w:lang w:val="es-ES" w:eastAsia="es-MX"/>
        </w:rPr>
        <w:t xml:space="preserve"> de las autoridades.</w:t>
      </w:r>
    </w:p>
    <w:p w14:paraId="58BA4E48" w14:textId="77777777" w:rsidR="00B5625C" w:rsidRPr="00975C02" w:rsidRDefault="00B5625C" w:rsidP="00B5625C">
      <w:pPr>
        <w:widowControl/>
        <w:tabs>
          <w:tab w:val="left" w:pos="-142"/>
        </w:tabs>
        <w:adjustRightInd/>
        <w:spacing w:line="240" w:lineRule="auto"/>
        <w:textAlignment w:val="auto"/>
        <w:rPr>
          <w:rFonts w:eastAsia="Batang"/>
          <w:sz w:val="20"/>
          <w:szCs w:val="20"/>
          <w:lang w:val="es-ES" w:eastAsia="es-MX"/>
        </w:rPr>
      </w:pPr>
    </w:p>
    <w:p w14:paraId="7E5A078E" w14:textId="77777777" w:rsidR="00F11668" w:rsidRPr="00975C02" w:rsidRDefault="00B5625C" w:rsidP="00FD4682">
      <w:pPr>
        <w:widowControl/>
        <w:numPr>
          <w:ilvl w:val="0"/>
          <w:numId w:val="2"/>
        </w:numPr>
        <w:tabs>
          <w:tab w:val="left" w:pos="567"/>
          <w:tab w:val="num" w:pos="12305"/>
        </w:tabs>
        <w:adjustRightInd/>
        <w:spacing w:line="240" w:lineRule="auto"/>
        <w:ind w:left="0" w:firstLine="0"/>
        <w:textAlignment w:val="auto"/>
        <w:rPr>
          <w:rFonts w:eastAsia="Calibri" w:cs="Calibri"/>
          <w:sz w:val="20"/>
          <w:szCs w:val="20"/>
          <w:lang w:val="es-ES" w:eastAsia="en-US"/>
        </w:rPr>
      </w:pPr>
      <w:r w:rsidRPr="00975C02">
        <w:rPr>
          <w:rFonts w:eastAsia="Batang"/>
          <w:sz w:val="20"/>
          <w:szCs w:val="20"/>
          <w:lang w:val="es-ES" w:eastAsia="es-MX"/>
        </w:rPr>
        <w:t xml:space="preserve">En lo </w:t>
      </w:r>
      <w:r w:rsidRPr="00975C02">
        <w:rPr>
          <w:rFonts w:eastAsia="Batang" w:cs="Arial"/>
          <w:sz w:val="20"/>
          <w:szCs w:val="20"/>
          <w:lang w:val="es-ES" w:eastAsia="es-MX"/>
        </w:rPr>
        <w:t>relativo</w:t>
      </w:r>
      <w:r w:rsidRPr="00975C02">
        <w:rPr>
          <w:rFonts w:eastAsia="Batang"/>
          <w:sz w:val="20"/>
          <w:szCs w:val="20"/>
          <w:lang w:val="es-ES" w:eastAsia="es-MX"/>
        </w:rPr>
        <w:t xml:space="preserve"> a </w:t>
      </w:r>
      <w:r w:rsidRPr="00975C02">
        <w:rPr>
          <w:rFonts w:eastAsia="Batang"/>
          <w:i/>
          <w:iCs/>
          <w:sz w:val="20"/>
          <w:szCs w:val="20"/>
          <w:lang w:val="es-ES" w:eastAsia="es-MX"/>
        </w:rPr>
        <w:t xml:space="preserve">la afectación generada en la situación jurídica de la persona involucrada en el proceso, </w:t>
      </w:r>
      <w:r w:rsidRPr="00975C02">
        <w:rPr>
          <w:rFonts w:eastAsia="Batang"/>
          <w:sz w:val="20"/>
          <w:szCs w:val="20"/>
          <w:lang w:val="es-ES" w:eastAsia="es-MX"/>
        </w:rPr>
        <w:t>este Tribunal ha establecido que</w:t>
      </w:r>
      <w:r w:rsidR="008C5677" w:rsidRPr="00975C02">
        <w:rPr>
          <w:rFonts w:eastAsia="Batang"/>
          <w:sz w:val="20"/>
          <w:szCs w:val="20"/>
          <w:lang w:val="es-ES" w:eastAsia="es-MX"/>
        </w:rPr>
        <w:t>,</w:t>
      </w:r>
      <w:r w:rsidRPr="00975C02">
        <w:rPr>
          <w:rFonts w:eastAsia="Batang"/>
          <w:sz w:val="20"/>
          <w:szCs w:val="20"/>
          <w:lang w:val="es-ES" w:eastAsia="es-MX"/>
        </w:rPr>
        <w:t xml:space="preserve"> si el paso del tiempo incide de manera relevante en la situación jurídica del individuo, resultará necesario que el procedimiento avance con mayor </w:t>
      </w:r>
      <w:r w:rsidRPr="00975C02">
        <w:rPr>
          <w:rFonts w:eastAsia="Batang"/>
          <w:sz w:val="20"/>
          <w:szCs w:val="20"/>
          <w:lang w:val="es-ES" w:eastAsia="es-MX"/>
        </w:rPr>
        <w:lastRenderedPageBreak/>
        <w:t>diligencia a fin de que el caso se resuelva en un tiempo breve</w:t>
      </w:r>
      <w:r w:rsidRPr="00975C02">
        <w:rPr>
          <w:rFonts w:eastAsia="Batang" w:cs="Verdana"/>
          <w:sz w:val="20"/>
          <w:szCs w:val="20"/>
          <w:vertAlign w:val="superscript"/>
          <w:lang w:val="es-ES" w:eastAsia="es-MX"/>
        </w:rPr>
        <w:footnoteReference w:id="376"/>
      </w:r>
      <w:r w:rsidRPr="00975C02">
        <w:rPr>
          <w:rFonts w:eastAsia="Batang"/>
          <w:sz w:val="20"/>
          <w:szCs w:val="20"/>
          <w:lang w:val="es-ES" w:eastAsia="es-MX"/>
        </w:rPr>
        <w:t xml:space="preserve">. </w:t>
      </w:r>
      <w:r w:rsidR="00F11668" w:rsidRPr="00975C02">
        <w:rPr>
          <w:rFonts w:eastAsia="Calibri" w:cs="Calibri"/>
          <w:sz w:val="20"/>
          <w:szCs w:val="20"/>
          <w:lang w:val="es-ES" w:eastAsia="en-US"/>
        </w:rPr>
        <w:t>Tratándose de una niña víctima de violencia sexual,</w:t>
      </w:r>
      <w:r w:rsidR="008B17C7" w:rsidRPr="00975C02">
        <w:rPr>
          <w:rFonts w:eastAsia="Calibri" w:cs="Calibri"/>
          <w:sz w:val="20"/>
          <w:szCs w:val="20"/>
          <w:lang w:val="es-ES" w:eastAsia="en-US"/>
        </w:rPr>
        <w:t xml:space="preserve"> la Corte estima que era exigible un criterio reforzado de celeridad.</w:t>
      </w:r>
    </w:p>
    <w:p w14:paraId="5EE0C5E6" w14:textId="77777777" w:rsidR="00F11668" w:rsidRPr="00975C02" w:rsidRDefault="00F11668" w:rsidP="00F11668">
      <w:pPr>
        <w:widowControl/>
        <w:tabs>
          <w:tab w:val="left" w:pos="567"/>
        </w:tabs>
        <w:adjustRightInd/>
        <w:spacing w:line="240" w:lineRule="auto"/>
        <w:textAlignment w:val="auto"/>
        <w:rPr>
          <w:rFonts w:eastAsia="Calibri" w:cs="Calibri"/>
          <w:sz w:val="20"/>
          <w:szCs w:val="20"/>
          <w:lang w:val="es-ES" w:eastAsia="en-US"/>
        </w:rPr>
      </w:pPr>
    </w:p>
    <w:p w14:paraId="7014F75F" w14:textId="72EE6E6B" w:rsidR="00B5625C" w:rsidRPr="00975C02" w:rsidRDefault="00B5625C" w:rsidP="008B17C7">
      <w:pPr>
        <w:widowControl/>
        <w:numPr>
          <w:ilvl w:val="0"/>
          <w:numId w:val="2"/>
        </w:numPr>
        <w:tabs>
          <w:tab w:val="left" w:pos="567"/>
          <w:tab w:val="num" w:pos="12305"/>
        </w:tabs>
        <w:adjustRightInd/>
        <w:spacing w:line="240" w:lineRule="auto"/>
        <w:ind w:left="0" w:firstLine="0"/>
        <w:textAlignment w:val="auto"/>
        <w:rPr>
          <w:rFonts w:eastAsia="Batang"/>
          <w:sz w:val="20"/>
          <w:szCs w:val="20"/>
          <w:lang w:val="es-ES" w:eastAsia="es-MX"/>
        </w:rPr>
      </w:pPr>
      <w:r w:rsidRPr="00975C02">
        <w:rPr>
          <w:rFonts w:eastAsia="Batang"/>
          <w:sz w:val="20"/>
          <w:szCs w:val="20"/>
          <w:lang w:val="es-ES" w:eastAsia="es-MX"/>
        </w:rPr>
        <w:t>En el presente caso, la Corte considera que la prueba que consta en el expediente confirma la grave afectación a la salud física y psíquica de V.R.P. ocasionada a raíz de la violencia sexual y sus posteriores necesidades de atención médica y psicológica</w:t>
      </w:r>
      <w:r w:rsidR="008C5677" w:rsidRPr="00975C02">
        <w:rPr>
          <w:rFonts w:eastAsia="Batang"/>
          <w:sz w:val="20"/>
          <w:szCs w:val="20"/>
          <w:lang w:val="es-ES" w:eastAsia="es-MX"/>
        </w:rPr>
        <w:t>.</w:t>
      </w:r>
      <w:r w:rsidR="008B17C7" w:rsidRPr="00975C02">
        <w:rPr>
          <w:rFonts w:eastAsia="Batang"/>
          <w:sz w:val="20"/>
          <w:szCs w:val="20"/>
          <w:lang w:val="es-ES" w:eastAsia="es-MX"/>
        </w:rPr>
        <w:t xml:space="preserve"> </w:t>
      </w:r>
      <w:r w:rsidRPr="00975C02">
        <w:rPr>
          <w:rFonts w:eastAsia="Calibri" w:cs="Calibri"/>
          <w:sz w:val="20"/>
          <w:szCs w:val="20"/>
          <w:lang w:val="es-ES" w:eastAsia="en-US"/>
        </w:rPr>
        <w:t xml:space="preserve">Por tanto, si las autoridades judiciales hubieran tenido en cuenta el estado de vulnerabilidad en que se </w:t>
      </w:r>
      <w:r w:rsidRPr="00975C02">
        <w:rPr>
          <w:rFonts w:eastAsia="Batang"/>
          <w:sz w:val="20"/>
          <w:szCs w:val="20"/>
          <w:lang w:val="es-ES" w:eastAsia="es-MX"/>
        </w:rPr>
        <w:t>encontraba</w:t>
      </w:r>
      <w:r w:rsidRPr="00975C02">
        <w:rPr>
          <w:rFonts w:eastAsia="Calibri" w:cs="Calibri"/>
          <w:sz w:val="20"/>
          <w:szCs w:val="20"/>
          <w:lang w:val="es-ES" w:eastAsia="en-US"/>
        </w:rPr>
        <w:t xml:space="preserve"> V.R.P., hubiera sido evidente que el presente </w:t>
      </w:r>
      <w:r w:rsidRPr="00975C02">
        <w:rPr>
          <w:rFonts w:eastAsia="Batang"/>
          <w:sz w:val="20"/>
          <w:szCs w:val="20"/>
          <w:lang w:val="es-ES" w:eastAsia="es-MX"/>
        </w:rPr>
        <w:t>caso</w:t>
      </w:r>
      <w:r w:rsidRPr="00975C02">
        <w:rPr>
          <w:rFonts w:eastAsia="Calibri" w:cs="Calibri"/>
          <w:sz w:val="20"/>
          <w:szCs w:val="20"/>
          <w:lang w:val="es-ES" w:eastAsia="en-US"/>
        </w:rPr>
        <w:t xml:space="preserve"> exigía por parte de las autoridades judiciales una mayor diligencia, pues de la brevedad del proceso dependía el objetivo primordial del proceso judicial, el cual era investigar y sancionar al responsable de la violencia sexual sufrida por V.R.P.</w:t>
      </w:r>
      <w:r w:rsidR="008B17C7" w:rsidRPr="00975C02">
        <w:rPr>
          <w:rFonts w:eastAsia="Calibri" w:cs="Calibri"/>
          <w:sz w:val="20"/>
          <w:szCs w:val="20"/>
          <w:lang w:val="es-ES" w:eastAsia="en-US"/>
        </w:rPr>
        <w:t>,</w:t>
      </w:r>
      <w:r w:rsidRPr="00975C02">
        <w:rPr>
          <w:rFonts w:eastAsia="Calibri" w:cs="Calibri"/>
          <w:sz w:val="20"/>
          <w:szCs w:val="20"/>
          <w:lang w:val="es-ES" w:eastAsia="en-US"/>
        </w:rPr>
        <w:t xml:space="preserve"> como así también obtener las terapias necesarias para tramitar los hechos traumáticos vividos por la niña.</w:t>
      </w:r>
      <w:r w:rsidR="00CA4774" w:rsidRPr="00975C02">
        <w:rPr>
          <w:rFonts w:eastAsia="Calibri" w:cs="Calibri"/>
          <w:sz w:val="20"/>
          <w:szCs w:val="20"/>
          <w:lang w:val="es-ES" w:eastAsia="en-US"/>
        </w:rPr>
        <w:t xml:space="preserve"> </w:t>
      </w:r>
      <w:r w:rsidRPr="00975C02">
        <w:rPr>
          <w:rFonts w:eastAsia="Calibri" w:cs="Calibri"/>
          <w:sz w:val="20"/>
          <w:szCs w:val="20"/>
          <w:lang w:val="es-ES" w:eastAsia="en-US"/>
        </w:rPr>
        <w:t xml:space="preserve">Teniendo en cuenta lo anterior, la Corte considera que se encuentra suficientemente probado que la </w:t>
      </w:r>
      <w:r w:rsidRPr="00975C02">
        <w:rPr>
          <w:rFonts w:eastAsia="Batang"/>
          <w:sz w:val="20"/>
          <w:szCs w:val="20"/>
          <w:lang w:val="es-ES" w:eastAsia="es-MX"/>
        </w:rPr>
        <w:t>prolongación</w:t>
      </w:r>
      <w:r w:rsidRPr="00975C02">
        <w:rPr>
          <w:rFonts w:eastAsia="Calibri" w:cs="Calibri"/>
          <w:sz w:val="20"/>
          <w:szCs w:val="20"/>
          <w:lang w:val="es-ES" w:eastAsia="en-US"/>
        </w:rPr>
        <w:t xml:space="preserve"> del </w:t>
      </w:r>
      <w:r w:rsidRPr="00975C02">
        <w:rPr>
          <w:rFonts w:eastAsia="Batang"/>
          <w:sz w:val="20"/>
          <w:szCs w:val="20"/>
          <w:lang w:val="es-ES" w:eastAsia="es-MX"/>
        </w:rPr>
        <w:t>proceso</w:t>
      </w:r>
      <w:r w:rsidRPr="00975C02">
        <w:rPr>
          <w:rFonts w:eastAsia="Calibri" w:cs="Calibri"/>
          <w:sz w:val="20"/>
          <w:szCs w:val="20"/>
          <w:lang w:val="es-ES" w:eastAsia="en-US"/>
        </w:rPr>
        <w:t xml:space="preserve"> en este caso incidió de manera relevante y cierta en la situación jurídica de la presunta víctima, por cuanto al retrasarse la resolución judicial del caso, se afectó el desarrollo diario de su vida.</w:t>
      </w:r>
    </w:p>
    <w:p w14:paraId="6F62EA26" w14:textId="77777777" w:rsidR="00B5625C" w:rsidRPr="00975C02" w:rsidRDefault="00B5625C" w:rsidP="00B5625C">
      <w:pPr>
        <w:widowControl/>
        <w:tabs>
          <w:tab w:val="left" w:pos="-142"/>
        </w:tabs>
        <w:adjustRightInd/>
        <w:spacing w:line="240" w:lineRule="auto"/>
        <w:textAlignment w:val="auto"/>
        <w:rPr>
          <w:rFonts w:eastAsia="Calibri" w:cs="Calibri"/>
          <w:sz w:val="20"/>
          <w:szCs w:val="20"/>
          <w:lang w:val="es-ES" w:eastAsia="en-US"/>
        </w:rPr>
      </w:pPr>
    </w:p>
    <w:p w14:paraId="40BDB0B6" w14:textId="400EFFD3" w:rsidR="00B5625C" w:rsidRPr="00975C02" w:rsidRDefault="00B5625C" w:rsidP="00CD287C">
      <w:pPr>
        <w:widowControl/>
        <w:numPr>
          <w:ilvl w:val="0"/>
          <w:numId w:val="2"/>
        </w:numPr>
        <w:tabs>
          <w:tab w:val="left" w:pos="567"/>
          <w:tab w:val="num" w:pos="12305"/>
        </w:tabs>
        <w:adjustRightInd/>
        <w:spacing w:line="240" w:lineRule="auto"/>
        <w:ind w:left="0" w:firstLine="0"/>
        <w:textAlignment w:val="auto"/>
        <w:rPr>
          <w:rFonts w:eastAsiaTheme="minorHAnsi" w:cs="Arial"/>
          <w:sz w:val="20"/>
          <w:szCs w:val="20"/>
          <w:lang w:val="es-ES" w:eastAsia="en-US"/>
        </w:rPr>
      </w:pPr>
      <w:r w:rsidRPr="00975C02">
        <w:rPr>
          <w:rFonts w:eastAsia="Batang" w:cs="Arial"/>
          <w:sz w:val="20"/>
          <w:szCs w:val="20"/>
          <w:lang w:val="es-ES" w:eastAsia="es-MX"/>
        </w:rPr>
        <w:t xml:space="preserve">Una vez analizados los cuatro elementos para determinar la razonabilidad del plazo, la Corte concluye que las autoridades judiciales no actuaron con la debida diligencia y el </w:t>
      </w:r>
      <w:r w:rsidRPr="00975C02">
        <w:rPr>
          <w:rFonts w:eastAsia="Batang"/>
          <w:sz w:val="20"/>
          <w:szCs w:val="20"/>
          <w:lang w:val="es-ES" w:eastAsia="es-MX"/>
        </w:rPr>
        <w:t>deber</w:t>
      </w:r>
      <w:r w:rsidRPr="00975C02">
        <w:rPr>
          <w:rFonts w:eastAsia="Batang" w:cs="Arial"/>
          <w:sz w:val="20"/>
          <w:szCs w:val="20"/>
          <w:lang w:val="es-ES" w:eastAsia="es-MX"/>
        </w:rPr>
        <w:t xml:space="preserve"> de celeridad que exigía la situación de vulnerabilidad en la que se encontraba V.R.P., tratándose de una niña víctima de violencia sexual, razón por la cual excedieron el plazo razonable</w:t>
      </w:r>
      <w:r w:rsidR="00340927" w:rsidRPr="00975C02">
        <w:rPr>
          <w:rFonts w:eastAsia="Batang" w:cs="Arial"/>
          <w:sz w:val="20"/>
          <w:szCs w:val="20"/>
          <w:lang w:val="es-ES" w:eastAsia="es-MX"/>
        </w:rPr>
        <w:t xml:space="preserve"> del proceso</w:t>
      </w:r>
      <w:r w:rsidRPr="00975C02">
        <w:rPr>
          <w:rFonts w:eastAsia="Batang" w:cs="Arial"/>
          <w:sz w:val="20"/>
          <w:szCs w:val="20"/>
          <w:lang w:val="es-ES" w:eastAsia="es-MX"/>
        </w:rPr>
        <w:t>, lo cual vulnera el derecho a las garan</w:t>
      </w:r>
      <w:r w:rsidR="001A107F" w:rsidRPr="00975C02">
        <w:rPr>
          <w:rFonts w:eastAsia="Batang" w:cs="Arial"/>
          <w:sz w:val="20"/>
          <w:szCs w:val="20"/>
          <w:lang w:val="es-ES" w:eastAsia="es-MX"/>
        </w:rPr>
        <w:t xml:space="preserve">tías judiciales establecido en </w:t>
      </w:r>
      <w:r w:rsidR="00416AA0" w:rsidRPr="00975C02">
        <w:rPr>
          <w:rFonts w:eastAsia="Batang" w:cs="Arial"/>
          <w:sz w:val="20"/>
          <w:szCs w:val="20"/>
          <w:lang w:val="es-ES" w:eastAsia="es-MX"/>
        </w:rPr>
        <w:t>e</w:t>
      </w:r>
      <w:r w:rsidRPr="00975C02">
        <w:rPr>
          <w:rFonts w:eastAsia="Batang" w:cs="Arial"/>
          <w:sz w:val="20"/>
          <w:szCs w:val="20"/>
          <w:lang w:val="es-ES" w:eastAsia="es-MX"/>
        </w:rPr>
        <w:t>l artículo 8.1</w:t>
      </w:r>
      <w:r w:rsidR="001A107F" w:rsidRPr="00975C02">
        <w:rPr>
          <w:rFonts w:eastAsia="Batang" w:cs="Arial"/>
          <w:sz w:val="20"/>
          <w:szCs w:val="20"/>
          <w:lang w:val="es-ES" w:eastAsia="es-MX"/>
        </w:rPr>
        <w:t xml:space="preserve"> </w:t>
      </w:r>
      <w:r w:rsidRPr="00975C02">
        <w:rPr>
          <w:rFonts w:eastAsia="Batang" w:cs="Arial"/>
          <w:sz w:val="20"/>
          <w:szCs w:val="20"/>
          <w:lang w:val="es-ES" w:eastAsia="es-MX"/>
        </w:rPr>
        <w:t>de la Convención Americana</w:t>
      </w:r>
      <w:r w:rsidR="001A107F" w:rsidRPr="00975C02">
        <w:rPr>
          <w:rFonts w:eastAsia="Batang" w:cs="Arial"/>
          <w:sz w:val="20"/>
          <w:szCs w:val="20"/>
          <w:lang w:val="es-ES" w:eastAsia="es-MX"/>
        </w:rPr>
        <w:t>, en relación con l</w:t>
      </w:r>
      <w:r w:rsidR="00416AA0" w:rsidRPr="00975C02">
        <w:rPr>
          <w:rFonts w:eastAsia="Batang" w:cs="Arial"/>
          <w:sz w:val="20"/>
          <w:szCs w:val="20"/>
          <w:lang w:val="es-ES" w:eastAsia="es-MX"/>
        </w:rPr>
        <w:t>os</w:t>
      </w:r>
      <w:r w:rsidR="001A107F" w:rsidRPr="00975C02">
        <w:rPr>
          <w:rFonts w:eastAsia="Batang" w:cs="Arial"/>
          <w:sz w:val="20"/>
          <w:szCs w:val="20"/>
          <w:lang w:val="es-ES" w:eastAsia="es-MX"/>
        </w:rPr>
        <w:t xml:space="preserve"> artículo</w:t>
      </w:r>
      <w:r w:rsidR="00416AA0" w:rsidRPr="00975C02">
        <w:rPr>
          <w:rFonts w:eastAsia="Batang" w:cs="Arial"/>
          <w:sz w:val="20"/>
          <w:szCs w:val="20"/>
          <w:lang w:val="es-ES" w:eastAsia="es-MX"/>
        </w:rPr>
        <w:t>s</w:t>
      </w:r>
      <w:r w:rsidR="001A107F" w:rsidRPr="00975C02">
        <w:rPr>
          <w:rFonts w:eastAsia="Batang" w:cs="Arial"/>
          <w:sz w:val="20"/>
          <w:szCs w:val="20"/>
          <w:lang w:val="es-ES" w:eastAsia="es-MX"/>
        </w:rPr>
        <w:t xml:space="preserve"> 1.1 </w:t>
      </w:r>
      <w:r w:rsidR="00416AA0" w:rsidRPr="00975C02">
        <w:rPr>
          <w:rFonts w:eastAsia="Batang" w:cs="Arial"/>
          <w:sz w:val="20"/>
          <w:szCs w:val="20"/>
          <w:lang w:val="es-ES" w:eastAsia="es-MX"/>
        </w:rPr>
        <w:t xml:space="preserve">y 19 </w:t>
      </w:r>
      <w:r w:rsidR="001A107F" w:rsidRPr="00975C02">
        <w:rPr>
          <w:rFonts w:eastAsia="Batang" w:cs="Arial"/>
          <w:sz w:val="20"/>
          <w:szCs w:val="20"/>
          <w:lang w:val="es-ES" w:eastAsia="es-MX"/>
        </w:rPr>
        <w:t>de la misma</w:t>
      </w:r>
      <w:r w:rsidRPr="00975C02">
        <w:rPr>
          <w:rFonts w:eastAsia="Batang" w:cs="Arial"/>
          <w:sz w:val="20"/>
          <w:szCs w:val="20"/>
          <w:lang w:val="es-ES" w:eastAsia="es-MX"/>
        </w:rPr>
        <w:t xml:space="preserve"> y el artículo 7.b</w:t>
      </w:r>
      <w:r w:rsidR="00CD287C" w:rsidRPr="00975C02">
        <w:rPr>
          <w:rFonts w:eastAsia="Batang" w:cs="Arial"/>
          <w:sz w:val="20"/>
          <w:szCs w:val="20"/>
          <w:lang w:val="es-ES" w:eastAsia="es-MX"/>
        </w:rPr>
        <w:t>)</w:t>
      </w:r>
      <w:r w:rsidRPr="00975C02">
        <w:rPr>
          <w:rFonts w:eastAsia="Batang" w:cs="Arial"/>
          <w:sz w:val="20"/>
          <w:szCs w:val="20"/>
          <w:lang w:val="es-ES" w:eastAsia="es-MX"/>
        </w:rPr>
        <w:t xml:space="preserve"> </w:t>
      </w:r>
      <w:r w:rsidRPr="00975C02">
        <w:rPr>
          <w:rFonts w:eastAsia="Batang"/>
          <w:sz w:val="20"/>
          <w:szCs w:val="20"/>
          <w:lang w:val="es-ES" w:eastAsia="es-MX"/>
        </w:rPr>
        <w:t xml:space="preserve">de la Convención </w:t>
      </w:r>
      <w:r w:rsidR="001A107F" w:rsidRPr="00975C02">
        <w:rPr>
          <w:rFonts w:eastAsia="Batang"/>
          <w:sz w:val="20"/>
          <w:szCs w:val="20"/>
          <w:lang w:val="es-ES" w:eastAsia="es-MX"/>
        </w:rPr>
        <w:t>de Belém do Pará</w:t>
      </w:r>
      <w:r w:rsidRPr="00975C02">
        <w:rPr>
          <w:rFonts w:eastAsia="Batang" w:cs="Arial"/>
          <w:sz w:val="20"/>
          <w:szCs w:val="20"/>
          <w:lang w:val="es-ES" w:eastAsia="es-MX"/>
        </w:rPr>
        <w:t>, en perjuicio de V.R.P.</w:t>
      </w:r>
      <w:r w:rsidR="001A107F" w:rsidRPr="00975C02">
        <w:rPr>
          <w:rFonts w:eastAsia="Batang" w:cs="Arial"/>
          <w:sz w:val="20"/>
          <w:szCs w:val="20"/>
          <w:lang w:val="es-ES" w:eastAsia="es-MX"/>
        </w:rPr>
        <w:t xml:space="preserve"> y V.P.C.</w:t>
      </w:r>
    </w:p>
    <w:p w14:paraId="4831082A" w14:textId="77777777" w:rsidR="00B5625C" w:rsidRPr="00975C02" w:rsidRDefault="00B5625C" w:rsidP="00B5625C">
      <w:pPr>
        <w:widowControl/>
        <w:adjustRightInd/>
        <w:spacing w:line="240" w:lineRule="auto"/>
        <w:textAlignment w:val="auto"/>
        <w:rPr>
          <w:sz w:val="20"/>
          <w:szCs w:val="20"/>
          <w:lang w:val="es-ES" w:eastAsia="en-US"/>
        </w:rPr>
      </w:pPr>
    </w:p>
    <w:p w14:paraId="1C130921" w14:textId="4376619B" w:rsidR="006F71B8" w:rsidRPr="00975C02" w:rsidRDefault="006F71B8" w:rsidP="00681AE9">
      <w:pPr>
        <w:pStyle w:val="ListParagraph"/>
        <w:keepNext/>
        <w:keepLines/>
        <w:widowControl/>
        <w:numPr>
          <w:ilvl w:val="0"/>
          <w:numId w:val="16"/>
        </w:numPr>
        <w:tabs>
          <w:tab w:val="left" w:pos="1134"/>
        </w:tabs>
        <w:autoSpaceDE w:val="0"/>
        <w:autoSpaceDN w:val="0"/>
        <w:adjustRightInd/>
        <w:spacing w:line="240" w:lineRule="auto"/>
        <w:ind w:left="1134" w:hanging="567"/>
        <w:textAlignment w:val="auto"/>
        <w:outlineLvl w:val="1"/>
        <w:rPr>
          <w:rFonts w:eastAsia="MS Mincho" w:cs="Arial"/>
          <w:b/>
          <w:bCs/>
          <w:i/>
          <w:kern w:val="2"/>
          <w:sz w:val="20"/>
          <w:szCs w:val="20"/>
          <w:lang w:val="es-ES" w:eastAsia="en-US"/>
        </w:rPr>
      </w:pPr>
      <w:bookmarkStart w:id="144" w:name="_Toc514172648"/>
      <w:r w:rsidRPr="00975C02">
        <w:rPr>
          <w:rFonts w:eastAsia="MS Mincho" w:cs="Arial"/>
          <w:b/>
          <w:bCs/>
          <w:i/>
          <w:kern w:val="2"/>
          <w:sz w:val="20"/>
          <w:szCs w:val="20"/>
          <w:lang w:val="es-ES" w:eastAsia="en-US"/>
        </w:rPr>
        <w:t xml:space="preserve">El principio de igualdad y no discriminación en </w:t>
      </w:r>
      <w:r w:rsidR="00117BEC" w:rsidRPr="00975C02">
        <w:rPr>
          <w:rFonts w:eastAsia="MS Mincho" w:cs="Arial"/>
          <w:b/>
          <w:bCs/>
          <w:i/>
          <w:kern w:val="2"/>
          <w:sz w:val="20"/>
          <w:szCs w:val="20"/>
          <w:lang w:val="es-ES" w:eastAsia="en-US"/>
        </w:rPr>
        <w:t>el acceso a la justicia</w:t>
      </w:r>
      <w:r w:rsidRPr="00975C02">
        <w:rPr>
          <w:rFonts w:eastAsia="MS Mincho" w:cs="Arial"/>
          <w:b/>
          <w:bCs/>
          <w:i/>
          <w:kern w:val="2"/>
          <w:sz w:val="20"/>
          <w:szCs w:val="20"/>
          <w:lang w:val="es-ES" w:eastAsia="en-US"/>
        </w:rPr>
        <w:t xml:space="preserve"> de la niña V.R.P. </w:t>
      </w:r>
      <w:r w:rsidR="00117BEC" w:rsidRPr="00975C02">
        <w:rPr>
          <w:rFonts w:eastAsia="MS Mincho" w:cs="Arial"/>
          <w:b/>
          <w:bCs/>
          <w:i/>
          <w:kern w:val="2"/>
          <w:sz w:val="20"/>
          <w:szCs w:val="20"/>
          <w:lang w:val="es-ES" w:eastAsia="en-US"/>
        </w:rPr>
        <w:t>y la violencia institucional</w:t>
      </w:r>
      <w:bookmarkEnd w:id="144"/>
    </w:p>
    <w:p w14:paraId="2151F09C" w14:textId="77777777" w:rsidR="006F71B8" w:rsidRPr="00975C02" w:rsidRDefault="006F71B8" w:rsidP="006F71B8">
      <w:pPr>
        <w:widowControl/>
        <w:adjustRightInd/>
        <w:spacing w:line="240" w:lineRule="auto"/>
        <w:jc w:val="left"/>
        <w:textAlignment w:val="auto"/>
        <w:rPr>
          <w:sz w:val="20"/>
          <w:szCs w:val="20"/>
          <w:lang w:val="es-ES"/>
        </w:rPr>
      </w:pPr>
    </w:p>
    <w:p w14:paraId="5F885E4C" w14:textId="77777777" w:rsidR="0032081D" w:rsidRPr="00975C02" w:rsidRDefault="00A32A5E" w:rsidP="00A32A5E">
      <w:pPr>
        <w:keepNext/>
        <w:keepLines/>
        <w:tabs>
          <w:tab w:val="left" w:pos="1701"/>
        </w:tabs>
        <w:spacing w:line="240" w:lineRule="auto"/>
        <w:ind w:left="1134"/>
        <w:outlineLvl w:val="1"/>
        <w:rPr>
          <w:bCs/>
          <w:i/>
          <w:sz w:val="20"/>
          <w:szCs w:val="20"/>
          <w:lang w:val="es-ES"/>
        </w:rPr>
      </w:pPr>
      <w:bookmarkStart w:id="145" w:name="_Toc514172649"/>
      <w:r w:rsidRPr="00975C02">
        <w:rPr>
          <w:bCs/>
          <w:i/>
          <w:sz w:val="20"/>
          <w:szCs w:val="20"/>
          <w:lang w:val="es-ES"/>
        </w:rPr>
        <w:t>D</w:t>
      </w:r>
      <w:r w:rsidR="0032081D" w:rsidRPr="00975C02">
        <w:rPr>
          <w:bCs/>
          <w:i/>
          <w:sz w:val="20"/>
          <w:szCs w:val="20"/>
          <w:lang w:val="es-ES"/>
        </w:rPr>
        <w:t xml:space="preserve">.1 </w:t>
      </w:r>
      <w:r w:rsidRPr="00975C02">
        <w:rPr>
          <w:bCs/>
          <w:i/>
          <w:sz w:val="20"/>
          <w:szCs w:val="20"/>
          <w:lang w:val="es-ES"/>
        </w:rPr>
        <w:tab/>
      </w:r>
      <w:r w:rsidR="0032081D" w:rsidRPr="00975C02">
        <w:rPr>
          <w:bCs/>
          <w:i/>
          <w:sz w:val="20"/>
          <w:szCs w:val="20"/>
          <w:lang w:val="es-ES"/>
        </w:rPr>
        <w:t>Alegatos de las partes y de la Comisión</w:t>
      </w:r>
      <w:bookmarkEnd w:id="145"/>
    </w:p>
    <w:p w14:paraId="0D966A58" w14:textId="77777777" w:rsidR="0032081D" w:rsidRPr="00975C02" w:rsidRDefault="0032081D" w:rsidP="006F71B8">
      <w:pPr>
        <w:widowControl/>
        <w:adjustRightInd/>
        <w:spacing w:line="240" w:lineRule="auto"/>
        <w:jc w:val="left"/>
        <w:textAlignment w:val="auto"/>
        <w:rPr>
          <w:sz w:val="20"/>
          <w:szCs w:val="20"/>
          <w:lang w:val="es-ES"/>
        </w:rPr>
      </w:pPr>
    </w:p>
    <w:p w14:paraId="7B51D433" w14:textId="0DF9D766" w:rsidR="00E67FC0" w:rsidRPr="00975C02" w:rsidRDefault="0032081D" w:rsidP="00681AE9">
      <w:pPr>
        <w:widowControl/>
        <w:numPr>
          <w:ilvl w:val="0"/>
          <w:numId w:val="2"/>
        </w:numPr>
        <w:tabs>
          <w:tab w:val="left" w:pos="567"/>
          <w:tab w:val="num" w:pos="12305"/>
        </w:tabs>
        <w:adjustRightInd/>
        <w:spacing w:line="240" w:lineRule="auto"/>
        <w:ind w:left="0" w:firstLine="0"/>
        <w:textAlignment w:val="auto"/>
        <w:rPr>
          <w:b/>
          <w:sz w:val="16"/>
          <w:szCs w:val="16"/>
          <w:lang w:val="es-ES"/>
        </w:rPr>
      </w:pPr>
      <w:r w:rsidRPr="00975C02">
        <w:rPr>
          <w:sz w:val="20"/>
          <w:szCs w:val="20"/>
          <w:lang w:val="es-ES"/>
        </w:rPr>
        <w:t xml:space="preserve">La </w:t>
      </w:r>
      <w:r w:rsidRPr="00975C02">
        <w:rPr>
          <w:b/>
          <w:i/>
          <w:sz w:val="20"/>
          <w:szCs w:val="20"/>
          <w:lang w:val="es-ES"/>
        </w:rPr>
        <w:t>Comisión</w:t>
      </w:r>
      <w:r w:rsidRPr="00975C02">
        <w:rPr>
          <w:sz w:val="20"/>
          <w:szCs w:val="20"/>
          <w:lang w:val="es-ES"/>
        </w:rPr>
        <w:t xml:space="preserve"> </w:t>
      </w:r>
      <w:r w:rsidRPr="00975C02">
        <w:rPr>
          <w:rFonts w:eastAsia="Batang" w:cs="Arial"/>
          <w:sz w:val="20"/>
          <w:szCs w:val="20"/>
          <w:lang w:val="es-ES" w:eastAsia="es-MX"/>
        </w:rPr>
        <w:t>destacó</w:t>
      </w:r>
      <w:r w:rsidRPr="00975C02">
        <w:rPr>
          <w:sz w:val="20"/>
          <w:szCs w:val="20"/>
          <w:lang w:val="es-ES"/>
        </w:rPr>
        <w:t xml:space="preserve"> que el Estado se encontraba frente a un hecho grave de violencia sexual contra una mujer y niña, el cual constituía una manifestación de la discriminación contra la mujer vigente en la sociedad. Al respecto, en el marco de la investigación y proceso penal, el Estado tenía la obligación no sólo de abstenerse de asumir actitudes discriminatorias o revictimizantes contra la víctima, sino de llevar a cabo una investigación con el deber reforzado de tomar en cuenta el doble grado de vulnerabilidad de V.R.P, como mujer y como niña víctima de violencia sexual. Sin embargo, varios aspectos de la investigación fueron una manifestación de que el Estado no cumplió con dicho deber, como por ejemplo el actuar del médico forense a cargo del primer examen de V.R.P., así como el de la jueza a cargo del proceso, quien solicitó la participación directa de </w:t>
      </w:r>
      <w:r w:rsidR="00AE389B" w:rsidRPr="00975C02">
        <w:rPr>
          <w:sz w:val="20"/>
          <w:szCs w:val="20"/>
          <w:lang w:val="es-ES"/>
        </w:rPr>
        <w:t>la niña</w:t>
      </w:r>
      <w:r w:rsidRPr="00975C02">
        <w:rPr>
          <w:sz w:val="20"/>
          <w:szCs w:val="20"/>
          <w:lang w:val="es-ES"/>
        </w:rPr>
        <w:t xml:space="preserve"> y que </w:t>
      </w:r>
      <w:r w:rsidR="00AE389B" w:rsidRPr="00975C02">
        <w:rPr>
          <w:sz w:val="20"/>
          <w:szCs w:val="20"/>
          <w:lang w:val="es-ES"/>
        </w:rPr>
        <w:t xml:space="preserve">la misma </w:t>
      </w:r>
      <w:r w:rsidRPr="00975C02">
        <w:rPr>
          <w:sz w:val="20"/>
          <w:szCs w:val="20"/>
          <w:lang w:val="es-ES"/>
        </w:rPr>
        <w:t xml:space="preserve">se colocara en la posición en </w:t>
      </w:r>
      <w:r w:rsidR="00AE389B" w:rsidRPr="00975C02">
        <w:rPr>
          <w:sz w:val="20"/>
          <w:szCs w:val="20"/>
          <w:lang w:val="es-ES"/>
        </w:rPr>
        <w:t xml:space="preserve">la </w:t>
      </w:r>
      <w:r w:rsidRPr="00975C02">
        <w:rPr>
          <w:sz w:val="20"/>
          <w:szCs w:val="20"/>
          <w:lang w:val="es-ES"/>
        </w:rPr>
        <w:t>que habría sido violada sexualmente por el perpetrador, sin ningún tipo de mecanismo de contención o apoyo psicológico. Asimismo, la Comisión recordó que la influencia de patrones socioculturales discriminatorios podía dar como resultado una descalificación de la credibilidad de la víctima durante el proceso penal en casos de violencia. Consideró que el Estado no había acreditado la manera en que, al momento de resolver la responsabilidad del presunto responsable, tomó en consideración las declaraciones consistentes de V.R.P., ni la manera en que valoró la prueba disponible. La Comisión consideró que existían suficientes elementos para concluir que la situación de impunidad en que se encontraba el caso obedeció precisamente a la falta de debida diligencia. En este sentido, concluyó que, si la situación de impunidad de un caso de violencia contra una mujer y niña se deb</w:t>
      </w:r>
      <w:r w:rsidR="00AE389B" w:rsidRPr="00975C02">
        <w:rPr>
          <w:sz w:val="20"/>
          <w:szCs w:val="20"/>
          <w:lang w:val="es-ES"/>
        </w:rPr>
        <w:t>ía</w:t>
      </w:r>
      <w:r w:rsidRPr="00975C02">
        <w:rPr>
          <w:sz w:val="20"/>
          <w:szCs w:val="20"/>
          <w:lang w:val="es-ES"/>
        </w:rPr>
        <w:t xml:space="preserve"> a las acciones y omisiones del propio Estado, dicha situación de impunidad constitu</w:t>
      </w:r>
      <w:r w:rsidR="00AE389B" w:rsidRPr="00975C02">
        <w:rPr>
          <w:sz w:val="20"/>
          <w:szCs w:val="20"/>
          <w:lang w:val="es-ES"/>
        </w:rPr>
        <w:t>ía</w:t>
      </w:r>
      <w:r w:rsidRPr="00975C02">
        <w:rPr>
          <w:sz w:val="20"/>
          <w:szCs w:val="20"/>
          <w:lang w:val="es-ES"/>
        </w:rPr>
        <w:t xml:space="preserve"> en sí misma una forma de perpetuación de la discriminación manifestada en la violencia así como una forma de discriminación </w:t>
      </w:r>
      <w:r w:rsidRPr="00975C02">
        <w:rPr>
          <w:sz w:val="20"/>
          <w:szCs w:val="20"/>
          <w:lang w:val="es-ES"/>
        </w:rPr>
        <w:lastRenderedPageBreak/>
        <w:t>en el acceso a la justicia. Con base en lo expuesto, la Comisión concluyó que el Estado era responsable por la violación del principio de igualdad y no discriminación establecido en el artículo 24 de la Convención Americana, en relación con el artículo 1.1 del mismo instrumento, en perjuicio de V.R.P.</w:t>
      </w:r>
      <w:r w:rsidR="00E67FC0" w:rsidRPr="00975C02">
        <w:rPr>
          <w:b/>
          <w:sz w:val="16"/>
          <w:szCs w:val="16"/>
          <w:lang w:val="es-ES"/>
        </w:rPr>
        <w:t xml:space="preserve"> </w:t>
      </w:r>
      <w:r w:rsidR="00E67FC0" w:rsidRPr="00975C02">
        <w:rPr>
          <w:sz w:val="20"/>
          <w:szCs w:val="20"/>
          <w:lang w:val="es-ES"/>
        </w:rPr>
        <w:t>Adicionalmente, l</w:t>
      </w:r>
      <w:r w:rsidR="00E67FC0" w:rsidRPr="00975C02">
        <w:rPr>
          <w:kern w:val="2"/>
          <w:sz w:val="20"/>
          <w:szCs w:val="20"/>
          <w:lang w:val="es-ES"/>
        </w:rPr>
        <w:t>a Comisión consideró que l</w:t>
      </w:r>
      <w:r w:rsidR="00E67FC0" w:rsidRPr="00975C02">
        <w:rPr>
          <w:kern w:val="2"/>
          <w:sz w:val="20"/>
          <w:szCs w:val="20"/>
          <w:lang w:val="es-ES" w:eastAsia="en-US"/>
        </w:rPr>
        <w:t xml:space="preserve">a actuación irregular del médico constituyó un grave acto de </w:t>
      </w:r>
      <w:r w:rsidR="00E67FC0" w:rsidRPr="00975C02">
        <w:rPr>
          <w:sz w:val="20"/>
          <w:szCs w:val="20"/>
          <w:lang w:val="es-ES"/>
        </w:rPr>
        <w:t>revictimización</w:t>
      </w:r>
      <w:r w:rsidR="00E67FC0" w:rsidRPr="00975C02">
        <w:rPr>
          <w:kern w:val="2"/>
          <w:sz w:val="20"/>
          <w:szCs w:val="20"/>
          <w:lang w:val="es-ES" w:eastAsia="en-US"/>
        </w:rPr>
        <w:t xml:space="preserve"> y un nuevo hecho de violencia sexual contra V.R.P., por lo que </w:t>
      </w:r>
      <w:r w:rsidR="00E67FC0" w:rsidRPr="00975C02">
        <w:rPr>
          <w:kern w:val="2"/>
          <w:sz w:val="20"/>
          <w:szCs w:val="20"/>
          <w:lang w:val="es-ES"/>
        </w:rPr>
        <w:t>“</w:t>
      </w:r>
      <w:r w:rsidR="00E67FC0" w:rsidRPr="00975C02">
        <w:rPr>
          <w:kern w:val="2"/>
          <w:sz w:val="20"/>
          <w:szCs w:val="20"/>
          <w:lang w:val="es-ES" w:eastAsia="en-US"/>
        </w:rPr>
        <w:t>dicho acto de agresión sexual cometido por un funcionario del Estado, tomando en cuenta la intensidad y el sufrimiento provocado</w:t>
      </w:r>
      <w:r w:rsidR="00E67FC0" w:rsidRPr="00975C02">
        <w:rPr>
          <w:kern w:val="2"/>
          <w:sz w:val="20"/>
          <w:szCs w:val="20"/>
          <w:lang w:val="es-ES"/>
        </w:rPr>
        <w:t>”</w:t>
      </w:r>
      <w:r w:rsidR="00E67FC0" w:rsidRPr="00975C02">
        <w:rPr>
          <w:kern w:val="2"/>
          <w:sz w:val="20"/>
          <w:szCs w:val="20"/>
          <w:lang w:val="es-ES" w:eastAsia="en-US"/>
        </w:rPr>
        <w:t xml:space="preserve">, </w:t>
      </w:r>
      <w:r w:rsidR="00E67FC0" w:rsidRPr="00975C02">
        <w:rPr>
          <w:kern w:val="2"/>
          <w:sz w:val="20"/>
          <w:szCs w:val="20"/>
          <w:lang w:val="es-ES"/>
        </w:rPr>
        <w:t>debería ser</w:t>
      </w:r>
      <w:r w:rsidR="00E67FC0" w:rsidRPr="00975C02">
        <w:rPr>
          <w:kern w:val="2"/>
          <w:sz w:val="20"/>
          <w:szCs w:val="20"/>
          <w:lang w:val="es-ES" w:eastAsia="en-US"/>
        </w:rPr>
        <w:t xml:space="preserve"> considerado por la Corte bajo el artículo 5.2 de la Convención</w:t>
      </w:r>
      <w:r w:rsidR="00E67FC0" w:rsidRPr="00975C02">
        <w:rPr>
          <w:kern w:val="2"/>
          <w:sz w:val="20"/>
          <w:szCs w:val="20"/>
          <w:lang w:val="es-ES"/>
        </w:rPr>
        <w:t>. De igual forma se pronunció respecto de</w:t>
      </w:r>
      <w:r w:rsidR="00E67FC0" w:rsidRPr="00975C02">
        <w:rPr>
          <w:kern w:val="2"/>
          <w:sz w:val="20"/>
          <w:szCs w:val="20"/>
          <w:lang w:val="es-ES" w:eastAsia="en-US"/>
        </w:rPr>
        <w:t xml:space="preserve"> la inspección ocular y la reconstrucción de los hechos, por lo que solicitó que se analizara a la luz del artículo 5.2 de la Convención</w:t>
      </w:r>
      <w:r w:rsidR="00E67FC0" w:rsidRPr="00975C02">
        <w:rPr>
          <w:kern w:val="2"/>
          <w:sz w:val="20"/>
          <w:szCs w:val="20"/>
          <w:lang w:val="es-ES"/>
        </w:rPr>
        <w:t>.</w:t>
      </w:r>
    </w:p>
    <w:p w14:paraId="1BBB4BA6" w14:textId="77777777" w:rsidR="00E67FC0" w:rsidRPr="00975C02" w:rsidRDefault="00E67FC0" w:rsidP="0032081D">
      <w:pPr>
        <w:spacing w:line="240" w:lineRule="auto"/>
        <w:rPr>
          <w:b/>
          <w:sz w:val="16"/>
          <w:szCs w:val="16"/>
          <w:lang w:val="es-ES"/>
        </w:rPr>
      </w:pPr>
    </w:p>
    <w:p w14:paraId="2304D781" w14:textId="3129E77B" w:rsidR="0032081D" w:rsidRPr="00975C02" w:rsidRDefault="0032081D" w:rsidP="002D3853">
      <w:pPr>
        <w:widowControl/>
        <w:numPr>
          <w:ilvl w:val="0"/>
          <w:numId w:val="2"/>
        </w:numPr>
        <w:tabs>
          <w:tab w:val="left" w:pos="567"/>
          <w:tab w:val="num" w:pos="12305"/>
        </w:tabs>
        <w:adjustRightInd/>
        <w:spacing w:line="240" w:lineRule="auto"/>
        <w:ind w:left="0" w:firstLine="0"/>
        <w:textAlignment w:val="auto"/>
        <w:rPr>
          <w:sz w:val="20"/>
          <w:szCs w:val="20"/>
          <w:lang w:val="es-ES"/>
        </w:rPr>
      </w:pPr>
      <w:r w:rsidRPr="00975C02">
        <w:rPr>
          <w:sz w:val="20"/>
          <w:szCs w:val="20"/>
          <w:lang w:val="es-ES"/>
        </w:rPr>
        <w:t>Las</w:t>
      </w:r>
      <w:r w:rsidRPr="00975C02">
        <w:rPr>
          <w:b/>
          <w:sz w:val="20"/>
          <w:szCs w:val="20"/>
          <w:lang w:val="es-ES"/>
        </w:rPr>
        <w:t xml:space="preserve"> </w:t>
      </w:r>
      <w:r w:rsidRPr="00975C02">
        <w:rPr>
          <w:b/>
          <w:i/>
          <w:sz w:val="20"/>
          <w:szCs w:val="20"/>
          <w:lang w:val="es-ES"/>
        </w:rPr>
        <w:t>representantes</w:t>
      </w:r>
      <w:r w:rsidRPr="00975C02">
        <w:rPr>
          <w:b/>
          <w:sz w:val="20"/>
          <w:szCs w:val="20"/>
          <w:lang w:val="es-ES"/>
        </w:rPr>
        <w:t xml:space="preserve"> </w:t>
      </w:r>
      <w:r w:rsidRPr="00975C02">
        <w:rPr>
          <w:sz w:val="20"/>
          <w:szCs w:val="20"/>
          <w:lang w:val="es-ES"/>
        </w:rPr>
        <w:t>alegaron que el Estado sometió a la niña V.R.P. a violencia física y psicológica a través de los actos de sus funcionarios, haciéndola víctima de una doble agresión, sin considerar el deber reforzado del Estado de adoptar medidas especiales de protección y asistencia a favor de l</w:t>
      </w:r>
      <w:r w:rsidR="007E171B" w:rsidRPr="00975C02">
        <w:rPr>
          <w:sz w:val="20"/>
          <w:szCs w:val="20"/>
          <w:lang w:val="es-ES"/>
        </w:rPr>
        <w:t>a</w:t>
      </w:r>
      <w:r w:rsidRPr="00975C02">
        <w:rPr>
          <w:sz w:val="20"/>
          <w:szCs w:val="20"/>
          <w:lang w:val="es-ES"/>
        </w:rPr>
        <w:t xml:space="preserve"> niñ</w:t>
      </w:r>
      <w:r w:rsidR="007E171B" w:rsidRPr="00975C02">
        <w:rPr>
          <w:sz w:val="20"/>
          <w:szCs w:val="20"/>
          <w:lang w:val="es-ES"/>
        </w:rPr>
        <w:t>a</w:t>
      </w:r>
      <w:r w:rsidRPr="00975C02">
        <w:rPr>
          <w:sz w:val="20"/>
          <w:szCs w:val="20"/>
          <w:lang w:val="es-ES"/>
        </w:rPr>
        <w:t>, y obviando su condición de mujer. Las representantes coincidieron con la Comisión en afirmar que el Estado incumplió con su deber reforzado de tomar en cuenta el doble grado de vulnerabilidad de V.R.P., violando el derecho a la no discriminación establecido en el artículo 24.</w:t>
      </w:r>
    </w:p>
    <w:p w14:paraId="0BCC2A89" w14:textId="77777777" w:rsidR="0032081D" w:rsidRPr="00975C02" w:rsidRDefault="0032081D" w:rsidP="0032081D">
      <w:pPr>
        <w:spacing w:line="240" w:lineRule="auto"/>
        <w:rPr>
          <w:sz w:val="20"/>
          <w:szCs w:val="20"/>
          <w:lang w:val="es-ES"/>
        </w:rPr>
      </w:pPr>
    </w:p>
    <w:p w14:paraId="328885DD" w14:textId="67222646" w:rsidR="0032081D" w:rsidRPr="00975C02" w:rsidRDefault="0032081D" w:rsidP="002D3853">
      <w:pPr>
        <w:widowControl/>
        <w:numPr>
          <w:ilvl w:val="0"/>
          <w:numId w:val="2"/>
        </w:numPr>
        <w:tabs>
          <w:tab w:val="left" w:pos="567"/>
          <w:tab w:val="num" w:pos="12305"/>
        </w:tabs>
        <w:adjustRightInd/>
        <w:spacing w:line="240" w:lineRule="auto"/>
        <w:ind w:left="0" w:firstLine="0"/>
        <w:textAlignment w:val="auto"/>
        <w:rPr>
          <w:sz w:val="20"/>
          <w:szCs w:val="20"/>
          <w:lang w:val="es-ES"/>
        </w:rPr>
      </w:pPr>
      <w:r w:rsidRPr="00975C02">
        <w:rPr>
          <w:sz w:val="20"/>
          <w:szCs w:val="20"/>
          <w:lang w:val="es-ES"/>
        </w:rPr>
        <w:t xml:space="preserve">El </w:t>
      </w:r>
      <w:r w:rsidRPr="00975C02">
        <w:rPr>
          <w:b/>
          <w:i/>
          <w:sz w:val="20"/>
          <w:szCs w:val="20"/>
          <w:lang w:val="es-ES"/>
        </w:rPr>
        <w:t>Estado</w:t>
      </w:r>
      <w:r w:rsidRPr="00975C02">
        <w:rPr>
          <w:sz w:val="20"/>
          <w:szCs w:val="20"/>
          <w:lang w:val="es-ES"/>
        </w:rPr>
        <w:t xml:space="preserve"> señaló que no existieron actitudes denigrantes ni revictimizantes en perjuicio de V.R.P., sino que por el contrario, el proceso a nivel interno se llevó a cabo con la debida diligencia. Ello, debido a que se realizaron diversas diligencias y pericias a nivel interno para obtener el mayor cúmulo de pruebas encaminadas a demostrar lo sucedido y la responsabilidad del autor, sin embargo, con base en la íntima convicción, el </w:t>
      </w:r>
      <w:r w:rsidR="007E171B" w:rsidRPr="00975C02">
        <w:rPr>
          <w:sz w:val="20"/>
          <w:szCs w:val="20"/>
          <w:lang w:val="es-ES"/>
        </w:rPr>
        <w:t>T</w:t>
      </w:r>
      <w:r w:rsidRPr="00975C02">
        <w:rPr>
          <w:sz w:val="20"/>
          <w:szCs w:val="20"/>
          <w:lang w:val="es-ES"/>
        </w:rPr>
        <w:t xml:space="preserve">ribunal de </w:t>
      </w:r>
      <w:r w:rsidR="007E171B" w:rsidRPr="00975C02">
        <w:rPr>
          <w:sz w:val="20"/>
          <w:szCs w:val="20"/>
          <w:lang w:val="es-ES"/>
        </w:rPr>
        <w:t>J</w:t>
      </w:r>
      <w:r w:rsidRPr="00975C02">
        <w:rPr>
          <w:sz w:val="20"/>
          <w:szCs w:val="20"/>
          <w:lang w:val="es-ES"/>
        </w:rPr>
        <w:t>urado</w:t>
      </w:r>
      <w:r w:rsidR="007E171B" w:rsidRPr="00975C02">
        <w:rPr>
          <w:sz w:val="20"/>
          <w:szCs w:val="20"/>
          <w:lang w:val="es-ES"/>
        </w:rPr>
        <w:t>s</w:t>
      </w:r>
      <w:r w:rsidRPr="00975C02">
        <w:rPr>
          <w:sz w:val="20"/>
          <w:szCs w:val="20"/>
          <w:lang w:val="es-ES"/>
        </w:rPr>
        <w:t xml:space="preserve"> decidió un veredicto de inocencia.</w:t>
      </w:r>
      <w:r w:rsidRPr="00975C02">
        <w:rPr>
          <w:b/>
          <w:sz w:val="16"/>
          <w:szCs w:val="16"/>
          <w:lang w:val="es-ES"/>
        </w:rPr>
        <w:t xml:space="preserve"> </w:t>
      </w:r>
      <w:r w:rsidRPr="00975C02">
        <w:rPr>
          <w:sz w:val="20"/>
          <w:szCs w:val="20"/>
          <w:lang w:val="es-ES"/>
        </w:rPr>
        <w:t>El Estado destacó que se brindó el apoyo psicológico a la víctima durante el proceso y que su declaración fue tomada en consideración por la jueza a cargo, quien con base en ella, ordenó la sentencia interlocutoria de auto de segura y formal prisión en contra de H.R.A.</w:t>
      </w:r>
    </w:p>
    <w:p w14:paraId="3A843CB0" w14:textId="77777777" w:rsidR="0032081D" w:rsidRPr="00975C02" w:rsidRDefault="0032081D" w:rsidP="006F71B8">
      <w:pPr>
        <w:widowControl/>
        <w:adjustRightInd/>
        <w:spacing w:line="240" w:lineRule="auto"/>
        <w:jc w:val="left"/>
        <w:textAlignment w:val="auto"/>
        <w:rPr>
          <w:sz w:val="20"/>
          <w:szCs w:val="20"/>
          <w:lang w:val="es-ES"/>
        </w:rPr>
      </w:pPr>
    </w:p>
    <w:p w14:paraId="7E18F7C3" w14:textId="77777777" w:rsidR="0032081D" w:rsidRPr="00975C02" w:rsidRDefault="00A32A5E" w:rsidP="00A32A5E">
      <w:pPr>
        <w:keepNext/>
        <w:keepLines/>
        <w:tabs>
          <w:tab w:val="left" w:pos="1701"/>
        </w:tabs>
        <w:spacing w:line="240" w:lineRule="auto"/>
        <w:ind w:left="1134"/>
        <w:outlineLvl w:val="1"/>
        <w:rPr>
          <w:bCs/>
          <w:i/>
          <w:sz w:val="20"/>
          <w:szCs w:val="20"/>
          <w:lang w:val="es-ES"/>
        </w:rPr>
      </w:pPr>
      <w:bookmarkStart w:id="146" w:name="_Toc514172650"/>
      <w:r w:rsidRPr="00975C02">
        <w:rPr>
          <w:bCs/>
          <w:i/>
          <w:sz w:val="20"/>
          <w:szCs w:val="20"/>
          <w:lang w:val="es-ES"/>
        </w:rPr>
        <w:t>D</w:t>
      </w:r>
      <w:r w:rsidR="0032081D" w:rsidRPr="00975C02">
        <w:rPr>
          <w:bCs/>
          <w:i/>
          <w:sz w:val="20"/>
          <w:szCs w:val="20"/>
          <w:lang w:val="es-ES"/>
        </w:rPr>
        <w:t xml:space="preserve">.2 </w:t>
      </w:r>
      <w:r w:rsidR="00516097" w:rsidRPr="00975C02">
        <w:rPr>
          <w:bCs/>
          <w:i/>
          <w:sz w:val="20"/>
          <w:szCs w:val="20"/>
          <w:lang w:val="es-ES"/>
        </w:rPr>
        <w:tab/>
      </w:r>
      <w:r w:rsidR="0032081D" w:rsidRPr="00975C02">
        <w:rPr>
          <w:bCs/>
          <w:i/>
          <w:sz w:val="20"/>
          <w:szCs w:val="20"/>
          <w:lang w:val="es-ES"/>
        </w:rPr>
        <w:t>Consideraciones de la Corte</w:t>
      </w:r>
      <w:bookmarkEnd w:id="146"/>
    </w:p>
    <w:p w14:paraId="1EE5ED27" w14:textId="77777777" w:rsidR="0032081D" w:rsidRPr="00975C02" w:rsidRDefault="0032081D" w:rsidP="006F71B8">
      <w:pPr>
        <w:widowControl/>
        <w:adjustRightInd/>
        <w:spacing w:line="240" w:lineRule="auto"/>
        <w:jc w:val="left"/>
        <w:textAlignment w:val="auto"/>
        <w:rPr>
          <w:sz w:val="20"/>
          <w:szCs w:val="20"/>
          <w:lang w:val="es-ES"/>
        </w:rPr>
      </w:pPr>
    </w:p>
    <w:p w14:paraId="75C7A7A3" w14:textId="3D71D194" w:rsidR="006F71B8" w:rsidRPr="00975C02" w:rsidRDefault="006F71B8" w:rsidP="006F71B8">
      <w:pPr>
        <w:widowControl/>
        <w:numPr>
          <w:ilvl w:val="0"/>
          <w:numId w:val="2"/>
        </w:numPr>
        <w:tabs>
          <w:tab w:val="left" w:pos="567"/>
          <w:tab w:val="num" w:pos="12305"/>
        </w:tabs>
        <w:adjustRightInd/>
        <w:spacing w:line="240" w:lineRule="auto"/>
        <w:ind w:left="0" w:firstLine="0"/>
        <w:textAlignment w:val="auto"/>
        <w:rPr>
          <w:sz w:val="20"/>
          <w:szCs w:val="20"/>
          <w:lang w:val="es-ES"/>
        </w:rPr>
      </w:pPr>
      <w:r w:rsidRPr="00975C02">
        <w:rPr>
          <w:sz w:val="20"/>
          <w:szCs w:val="20"/>
          <w:lang w:val="es-ES"/>
        </w:rPr>
        <w:t xml:space="preserve">La Corte recuerda que en la actual etapa de la evolución del derecho internacional, el principio fundamental de igualdad y no discriminación ha ingresado en el dominio del </w:t>
      </w:r>
      <w:r w:rsidRPr="00975C02">
        <w:rPr>
          <w:i/>
          <w:sz w:val="20"/>
          <w:szCs w:val="20"/>
          <w:lang w:val="es-ES"/>
        </w:rPr>
        <w:t>jus cogens</w:t>
      </w:r>
      <w:r w:rsidRPr="00975C02">
        <w:rPr>
          <w:sz w:val="20"/>
          <w:szCs w:val="20"/>
          <w:lang w:val="es-ES"/>
        </w:rPr>
        <w:t xml:space="preserve">. Sobre él descansa el andamiaje jurídico del orden público nacional e internacional y permea todo el ordenamiento jurídico. Los Estados deben abstenerse de realizar acciones que de cualquier manera vayan dirigidas, directa o indirectamente, a crear situaciones de discriminación </w:t>
      </w:r>
      <w:r w:rsidRPr="00975C02">
        <w:rPr>
          <w:i/>
          <w:sz w:val="20"/>
          <w:szCs w:val="20"/>
          <w:lang w:val="es-ES"/>
        </w:rPr>
        <w:t xml:space="preserve">de jure </w:t>
      </w:r>
      <w:r w:rsidRPr="00975C02">
        <w:rPr>
          <w:sz w:val="20"/>
          <w:szCs w:val="20"/>
          <w:lang w:val="es-ES"/>
        </w:rPr>
        <w:t xml:space="preserve">o </w:t>
      </w:r>
      <w:r w:rsidRPr="00975C02">
        <w:rPr>
          <w:i/>
          <w:sz w:val="20"/>
          <w:szCs w:val="20"/>
          <w:lang w:val="es-ES"/>
        </w:rPr>
        <w:t>de facto</w:t>
      </w:r>
      <w:r w:rsidRPr="00975C02">
        <w:rPr>
          <w:sz w:val="20"/>
          <w:szCs w:val="20"/>
          <w:lang w:val="es-ES"/>
        </w:rPr>
        <w:t xml:space="preserve">. En este sentido, mientras la obligación general del artículo 1.1 de la Convención Americana se refiere al deber del Estado de respetar y garantizar, “sin discriminación”, los derechos contenidos en dicho tratado, el artículo 24 protege el derecho a “igual protección de la ley”. </w:t>
      </w:r>
      <w:r w:rsidR="00673408" w:rsidRPr="00975C02">
        <w:rPr>
          <w:rFonts w:eastAsia="Batang"/>
          <w:sz w:val="20"/>
          <w:szCs w:val="20"/>
          <w:lang w:val="es-ES" w:eastAsia="es-MX"/>
        </w:rPr>
        <w:t xml:space="preserve">En definitiva, la Corte ha afirmado que </w:t>
      </w:r>
      <w:r w:rsidR="00673408" w:rsidRPr="00975C02">
        <w:rPr>
          <w:rFonts w:eastAsia="Calibri"/>
          <w:sz w:val="20"/>
          <w:szCs w:val="20"/>
          <w:lang w:val="es-ES" w:eastAsia="de-DE"/>
        </w:rPr>
        <w:t xml:space="preserve">si un Estado discrimina en el respeto o garantía de un derecho convencional, violaría el artículo 1.1 y el derecho sustantivo en cuestión. </w:t>
      </w:r>
      <w:r w:rsidR="00673408" w:rsidRPr="00975C02">
        <w:rPr>
          <w:rFonts w:eastAsia="Batang"/>
          <w:sz w:val="20"/>
          <w:szCs w:val="20"/>
          <w:lang w:val="es-ES" w:eastAsia="es-ES"/>
        </w:rPr>
        <w:t>Si, por el contrario, la discriminación se refiere a una protección desigual de la ley interna o su aplicación, el hecho debe analizarse a la luz del artículo 24 de la Convención Americana</w:t>
      </w:r>
      <w:r w:rsidR="00673408" w:rsidRPr="00975C02">
        <w:rPr>
          <w:rFonts w:eastAsia="Calibri"/>
          <w:sz w:val="20"/>
          <w:szCs w:val="20"/>
          <w:vertAlign w:val="superscript"/>
          <w:lang w:val="es-ES" w:eastAsia="de-DE"/>
        </w:rPr>
        <w:footnoteReference w:id="377"/>
      </w:r>
      <w:r w:rsidR="00673408" w:rsidRPr="00975C02">
        <w:rPr>
          <w:rFonts w:eastAsia="Calibri"/>
          <w:sz w:val="20"/>
          <w:szCs w:val="20"/>
          <w:lang w:val="es-ES" w:eastAsia="de-DE"/>
        </w:rPr>
        <w:t>.</w:t>
      </w:r>
      <w:r w:rsidR="003C296B" w:rsidRPr="00975C02">
        <w:rPr>
          <w:rFonts w:eastAsia="Calibri"/>
          <w:sz w:val="20"/>
          <w:szCs w:val="20"/>
          <w:lang w:val="es-ES" w:eastAsia="de-DE"/>
        </w:rPr>
        <w:t xml:space="preserve"> </w:t>
      </w:r>
      <w:r w:rsidR="003C296B" w:rsidRPr="00975C02">
        <w:rPr>
          <w:sz w:val="20"/>
          <w:lang w:val="es-ES"/>
        </w:rPr>
        <w:t>Por consiguiente, los Estados tienen la obligación de no introducir en su ordenamiento jurídico regulaciones discriminatorias, eliminar las regulaciones de carácter discriminatorio, combatir las prácticas de este carácter y establecer normas y otras medidas que reconozcan y aseguren la efectiva igualdad ante la ley de todas las personas</w:t>
      </w:r>
      <w:r w:rsidR="003C296B" w:rsidRPr="00975C02">
        <w:rPr>
          <w:rStyle w:val="FootnoteReference"/>
          <w:sz w:val="20"/>
          <w:lang w:val="es-ES"/>
        </w:rPr>
        <w:footnoteReference w:id="378"/>
      </w:r>
      <w:r w:rsidR="003C296B" w:rsidRPr="00975C02">
        <w:rPr>
          <w:sz w:val="20"/>
          <w:lang w:val="es-ES"/>
        </w:rPr>
        <w:t xml:space="preserve">. </w:t>
      </w:r>
      <w:r w:rsidRPr="00975C02">
        <w:rPr>
          <w:sz w:val="20"/>
          <w:szCs w:val="20"/>
          <w:lang w:val="es-ES"/>
        </w:rPr>
        <w:t xml:space="preserve">En este </w:t>
      </w:r>
      <w:r w:rsidR="00117BEC" w:rsidRPr="00975C02">
        <w:rPr>
          <w:sz w:val="20"/>
          <w:szCs w:val="20"/>
          <w:lang w:val="es-ES"/>
        </w:rPr>
        <w:t>caso</w:t>
      </w:r>
      <w:r w:rsidRPr="00975C02">
        <w:rPr>
          <w:sz w:val="20"/>
          <w:szCs w:val="20"/>
          <w:lang w:val="es-ES"/>
        </w:rPr>
        <w:t xml:space="preserve">, la Corte analizará las violaciones alegadas bajo </w:t>
      </w:r>
      <w:r w:rsidR="00755D99" w:rsidRPr="00975C02">
        <w:rPr>
          <w:sz w:val="20"/>
          <w:szCs w:val="20"/>
          <w:lang w:val="es-ES"/>
        </w:rPr>
        <w:t>ambas modalidades</w:t>
      </w:r>
      <w:r w:rsidR="00117BEC" w:rsidRPr="00975C02">
        <w:rPr>
          <w:sz w:val="20"/>
          <w:szCs w:val="20"/>
          <w:lang w:val="es-ES"/>
        </w:rPr>
        <w:t xml:space="preserve">, toda vez que </w:t>
      </w:r>
      <w:r w:rsidR="00D13FB1" w:rsidRPr="00975C02">
        <w:rPr>
          <w:sz w:val="20"/>
          <w:szCs w:val="20"/>
          <w:lang w:val="es-ES"/>
        </w:rPr>
        <w:t>los argumentos se centran en la cuestión relativa a</w:t>
      </w:r>
      <w:r w:rsidR="00117BEC" w:rsidRPr="00975C02">
        <w:rPr>
          <w:sz w:val="20"/>
          <w:szCs w:val="20"/>
          <w:lang w:val="es-ES"/>
        </w:rPr>
        <w:t xml:space="preserve"> que no se tomaron medidas de acción positiva</w:t>
      </w:r>
      <w:r w:rsidR="00516097" w:rsidRPr="00975C02">
        <w:rPr>
          <w:sz w:val="20"/>
          <w:szCs w:val="20"/>
          <w:lang w:val="es-ES"/>
        </w:rPr>
        <w:t>, específicas y reforzadas,</w:t>
      </w:r>
      <w:r w:rsidR="00117BEC" w:rsidRPr="00975C02">
        <w:rPr>
          <w:sz w:val="20"/>
          <w:szCs w:val="20"/>
          <w:lang w:val="es-ES"/>
        </w:rPr>
        <w:t xml:space="preserve"> para garantizar los derechos convencionales</w:t>
      </w:r>
      <w:r w:rsidR="00FE4B48" w:rsidRPr="00975C02">
        <w:rPr>
          <w:sz w:val="20"/>
          <w:szCs w:val="20"/>
          <w:lang w:val="es-ES"/>
        </w:rPr>
        <w:t xml:space="preserve"> </w:t>
      </w:r>
      <w:r w:rsidR="00FE4B48" w:rsidRPr="00975C02">
        <w:rPr>
          <w:sz w:val="20"/>
          <w:szCs w:val="20"/>
          <w:lang w:val="es-ES"/>
        </w:rPr>
        <w:lastRenderedPageBreak/>
        <w:t>por</w:t>
      </w:r>
      <w:r w:rsidR="00117BEC" w:rsidRPr="00975C02">
        <w:rPr>
          <w:sz w:val="20"/>
          <w:szCs w:val="20"/>
          <w:lang w:val="es-ES"/>
        </w:rPr>
        <w:t xml:space="preserve"> </w:t>
      </w:r>
      <w:r w:rsidR="00FE4B48" w:rsidRPr="00975C02">
        <w:rPr>
          <w:rFonts w:eastAsiaTheme="minorHAnsi" w:cs="Arial"/>
          <w:sz w:val="20"/>
          <w:szCs w:val="20"/>
          <w:lang w:val="es-ES" w:eastAsia="en-US"/>
        </w:rPr>
        <w:t>motivos de sexo y género,</w:t>
      </w:r>
      <w:r w:rsidR="00117BEC" w:rsidRPr="00975C02">
        <w:rPr>
          <w:sz w:val="20"/>
          <w:szCs w:val="20"/>
          <w:lang w:val="es-ES"/>
        </w:rPr>
        <w:t xml:space="preserve"> </w:t>
      </w:r>
      <w:r w:rsidR="00FE4B48" w:rsidRPr="00975C02">
        <w:rPr>
          <w:sz w:val="20"/>
          <w:szCs w:val="20"/>
          <w:lang w:val="es-ES"/>
        </w:rPr>
        <w:t>así como por</w:t>
      </w:r>
      <w:r w:rsidR="00117BEC" w:rsidRPr="00975C02">
        <w:rPr>
          <w:sz w:val="20"/>
          <w:szCs w:val="20"/>
          <w:lang w:val="es-ES"/>
        </w:rPr>
        <w:t xml:space="preserve"> la </w:t>
      </w:r>
      <w:r w:rsidR="009C2AF2" w:rsidRPr="00975C02">
        <w:rPr>
          <w:sz w:val="20"/>
          <w:szCs w:val="20"/>
          <w:lang w:val="es-ES"/>
        </w:rPr>
        <w:t>condición de persona en desarrollo</w:t>
      </w:r>
      <w:r w:rsidR="00117BEC" w:rsidRPr="00975C02">
        <w:rPr>
          <w:sz w:val="20"/>
          <w:szCs w:val="20"/>
          <w:lang w:val="es-ES"/>
        </w:rPr>
        <w:t xml:space="preserve"> de la víctima</w:t>
      </w:r>
      <w:r w:rsidR="00FE4B48" w:rsidRPr="00975C02">
        <w:rPr>
          <w:sz w:val="20"/>
          <w:szCs w:val="20"/>
          <w:lang w:val="es-ES"/>
        </w:rPr>
        <w:t xml:space="preserve">, categorías protegidas </w:t>
      </w:r>
      <w:r w:rsidR="007E171B" w:rsidRPr="00975C02">
        <w:rPr>
          <w:sz w:val="20"/>
          <w:szCs w:val="20"/>
          <w:lang w:val="es-ES"/>
        </w:rPr>
        <w:t>convencionalmente</w:t>
      </w:r>
      <w:r w:rsidRPr="00975C02">
        <w:rPr>
          <w:sz w:val="20"/>
          <w:szCs w:val="20"/>
          <w:lang w:val="es-ES"/>
        </w:rPr>
        <w:t>.</w:t>
      </w:r>
    </w:p>
    <w:p w14:paraId="07771A72" w14:textId="77777777" w:rsidR="00A51640" w:rsidRPr="00975C02" w:rsidRDefault="00A51640" w:rsidP="00A51640">
      <w:pPr>
        <w:widowControl/>
        <w:tabs>
          <w:tab w:val="left" w:pos="567"/>
        </w:tabs>
        <w:adjustRightInd/>
        <w:spacing w:line="240" w:lineRule="auto"/>
        <w:textAlignment w:val="auto"/>
        <w:rPr>
          <w:sz w:val="20"/>
          <w:szCs w:val="20"/>
          <w:lang w:val="es-ES"/>
        </w:rPr>
      </w:pPr>
    </w:p>
    <w:p w14:paraId="605E9718" w14:textId="551E0311" w:rsidR="00A51640" w:rsidRPr="00975C02" w:rsidRDefault="00A51640" w:rsidP="005000F0">
      <w:pPr>
        <w:widowControl/>
        <w:numPr>
          <w:ilvl w:val="0"/>
          <w:numId w:val="2"/>
        </w:numPr>
        <w:tabs>
          <w:tab w:val="left" w:pos="567"/>
          <w:tab w:val="num" w:pos="12305"/>
        </w:tabs>
        <w:adjustRightInd/>
        <w:spacing w:line="240" w:lineRule="auto"/>
        <w:ind w:left="0" w:firstLine="0"/>
        <w:textAlignment w:val="auto"/>
        <w:rPr>
          <w:sz w:val="20"/>
          <w:szCs w:val="20"/>
          <w:lang w:val="es-ES"/>
        </w:rPr>
      </w:pPr>
      <w:r w:rsidRPr="00975C02">
        <w:rPr>
          <w:sz w:val="20"/>
          <w:szCs w:val="20"/>
          <w:lang w:val="es-ES"/>
        </w:rPr>
        <w:t xml:space="preserve">La Corte ha considerado que la violación sexual es una forma de violencia </w:t>
      </w:r>
      <w:r w:rsidR="007A6789" w:rsidRPr="00975C02">
        <w:rPr>
          <w:sz w:val="20"/>
          <w:szCs w:val="20"/>
          <w:lang w:val="es-ES"/>
        </w:rPr>
        <w:t>sexual</w:t>
      </w:r>
      <w:r w:rsidR="007A6789" w:rsidRPr="00975C02">
        <w:rPr>
          <w:sz w:val="20"/>
          <w:szCs w:val="20"/>
          <w:vertAlign w:val="superscript"/>
          <w:lang w:val="es-ES"/>
        </w:rPr>
        <w:footnoteReference w:id="379"/>
      </w:r>
      <w:r w:rsidRPr="00975C02">
        <w:rPr>
          <w:sz w:val="20"/>
          <w:szCs w:val="20"/>
          <w:lang w:val="es-ES"/>
        </w:rPr>
        <w:t>. Tanto la Convención de Belém do Pará</w:t>
      </w:r>
      <w:r w:rsidR="004A18D1" w:rsidRPr="00975C02">
        <w:rPr>
          <w:sz w:val="20"/>
          <w:szCs w:val="20"/>
          <w:lang w:val="es-ES"/>
        </w:rPr>
        <w:t>,</w:t>
      </w:r>
      <w:r w:rsidRPr="00975C02">
        <w:rPr>
          <w:sz w:val="20"/>
          <w:szCs w:val="20"/>
          <w:lang w:val="es-ES"/>
        </w:rPr>
        <w:t xml:space="preserve"> como </w:t>
      </w:r>
      <w:r w:rsidR="004A18D1" w:rsidRPr="00975C02">
        <w:rPr>
          <w:sz w:val="20"/>
          <w:szCs w:val="20"/>
          <w:lang w:val="es-ES"/>
        </w:rPr>
        <w:t xml:space="preserve">la </w:t>
      </w:r>
      <w:r w:rsidR="004A18D1" w:rsidRPr="00975C02">
        <w:rPr>
          <w:bCs/>
          <w:sz w:val="20"/>
          <w:szCs w:val="20"/>
          <w:lang w:val="es-ES"/>
        </w:rPr>
        <w:t xml:space="preserve">Convención </w:t>
      </w:r>
      <w:r w:rsidR="004A18D1" w:rsidRPr="00975C02">
        <w:rPr>
          <w:sz w:val="20"/>
          <w:szCs w:val="20"/>
          <w:lang w:val="es-ES"/>
        </w:rPr>
        <w:t xml:space="preserve">sobre la </w:t>
      </w:r>
      <w:r w:rsidR="004A18D1" w:rsidRPr="00975C02">
        <w:rPr>
          <w:bCs/>
          <w:sz w:val="20"/>
          <w:szCs w:val="20"/>
          <w:lang w:val="es-ES"/>
        </w:rPr>
        <w:t>Eliminación de Todas las Formas de Discriminación contra la Mujer</w:t>
      </w:r>
      <w:r w:rsidR="004A18D1" w:rsidRPr="00975C02">
        <w:rPr>
          <w:sz w:val="20"/>
          <w:szCs w:val="20"/>
          <w:lang w:val="es-ES"/>
        </w:rPr>
        <w:t xml:space="preserve"> y su órgano de supervisión,</w:t>
      </w:r>
      <w:r w:rsidRPr="00975C02">
        <w:rPr>
          <w:sz w:val="20"/>
          <w:szCs w:val="20"/>
          <w:lang w:val="es-ES"/>
        </w:rPr>
        <w:t xml:space="preserve"> han reconocido el vínculo existente entre la violencia contra las mujeres y la discriminación</w:t>
      </w:r>
      <w:r w:rsidR="007332D9" w:rsidRPr="00975C02">
        <w:rPr>
          <w:rStyle w:val="FootnoteReference"/>
          <w:sz w:val="20"/>
          <w:szCs w:val="20"/>
          <w:lang w:val="es-ES"/>
        </w:rPr>
        <w:footnoteReference w:id="380"/>
      </w:r>
      <w:r w:rsidRPr="00975C02">
        <w:rPr>
          <w:sz w:val="20"/>
          <w:szCs w:val="20"/>
          <w:lang w:val="es-ES"/>
        </w:rPr>
        <w:t>.</w:t>
      </w:r>
      <w:r w:rsidR="009445BC" w:rsidRPr="00975C02">
        <w:rPr>
          <w:sz w:val="20"/>
          <w:szCs w:val="20"/>
          <w:lang w:val="es-ES"/>
        </w:rPr>
        <w:t xml:space="preserve"> </w:t>
      </w:r>
      <w:r w:rsidR="00C936AE" w:rsidRPr="00975C02">
        <w:rPr>
          <w:kern w:val="2"/>
          <w:sz w:val="20"/>
          <w:szCs w:val="20"/>
          <w:lang w:val="es-ES"/>
        </w:rPr>
        <w:t>La C</w:t>
      </w:r>
      <w:r w:rsidR="00FF3EC1" w:rsidRPr="00975C02">
        <w:rPr>
          <w:kern w:val="2"/>
          <w:sz w:val="20"/>
          <w:szCs w:val="20"/>
          <w:lang w:val="es-ES"/>
        </w:rPr>
        <w:t>orte ya resaltó la especial vulnerabilidad de las niñas a la violencia sexual, especialme</w:t>
      </w:r>
      <w:r w:rsidR="006E5BF7" w:rsidRPr="00975C02">
        <w:rPr>
          <w:kern w:val="2"/>
          <w:sz w:val="20"/>
          <w:szCs w:val="20"/>
          <w:lang w:val="es-ES"/>
        </w:rPr>
        <w:t>nte en la esfera familiar</w:t>
      </w:r>
      <w:r w:rsidR="00FF3EC1" w:rsidRPr="00975C02">
        <w:rPr>
          <w:kern w:val="2"/>
          <w:sz w:val="20"/>
          <w:szCs w:val="20"/>
          <w:lang w:val="es-ES"/>
        </w:rPr>
        <w:t xml:space="preserve">, así como los obstáculos y factores que pueden </w:t>
      </w:r>
      <w:r w:rsidR="007E1729" w:rsidRPr="00975C02">
        <w:rPr>
          <w:kern w:val="2"/>
          <w:sz w:val="20"/>
          <w:szCs w:val="20"/>
          <w:lang w:val="es-ES"/>
        </w:rPr>
        <w:t>afrontar</w:t>
      </w:r>
      <w:r w:rsidR="00FF3EC1" w:rsidRPr="00975C02">
        <w:rPr>
          <w:kern w:val="2"/>
          <w:sz w:val="20"/>
          <w:szCs w:val="20"/>
          <w:lang w:val="es-ES"/>
        </w:rPr>
        <w:t xml:space="preserve"> en su búsqueda de justicia (</w:t>
      </w:r>
      <w:r w:rsidR="00FF3EC1" w:rsidRPr="00975C02">
        <w:rPr>
          <w:i/>
          <w:kern w:val="2"/>
          <w:sz w:val="20"/>
          <w:szCs w:val="20"/>
          <w:lang w:val="es-ES"/>
        </w:rPr>
        <w:t xml:space="preserve">supra </w:t>
      </w:r>
      <w:r w:rsidR="00B31B77" w:rsidRPr="00975C02">
        <w:rPr>
          <w:kern w:val="2"/>
          <w:sz w:val="20"/>
          <w:szCs w:val="20"/>
          <w:lang w:val="es-ES"/>
        </w:rPr>
        <w:t>párr. 156</w:t>
      </w:r>
      <w:r w:rsidR="00FF3EC1" w:rsidRPr="00975C02">
        <w:rPr>
          <w:kern w:val="2"/>
          <w:sz w:val="20"/>
          <w:szCs w:val="20"/>
          <w:lang w:val="es-ES"/>
        </w:rPr>
        <w:t>).</w:t>
      </w:r>
      <w:r w:rsidR="00C936AE" w:rsidRPr="00975C02">
        <w:rPr>
          <w:kern w:val="2"/>
          <w:sz w:val="20"/>
          <w:szCs w:val="20"/>
          <w:lang w:val="es-ES"/>
        </w:rPr>
        <w:t xml:space="preserve"> </w:t>
      </w:r>
      <w:r w:rsidR="009445BC" w:rsidRPr="00975C02">
        <w:rPr>
          <w:sz w:val="20"/>
          <w:szCs w:val="20"/>
          <w:lang w:val="es-ES"/>
        </w:rPr>
        <w:t>En este caso, dicha violencia fue ejercida por un particular. No obstante, ello no exime al Estado de responsabilidad</w:t>
      </w:r>
      <w:r w:rsidR="00C936AE" w:rsidRPr="00975C02">
        <w:rPr>
          <w:sz w:val="20"/>
          <w:szCs w:val="20"/>
          <w:lang w:val="es-ES"/>
        </w:rPr>
        <w:t xml:space="preserve"> ya que se encontraba llamado a adoptar políticas integrales para prevenir, sancionar y erradicar la violencia contra la mujer, tomando particularmente en cuenta los casos en que la mujer sea menor de 18 años de edad.</w:t>
      </w:r>
    </w:p>
    <w:p w14:paraId="27D7622A" w14:textId="77777777" w:rsidR="00A51640" w:rsidRPr="00975C02" w:rsidRDefault="00A51640" w:rsidP="00A51640">
      <w:pPr>
        <w:widowControl/>
        <w:tabs>
          <w:tab w:val="left" w:pos="567"/>
        </w:tabs>
        <w:adjustRightInd/>
        <w:spacing w:line="240" w:lineRule="auto"/>
        <w:textAlignment w:val="auto"/>
        <w:rPr>
          <w:sz w:val="20"/>
          <w:szCs w:val="20"/>
          <w:lang w:val="es-ES"/>
        </w:rPr>
      </w:pPr>
    </w:p>
    <w:p w14:paraId="0CDDB50F" w14:textId="77777777" w:rsidR="006F71B8" w:rsidRPr="00975C02" w:rsidRDefault="00B415F3" w:rsidP="006F71B8">
      <w:pPr>
        <w:widowControl/>
        <w:numPr>
          <w:ilvl w:val="0"/>
          <w:numId w:val="2"/>
        </w:numPr>
        <w:tabs>
          <w:tab w:val="left" w:pos="567"/>
          <w:tab w:val="num" w:pos="12305"/>
        </w:tabs>
        <w:adjustRightInd/>
        <w:spacing w:line="240" w:lineRule="auto"/>
        <w:ind w:left="0" w:firstLine="0"/>
        <w:textAlignment w:val="auto"/>
        <w:rPr>
          <w:sz w:val="20"/>
          <w:szCs w:val="20"/>
          <w:lang w:val="es-ES"/>
        </w:rPr>
      </w:pPr>
      <w:r w:rsidRPr="00975C02">
        <w:rPr>
          <w:rFonts w:eastAsia="Batang"/>
          <w:sz w:val="20"/>
          <w:szCs w:val="20"/>
          <w:lang w:val="es-ES" w:eastAsia="es-MX"/>
        </w:rPr>
        <w:t xml:space="preserve">La Corte </w:t>
      </w:r>
      <w:r w:rsidRPr="00975C02">
        <w:rPr>
          <w:rFonts w:eastAsia="MS Mincho"/>
          <w:sz w:val="20"/>
          <w:szCs w:val="20"/>
          <w:lang w:val="es-ES"/>
        </w:rPr>
        <w:t>reitera</w:t>
      </w:r>
      <w:r w:rsidRPr="00975C02">
        <w:rPr>
          <w:rFonts w:eastAsia="Batang"/>
          <w:sz w:val="20"/>
          <w:szCs w:val="20"/>
          <w:lang w:val="es-ES" w:eastAsia="es-MX"/>
        </w:rPr>
        <w:t xml:space="preserve"> que la ineficacia judicial frente a casos individuales de violencia contra la mujer </w:t>
      </w:r>
      <w:r w:rsidRPr="00975C02">
        <w:rPr>
          <w:rFonts w:eastAsia="Calibri"/>
          <w:sz w:val="20"/>
          <w:szCs w:val="20"/>
          <w:lang w:val="es-ES" w:eastAsia="es-MX"/>
        </w:rPr>
        <w:t>propicia</w:t>
      </w:r>
      <w:r w:rsidRPr="00975C02">
        <w:rPr>
          <w:rFonts w:eastAsia="Batang"/>
          <w:sz w:val="20"/>
          <w:szCs w:val="20"/>
          <w:lang w:val="es-ES" w:eastAsia="es-MX"/>
        </w:rPr>
        <w:t xml:space="preserve"> un ambiente de impunidad que facilita y promueve la repetición de los hechos de violencia en general y envía un mensaje según el cual la violencia contra la mujer puede ser tolerada y aceptada, lo que favorece su perpetuación y la aceptación social del fenómeno, el sentimiento y la sensación de inseguridad de las mujeres, así como una persistente desconfianza de estas en el sistema de administración de justicia</w:t>
      </w:r>
      <w:r w:rsidRPr="00975C02">
        <w:rPr>
          <w:rFonts w:eastAsia="Batang"/>
          <w:sz w:val="20"/>
          <w:szCs w:val="20"/>
          <w:vertAlign w:val="superscript"/>
          <w:lang w:val="es-ES" w:eastAsia="es-MX"/>
        </w:rPr>
        <w:footnoteReference w:id="381"/>
      </w:r>
      <w:r w:rsidRPr="00975C02">
        <w:rPr>
          <w:rFonts w:eastAsia="Batang"/>
          <w:sz w:val="20"/>
          <w:szCs w:val="20"/>
          <w:lang w:val="es-ES" w:eastAsia="es-MX"/>
        </w:rPr>
        <w:t>. Dicha ineficacia o indiferencia constituye en sí misma una discriminación de la mujer en el acceso a la justicia.</w:t>
      </w:r>
    </w:p>
    <w:p w14:paraId="3077C516" w14:textId="77777777" w:rsidR="006F71B8" w:rsidRPr="00975C02" w:rsidRDefault="006F71B8" w:rsidP="006F71B8">
      <w:pPr>
        <w:autoSpaceDE w:val="0"/>
        <w:autoSpaceDN w:val="0"/>
        <w:spacing w:line="240" w:lineRule="auto"/>
        <w:ind w:right="-174"/>
        <w:textAlignment w:val="auto"/>
        <w:rPr>
          <w:sz w:val="20"/>
          <w:szCs w:val="20"/>
          <w:lang w:val="es-ES"/>
        </w:rPr>
      </w:pPr>
    </w:p>
    <w:p w14:paraId="7DD09F27" w14:textId="769381AA" w:rsidR="006F71B8" w:rsidRPr="00975C02" w:rsidRDefault="006F71B8" w:rsidP="006F71B8">
      <w:pPr>
        <w:widowControl/>
        <w:numPr>
          <w:ilvl w:val="0"/>
          <w:numId w:val="2"/>
        </w:numPr>
        <w:tabs>
          <w:tab w:val="left" w:pos="567"/>
          <w:tab w:val="num" w:pos="12305"/>
        </w:tabs>
        <w:adjustRightInd/>
        <w:spacing w:line="240" w:lineRule="auto"/>
        <w:ind w:left="0" w:firstLine="0"/>
        <w:textAlignment w:val="auto"/>
        <w:rPr>
          <w:sz w:val="20"/>
          <w:szCs w:val="20"/>
          <w:lang w:val="es-ES"/>
        </w:rPr>
      </w:pPr>
      <w:r w:rsidRPr="00975C02">
        <w:rPr>
          <w:sz w:val="20"/>
          <w:szCs w:val="20"/>
          <w:lang w:val="es-ES"/>
        </w:rPr>
        <w:t xml:space="preserve">En este sentido, como se mencionó anteriormente, el Estado debe reforzar las garantías de protección durante la investigación y proceso penal, cuando el caso se refiere a la violación sexual de una </w:t>
      </w:r>
      <w:r w:rsidR="0016216D" w:rsidRPr="00975C02">
        <w:rPr>
          <w:sz w:val="20"/>
          <w:szCs w:val="20"/>
          <w:lang w:val="es-ES"/>
        </w:rPr>
        <w:t>niña</w:t>
      </w:r>
      <w:r w:rsidRPr="00975C02">
        <w:rPr>
          <w:sz w:val="20"/>
          <w:szCs w:val="20"/>
          <w:lang w:val="es-ES"/>
        </w:rPr>
        <w:t xml:space="preserve">, máxime si esta </w:t>
      </w:r>
      <w:r w:rsidR="00957A51" w:rsidRPr="00975C02">
        <w:rPr>
          <w:sz w:val="20"/>
          <w:szCs w:val="20"/>
          <w:lang w:val="es-ES"/>
        </w:rPr>
        <w:t xml:space="preserve">violencia </w:t>
      </w:r>
      <w:r w:rsidRPr="00975C02">
        <w:rPr>
          <w:sz w:val="20"/>
          <w:szCs w:val="20"/>
          <w:lang w:val="es-ES"/>
        </w:rPr>
        <w:t>sexual</w:t>
      </w:r>
      <w:r w:rsidR="00957A51" w:rsidRPr="00975C02">
        <w:rPr>
          <w:sz w:val="20"/>
          <w:szCs w:val="20"/>
          <w:lang w:val="es-ES"/>
        </w:rPr>
        <w:t xml:space="preserve"> fue ejercida</w:t>
      </w:r>
      <w:r w:rsidRPr="00975C02">
        <w:rPr>
          <w:sz w:val="20"/>
          <w:szCs w:val="20"/>
          <w:lang w:val="es-ES"/>
        </w:rPr>
        <w:t xml:space="preserve"> en la esfera familiar, es decir en el ambiente en el cual debió haberla protegido. En estos supuestos, las obligaciones de debida diligencia y de adopción de medidas de protección deben extremarse. Además, las investigaciones y proceso penal deben ser dirigidos por el Estado con una perspectiva de género</w:t>
      </w:r>
      <w:r w:rsidR="00957A51" w:rsidRPr="00975C02">
        <w:rPr>
          <w:sz w:val="20"/>
          <w:szCs w:val="20"/>
          <w:lang w:val="es-ES"/>
        </w:rPr>
        <w:t xml:space="preserve"> </w:t>
      </w:r>
      <w:r w:rsidR="00C35CE3">
        <w:rPr>
          <w:sz w:val="20"/>
          <w:szCs w:val="20"/>
          <w:lang w:val="es-ES"/>
        </w:rPr>
        <w:t>y niñez</w:t>
      </w:r>
      <w:r w:rsidRPr="00975C02">
        <w:rPr>
          <w:sz w:val="20"/>
          <w:szCs w:val="20"/>
          <w:lang w:val="es-ES"/>
        </w:rPr>
        <w:t>, con base en la condición de niña de la víctima y tomando en cuenta la naturaleza agravada de la violación sexual, así como los efectos que podrían causar en la niña</w:t>
      </w:r>
      <w:r w:rsidR="00EE672A" w:rsidRPr="00975C02">
        <w:rPr>
          <w:sz w:val="20"/>
          <w:szCs w:val="20"/>
          <w:lang w:val="es-ES"/>
        </w:rPr>
        <w:t>.</w:t>
      </w:r>
    </w:p>
    <w:p w14:paraId="477683EB" w14:textId="77777777" w:rsidR="006F71B8" w:rsidRPr="00975C02" w:rsidRDefault="006F71B8" w:rsidP="006F71B8">
      <w:pPr>
        <w:autoSpaceDE w:val="0"/>
        <w:autoSpaceDN w:val="0"/>
        <w:spacing w:line="240" w:lineRule="auto"/>
        <w:ind w:right="-174"/>
        <w:textAlignment w:val="auto"/>
        <w:rPr>
          <w:sz w:val="20"/>
          <w:szCs w:val="20"/>
          <w:lang w:val="es-ES"/>
        </w:rPr>
      </w:pPr>
    </w:p>
    <w:p w14:paraId="28AFA5D0" w14:textId="7DC34F77" w:rsidR="004C2F3B" w:rsidRPr="00975C02" w:rsidRDefault="006F71B8" w:rsidP="004C2F3B">
      <w:pPr>
        <w:widowControl/>
        <w:numPr>
          <w:ilvl w:val="0"/>
          <w:numId w:val="2"/>
        </w:numPr>
        <w:tabs>
          <w:tab w:val="left" w:pos="567"/>
          <w:tab w:val="num" w:pos="12305"/>
        </w:tabs>
        <w:adjustRightInd/>
        <w:spacing w:line="240" w:lineRule="auto"/>
        <w:ind w:left="0" w:firstLine="0"/>
        <w:textAlignment w:val="auto"/>
        <w:rPr>
          <w:sz w:val="20"/>
          <w:szCs w:val="20"/>
          <w:lang w:val="es-ES"/>
        </w:rPr>
      </w:pPr>
      <w:r w:rsidRPr="00975C02">
        <w:rPr>
          <w:sz w:val="20"/>
          <w:szCs w:val="20"/>
          <w:lang w:val="es-ES"/>
        </w:rPr>
        <w:t>La Corte nota que el Estado se encontraba ante un hecho de violación sexual, el cual es una manifestación de la discriminación contra la mujer</w:t>
      </w:r>
      <w:r w:rsidR="001E2126" w:rsidRPr="00975C02">
        <w:rPr>
          <w:sz w:val="20"/>
          <w:szCs w:val="20"/>
          <w:lang w:val="es-ES"/>
        </w:rPr>
        <w:t>, por lo que debía</w:t>
      </w:r>
      <w:r w:rsidRPr="00975C02">
        <w:rPr>
          <w:sz w:val="20"/>
          <w:szCs w:val="20"/>
          <w:lang w:val="es-ES"/>
        </w:rPr>
        <w:t xml:space="preserve"> </w:t>
      </w:r>
      <w:r w:rsidR="007331CA" w:rsidRPr="00975C02">
        <w:rPr>
          <w:sz w:val="20"/>
          <w:szCs w:val="20"/>
          <w:lang w:val="es-ES"/>
        </w:rPr>
        <w:t xml:space="preserve">adoptar medidas positivas para garantizar un efectivo </w:t>
      </w:r>
      <w:r w:rsidR="000F7FC9" w:rsidRPr="00975C02">
        <w:rPr>
          <w:sz w:val="20"/>
          <w:szCs w:val="20"/>
          <w:lang w:val="es-ES"/>
        </w:rPr>
        <w:t xml:space="preserve">e igualitario </w:t>
      </w:r>
      <w:r w:rsidR="007331CA" w:rsidRPr="00975C02">
        <w:rPr>
          <w:sz w:val="20"/>
          <w:szCs w:val="20"/>
          <w:lang w:val="es-ES"/>
        </w:rPr>
        <w:t>acceso a la justicia</w:t>
      </w:r>
      <w:r w:rsidR="007D09F2" w:rsidRPr="00975C02">
        <w:rPr>
          <w:sz w:val="20"/>
          <w:szCs w:val="20"/>
          <w:lang w:val="es-ES"/>
        </w:rPr>
        <w:t>, en los términos de lo establecido por esta Corte en el capítulo sobre los componentes esenciales del deber de debida diligencia</w:t>
      </w:r>
      <w:r w:rsidR="00963AF3" w:rsidRPr="00975C02">
        <w:rPr>
          <w:sz w:val="20"/>
          <w:szCs w:val="20"/>
          <w:lang w:val="es-ES"/>
        </w:rPr>
        <w:t xml:space="preserve"> y protección</w:t>
      </w:r>
      <w:r w:rsidR="007D09F2" w:rsidRPr="00975C02">
        <w:rPr>
          <w:sz w:val="20"/>
          <w:szCs w:val="20"/>
          <w:lang w:val="es-ES"/>
        </w:rPr>
        <w:t xml:space="preserve"> reforzad</w:t>
      </w:r>
      <w:r w:rsidR="00963AF3" w:rsidRPr="00975C02">
        <w:rPr>
          <w:sz w:val="20"/>
          <w:szCs w:val="20"/>
          <w:lang w:val="es-ES"/>
        </w:rPr>
        <w:t>a</w:t>
      </w:r>
      <w:r w:rsidR="001E21D4">
        <w:rPr>
          <w:sz w:val="20"/>
          <w:szCs w:val="20"/>
          <w:lang w:val="es-ES"/>
        </w:rPr>
        <w:t xml:space="preserve"> (</w:t>
      </w:r>
      <w:r w:rsidR="001E21D4">
        <w:rPr>
          <w:i/>
          <w:sz w:val="20"/>
          <w:szCs w:val="20"/>
          <w:lang w:val="es-ES"/>
        </w:rPr>
        <w:t>supra</w:t>
      </w:r>
      <w:r w:rsidR="001E21D4">
        <w:rPr>
          <w:sz w:val="20"/>
          <w:szCs w:val="20"/>
          <w:lang w:val="es-ES"/>
        </w:rPr>
        <w:t xml:space="preserve"> párrs. 158 a 170)</w:t>
      </w:r>
      <w:r w:rsidR="007331CA" w:rsidRPr="00975C02">
        <w:rPr>
          <w:sz w:val="20"/>
          <w:szCs w:val="20"/>
          <w:lang w:val="es-ES"/>
        </w:rPr>
        <w:t>.</w:t>
      </w:r>
      <w:r w:rsidR="000F7FC9" w:rsidRPr="00975C02">
        <w:rPr>
          <w:sz w:val="20"/>
          <w:szCs w:val="20"/>
          <w:lang w:val="es-ES"/>
        </w:rPr>
        <w:t xml:space="preserve"> Así, la Corte se refirió a la información sobre el proceso y los servicios de atención integral disponibles; el derecho a la participación y que las opiniones sean tenidas en cuenta; el derecho a la asistencia jurídica gratuita;</w:t>
      </w:r>
      <w:r w:rsidR="00C03417" w:rsidRPr="00975C02">
        <w:rPr>
          <w:sz w:val="20"/>
          <w:szCs w:val="20"/>
          <w:lang w:val="es-ES"/>
        </w:rPr>
        <w:t xml:space="preserve"> la especialización de todos los funcionarios intervinientes;</w:t>
      </w:r>
      <w:r w:rsidR="000F7FC9" w:rsidRPr="00975C02">
        <w:rPr>
          <w:sz w:val="20"/>
          <w:szCs w:val="20"/>
          <w:lang w:val="es-ES"/>
        </w:rPr>
        <w:t xml:space="preserve"> </w:t>
      </w:r>
      <w:r w:rsidR="004C2F3B" w:rsidRPr="00975C02">
        <w:rPr>
          <w:sz w:val="20"/>
          <w:szCs w:val="20"/>
          <w:lang w:val="es-ES"/>
        </w:rPr>
        <w:t xml:space="preserve">y </w:t>
      </w:r>
      <w:r w:rsidR="000F7FC9" w:rsidRPr="00975C02">
        <w:rPr>
          <w:sz w:val="20"/>
          <w:szCs w:val="20"/>
          <w:lang w:val="es-ES"/>
        </w:rPr>
        <w:t xml:space="preserve">el derecho a contar con servicios de asistencia médica, psicológica y psiquiátrica que permitan su </w:t>
      </w:r>
      <w:r w:rsidR="000F7FC9" w:rsidRPr="00975C02">
        <w:rPr>
          <w:kern w:val="2"/>
          <w:sz w:val="20"/>
          <w:szCs w:val="20"/>
          <w:lang w:val="es-ES" w:eastAsia="en-US"/>
        </w:rPr>
        <w:t>recuperación, rehabilitación y reintegración</w:t>
      </w:r>
      <w:r w:rsidR="00C03417" w:rsidRPr="00975C02">
        <w:rPr>
          <w:kern w:val="2"/>
          <w:sz w:val="20"/>
          <w:szCs w:val="20"/>
          <w:lang w:val="es-ES" w:eastAsia="en-US"/>
        </w:rPr>
        <w:t>.</w:t>
      </w:r>
      <w:r w:rsidR="004C2F3B" w:rsidRPr="00975C02">
        <w:rPr>
          <w:kern w:val="2"/>
          <w:sz w:val="20"/>
          <w:szCs w:val="20"/>
          <w:lang w:val="es-ES" w:eastAsia="en-US"/>
        </w:rPr>
        <w:t xml:space="preserve"> </w:t>
      </w:r>
      <w:r w:rsidR="004C2F3B" w:rsidRPr="00975C02">
        <w:rPr>
          <w:sz w:val="20"/>
          <w:szCs w:val="20"/>
          <w:lang w:val="es-ES"/>
        </w:rPr>
        <w:t xml:space="preserve">En el presente caso, </w:t>
      </w:r>
      <w:r w:rsidR="009C62D0">
        <w:rPr>
          <w:sz w:val="20"/>
          <w:szCs w:val="20"/>
          <w:lang w:val="es-ES"/>
        </w:rPr>
        <w:t>quedó</w:t>
      </w:r>
      <w:r w:rsidR="00576E82" w:rsidRPr="00975C02">
        <w:rPr>
          <w:sz w:val="20"/>
          <w:szCs w:val="20"/>
          <w:lang w:val="es-ES"/>
        </w:rPr>
        <w:t xml:space="preserve"> demostrado</w:t>
      </w:r>
      <w:r w:rsidR="004C2F3B" w:rsidRPr="00975C02">
        <w:rPr>
          <w:sz w:val="20"/>
          <w:szCs w:val="20"/>
          <w:lang w:val="es-ES"/>
        </w:rPr>
        <w:t xml:space="preserve"> que dichas medidas no fueron adoptadas</w:t>
      </w:r>
      <w:r w:rsidR="00D9021C" w:rsidRPr="00975C02">
        <w:rPr>
          <w:sz w:val="20"/>
          <w:szCs w:val="20"/>
          <w:lang w:val="es-ES"/>
        </w:rPr>
        <w:t xml:space="preserve">, por lo que existió una discriminación en el acceso a la justicia, </w:t>
      </w:r>
      <w:r w:rsidR="00F20A5E" w:rsidRPr="00975C02">
        <w:rPr>
          <w:sz w:val="20"/>
          <w:szCs w:val="20"/>
          <w:lang w:val="es-ES"/>
        </w:rPr>
        <w:t xml:space="preserve">por </w:t>
      </w:r>
      <w:r w:rsidR="00F20A5E" w:rsidRPr="00975C02">
        <w:rPr>
          <w:rFonts w:eastAsiaTheme="minorHAnsi" w:cs="Arial"/>
          <w:sz w:val="20"/>
          <w:szCs w:val="20"/>
          <w:lang w:val="es-ES" w:eastAsia="en-US"/>
        </w:rPr>
        <w:t>motivos de sexo y género,</w:t>
      </w:r>
      <w:r w:rsidR="00F20A5E" w:rsidRPr="00975C02">
        <w:rPr>
          <w:sz w:val="20"/>
          <w:szCs w:val="20"/>
          <w:lang w:val="es-ES"/>
        </w:rPr>
        <w:t xml:space="preserve"> así como por la condición de persona en desarrollo de la víctima</w:t>
      </w:r>
      <w:r w:rsidR="004C2F3B" w:rsidRPr="00975C02">
        <w:rPr>
          <w:sz w:val="20"/>
          <w:szCs w:val="20"/>
          <w:lang w:val="es-ES"/>
        </w:rPr>
        <w:t>.</w:t>
      </w:r>
    </w:p>
    <w:p w14:paraId="7578F56D" w14:textId="77777777" w:rsidR="004C2F3B" w:rsidRPr="00975C02" w:rsidRDefault="004C2F3B" w:rsidP="004C2F3B">
      <w:pPr>
        <w:widowControl/>
        <w:tabs>
          <w:tab w:val="left" w:pos="567"/>
          <w:tab w:val="num" w:pos="12305"/>
        </w:tabs>
        <w:adjustRightInd/>
        <w:spacing w:line="240" w:lineRule="auto"/>
        <w:textAlignment w:val="auto"/>
        <w:rPr>
          <w:sz w:val="20"/>
          <w:szCs w:val="20"/>
          <w:lang w:val="es-ES"/>
        </w:rPr>
      </w:pPr>
    </w:p>
    <w:p w14:paraId="3C6C40C6" w14:textId="3BABD21E" w:rsidR="00A93E8D" w:rsidRPr="00975C02" w:rsidRDefault="007D09F2" w:rsidP="006F71B8">
      <w:pPr>
        <w:widowControl/>
        <w:numPr>
          <w:ilvl w:val="0"/>
          <w:numId w:val="2"/>
        </w:numPr>
        <w:tabs>
          <w:tab w:val="left" w:pos="567"/>
          <w:tab w:val="num" w:pos="12305"/>
        </w:tabs>
        <w:adjustRightInd/>
        <w:spacing w:line="240" w:lineRule="auto"/>
        <w:ind w:left="0" w:firstLine="0"/>
        <w:textAlignment w:val="auto"/>
        <w:rPr>
          <w:sz w:val="20"/>
          <w:szCs w:val="20"/>
          <w:lang w:val="es-ES"/>
        </w:rPr>
      </w:pPr>
      <w:r w:rsidRPr="00975C02">
        <w:rPr>
          <w:kern w:val="2"/>
          <w:sz w:val="20"/>
          <w:szCs w:val="20"/>
          <w:lang w:val="es-ES" w:eastAsia="en-US"/>
        </w:rPr>
        <w:lastRenderedPageBreak/>
        <w:t>Además, correspondía a Nicaragua extremar las medidas de protección a favor de V.R.P. para no perjudicarla causándole ulteriores daños con el proceso de investigación, entendiendo que todas las decisiones que se adopta</w:t>
      </w:r>
      <w:r w:rsidR="000F7FC9" w:rsidRPr="00975C02">
        <w:rPr>
          <w:kern w:val="2"/>
          <w:sz w:val="20"/>
          <w:szCs w:val="20"/>
          <w:lang w:val="es-ES" w:eastAsia="en-US"/>
        </w:rPr>
        <w:t>ra</w:t>
      </w:r>
      <w:r w:rsidRPr="00975C02">
        <w:rPr>
          <w:kern w:val="2"/>
          <w:sz w:val="20"/>
          <w:szCs w:val="20"/>
          <w:lang w:val="es-ES" w:eastAsia="en-US"/>
        </w:rPr>
        <w:t>n deb</w:t>
      </w:r>
      <w:r w:rsidR="000F7FC9" w:rsidRPr="00975C02">
        <w:rPr>
          <w:kern w:val="2"/>
          <w:sz w:val="20"/>
          <w:szCs w:val="20"/>
          <w:lang w:val="es-ES" w:eastAsia="en-US"/>
        </w:rPr>
        <w:t>ía</w:t>
      </w:r>
      <w:r w:rsidRPr="00975C02">
        <w:rPr>
          <w:kern w:val="2"/>
          <w:sz w:val="20"/>
          <w:szCs w:val="20"/>
          <w:lang w:val="es-ES" w:eastAsia="en-US"/>
        </w:rPr>
        <w:t>n obedecer a la finalidad principal de proteger los derechos de la niña en forma integral, salvaguardar su posterior desarrollo</w:t>
      </w:r>
      <w:r w:rsidR="00947985">
        <w:rPr>
          <w:kern w:val="2"/>
          <w:sz w:val="20"/>
          <w:szCs w:val="20"/>
          <w:lang w:val="es-ES" w:eastAsia="en-US"/>
        </w:rPr>
        <w:t>,</w:t>
      </w:r>
      <w:r w:rsidRPr="00975C02">
        <w:rPr>
          <w:kern w:val="2"/>
          <w:sz w:val="20"/>
          <w:szCs w:val="20"/>
          <w:lang w:val="es-ES" w:eastAsia="en-US"/>
        </w:rPr>
        <w:t xml:space="preserve"> velar por su interés superior</w:t>
      </w:r>
      <w:r w:rsidR="006723FB" w:rsidRPr="00975C02">
        <w:rPr>
          <w:kern w:val="2"/>
          <w:sz w:val="20"/>
          <w:szCs w:val="20"/>
          <w:lang w:val="es-ES" w:eastAsia="en-US"/>
        </w:rPr>
        <w:t>, y evitar su revictimización</w:t>
      </w:r>
      <w:r w:rsidRPr="00975C02">
        <w:rPr>
          <w:kern w:val="2"/>
          <w:sz w:val="20"/>
          <w:szCs w:val="20"/>
          <w:lang w:val="es-ES" w:eastAsia="en-US"/>
        </w:rPr>
        <w:t>.</w:t>
      </w:r>
    </w:p>
    <w:p w14:paraId="1FFDAE3E" w14:textId="77777777" w:rsidR="00A93E8D" w:rsidRPr="00975C02" w:rsidRDefault="00A93E8D" w:rsidP="00A93E8D">
      <w:pPr>
        <w:widowControl/>
        <w:tabs>
          <w:tab w:val="left" w:pos="567"/>
        </w:tabs>
        <w:adjustRightInd/>
        <w:spacing w:line="240" w:lineRule="auto"/>
        <w:textAlignment w:val="auto"/>
        <w:rPr>
          <w:sz w:val="20"/>
          <w:szCs w:val="20"/>
          <w:lang w:val="es-ES"/>
        </w:rPr>
      </w:pPr>
    </w:p>
    <w:p w14:paraId="621250D8" w14:textId="3FBE752A" w:rsidR="00A93E8D" w:rsidRPr="00975C02" w:rsidRDefault="00A93E8D" w:rsidP="00A93E8D">
      <w:pPr>
        <w:widowControl/>
        <w:numPr>
          <w:ilvl w:val="0"/>
          <w:numId w:val="2"/>
        </w:numPr>
        <w:tabs>
          <w:tab w:val="left" w:pos="567"/>
          <w:tab w:val="num" w:pos="12305"/>
        </w:tabs>
        <w:adjustRightInd/>
        <w:spacing w:line="240" w:lineRule="auto"/>
        <w:ind w:left="0" w:firstLine="0"/>
        <w:textAlignment w:val="auto"/>
        <w:rPr>
          <w:kern w:val="2"/>
          <w:sz w:val="20"/>
          <w:szCs w:val="20"/>
          <w:lang w:val="es-ES" w:eastAsia="en-US"/>
        </w:rPr>
      </w:pPr>
      <w:r w:rsidRPr="00975C02">
        <w:rPr>
          <w:kern w:val="2"/>
          <w:sz w:val="20"/>
          <w:szCs w:val="20"/>
          <w:lang w:val="es-ES" w:eastAsia="en-US"/>
        </w:rPr>
        <w:t xml:space="preserve">En este caso, el Estado requirió que la niña se sometiera a diversos exámenes médicos de manera innecesaria, fuera entrevistada para que contara lo sucedido en diversas ocasiones, participara en la reconstrucción de los hechos haciéndola revivir momentos sumamente traumatizantes, entre otros actos analizados anteriormente. </w:t>
      </w:r>
      <w:r w:rsidRPr="00975C02">
        <w:rPr>
          <w:sz w:val="20"/>
          <w:szCs w:val="20"/>
          <w:lang w:val="es-ES"/>
        </w:rPr>
        <w:t xml:space="preserve">Además, el actuar del médico forense fue discriminatorio, al no considerar el derecho de V.R.P. a ser oída y a brindar su consentimiento, cuando se negó a someterse al primer examen médico. El médico culpabilizó a la niña ante su negativa de someterse al examen. </w:t>
      </w:r>
      <w:r w:rsidRPr="00975C02">
        <w:rPr>
          <w:kern w:val="2"/>
          <w:sz w:val="20"/>
          <w:szCs w:val="20"/>
          <w:lang w:val="es-ES" w:eastAsia="en-US"/>
        </w:rPr>
        <w:t>Todo ello, sumado a la falta de atención integral a la víctima, aumentó el trauma sufrido, mantuvo presente el estrés post-traumático e impidió la recuperación y rehabilitación de la niña, cuyo impacto perdura en su integridad personal hasta la actualidad.</w:t>
      </w:r>
      <w:r w:rsidR="00480EC1" w:rsidRPr="00975C02">
        <w:rPr>
          <w:kern w:val="2"/>
          <w:sz w:val="20"/>
          <w:szCs w:val="20"/>
          <w:lang w:val="es-ES" w:eastAsia="en-US"/>
        </w:rPr>
        <w:t xml:space="preserve"> </w:t>
      </w:r>
      <w:r w:rsidR="00480EC1" w:rsidRPr="00975C02">
        <w:rPr>
          <w:bCs/>
          <w:sz w:val="20"/>
          <w:szCs w:val="20"/>
          <w:lang w:val="es-ES"/>
        </w:rPr>
        <w:t xml:space="preserve">En consecuencia, la Corte estima que la forma en la que fue conducida la </w:t>
      </w:r>
      <w:r w:rsidR="00480EC1" w:rsidRPr="00975C02">
        <w:rPr>
          <w:kern w:val="2"/>
          <w:sz w:val="20"/>
          <w:szCs w:val="20"/>
          <w:lang w:val="es-ES" w:eastAsia="en-US"/>
        </w:rPr>
        <w:t>investigación</w:t>
      </w:r>
      <w:r w:rsidR="00480EC1" w:rsidRPr="00975C02">
        <w:rPr>
          <w:bCs/>
          <w:sz w:val="20"/>
          <w:szCs w:val="20"/>
          <w:lang w:val="es-ES"/>
        </w:rPr>
        <w:t xml:space="preserve"> por la violación sexual de V.R.P. fue discriminatoria y no fue llevada a cabo con una perspectiva de género y de protección reforzada de los derechos de las niñas, de acuerdo con las obligaciones especiales impuestas por </w:t>
      </w:r>
      <w:r w:rsidR="00C35CE3">
        <w:rPr>
          <w:bCs/>
          <w:sz w:val="20"/>
          <w:szCs w:val="20"/>
          <w:lang w:val="es-ES"/>
        </w:rPr>
        <w:t xml:space="preserve">el artículo 19 de la Convención Americana y </w:t>
      </w:r>
      <w:r w:rsidR="00480EC1" w:rsidRPr="00975C02">
        <w:rPr>
          <w:bCs/>
          <w:sz w:val="20"/>
          <w:szCs w:val="20"/>
          <w:lang w:val="es-ES"/>
        </w:rPr>
        <w:t>l</w:t>
      </w:r>
      <w:r w:rsidR="00C35CE3">
        <w:rPr>
          <w:bCs/>
          <w:sz w:val="20"/>
          <w:szCs w:val="20"/>
          <w:lang w:val="es-ES"/>
        </w:rPr>
        <w:t>a Convención de Belém do Pará</w:t>
      </w:r>
      <w:r w:rsidR="00480EC1" w:rsidRPr="00975C02">
        <w:rPr>
          <w:bCs/>
          <w:sz w:val="20"/>
          <w:szCs w:val="20"/>
          <w:lang w:val="es-ES"/>
        </w:rPr>
        <w:t>.</w:t>
      </w:r>
    </w:p>
    <w:p w14:paraId="73B463E1" w14:textId="77777777" w:rsidR="00A93E8D" w:rsidRPr="00975C02" w:rsidRDefault="00A93E8D" w:rsidP="00A93E8D">
      <w:pPr>
        <w:widowControl/>
        <w:tabs>
          <w:tab w:val="left" w:pos="567"/>
        </w:tabs>
        <w:adjustRightInd/>
        <w:spacing w:line="240" w:lineRule="auto"/>
        <w:textAlignment w:val="auto"/>
        <w:rPr>
          <w:sz w:val="20"/>
          <w:szCs w:val="20"/>
          <w:lang w:val="es-ES"/>
        </w:rPr>
      </w:pPr>
    </w:p>
    <w:p w14:paraId="6A68A0C7" w14:textId="0F7C9A00" w:rsidR="000F6BA6" w:rsidRPr="00210C5A" w:rsidRDefault="000F6BA6" w:rsidP="000F6BA6">
      <w:pPr>
        <w:widowControl/>
        <w:numPr>
          <w:ilvl w:val="0"/>
          <w:numId w:val="2"/>
        </w:numPr>
        <w:tabs>
          <w:tab w:val="left" w:pos="567"/>
          <w:tab w:val="num" w:pos="12305"/>
        </w:tabs>
        <w:adjustRightInd/>
        <w:spacing w:line="240" w:lineRule="auto"/>
        <w:ind w:left="0" w:firstLine="0"/>
        <w:textAlignment w:val="auto"/>
        <w:rPr>
          <w:sz w:val="20"/>
          <w:szCs w:val="20"/>
          <w:lang w:val="es-ES"/>
        </w:rPr>
      </w:pPr>
      <w:r w:rsidRPr="00975C02">
        <w:rPr>
          <w:sz w:val="20"/>
          <w:szCs w:val="20"/>
          <w:lang w:val="es-ES"/>
        </w:rPr>
        <w:t>Sobre la base de lo que antecede, la Corte considera que el Estado incumplió su obligación de garantizar, sin discriminación</w:t>
      </w:r>
      <w:r w:rsidR="00F20A5E" w:rsidRPr="00975C02">
        <w:rPr>
          <w:sz w:val="20"/>
          <w:szCs w:val="20"/>
          <w:lang w:val="es-ES"/>
        </w:rPr>
        <w:t xml:space="preserve"> por </w:t>
      </w:r>
      <w:r w:rsidR="00F20A5E" w:rsidRPr="00975C02">
        <w:rPr>
          <w:rFonts w:eastAsiaTheme="minorHAnsi" w:cs="Arial"/>
          <w:sz w:val="20"/>
          <w:szCs w:val="20"/>
          <w:lang w:val="es-ES" w:eastAsia="en-US"/>
        </w:rPr>
        <w:t>m</w:t>
      </w:r>
      <w:r w:rsidR="00F20A5E" w:rsidRPr="00210C5A">
        <w:rPr>
          <w:rFonts w:eastAsiaTheme="minorHAnsi" w:cs="Arial"/>
          <w:sz w:val="20"/>
          <w:szCs w:val="20"/>
          <w:lang w:val="es-ES" w:eastAsia="en-US"/>
        </w:rPr>
        <w:t>otivos de sexo y género,</w:t>
      </w:r>
      <w:r w:rsidR="00F20A5E" w:rsidRPr="00210C5A">
        <w:rPr>
          <w:sz w:val="20"/>
          <w:szCs w:val="20"/>
          <w:lang w:val="es-ES"/>
        </w:rPr>
        <w:t xml:space="preserve"> así como por la condición de persona en desarrollo de la víctima</w:t>
      </w:r>
      <w:r w:rsidRPr="00210C5A">
        <w:rPr>
          <w:sz w:val="20"/>
          <w:szCs w:val="20"/>
          <w:lang w:val="es-ES"/>
        </w:rPr>
        <w:t>, el derecho de acceso a la justicia en los términos de los artículos 8.1 y 25.1 de la Convención Americana, en relación con l</w:t>
      </w:r>
      <w:r w:rsidR="00D90499" w:rsidRPr="00210C5A">
        <w:rPr>
          <w:sz w:val="20"/>
          <w:szCs w:val="20"/>
          <w:lang w:val="es-ES"/>
        </w:rPr>
        <w:t>os</w:t>
      </w:r>
      <w:r w:rsidRPr="00210C5A">
        <w:rPr>
          <w:sz w:val="20"/>
          <w:szCs w:val="20"/>
          <w:lang w:val="es-ES"/>
        </w:rPr>
        <w:t xml:space="preserve"> artículo</w:t>
      </w:r>
      <w:r w:rsidR="00D90499" w:rsidRPr="00210C5A">
        <w:rPr>
          <w:sz w:val="20"/>
          <w:szCs w:val="20"/>
          <w:lang w:val="es-ES"/>
        </w:rPr>
        <w:t>s</w:t>
      </w:r>
      <w:r w:rsidRPr="00210C5A">
        <w:rPr>
          <w:sz w:val="20"/>
          <w:szCs w:val="20"/>
          <w:lang w:val="es-ES"/>
        </w:rPr>
        <w:t xml:space="preserve"> 1.1</w:t>
      </w:r>
      <w:r w:rsidR="00755D99" w:rsidRPr="00210C5A">
        <w:rPr>
          <w:sz w:val="20"/>
          <w:szCs w:val="20"/>
          <w:lang w:val="es-ES"/>
        </w:rPr>
        <w:t>,</w:t>
      </w:r>
      <w:r w:rsidR="00D90499" w:rsidRPr="00210C5A">
        <w:rPr>
          <w:sz w:val="20"/>
          <w:szCs w:val="20"/>
          <w:lang w:val="es-ES"/>
        </w:rPr>
        <w:t xml:space="preserve"> 19</w:t>
      </w:r>
      <w:r w:rsidR="00755D99" w:rsidRPr="00210C5A">
        <w:rPr>
          <w:sz w:val="20"/>
          <w:szCs w:val="20"/>
          <w:lang w:val="es-ES"/>
        </w:rPr>
        <w:t xml:space="preserve"> y 24</w:t>
      </w:r>
      <w:r w:rsidRPr="00210C5A">
        <w:rPr>
          <w:sz w:val="20"/>
          <w:szCs w:val="20"/>
          <w:lang w:val="es-ES"/>
        </w:rPr>
        <w:t xml:space="preserve"> de</w:t>
      </w:r>
      <w:r w:rsidR="00214C9A" w:rsidRPr="00210C5A">
        <w:rPr>
          <w:sz w:val="20"/>
          <w:szCs w:val="20"/>
          <w:lang w:val="es-ES"/>
        </w:rPr>
        <w:t xml:space="preserve"> </w:t>
      </w:r>
      <w:r w:rsidRPr="00210C5A">
        <w:rPr>
          <w:sz w:val="20"/>
          <w:szCs w:val="20"/>
          <w:lang w:val="es-ES"/>
        </w:rPr>
        <w:t>l</w:t>
      </w:r>
      <w:r w:rsidR="00214C9A" w:rsidRPr="00210C5A">
        <w:rPr>
          <w:sz w:val="20"/>
          <w:szCs w:val="20"/>
          <w:lang w:val="es-ES"/>
        </w:rPr>
        <w:t>a</w:t>
      </w:r>
      <w:r w:rsidRPr="00210C5A">
        <w:rPr>
          <w:sz w:val="20"/>
          <w:szCs w:val="20"/>
          <w:lang w:val="es-ES"/>
        </w:rPr>
        <w:t xml:space="preserve"> mism</w:t>
      </w:r>
      <w:r w:rsidR="00214C9A" w:rsidRPr="00210C5A">
        <w:rPr>
          <w:sz w:val="20"/>
          <w:szCs w:val="20"/>
          <w:lang w:val="es-ES"/>
        </w:rPr>
        <w:t>a</w:t>
      </w:r>
      <w:r w:rsidR="00C35CE3" w:rsidRPr="00210C5A">
        <w:rPr>
          <w:sz w:val="20"/>
          <w:szCs w:val="20"/>
          <w:lang w:val="es-ES"/>
        </w:rPr>
        <w:t xml:space="preserve"> </w:t>
      </w:r>
      <w:r w:rsidR="00C35CE3" w:rsidRPr="00210C5A">
        <w:rPr>
          <w:sz w:val="20"/>
          <w:szCs w:val="20"/>
          <w:lang w:val="es-ES" w:eastAsia="en-US"/>
        </w:rPr>
        <w:t xml:space="preserve">y </w:t>
      </w:r>
      <w:r w:rsidR="00C35CE3" w:rsidRPr="00210C5A">
        <w:rPr>
          <w:rFonts w:eastAsia="Batang" w:cs="Arial"/>
          <w:sz w:val="20"/>
          <w:szCs w:val="20"/>
          <w:lang w:val="es-ES" w:eastAsia="es-MX"/>
        </w:rPr>
        <w:t xml:space="preserve">el artículo 7.b) </w:t>
      </w:r>
      <w:r w:rsidR="00C35CE3" w:rsidRPr="00210C5A">
        <w:rPr>
          <w:rFonts w:eastAsia="Batang"/>
          <w:sz w:val="20"/>
          <w:szCs w:val="20"/>
          <w:lang w:val="es-ES" w:eastAsia="es-MX"/>
        </w:rPr>
        <w:t>de la Convención de Belém do Pará</w:t>
      </w:r>
      <w:r w:rsidRPr="00210C5A">
        <w:rPr>
          <w:sz w:val="20"/>
          <w:szCs w:val="20"/>
          <w:lang w:val="es-ES"/>
        </w:rPr>
        <w:t>, en perjuicio de V.R.P.</w:t>
      </w:r>
    </w:p>
    <w:p w14:paraId="4AECDDD1" w14:textId="77777777" w:rsidR="000F6BA6" w:rsidRPr="00975C02" w:rsidRDefault="000F6BA6" w:rsidP="000F6BA6">
      <w:pPr>
        <w:widowControl/>
        <w:tabs>
          <w:tab w:val="left" w:pos="567"/>
        </w:tabs>
        <w:adjustRightInd/>
        <w:spacing w:line="240" w:lineRule="auto"/>
        <w:textAlignment w:val="auto"/>
        <w:rPr>
          <w:rFonts w:eastAsia="Calibri"/>
          <w:sz w:val="20"/>
          <w:szCs w:val="20"/>
          <w:lang w:val="es-ES" w:eastAsia="en-US" w:bidi="en-US"/>
        </w:rPr>
      </w:pPr>
    </w:p>
    <w:p w14:paraId="7C066780" w14:textId="69F4C4EC" w:rsidR="00A93E8D" w:rsidRPr="00975C02" w:rsidRDefault="000F6BA6" w:rsidP="00A93E8D">
      <w:pPr>
        <w:widowControl/>
        <w:numPr>
          <w:ilvl w:val="0"/>
          <w:numId w:val="2"/>
        </w:numPr>
        <w:tabs>
          <w:tab w:val="left" w:pos="567"/>
          <w:tab w:val="num" w:pos="12305"/>
        </w:tabs>
        <w:adjustRightInd/>
        <w:spacing w:line="240" w:lineRule="auto"/>
        <w:ind w:left="0" w:firstLine="0"/>
        <w:textAlignment w:val="auto"/>
        <w:rPr>
          <w:rFonts w:eastAsia="Calibri"/>
          <w:sz w:val="20"/>
          <w:szCs w:val="20"/>
          <w:lang w:val="es-ES" w:eastAsia="en-US" w:bidi="en-US"/>
        </w:rPr>
      </w:pPr>
      <w:r w:rsidRPr="00975C02">
        <w:rPr>
          <w:kern w:val="2"/>
          <w:sz w:val="20"/>
          <w:szCs w:val="20"/>
          <w:lang w:val="es-ES" w:eastAsia="en-US"/>
        </w:rPr>
        <w:t>Adicionalmente</w:t>
      </w:r>
      <w:r w:rsidR="00A93E8D" w:rsidRPr="00975C02">
        <w:rPr>
          <w:kern w:val="2"/>
          <w:sz w:val="20"/>
          <w:szCs w:val="20"/>
          <w:lang w:val="es-ES" w:eastAsia="en-US"/>
        </w:rPr>
        <w:t>, la Corte estima que en el presente caso el Estado se convirtió en un segundo agresor, al cometer distintos actos revictimizantes que, tomando</w:t>
      </w:r>
      <w:r w:rsidR="00A93E8D" w:rsidRPr="00975C02">
        <w:rPr>
          <w:rFonts w:cs="Tahoma"/>
          <w:sz w:val="20"/>
          <w:szCs w:val="20"/>
          <w:lang w:val="es-ES"/>
        </w:rPr>
        <w:t xml:space="preserve"> en cuenta la definición de violencia contra la mujer adoptada en la Convención de Belém do Pará, </w:t>
      </w:r>
      <w:r w:rsidR="00A93E8D" w:rsidRPr="00975C02">
        <w:rPr>
          <w:kern w:val="2"/>
          <w:sz w:val="20"/>
          <w:szCs w:val="20"/>
          <w:lang w:val="es-ES" w:eastAsia="en-US"/>
        </w:rPr>
        <w:t>constituyeron violencia institucional. En efecto, l</w:t>
      </w:r>
      <w:r w:rsidR="00A93E8D" w:rsidRPr="00975C02">
        <w:rPr>
          <w:rFonts w:eastAsia="MS Mincho"/>
          <w:sz w:val="20"/>
          <w:szCs w:val="20"/>
          <w:lang w:val="es-ES" w:eastAsia="en-US" w:bidi="en-US"/>
        </w:rPr>
        <w:t xml:space="preserve">a </w:t>
      </w:r>
      <w:r w:rsidR="00A93E8D" w:rsidRPr="00975C02">
        <w:rPr>
          <w:rStyle w:val="Strong"/>
          <w:rFonts w:cs="Tahoma"/>
          <w:b w:val="0"/>
          <w:sz w:val="20"/>
          <w:szCs w:val="20"/>
          <w:shd w:val="clear" w:color="auto" w:fill="FFFFFF"/>
          <w:lang w:val="es-ES"/>
        </w:rPr>
        <w:t>Convención de Belém do Pará ha establecido parámetros</w:t>
      </w:r>
      <w:r w:rsidR="00A93E8D" w:rsidRPr="00975C02">
        <w:rPr>
          <w:rFonts w:cs="Tahoma"/>
          <w:sz w:val="20"/>
          <w:szCs w:val="20"/>
          <w:lang w:val="es-ES"/>
        </w:rPr>
        <w:t xml:space="preserve"> para identificar cuándo un acto constituye violencia y define en su artículo 1° que “debe entenderse por violencia contra la mujer, cualquier acción o conducta, basada en su género, que cause muerte, daño o sufrimiento físico, sexual o psicológico a la mujer, tanto en el ámbito público como en el privado”</w:t>
      </w:r>
      <w:r w:rsidR="00A93E8D" w:rsidRPr="00975C02">
        <w:rPr>
          <w:rStyle w:val="FootnoteReference"/>
          <w:rFonts w:eastAsiaTheme="minorHAnsi"/>
          <w:sz w:val="20"/>
          <w:szCs w:val="20"/>
          <w:lang w:val="es-ES"/>
        </w:rPr>
        <w:footnoteReference w:id="382"/>
      </w:r>
      <w:r w:rsidR="00A93E8D" w:rsidRPr="00975C02">
        <w:rPr>
          <w:rFonts w:cs="Tahoma"/>
          <w:sz w:val="20"/>
          <w:szCs w:val="20"/>
          <w:lang w:val="es-ES"/>
        </w:rPr>
        <w:t xml:space="preserve">. Asimismo, </w:t>
      </w:r>
      <w:r w:rsidR="00A93E8D" w:rsidRPr="00975C02">
        <w:rPr>
          <w:sz w:val="20"/>
          <w:szCs w:val="20"/>
          <w:lang w:val="es-ES"/>
        </w:rPr>
        <w:t>dicho instrumento resalta que dicha violencia incluye la que sea perpetrada o tolerada por el Estado o sus agentes, donde quiera que ocurra.</w:t>
      </w:r>
    </w:p>
    <w:p w14:paraId="1CBD8BC5" w14:textId="77777777" w:rsidR="00A93E8D" w:rsidRPr="00975C02" w:rsidRDefault="00A93E8D" w:rsidP="00A93E8D">
      <w:pPr>
        <w:widowControl/>
        <w:autoSpaceDE w:val="0"/>
        <w:autoSpaceDN w:val="0"/>
        <w:spacing w:line="240" w:lineRule="auto"/>
        <w:textAlignment w:val="auto"/>
        <w:rPr>
          <w:rFonts w:eastAsiaTheme="minorHAnsi" w:cs="Arial"/>
          <w:sz w:val="20"/>
          <w:szCs w:val="20"/>
          <w:lang w:val="es-ES" w:eastAsia="en-US"/>
        </w:rPr>
      </w:pPr>
    </w:p>
    <w:p w14:paraId="2EA7B832" w14:textId="50231A0B" w:rsidR="00117BEC" w:rsidRPr="00975C02" w:rsidRDefault="00A93E8D" w:rsidP="00117BEC">
      <w:pPr>
        <w:widowControl/>
        <w:numPr>
          <w:ilvl w:val="0"/>
          <w:numId w:val="2"/>
        </w:numPr>
        <w:tabs>
          <w:tab w:val="left" w:pos="567"/>
          <w:tab w:val="num" w:pos="12305"/>
        </w:tabs>
        <w:adjustRightInd/>
        <w:spacing w:line="240" w:lineRule="auto"/>
        <w:ind w:left="0" w:firstLine="0"/>
        <w:textAlignment w:val="auto"/>
        <w:rPr>
          <w:sz w:val="20"/>
          <w:szCs w:val="20"/>
          <w:lang w:val="es-ES"/>
        </w:rPr>
      </w:pPr>
      <w:r w:rsidRPr="00975C02">
        <w:rPr>
          <w:sz w:val="20"/>
          <w:szCs w:val="20"/>
          <w:lang w:val="es-ES"/>
        </w:rPr>
        <w:t>En conclusión</w:t>
      </w:r>
      <w:r w:rsidR="00117BEC" w:rsidRPr="00975C02">
        <w:rPr>
          <w:sz w:val="20"/>
          <w:szCs w:val="20"/>
          <w:lang w:val="es-ES"/>
        </w:rPr>
        <w:t>, la Corte considera que la niña sufrió una doble violencia: por un lado, la violencia sexual por parte de un agente no estatal; y</w:t>
      </w:r>
      <w:r w:rsidR="00100F58" w:rsidRPr="00975C02">
        <w:rPr>
          <w:sz w:val="20"/>
          <w:szCs w:val="20"/>
          <w:lang w:val="es-ES"/>
        </w:rPr>
        <w:t>,</w:t>
      </w:r>
      <w:r w:rsidR="00117BEC" w:rsidRPr="00975C02">
        <w:rPr>
          <w:sz w:val="20"/>
          <w:szCs w:val="20"/>
          <w:lang w:val="es-ES"/>
        </w:rPr>
        <w:t xml:space="preserve"> por el otro, la violencia institucional durante el procedimiento judicial, en particular, </w:t>
      </w:r>
      <w:r w:rsidR="00100F58" w:rsidRPr="00975C02">
        <w:rPr>
          <w:sz w:val="20"/>
          <w:szCs w:val="20"/>
          <w:lang w:val="es-ES"/>
        </w:rPr>
        <w:t>a raíz d</w:t>
      </w:r>
      <w:r w:rsidR="00117BEC" w:rsidRPr="00975C02">
        <w:rPr>
          <w:sz w:val="20"/>
          <w:szCs w:val="20"/>
          <w:lang w:val="es-ES"/>
        </w:rPr>
        <w:t xml:space="preserve">el examen médico forense y la reconstrucción de los hechos. </w:t>
      </w:r>
      <w:r w:rsidR="00B6074F" w:rsidRPr="00975C02">
        <w:rPr>
          <w:sz w:val="20"/>
          <w:szCs w:val="20"/>
          <w:lang w:val="es-ES"/>
        </w:rPr>
        <w:t>L</w:t>
      </w:r>
      <w:r w:rsidR="00117BEC" w:rsidRPr="00975C02">
        <w:rPr>
          <w:sz w:val="20"/>
          <w:szCs w:val="20"/>
          <w:lang w:val="es-ES"/>
        </w:rPr>
        <w:t xml:space="preserve">a niña </w:t>
      </w:r>
      <w:r w:rsidR="00B6074F" w:rsidRPr="00975C02">
        <w:rPr>
          <w:sz w:val="20"/>
          <w:szCs w:val="20"/>
          <w:lang w:val="es-ES"/>
        </w:rPr>
        <w:t xml:space="preserve">y su familia </w:t>
      </w:r>
      <w:r w:rsidR="00117BEC" w:rsidRPr="00975C02">
        <w:rPr>
          <w:sz w:val="20"/>
          <w:szCs w:val="20"/>
          <w:lang w:val="es-ES"/>
        </w:rPr>
        <w:t>acudi</w:t>
      </w:r>
      <w:r w:rsidR="00B6074F" w:rsidRPr="00975C02">
        <w:rPr>
          <w:sz w:val="20"/>
          <w:szCs w:val="20"/>
          <w:lang w:val="es-ES"/>
        </w:rPr>
        <w:t>eron</w:t>
      </w:r>
      <w:r w:rsidR="00117BEC" w:rsidRPr="00975C02">
        <w:rPr>
          <w:sz w:val="20"/>
          <w:szCs w:val="20"/>
          <w:lang w:val="es-ES"/>
        </w:rPr>
        <w:t xml:space="preserve"> al sistema judicial en busca de protección y para obtener la restitución de sus derechos vulnerados. Sin embargo, el Estado no solo no cumplió con la debida diligencia reforzada</w:t>
      </w:r>
      <w:r w:rsidR="001D6D2A" w:rsidRPr="00975C02">
        <w:rPr>
          <w:sz w:val="20"/>
          <w:szCs w:val="20"/>
          <w:lang w:val="es-ES"/>
        </w:rPr>
        <w:t xml:space="preserve"> y protección especial</w:t>
      </w:r>
      <w:r w:rsidR="00117BEC" w:rsidRPr="00975C02">
        <w:rPr>
          <w:sz w:val="20"/>
          <w:szCs w:val="20"/>
          <w:lang w:val="es-ES"/>
        </w:rPr>
        <w:t xml:space="preserve"> requerida en el proceso judicial donde se investigaba una situación de violencia sexual</w:t>
      </w:r>
      <w:r w:rsidR="0044295D" w:rsidRPr="00975C02">
        <w:rPr>
          <w:sz w:val="20"/>
          <w:szCs w:val="20"/>
          <w:lang w:val="es-ES"/>
        </w:rPr>
        <w:t>,</w:t>
      </w:r>
      <w:r w:rsidR="00117BEC" w:rsidRPr="00975C02">
        <w:rPr>
          <w:sz w:val="20"/>
          <w:szCs w:val="20"/>
          <w:lang w:val="es-ES"/>
        </w:rPr>
        <w:t xml:space="preserve"> sino que respondió con una nueva forma de violencia. </w:t>
      </w:r>
      <w:r w:rsidR="001508AC" w:rsidRPr="00975C02">
        <w:rPr>
          <w:sz w:val="20"/>
          <w:szCs w:val="20"/>
          <w:lang w:val="es-ES"/>
        </w:rPr>
        <w:t>En este sentido, además de la vulneración del derecho de acceso a la justicia sin discriminación, la Corte considera que el Estado ejerció violencia institucional, causándole una mayor afectación y multiplicando la vivencia traumática sufrida por V.R.P.</w:t>
      </w:r>
    </w:p>
    <w:p w14:paraId="73520F68" w14:textId="77777777" w:rsidR="00117BEC" w:rsidRPr="00975C02" w:rsidRDefault="00117BEC" w:rsidP="00117BEC">
      <w:pPr>
        <w:widowControl/>
        <w:tabs>
          <w:tab w:val="left" w:pos="567"/>
        </w:tabs>
        <w:adjustRightInd/>
        <w:spacing w:line="240" w:lineRule="auto"/>
        <w:textAlignment w:val="auto"/>
        <w:rPr>
          <w:sz w:val="20"/>
          <w:szCs w:val="20"/>
          <w:lang w:val="es-ES"/>
        </w:rPr>
      </w:pPr>
    </w:p>
    <w:p w14:paraId="2E26004B" w14:textId="35E6532C" w:rsidR="00117BEC" w:rsidRPr="00975C02" w:rsidRDefault="00117BEC" w:rsidP="00117BEC">
      <w:pPr>
        <w:widowControl/>
        <w:numPr>
          <w:ilvl w:val="0"/>
          <w:numId w:val="2"/>
        </w:numPr>
        <w:tabs>
          <w:tab w:val="left" w:pos="567"/>
          <w:tab w:val="num" w:pos="12305"/>
        </w:tabs>
        <w:adjustRightInd/>
        <w:spacing w:line="240" w:lineRule="auto"/>
        <w:ind w:left="0" w:firstLine="0"/>
        <w:textAlignment w:val="auto"/>
        <w:rPr>
          <w:sz w:val="20"/>
          <w:szCs w:val="20"/>
          <w:lang w:val="es-ES"/>
        </w:rPr>
      </w:pPr>
      <w:r w:rsidRPr="00975C02">
        <w:rPr>
          <w:sz w:val="20"/>
          <w:szCs w:val="20"/>
          <w:lang w:val="es-ES"/>
        </w:rPr>
        <w:t xml:space="preserve">En consecuencia, este Tribunal </w:t>
      </w:r>
      <w:r w:rsidR="00B6074F" w:rsidRPr="00975C02">
        <w:rPr>
          <w:sz w:val="20"/>
          <w:szCs w:val="20"/>
          <w:lang w:val="es-ES"/>
        </w:rPr>
        <w:t xml:space="preserve">determina que los </w:t>
      </w:r>
      <w:r w:rsidRPr="00975C02">
        <w:rPr>
          <w:sz w:val="20"/>
          <w:szCs w:val="20"/>
          <w:lang w:val="es-ES"/>
        </w:rPr>
        <w:t xml:space="preserve">actos revictimizantes </w:t>
      </w:r>
      <w:r w:rsidR="00B6074F" w:rsidRPr="00975C02">
        <w:rPr>
          <w:sz w:val="20"/>
          <w:szCs w:val="20"/>
          <w:lang w:val="es-ES"/>
        </w:rPr>
        <w:t xml:space="preserve">llevados a cabo por funcionarios estatales </w:t>
      </w:r>
      <w:r w:rsidR="00214C9A" w:rsidRPr="00975C02">
        <w:rPr>
          <w:sz w:val="20"/>
          <w:szCs w:val="20"/>
          <w:lang w:val="es-ES"/>
        </w:rPr>
        <w:t xml:space="preserve">en perjuicio de V.R.P. </w:t>
      </w:r>
      <w:r w:rsidRPr="00975C02">
        <w:rPr>
          <w:sz w:val="20"/>
          <w:szCs w:val="20"/>
          <w:lang w:val="es-ES"/>
        </w:rPr>
        <w:t>constituye</w:t>
      </w:r>
      <w:r w:rsidR="00B6074F" w:rsidRPr="00975C02">
        <w:rPr>
          <w:sz w:val="20"/>
          <w:szCs w:val="20"/>
          <w:lang w:val="es-ES"/>
        </w:rPr>
        <w:t>ro</w:t>
      </w:r>
      <w:r w:rsidRPr="00975C02">
        <w:rPr>
          <w:sz w:val="20"/>
          <w:szCs w:val="20"/>
          <w:lang w:val="es-ES"/>
        </w:rPr>
        <w:t>n violencia institucional y deben calificarse, teniendo en cuenta la entidad del sufrimiento provocado, como</w:t>
      </w:r>
      <w:r w:rsidR="00B6074F" w:rsidRPr="00975C02">
        <w:rPr>
          <w:sz w:val="20"/>
          <w:szCs w:val="20"/>
          <w:lang w:val="es-ES"/>
        </w:rPr>
        <w:t xml:space="preserve"> un</w:t>
      </w:r>
      <w:r w:rsidRPr="00975C02">
        <w:rPr>
          <w:sz w:val="20"/>
          <w:szCs w:val="20"/>
          <w:lang w:val="es-ES"/>
        </w:rPr>
        <w:t xml:space="preserve"> trato</w:t>
      </w:r>
      <w:r w:rsidR="0075685F" w:rsidRPr="00975C02">
        <w:rPr>
          <w:sz w:val="20"/>
          <w:szCs w:val="20"/>
          <w:lang w:val="es-ES"/>
        </w:rPr>
        <w:t xml:space="preserve"> cruel</w:t>
      </w:r>
      <w:r w:rsidR="00C464BF">
        <w:rPr>
          <w:sz w:val="20"/>
          <w:szCs w:val="20"/>
          <w:lang w:val="es-ES"/>
        </w:rPr>
        <w:t>,</w:t>
      </w:r>
      <w:r w:rsidR="0075685F" w:rsidRPr="00975C02">
        <w:rPr>
          <w:sz w:val="20"/>
          <w:szCs w:val="20"/>
          <w:lang w:val="es-ES"/>
        </w:rPr>
        <w:t xml:space="preserve"> </w:t>
      </w:r>
      <w:r w:rsidRPr="00975C02">
        <w:rPr>
          <w:sz w:val="20"/>
          <w:szCs w:val="20"/>
          <w:lang w:val="es-ES"/>
        </w:rPr>
        <w:lastRenderedPageBreak/>
        <w:t>inhumano</w:t>
      </w:r>
      <w:r w:rsidR="00C464BF">
        <w:rPr>
          <w:sz w:val="20"/>
          <w:szCs w:val="20"/>
          <w:lang w:val="es-ES"/>
        </w:rPr>
        <w:t xml:space="preserve"> y de</w:t>
      </w:r>
      <w:r w:rsidR="000166E0">
        <w:rPr>
          <w:sz w:val="20"/>
          <w:szCs w:val="20"/>
          <w:lang w:val="es-ES"/>
        </w:rPr>
        <w:t>gradante</w:t>
      </w:r>
      <w:r w:rsidRPr="00975C02">
        <w:rPr>
          <w:sz w:val="20"/>
          <w:szCs w:val="20"/>
          <w:lang w:val="es-ES"/>
        </w:rPr>
        <w:t xml:space="preserve"> en los términos del artículo 5.2 de la Convención Americana</w:t>
      </w:r>
      <w:r w:rsidR="00214C9A" w:rsidRPr="00975C02">
        <w:rPr>
          <w:sz w:val="20"/>
          <w:szCs w:val="20"/>
          <w:lang w:val="es-ES"/>
        </w:rPr>
        <w:t>,</w:t>
      </w:r>
      <w:r w:rsidR="00214C9A" w:rsidRPr="00975C02">
        <w:rPr>
          <w:rFonts w:eastAsia="Times"/>
          <w:sz w:val="20"/>
          <w:szCs w:val="20"/>
          <w:lang w:val="es-ES"/>
        </w:rPr>
        <w:t xml:space="preserve"> en relación con el artículo 1.1 de la misma</w:t>
      </w:r>
      <w:r w:rsidRPr="00975C02">
        <w:rPr>
          <w:sz w:val="20"/>
          <w:szCs w:val="20"/>
          <w:lang w:val="es-ES"/>
        </w:rPr>
        <w:t>.</w:t>
      </w:r>
    </w:p>
    <w:p w14:paraId="02E60C4D" w14:textId="77777777" w:rsidR="000F6BA6" w:rsidRPr="00975C02" w:rsidRDefault="000F6BA6" w:rsidP="00117BEC">
      <w:pPr>
        <w:widowControl/>
        <w:adjustRightInd/>
        <w:spacing w:line="240" w:lineRule="auto"/>
        <w:textAlignment w:val="auto"/>
        <w:rPr>
          <w:sz w:val="20"/>
          <w:szCs w:val="20"/>
          <w:lang w:val="es-ES" w:eastAsia="en-US"/>
        </w:rPr>
      </w:pPr>
    </w:p>
    <w:p w14:paraId="4E728B49" w14:textId="6E337709" w:rsidR="0012038C" w:rsidRPr="00975C02" w:rsidRDefault="00525DF6" w:rsidP="00681AE9">
      <w:pPr>
        <w:pStyle w:val="ListParagraph"/>
        <w:keepNext/>
        <w:keepLines/>
        <w:widowControl/>
        <w:numPr>
          <w:ilvl w:val="0"/>
          <w:numId w:val="16"/>
        </w:numPr>
        <w:tabs>
          <w:tab w:val="left" w:pos="1134"/>
        </w:tabs>
        <w:autoSpaceDE w:val="0"/>
        <w:autoSpaceDN w:val="0"/>
        <w:adjustRightInd/>
        <w:spacing w:line="240" w:lineRule="auto"/>
        <w:ind w:left="1134" w:hanging="567"/>
        <w:textAlignment w:val="auto"/>
        <w:outlineLvl w:val="1"/>
        <w:rPr>
          <w:rFonts w:eastAsia="MS Mincho" w:cs="Arial"/>
          <w:b/>
          <w:bCs/>
          <w:i/>
          <w:kern w:val="2"/>
          <w:sz w:val="20"/>
          <w:szCs w:val="20"/>
          <w:lang w:val="es-ES" w:eastAsia="en-US"/>
        </w:rPr>
      </w:pPr>
      <w:bookmarkStart w:id="147" w:name="_Toc514172651"/>
      <w:r w:rsidRPr="00975C02">
        <w:rPr>
          <w:rFonts w:eastAsia="MS Mincho" w:cs="Arial"/>
          <w:b/>
          <w:bCs/>
          <w:i/>
          <w:kern w:val="2"/>
          <w:sz w:val="20"/>
          <w:szCs w:val="20"/>
          <w:lang w:val="es-ES" w:eastAsia="en-US"/>
        </w:rPr>
        <w:t>Recurso efectivo</w:t>
      </w:r>
      <w:r w:rsidR="00464B78" w:rsidRPr="00975C02">
        <w:rPr>
          <w:rFonts w:eastAsia="MS Mincho" w:cs="Arial"/>
          <w:b/>
          <w:bCs/>
          <w:i/>
          <w:kern w:val="2"/>
          <w:sz w:val="20"/>
          <w:szCs w:val="20"/>
          <w:lang w:val="es-ES" w:eastAsia="en-US"/>
        </w:rPr>
        <w:t xml:space="preserve"> y derecho a </w:t>
      </w:r>
      <w:r w:rsidR="00D513F8" w:rsidRPr="00975C02">
        <w:rPr>
          <w:rFonts w:eastAsia="MS Mincho" w:cs="Arial"/>
          <w:b/>
          <w:bCs/>
          <w:i/>
          <w:kern w:val="2"/>
          <w:sz w:val="20"/>
          <w:szCs w:val="20"/>
          <w:lang w:val="es-ES" w:eastAsia="en-US"/>
        </w:rPr>
        <w:t xml:space="preserve">conocer </w:t>
      </w:r>
      <w:r w:rsidR="00464B78" w:rsidRPr="00975C02">
        <w:rPr>
          <w:rFonts w:eastAsia="MS Mincho" w:cs="Arial"/>
          <w:b/>
          <w:bCs/>
          <w:i/>
          <w:kern w:val="2"/>
          <w:sz w:val="20"/>
          <w:szCs w:val="20"/>
          <w:lang w:val="es-ES" w:eastAsia="en-US"/>
        </w:rPr>
        <w:t>la verdad</w:t>
      </w:r>
      <w:bookmarkEnd w:id="147"/>
    </w:p>
    <w:p w14:paraId="1B565AE6" w14:textId="77777777" w:rsidR="00525DF6" w:rsidRPr="00975C02" w:rsidRDefault="00525DF6" w:rsidP="00B5625C">
      <w:pPr>
        <w:widowControl/>
        <w:adjustRightInd/>
        <w:spacing w:line="240" w:lineRule="auto"/>
        <w:textAlignment w:val="auto"/>
        <w:rPr>
          <w:sz w:val="20"/>
          <w:szCs w:val="20"/>
          <w:lang w:val="es-ES" w:eastAsia="en-US"/>
        </w:rPr>
      </w:pPr>
    </w:p>
    <w:p w14:paraId="5AE9D8D5" w14:textId="77777777" w:rsidR="00525DF6" w:rsidRPr="00975C02" w:rsidRDefault="00525DF6" w:rsidP="00525DF6">
      <w:pPr>
        <w:pStyle w:val="Heading2"/>
        <w:tabs>
          <w:tab w:val="left" w:pos="1843"/>
        </w:tabs>
        <w:spacing w:before="0" w:line="240" w:lineRule="auto"/>
        <w:ind w:left="1134"/>
        <w:rPr>
          <w:rFonts w:ascii="Verdana" w:hAnsi="Verdana"/>
          <w:b w:val="0"/>
          <w:i/>
          <w:color w:val="auto"/>
          <w:sz w:val="20"/>
          <w:szCs w:val="20"/>
          <w:lang w:val="es-ES"/>
        </w:rPr>
      </w:pPr>
      <w:bookmarkStart w:id="148" w:name="_Toc514172652"/>
      <w:r w:rsidRPr="00975C02">
        <w:rPr>
          <w:rFonts w:ascii="Verdana" w:hAnsi="Verdana"/>
          <w:b w:val="0"/>
          <w:i/>
          <w:color w:val="auto"/>
          <w:sz w:val="20"/>
          <w:szCs w:val="20"/>
          <w:lang w:val="es-ES"/>
        </w:rPr>
        <w:t>E.1</w:t>
      </w:r>
      <w:r w:rsidRPr="00975C02">
        <w:rPr>
          <w:rFonts w:ascii="Verdana" w:hAnsi="Verdana"/>
          <w:b w:val="0"/>
          <w:i/>
          <w:color w:val="auto"/>
          <w:sz w:val="20"/>
          <w:szCs w:val="20"/>
          <w:lang w:val="es-ES"/>
        </w:rPr>
        <w:tab/>
        <w:t>Argumentos de las partes y de la Comisión</w:t>
      </w:r>
      <w:bookmarkEnd w:id="148"/>
    </w:p>
    <w:p w14:paraId="583054D2" w14:textId="77777777" w:rsidR="00525DF6" w:rsidRPr="00975C02" w:rsidRDefault="00525DF6" w:rsidP="00B5625C">
      <w:pPr>
        <w:widowControl/>
        <w:adjustRightInd/>
        <w:spacing w:line="240" w:lineRule="auto"/>
        <w:textAlignment w:val="auto"/>
        <w:rPr>
          <w:sz w:val="20"/>
          <w:szCs w:val="20"/>
          <w:lang w:val="es-ES" w:eastAsia="en-US"/>
        </w:rPr>
      </w:pPr>
    </w:p>
    <w:p w14:paraId="5132D647" w14:textId="3B9EF99B" w:rsidR="00464B78" w:rsidRPr="00975C02" w:rsidRDefault="0032081D" w:rsidP="000779A3">
      <w:pPr>
        <w:widowControl/>
        <w:numPr>
          <w:ilvl w:val="0"/>
          <w:numId w:val="2"/>
        </w:numPr>
        <w:tabs>
          <w:tab w:val="left" w:pos="567"/>
          <w:tab w:val="num" w:pos="12305"/>
        </w:tabs>
        <w:adjustRightInd/>
        <w:spacing w:line="240" w:lineRule="auto"/>
        <w:ind w:left="0" w:firstLine="0"/>
        <w:textAlignment w:val="auto"/>
        <w:rPr>
          <w:b/>
          <w:sz w:val="16"/>
          <w:szCs w:val="16"/>
          <w:lang w:val="es-ES"/>
        </w:rPr>
      </w:pPr>
      <w:r w:rsidRPr="00975C02">
        <w:rPr>
          <w:rFonts w:cs="Arial"/>
          <w:sz w:val="20"/>
          <w:szCs w:val="20"/>
          <w:lang w:val="es-ES"/>
        </w:rPr>
        <w:t xml:space="preserve">Las </w:t>
      </w:r>
      <w:r w:rsidRPr="00975C02">
        <w:rPr>
          <w:rFonts w:cs="Arial"/>
          <w:b/>
          <w:i/>
          <w:sz w:val="20"/>
          <w:szCs w:val="20"/>
          <w:lang w:val="es-ES"/>
        </w:rPr>
        <w:t>representantes</w:t>
      </w:r>
      <w:r w:rsidRPr="00975C02">
        <w:rPr>
          <w:rFonts w:cs="Arial"/>
          <w:sz w:val="20"/>
          <w:szCs w:val="20"/>
          <w:lang w:val="es-ES"/>
        </w:rPr>
        <w:t xml:space="preserve"> señalaron que, a nivel interno, se presentaron en diversas ocasiones, escritos que contenían solicitudes ante los distintos órganos de justicia poniendo en conocimiento las irregularidades en el proceso, se ofrecieron medios de prueba, y se solicitaron diligencias, todo ello para pretender demostrar la forma viciada e irregular del actuar de los servidores públicos. V.P.C. no encontró en el Estado de Nicaragua un recurso efectivo que le permitiera la protección real a los derechos de su hija. Las representantes destacaron</w:t>
      </w:r>
      <w:r w:rsidR="000779A3" w:rsidRPr="00975C02">
        <w:rPr>
          <w:rFonts w:cs="Arial"/>
          <w:sz w:val="20"/>
          <w:szCs w:val="20"/>
          <w:lang w:val="es-ES"/>
        </w:rPr>
        <w:t>,</w:t>
      </w:r>
      <w:r w:rsidRPr="00975C02">
        <w:rPr>
          <w:rFonts w:cs="Arial"/>
          <w:sz w:val="20"/>
          <w:szCs w:val="20"/>
          <w:lang w:val="es-ES"/>
        </w:rPr>
        <w:t xml:space="preserve"> además, la inexistencia de un recurso ordinario que le permitiera a las partes recurrir ante una instancia superior. Con base en ello, concluyeron que el Estado era responsable por la violación de los artículos 25 y 25.1 de la Convención Americana, </w:t>
      </w:r>
      <w:r w:rsidRPr="00975C02">
        <w:rPr>
          <w:sz w:val="20"/>
          <w:szCs w:val="20"/>
          <w:lang w:val="es-ES"/>
        </w:rPr>
        <w:t xml:space="preserve">en relación con el artículo 1.1 del mismo instrumento. </w:t>
      </w:r>
      <w:r w:rsidR="000779A3" w:rsidRPr="00975C02">
        <w:rPr>
          <w:sz w:val="20"/>
          <w:szCs w:val="20"/>
          <w:lang w:val="es-ES"/>
        </w:rPr>
        <w:t>Adicionalmente, l</w:t>
      </w:r>
      <w:r w:rsidR="00464B78" w:rsidRPr="00975C02">
        <w:rPr>
          <w:sz w:val="20"/>
          <w:szCs w:val="20"/>
          <w:lang w:val="es-ES"/>
        </w:rPr>
        <w:t>as representantes alegaron que el derecho a la verdad fue violentado por el Estado</w:t>
      </w:r>
      <w:r w:rsidR="009511ED" w:rsidRPr="00975C02">
        <w:rPr>
          <w:sz w:val="20"/>
          <w:szCs w:val="20"/>
          <w:lang w:val="es-ES"/>
        </w:rPr>
        <w:t>,</w:t>
      </w:r>
      <w:r w:rsidR="00464B78" w:rsidRPr="00975C02">
        <w:rPr>
          <w:sz w:val="20"/>
          <w:szCs w:val="20"/>
          <w:lang w:val="es-ES"/>
        </w:rPr>
        <w:t xml:space="preserve"> ya que </w:t>
      </w:r>
      <w:r w:rsidR="00464B78" w:rsidRPr="00975C02">
        <w:rPr>
          <w:rFonts w:cs="Arial"/>
          <w:sz w:val="20"/>
          <w:szCs w:val="20"/>
          <w:lang w:val="es-ES"/>
        </w:rPr>
        <w:t>no realizó una</w:t>
      </w:r>
      <w:r w:rsidR="00464B78" w:rsidRPr="00975C02">
        <w:rPr>
          <w:sz w:val="20"/>
          <w:szCs w:val="20"/>
          <w:lang w:val="es-ES"/>
        </w:rPr>
        <w:t xml:space="preserve"> </w:t>
      </w:r>
      <w:r w:rsidR="00464B78" w:rsidRPr="00975C02">
        <w:rPr>
          <w:rFonts w:cs="Arial"/>
          <w:sz w:val="20"/>
          <w:szCs w:val="20"/>
          <w:lang w:val="es-ES"/>
        </w:rPr>
        <w:t>investigación completa y efectiva para esclarecer los hechos; no se llevaron a cabo las investigaciones necesarias a fin de conocer la verdad en relación a las razones que llevaron al jurado a decidir como lo hicieron, a pesar de existir todas las pruebas de la responsabilidad del procesado</w:t>
      </w:r>
      <w:r w:rsidR="001D593F" w:rsidRPr="00975C02">
        <w:rPr>
          <w:rFonts w:cs="Arial"/>
          <w:sz w:val="20"/>
          <w:szCs w:val="20"/>
          <w:lang w:val="es-ES"/>
        </w:rPr>
        <w:t>. Destacaron que</w:t>
      </w:r>
      <w:r w:rsidR="00464B78" w:rsidRPr="00975C02">
        <w:rPr>
          <w:rFonts w:cs="Arial"/>
          <w:sz w:val="20"/>
          <w:szCs w:val="20"/>
          <w:lang w:val="es-ES"/>
        </w:rPr>
        <w:t xml:space="preserve"> tampoco se investigó ni se tomaron medidas </w:t>
      </w:r>
      <w:r w:rsidR="001D593F" w:rsidRPr="00975C02">
        <w:rPr>
          <w:rFonts w:cs="Arial"/>
          <w:sz w:val="20"/>
          <w:szCs w:val="20"/>
          <w:lang w:val="es-ES"/>
        </w:rPr>
        <w:t xml:space="preserve">con </w:t>
      </w:r>
      <w:r w:rsidR="00464B78" w:rsidRPr="00975C02">
        <w:rPr>
          <w:rFonts w:cs="Arial"/>
          <w:sz w:val="20"/>
          <w:szCs w:val="20"/>
          <w:lang w:val="es-ES"/>
        </w:rPr>
        <w:t>relación a las denuncias interpuestas por V.P.C. sobre irregularidades por parte de algunos actores del proceso, ni se procesó a los funcionarios públicos por los delitos cometidos por ellos en ejercicio de sus funciones.</w:t>
      </w:r>
    </w:p>
    <w:p w14:paraId="26534167" w14:textId="77777777" w:rsidR="00464B78" w:rsidRPr="00975C02" w:rsidRDefault="00464B78" w:rsidP="0032081D">
      <w:pPr>
        <w:autoSpaceDE w:val="0"/>
        <w:autoSpaceDN w:val="0"/>
        <w:spacing w:line="240" w:lineRule="auto"/>
        <w:rPr>
          <w:b/>
          <w:sz w:val="20"/>
          <w:szCs w:val="20"/>
          <w:lang w:val="es-ES"/>
        </w:rPr>
      </w:pPr>
    </w:p>
    <w:p w14:paraId="6300DD90" w14:textId="592C0ADE" w:rsidR="00464B78" w:rsidRPr="008B6E5F" w:rsidRDefault="0032081D" w:rsidP="00464B78">
      <w:pPr>
        <w:widowControl/>
        <w:numPr>
          <w:ilvl w:val="0"/>
          <w:numId w:val="2"/>
        </w:numPr>
        <w:tabs>
          <w:tab w:val="left" w:pos="567"/>
          <w:tab w:val="num" w:pos="12305"/>
        </w:tabs>
        <w:adjustRightInd/>
        <w:spacing w:line="240" w:lineRule="auto"/>
        <w:ind w:left="0" w:firstLine="0"/>
        <w:textAlignment w:val="auto"/>
        <w:rPr>
          <w:rFonts w:cs="Arial"/>
          <w:sz w:val="20"/>
          <w:szCs w:val="20"/>
          <w:lang w:val="es-ES"/>
        </w:rPr>
      </w:pPr>
      <w:r w:rsidRPr="00975C02">
        <w:rPr>
          <w:sz w:val="20"/>
          <w:szCs w:val="20"/>
          <w:lang w:val="es-ES"/>
        </w:rPr>
        <w:t xml:space="preserve">El </w:t>
      </w:r>
      <w:r w:rsidRPr="00975C02">
        <w:rPr>
          <w:b/>
          <w:i/>
          <w:sz w:val="20"/>
          <w:szCs w:val="20"/>
          <w:lang w:val="es-ES"/>
        </w:rPr>
        <w:t>Estado</w:t>
      </w:r>
      <w:r w:rsidRPr="00975C02">
        <w:rPr>
          <w:sz w:val="20"/>
          <w:szCs w:val="20"/>
          <w:lang w:val="es-ES"/>
        </w:rPr>
        <w:t xml:space="preserve"> advirtió que en el desarrollo de la vista pública a nivel interno, no se presentó ningún incidente en relación </w:t>
      </w:r>
      <w:r w:rsidR="001D593F" w:rsidRPr="00975C02">
        <w:rPr>
          <w:sz w:val="20"/>
          <w:szCs w:val="20"/>
          <w:lang w:val="es-ES"/>
        </w:rPr>
        <w:t xml:space="preserve">con </w:t>
      </w:r>
      <w:r w:rsidRPr="00975C02">
        <w:rPr>
          <w:sz w:val="20"/>
          <w:szCs w:val="20"/>
          <w:lang w:val="es-ES"/>
        </w:rPr>
        <w:t xml:space="preserve">las supuestas irregularidades y que las incidencias fueron planteadas luego de que V.P.C. tuvo conocimiento del resultado del veredicto del jurado de inocencia. </w:t>
      </w:r>
      <w:r w:rsidR="00464B78" w:rsidRPr="00975C02">
        <w:rPr>
          <w:rFonts w:cs="Arial"/>
          <w:sz w:val="20"/>
          <w:szCs w:val="20"/>
          <w:lang w:val="es-ES"/>
        </w:rPr>
        <w:t xml:space="preserve">El Estado señaló que lo indicado por las representantes en el sentido de que “no se realizaron las investigaciones necesarias a fin de conocer la verdad” no tomó en consideración las pruebas recabadas que sirvieron de sustento para la sentencia interlocutoria de segura y formal prisión del señor H.R.A., ya </w:t>
      </w:r>
      <w:r w:rsidR="00464B78" w:rsidRPr="008B6E5F">
        <w:rPr>
          <w:rFonts w:cs="Arial"/>
          <w:sz w:val="20"/>
          <w:szCs w:val="20"/>
          <w:lang w:val="es-ES"/>
        </w:rPr>
        <w:t>que sin estas no se habría podido dictar dicha medida.</w:t>
      </w:r>
    </w:p>
    <w:p w14:paraId="3340D2A7" w14:textId="77777777" w:rsidR="0032081D" w:rsidRPr="008B6E5F" w:rsidRDefault="0032081D" w:rsidP="0032081D">
      <w:pPr>
        <w:autoSpaceDE w:val="0"/>
        <w:autoSpaceDN w:val="0"/>
        <w:spacing w:line="240" w:lineRule="auto"/>
        <w:rPr>
          <w:b/>
          <w:sz w:val="16"/>
          <w:szCs w:val="16"/>
          <w:lang w:val="es-ES"/>
        </w:rPr>
      </w:pPr>
    </w:p>
    <w:p w14:paraId="58DE1560" w14:textId="77777777" w:rsidR="0032081D" w:rsidRPr="008B6E5F" w:rsidRDefault="0032081D" w:rsidP="00525DF6">
      <w:pPr>
        <w:widowControl/>
        <w:numPr>
          <w:ilvl w:val="0"/>
          <w:numId w:val="2"/>
        </w:numPr>
        <w:tabs>
          <w:tab w:val="left" w:pos="567"/>
          <w:tab w:val="num" w:pos="12305"/>
        </w:tabs>
        <w:adjustRightInd/>
        <w:spacing w:line="240" w:lineRule="auto"/>
        <w:ind w:left="0" w:firstLine="0"/>
        <w:textAlignment w:val="auto"/>
        <w:rPr>
          <w:rFonts w:cs="Arial"/>
          <w:sz w:val="20"/>
          <w:szCs w:val="20"/>
          <w:lang w:val="es-ES"/>
        </w:rPr>
      </w:pPr>
      <w:r w:rsidRPr="008B6E5F">
        <w:rPr>
          <w:rFonts w:cs="Arial"/>
          <w:sz w:val="20"/>
          <w:szCs w:val="20"/>
          <w:lang w:val="es-ES"/>
        </w:rPr>
        <w:t xml:space="preserve">La </w:t>
      </w:r>
      <w:r w:rsidRPr="008B6E5F">
        <w:rPr>
          <w:rFonts w:cs="Arial"/>
          <w:b/>
          <w:i/>
          <w:sz w:val="20"/>
          <w:szCs w:val="20"/>
          <w:lang w:val="es-ES"/>
        </w:rPr>
        <w:t>Comisión</w:t>
      </w:r>
      <w:r w:rsidR="00871008" w:rsidRPr="008B6E5F">
        <w:rPr>
          <w:rFonts w:cs="Arial"/>
          <w:sz w:val="20"/>
          <w:szCs w:val="20"/>
          <w:lang w:val="es-ES"/>
        </w:rPr>
        <w:t xml:space="preserve"> no se pronunció sobre estos</w:t>
      </w:r>
      <w:r w:rsidRPr="008B6E5F">
        <w:rPr>
          <w:rFonts w:cs="Arial"/>
          <w:sz w:val="20"/>
          <w:szCs w:val="20"/>
          <w:lang w:val="es-ES"/>
        </w:rPr>
        <w:t xml:space="preserve"> punto</w:t>
      </w:r>
      <w:r w:rsidR="00871008" w:rsidRPr="008B6E5F">
        <w:rPr>
          <w:rFonts w:cs="Arial"/>
          <w:sz w:val="20"/>
          <w:szCs w:val="20"/>
          <w:lang w:val="es-ES"/>
        </w:rPr>
        <w:t>s</w:t>
      </w:r>
      <w:r w:rsidRPr="008B6E5F">
        <w:rPr>
          <w:rFonts w:cs="Arial"/>
          <w:sz w:val="20"/>
          <w:szCs w:val="20"/>
          <w:lang w:val="es-ES"/>
        </w:rPr>
        <w:t>.</w:t>
      </w:r>
    </w:p>
    <w:p w14:paraId="5AE6F35E" w14:textId="77777777" w:rsidR="0032081D" w:rsidRPr="008B6E5F" w:rsidRDefault="0032081D" w:rsidP="00B5625C">
      <w:pPr>
        <w:widowControl/>
        <w:adjustRightInd/>
        <w:spacing w:line="240" w:lineRule="auto"/>
        <w:textAlignment w:val="auto"/>
        <w:rPr>
          <w:sz w:val="20"/>
          <w:szCs w:val="20"/>
          <w:lang w:val="es-ES" w:eastAsia="en-US"/>
        </w:rPr>
      </w:pPr>
    </w:p>
    <w:p w14:paraId="691341C6" w14:textId="77777777" w:rsidR="00525DF6" w:rsidRPr="008B6E5F" w:rsidRDefault="00525DF6" w:rsidP="00525DF6">
      <w:pPr>
        <w:keepNext/>
        <w:keepLines/>
        <w:tabs>
          <w:tab w:val="left" w:pos="1701"/>
        </w:tabs>
        <w:spacing w:line="240" w:lineRule="auto"/>
        <w:ind w:left="1134"/>
        <w:outlineLvl w:val="1"/>
        <w:rPr>
          <w:bCs/>
          <w:i/>
          <w:sz w:val="20"/>
          <w:szCs w:val="20"/>
          <w:lang w:val="es-ES"/>
        </w:rPr>
      </w:pPr>
      <w:bookmarkStart w:id="149" w:name="_Toc514172653"/>
      <w:r w:rsidRPr="008B6E5F">
        <w:rPr>
          <w:bCs/>
          <w:i/>
          <w:sz w:val="20"/>
          <w:szCs w:val="20"/>
          <w:lang w:val="es-ES"/>
        </w:rPr>
        <w:t xml:space="preserve">E.2 </w:t>
      </w:r>
      <w:r w:rsidR="00D513F8" w:rsidRPr="008B6E5F">
        <w:rPr>
          <w:bCs/>
          <w:i/>
          <w:sz w:val="20"/>
          <w:szCs w:val="20"/>
          <w:lang w:val="es-ES"/>
        </w:rPr>
        <w:tab/>
      </w:r>
      <w:r w:rsidRPr="008B6E5F">
        <w:rPr>
          <w:bCs/>
          <w:i/>
          <w:sz w:val="20"/>
          <w:szCs w:val="20"/>
          <w:lang w:val="es-ES"/>
        </w:rPr>
        <w:t>Consideraciones de la Corte</w:t>
      </w:r>
      <w:bookmarkEnd w:id="149"/>
    </w:p>
    <w:p w14:paraId="22CF46F6" w14:textId="77777777" w:rsidR="00525DF6" w:rsidRPr="008B6E5F" w:rsidRDefault="00525DF6" w:rsidP="00B5625C">
      <w:pPr>
        <w:widowControl/>
        <w:adjustRightInd/>
        <w:spacing w:line="240" w:lineRule="auto"/>
        <w:textAlignment w:val="auto"/>
        <w:rPr>
          <w:sz w:val="20"/>
          <w:szCs w:val="20"/>
          <w:lang w:val="es-ES" w:eastAsia="en-US"/>
        </w:rPr>
      </w:pPr>
    </w:p>
    <w:p w14:paraId="04E212C7" w14:textId="7BE21EBE" w:rsidR="00525DF6" w:rsidRPr="008B6E5F" w:rsidRDefault="00871008" w:rsidP="00871008">
      <w:pPr>
        <w:widowControl/>
        <w:numPr>
          <w:ilvl w:val="0"/>
          <w:numId w:val="2"/>
        </w:numPr>
        <w:tabs>
          <w:tab w:val="left" w:pos="567"/>
          <w:tab w:val="num" w:pos="12305"/>
        </w:tabs>
        <w:adjustRightInd/>
        <w:spacing w:line="240" w:lineRule="auto"/>
        <w:ind w:left="0" w:firstLine="0"/>
        <w:textAlignment w:val="auto"/>
        <w:rPr>
          <w:sz w:val="20"/>
          <w:lang w:val="es-ES"/>
        </w:rPr>
      </w:pPr>
      <w:r w:rsidRPr="008B6E5F">
        <w:rPr>
          <w:sz w:val="20"/>
          <w:lang w:val="es-ES"/>
        </w:rPr>
        <w:t xml:space="preserve">La Corte considera que el análisis relevante sobre los aspectos adicionales esgrimidos por las representantes, ya </w:t>
      </w:r>
      <w:r w:rsidR="009511ED" w:rsidRPr="008B6E5F">
        <w:rPr>
          <w:sz w:val="20"/>
          <w:lang w:val="es-ES"/>
        </w:rPr>
        <w:t>fueron debidamente considerados</w:t>
      </w:r>
      <w:r w:rsidRPr="008B6E5F">
        <w:rPr>
          <w:sz w:val="20"/>
          <w:lang w:val="es-ES"/>
        </w:rPr>
        <w:t xml:space="preserve"> en los apartados anteriores, por lo que no estima pertinente </w:t>
      </w:r>
      <w:r w:rsidR="00F431D8" w:rsidRPr="008B6E5F">
        <w:rPr>
          <w:sz w:val="20"/>
          <w:lang w:val="es-ES"/>
        </w:rPr>
        <w:t>emitir un pronunciamiento autónomo</w:t>
      </w:r>
      <w:r w:rsidR="00150638" w:rsidRPr="008B6E5F">
        <w:rPr>
          <w:sz w:val="20"/>
          <w:lang w:val="es-ES"/>
        </w:rPr>
        <w:t xml:space="preserve"> sobre su alegada violación</w:t>
      </w:r>
      <w:r w:rsidRPr="008B6E5F">
        <w:rPr>
          <w:sz w:val="20"/>
          <w:lang w:val="es-ES"/>
        </w:rPr>
        <w:t>.</w:t>
      </w:r>
    </w:p>
    <w:p w14:paraId="6FF713BD" w14:textId="77777777" w:rsidR="00871008" w:rsidRPr="008B6E5F" w:rsidRDefault="00871008" w:rsidP="00B5625C">
      <w:pPr>
        <w:widowControl/>
        <w:adjustRightInd/>
        <w:spacing w:line="240" w:lineRule="auto"/>
        <w:textAlignment w:val="auto"/>
        <w:rPr>
          <w:sz w:val="20"/>
          <w:szCs w:val="20"/>
          <w:lang w:val="es-ES" w:eastAsia="en-US"/>
        </w:rPr>
      </w:pPr>
    </w:p>
    <w:p w14:paraId="74BD2362" w14:textId="50027051" w:rsidR="00BB428E" w:rsidRPr="008B6E5F" w:rsidRDefault="00BB428E" w:rsidP="00681AE9">
      <w:pPr>
        <w:pStyle w:val="ListParagraph"/>
        <w:keepNext/>
        <w:keepLines/>
        <w:widowControl/>
        <w:numPr>
          <w:ilvl w:val="0"/>
          <w:numId w:val="16"/>
        </w:numPr>
        <w:tabs>
          <w:tab w:val="left" w:pos="1134"/>
        </w:tabs>
        <w:autoSpaceDE w:val="0"/>
        <w:autoSpaceDN w:val="0"/>
        <w:adjustRightInd/>
        <w:spacing w:line="240" w:lineRule="auto"/>
        <w:ind w:left="1134" w:hanging="567"/>
        <w:textAlignment w:val="auto"/>
        <w:outlineLvl w:val="1"/>
        <w:rPr>
          <w:rFonts w:eastAsia="MS Mincho" w:cs="Arial"/>
          <w:b/>
          <w:bCs/>
          <w:i/>
          <w:kern w:val="2"/>
          <w:sz w:val="20"/>
          <w:szCs w:val="20"/>
          <w:lang w:val="es-ES" w:eastAsia="en-US"/>
        </w:rPr>
      </w:pPr>
      <w:bookmarkStart w:id="150" w:name="_Toc514172654"/>
      <w:r w:rsidRPr="008B6E5F">
        <w:rPr>
          <w:rFonts w:eastAsia="MS Mincho" w:cs="Arial"/>
          <w:b/>
          <w:bCs/>
          <w:i/>
          <w:kern w:val="2"/>
          <w:sz w:val="20"/>
          <w:szCs w:val="20"/>
          <w:lang w:val="es-ES" w:eastAsia="en-US"/>
        </w:rPr>
        <w:t>Conclusión</w:t>
      </w:r>
      <w:bookmarkEnd w:id="150"/>
    </w:p>
    <w:p w14:paraId="17034BD5" w14:textId="77777777" w:rsidR="00BB428E" w:rsidRPr="008B6E5F" w:rsidRDefault="00BB428E" w:rsidP="00B5625C">
      <w:pPr>
        <w:widowControl/>
        <w:adjustRightInd/>
        <w:spacing w:line="240" w:lineRule="auto"/>
        <w:textAlignment w:val="auto"/>
        <w:rPr>
          <w:sz w:val="20"/>
          <w:szCs w:val="20"/>
          <w:lang w:val="es-ES" w:eastAsia="en-US"/>
        </w:rPr>
      </w:pPr>
    </w:p>
    <w:p w14:paraId="7480ED23" w14:textId="7FAC1539" w:rsidR="00BB428E" w:rsidRPr="00975C02" w:rsidRDefault="00BB428E" w:rsidP="00BB428E">
      <w:pPr>
        <w:widowControl/>
        <w:numPr>
          <w:ilvl w:val="0"/>
          <w:numId w:val="2"/>
        </w:numPr>
        <w:tabs>
          <w:tab w:val="left" w:pos="567"/>
          <w:tab w:val="num" w:pos="12305"/>
        </w:tabs>
        <w:adjustRightInd/>
        <w:spacing w:line="240" w:lineRule="auto"/>
        <w:ind w:left="0" w:firstLine="0"/>
        <w:textAlignment w:val="auto"/>
        <w:rPr>
          <w:kern w:val="2"/>
          <w:sz w:val="20"/>
          <w:szCs w:val="20"/>
          <w:lang w:val="es-ES" w:eastAsia="en-US"/>
        </w:rPr>
      </w:pPr>
      <w:r w:rsidRPr="008B6E5F">
        <w:rPr>
          <w:kern w:val="2"/>
          <w:sz w:val="20"/>
          <w:szCs w:val="20"/>
          <w:lang w:val="es-ES" w:eastAsia="en-US"/>
        </w:rPr>
        <w:t xml:space="preserve">Con base en todo lo señalado, la Corte concluye que el Estado de Nicaragua no actuó con debida diligencia </w:t>
      </w:r>
      <w:r w:rsidR="00935EC2" w:rsidRPr="008B6E5F">
        <w:rPr>
          <w:kern w:val="2"/>
          <w:sz w:val="20"/>
          <w:szCs w:val="20"/>
          <w:lang w:val="es-ES" w:eastAsia="en-US"/>
        </w:rPr>
        <w:t xml:space="preserve">reforzada </w:t>
      </w:r>
      <w:r w:rsidR="001D6D2A" w:rsidRPr="008B6E5F">
        <w:rPr>
          <w:kern w:val="2"/>
          <w:sz w:val="20"/>
          <w:szCs w:val="20"/>
          <w:lang w:val="es-ES" w:eastAsia="en-US"/>
        </w:rPr>
        <w:t xml:space="preserve">y protección especial requerida </w:t>
      </w:r>
      <w:r w:rsidRPr="008B6E5F">
        <w:rPr>
          <w:kern w:val="2"/>
          <w:sz w:val="20"/>
          <w:szCs w:val="20"/>
          <w:lang w:val="es-ES" w:eastAsia="en-US"/>
        </w:rPr>
        <w:t xml:space="preserve">en las investigaciones y proceso penal por la violación sexual de la niña V.R.P., lo cual conllevó a la comisión de actos violatorios de sus derechos a la integridad personal, </w:t>
      </w:r>
      <w:r w:rsidR="00D61200" w:rsidRPr="008B6E5F">
        <w:rPr>
          <w:kern w:val="2"/>
          <w:sz w:val="20"/>
          <w:szCs w:val="20"/>
          <w:lang w:val="es-ES" w:eastAsia="en-US"/>
        </w:rPr>
        <w:t>a las gara</w:t>
      </w:r>
      <w:r w:rsidR="00D61200" w:rsidRPr="00975C02">
        <w:rPr>
          <w:kern w:val="2"/>
          <w:sz w:val="20"/>
          <w:szCs w:val="20"/>
          <w:lang w:val="es-ES" w:eastAsia="en-US"/>
        </w:rPr>
        <w:t>ntías judiciales, a la vida privada y familiar ,y a la protección judicial</w:t>
      </w:r>
      <w:r w:rsidRPr="00975C02">
        <w:rPr>
          <w:kern w:val="2"/>
          <w:sz w:val="20"/>
          <w:szCs w:val="20"/>
          <w:lang w:val="es-ES" w:eastAsia="en-US"/>
        </w:rPr>
        <w:t>, reco</w:t>
      </w:r>
      <w:r w:rsidR="00D61200" w:rsidRPr="00975C02">
        <w:rPr>
          <w:kern w:val="2"/>
          <w:sz w:val="20"/>
          <w:szCs w:val="20"/>
          <w:lang w:val="es-ES" w:eastAsia="en-US"/>
        </w:rPr>
        <w:t>noc</w:t>
      </w:r>
      <w:r w:rsidRPr="00975C02">
        <w:rPr>
          <w:kern w:val="2"/>
          <w:sz w:val="20"/>
          <w:szCs w:val="20"/>
          <w:lang w:val="es-ES" w:eastAsia="en-US"/>
        </w:rPr>
        <w:t>idos en los artículos 5.1,</w:t>
      </w:r>
      <w:r w:rsidR="00464B78" w:rsidRPr="00975C02">
        <w:rPr>
          <w:kern w:val="2"/>
          <w:sz w:val="20"/>
          <w:szCs w:val="20"/>
          <w:lang w:val="es-ES" w:eastAsia="en-US"/>
        </w:rPr>
        <w:t xml:space="preserve"> 5.2,</w:t>
      </w:r>
      <w:r w:rsidR="00D61200" w:rsidRPr="00975C02">
        <w:rPr>
          <w:kern w:val="2"/>
          <w:sz w:val="20"/>
          <w:szCs w:val="20"/>
          <w:lang w:val="es-ES" w:eastAsia="en-US"/>
        </w:rPr>
        <w:t xml:space="preserve"> 8.1,</w:t>
      </w:r>
      <w:r w:rsidRPr="00975C02">
        <w:rPr>
          <w:kern w:val="2"/>
          <w:sz w:val="20"/>
          <w:szCs w:val="20"/>
          <w:lang w:val="es-ES" w:eastAsia="en-US"/>
        </w:rPr>
        <w:t xml:space="preserve"> 11.2 y </w:t>
      </w:r>
      <w:r w:rsidR="00D61200" w:rsidRPr="00975C02">
        <w:rPr>
          <w:kern w:val="2"/>
          <w:sz w:val="20"/>
          <w:szCs w:val="20"/>
          <w:lang w:val="es-ES" w:eastAsia="en-US"/>
        </w:rPr>
        <w:t>25.1</w:t>
      </w:r>
      <w:r w:rsidRPr="00975C02">
        <w:rPr>
          <w:kern w:val="2"/>
          <w:sz w:val="20"/>
          <w:szCs w:val="20"/>
          <w:lang w:val="es-ES" w:eastAsia="en-US"/>
        </w:rPr>
        <w:t xml:space="preserve"> de la Convención Americana, en relación con los artículos 1.1 </w:t>
      </w:r>
      <w:r w:rsidR="00D61200" w:rsidRPr="00975C02">
        <w:rPr>
          <w:kern w:val="2"/>
          <w:sz w:val="20"/>
          <w:szCs w:val="20"/>
          <w:lang w:val="es-ES" w:eastAsia="en-US"/>
        </w:rPr>
        <w:t xml:space="preserve">y 19 </w:t>
      </w:r>
      <w:r w:rsidRPr="00975C02">
        <w:rPr>
          <w:kern w:val="2"/>
          <w:sz w:val="20"/>
          <w:szCs w:val="20"/>
          <w:lang w:val="es-ES" w:eastAsia="en-US"/>
        </w:rPr>
        <w:t>del mismo instrumento</w:t>
      </w:r>
      <w:r w:rsidR="00100F58" w:rsidRPr="00975C02">
        <w:rPr>
          <w:kern w:val="2"/>
          <w:sz w:val="20"/>
          <w:szCs w:val="20"/>
          <w:lang w:val="es-ES" w:eastAsia="en-US"/>
        </w:rPr>
        <w:t xml:space="preserve"> y las obligaciones contenidas en el 7.b) de la Convención de Belém do Pará</w:t>
      </w:r>
      <w:r w:rsidR="00464B78" w:rsidRPr="00975C02">
        <w:rPr>
          <w:kern w:val="2"/>
          <w:sz w:val="20"/>
          <w:szCs w:val="20"/>
          <w:lang w:val="es-ES" w:eastAsia="en-US"/>
        </w:rPr>
        <w:t>, en perjuicio de V.R.P. y V.P.C.</w:t>
      </w:r>
    </w:p>
    <w:p w14:paraId="111651DA" w14:textId="77777777" w:rsidR="00BB428E" w:rsidRPr="00975C02" w:rsidRDefault="00BB428E" w:rsidP="00B5625C">
      <w:pPr>
        <w:widowControl/>
        <w:adjustRightInd/>
        <w:spacing w:line="240" w:lineRule="auto"/>
        <w:textAlignment w:val="auto"/>
        <w:rPr>
          <w:sz w:val="20"/>
          <w:szCs w:val="20"/>
          <w:lang w:val="es-ES" w:eastAsia="en-US"/>
        </w:rPr>
      </w:pPr>
    </w:p>
    <w:p w14:paraId="204ECEAC" w14:textId="77777777" w:rsidR="00B5625C" w:rsidRPr="00975C02" w:rsidRDefault="00B5625C" w:rsidP="009A3E37">
      <w:pPr>
        <w:keepNext/>
        <w:keepLines/>
        <w:widowControl/>
        <w:tabs>
          <w:tab w:val="left" w:pos="851"/>
        </w:tabs>
        <w:autoSpaceDE w:val="0"/>
        <w:autoSpaceDN w:val="0"/>
        <w:adjustRightInd/>
        <w:spacing w:line="240" w:lineRule="auto"/>
        <w:jc w:val="center"/>
        <w:textAlignment w:val="auto"/>
        <w:outlineLvl w:val="0"/>
        <w:rPr>
          <w:rFonts w:cs="Arial"/>
          <w:b/>
          <w:bCs/>
          <w:caps/>
          <w:kern w:val="2"/>
          <w:sz w:val="20"/>
          <w:szCs w:val="20"/>
          <w:lang w:val="es-ES" w:eastAsia="en-US"/>
        </w:rPr>
      </w:pPr>
      <w:bookmarkStart w:id="151" w:name="_Toc514172655"/>
      <w:r w:rsidRPr="00975C02">
        <w:rPr>
          <w:rFonts w:cs="Arial"/>
          <w:b/>
          <w:bCs/>
          <w:caps/>
          <w:kern w:val="2"/>
          <w:sz w:val="20"/>
          <w:szCs w:val="20"/>
          <w:lang w:val="es-ES" w:eastAsia="en-US"/>
        </w:rPr>
        <w:lastRenderedPageBreak/>
        <w:t>VIII-</w:t>
      </w:r>
      <w:r w:rsidR="0049359E" w:rsidRPr="00975C02">
        <w:rPr>
          <w:rFonts w:cs="Arial"/>
          <w:b/>
          <w:bCs/>
          <w:caps/>
          <w:kern w:val="2"/>
          <w:sz w:val="20"/>
          <w:szCs w:val="20"/>
          <w:lang w:val="es-ES" w:eastAsia="en-US"/>
        </w:rPr>
        <w:t>2</w:t>
      </w:r>
      <w:r w:rsidRPr="00975C02">
        <w:rPr>
          <w:rFonts w:cs="Arial"/>
          <w:b/>
          <w:bCs/>
          <w:caps/>
          <w:kern w:val="2"/>
          <w:sz w:val="20"/>
          <w:szCs w:val="20"/>
          <w:lang w:val="es-ES" w:eastAsia="en-US"/>
        </w:rPr>
        <w:br/>
      </w:r>
      <w:bookmarkStart w:id="152" w:name="_Toc493511343"/>
      <w:r w:rsidR="009A3E37" w:rsidRPr="00975C02">
        <w:rPr>
          <w:rFonts w:cs="Arial"/>
          <w:b/>
          <w:bCs/>
          <w:caps/>
          <w:kern w:val="2"/>
          <w:sz w:val="20"/>
          <w:szCs w:val="20"/>
          <w:lang w:val="es-ES" w:eastAsia="en-US"/>
        </w:rPr>
        <w:t>DERECHOS DE RESIDENCIA</w:t>
      </w:r>
      <w:r w:rsidR="009A3E37" w:rsidRPr="00975C02">
        <w:rPr>
          <w:rStyle w:val="FootnoteReference"/>
          <w:rFonts w:cs="Arial"/>
          <w:b/>
          <w:bCs/>
          <w:caps/>
          <w:kern w:val="2"/>
          <w:sz w:val="20"/>
          <w:szCs w:val="20"/>
          <w:lang w:val="es-ES" w:eastAsia="en-US"/>
        </w:rPr>
        <w:footnoteReference w:id="383"/>
      </w:r>
      <w:r w:rsidR="009A3E37" w:rsidRPr="00975C02">
        <w:rPr>
          <w:rFonts w:cs="Arial"/>
          <w:b/>
          <w:bCs/>
          <w:caps/>
          <w:kern w:val="2"/>
          <w:sz w:val="20"/>
          <w:szCs w:val="20"/>
          <w:lang w:val="es-ES" w:eastAsia="en-US"/>
        </w:rPr>
        <w:t>, A LA PROTECCIÓN A LA FAMILIA</w:t>
      </w:r>
      <w:r w:rsidR="009A3E37" w:rsidRPr="00975C02">
        <w:rPr>
          <w:rStyle w:val="FootnoteReference"/>
          <w:rFonts w:cs="Arial"/>
          <w:b/>
          <w:bCs/>
          <w:caps/>
          <w:kern w:val="2"/>
          <w:sz w:val="20"/>
          <w:szCs w:val="20"/>
          <w:lang w:val="es-ES" w:eastAsia="en-US"/>
        </w:rPr>
        <w:footnoteReference w:id="384"/>
      </w:r>
      <w:r w:rsidR="009A3E37" w:rsidRPr="00975C02">
        <w:rPr>
          <w:rFonts w:cs="Arial"/>
          <w:b/>
          <w:bCs/>
          <w:caps/>
          <w:kern w:val="2"/>
          <w:sz w:val="20"/>
          <w:szCs w:val="20"/>
          <w:lang w:val="es-ES" w:eastAsia="en-US"/>
        </w:rPr>
        <w:t>, Y A LAS MEDIDAS ESPECIALES DE PROTECCIÓN DE NIÑAS</w:t>
      </w:r>
      <w:r w:rsidR="009A3E37" w:rsidRPr="00975C02">
        <w:rPr>
          <w:rStyle w:val="FootnoteReference"/>
          <w:rFonts w:cs="Arial"/>
          <w:b/>
          <w:bCs/>
          <w:caps/>
          <w:kern w:val="2"/>
          <w:sz w:val="20"/>
          <w:szCs w:val="20"/>
          <w:lang w:val="es-ES" w:eastAsia="en-US"/>
        </w:rPr>
        <w:footnoteReference w:id="385"/>
      </w:r>
      <w:r w:rsidR="009A3E37" w:rsidRPr="00975C02">
        <w:rPr>
          <w:rFonts w:cs="Arial"/>
          <w:b/>
          <w:bCs/>
          <w:caps/>
          <w:kern w:val="2"/>
          <w:sz w:val="20"/>
          <w:szCs w:val="20"/>
          <w:lang w:val="es-ES" w:eastAsia="en-US"/>
        </w:rPr>
        <w:t xml:space="preserve"> EN RELACIÓN CON LAS</w:t>
      </w:r>
      <w:r w:rsidR="000E7ECB" w:rsidRPr="00975C02">
        <w:rPr>
          <w:rFonts w:cs="Arial"/>
          <w:b/>
          <w:bCs/>
          <w:caps/>
          <w:kern w:val="2"/>
          <w:sz w:val="20"/>
          <w:szCs w:val="20"/>
          <w:lang w:val="es-ES" w:eastAsia="en-US"/>
        </w:rPr>
        <w:t xml:space="preserve"> OBLIGACIONES DE RESPETAR</w:t>
      </w:r>
      <w:r w:rsidR="009A3E37" w:rsidRPr="00975C02">
        <w:rPr>
          <w:rFonts w:cs="Arial"/>
          <w:b/>
          <w:bCs/>
          <w:caps/>
          <w:kern w:val="2"/>
          <w:sz w:val="20"/>
          <w:szCs w:val="20"/>
          <w:lang w:val="es-ES" w:eastAsia="en-US"/>
        </w:rPr>
        <w:t xml:space="preserve"> Y GARANT</w:t>
      </w:r>
      <w:r w:rsidR="000E7ECB" w:rsidRPr="00975C02">
        <w:rPr>
          <w:rFonts w:cs="Arial"/>
          <w:b/>
          <w:bCs/>
          <w:caps/>
          <w:kern w:val="2"/>
          <w:sz w:val="20"/>
          <w:szCs w:val="20"/>
          <w:lang w:val="es-ES" w:eastAsia="en-US"/>
        </w:rPr>
        <w:t>IZAR LOS DERECHOS</w:t>
      </w:r>
      <w:bookmarkEnd w:id="151"/>
    </w:p>
    <w:bookmarkEnd w:id="152"/>
    <w:p w14:paraId="0A5B51FD" w14:textId="77777777" w:rsidR="00B5625C" w:rsidRPr="00975C02" w:rsidRDefault="00B5625C" w:rsidP="00B5625C">
      <w:pPr>
        <w:widowControl/>
        <w:adjustRightInd/>
        <w:spacing w:line="240" w:lineRule="auto"/>
        <w:textAlignment w:val="auto"/>
        <w:rPr>
          <w:rFonts w:eastAsiaTheme="minorHAnsi" w:cs="Arial"/>
          <w:b/>
          <w:sz w:val="20"/>
          <w:szCs w:val="20"/>
          <w:lang w:val="es-ES" w:eastAsia="en-US"/>
        </w:rPr>
      </w:pPr>
    </w:p>
    <w:p w14:paraId="6C64FE8B" w14:textId="77777777" w:rsidR="00B5625C" w:rsidRPr="00975C02" w:rsidRDefault="00B5625C" w:rsidP="00B5625C">
      <w:pPr>
        <w:keepNext/>
        <w:keepLines/>
        <w:widowControl/>
        <w:tabs>
          <w:tab w:val="left" w:pos="1134"/>
        </w:tabs>
        <w:autoSpaceDE w:val="0"/>
        <w:autoSpaceDN w:val="0"/>
        <w:adjustRightInd/>
        <w:spacing w:line="240" w:lineRule="auto"/>
        <w:ind w:left="567" w:firstLine="1"/>
        <w:jc w:val="left"/>
        <w:textAlignment w:val="auto"/>
        <w:outlineLvl w:val="1"/>
        <w:rPr>
          <w:rFonts w:eastAsia="MS Mincho" w:cs="Arial"/>
          <w:b/>
          <w:bCs/>
          <w:i/>
          <w:kern w:val="2"/>
          <w:sz w:val="20"/>
          <w:szCs w:val="20"/>
          <w:lang w:val="es-ES" w:eastAsia="en-US"/>
        </w:rPr>
      </w:pPr>
      <w:bookmarkStart w:id="153" w:name="_Toc514172656"/>
      <w:r w:rsidRPr="00975C02">
        <w:rPr>
          <w:rFonts w:eastAsia="MS Mincho" w:cs="Arial"/>
          <w:b/>
          <w:bCs/>
          <w:i/>
          <w:kern w:val="2"/>
          <w:sz w:val="20"/>
          <w:szCs w:val="20"/>
          <w:lang w:val="es-ES" w:eastAsia="en-US"/>
        </w:rPr>
        <w:t>A.</w:t>
      </w:r>
      <w:r w:rsidRPr="00975C02">
        <w:rPr>
          <w:rFonts w:eastAsia="MS Mincho" w:cs="Arial"/>
          <w:b/>
          <w:bCs/>
          <w:i/>
          <w:kern w:val="2"/>
          <w:sz w:val="20"/>
          <w:szCs w:val="20"/>
          <w:lang w:val="es-ES" w:eastAsia="en-US"/>
        </w:rPr>
        <w:tab/>
        <w:t>Argumentos de las partes y de la Comisión</w:t>
      </w:r>
      <w:bookmarkEnd w:id="153"/>
    </w:p>
    <w:p w14:paraId="79861E11" w14:textId="77777777" w:rsidR="00B5625C" w:rsidRPr="00975C02" w:rsidRDefault="00B5625C" w:rsidP="00B5625C">
      <w:pPr>
        <w:widowControl/>
        <w:adjustRightInd/>
        <w:spacing w:line="240" w:lineRule="auto"/>
        <w:textAlignment w:val="auto"/>
        <w:rPr>
          <w:rFonts w:eastAsiaTheme="minorHAnsi" w:cs="Arial"/>
          <w:b/>
          <w:sz w:val="20"/>
          <w:szCs w:val="20"/>
          <w:lang w:val="es-ES" w:eastAsia="en-US"/>
        </w:rPr>
      </w:pPr>
    </w:p>
    <w:p w14:paraId="293C70E2" w14:textId="77777777" w:rsidR="00B5625C" w:rsidRPr="00975C02" w:rsidRDefault="00B5625C" w:rsidP="009A3E37">
      <w:pPr>
        <w:widowControl/>
        <w:numPr>
          <w:ilvl w:val="0"/>
          <w:numId w:val="2"/>
        </w:numPr>
        <w:tabs>
          <w:tab w:val="left" w:pos="567"/>
          <w:tab w:val="num" w:pos="12305"/>
        </w:tabs>
        <w:adjustRightInd/>
        <w:spacing w:line="240" w:lineRule="auto"/>
        <w:ind w:left="0" w:firstLine="0"/>
        <w:textAlignment w:val="auto"/>
        <w:rPr>
          <w:rFonts w:eastAsiaTheme="minorHAnsi" w:cs="Arial"/>
          <w:sz w:val="20"/>
          <w:szCs w:val="20"/>
          <w:lang w:val="es-ES" w:eastAsia="en-US"/>
        </w:rPr>
      </w:pPr>
      <w:r w:rsidRPr="00975C02">
        <w:rPr>
          <w:rFonts w:eastAsia="Batang" w:cs="Arial"/>
          <w:sz w:val="20"/>
          <w:szCs w:val="20"/>
          <w:lang w:val="es-ES" w:eastAsia="es-MX"/>
        </w:rPr>
        <w:t>La</w:t>
      </w:r>
      <w:r w:rsidRPr="00975C02">
        <w:rPr>
          <w:rFonts w:eastAsiaTheme="minorHAnsi" w:cs="Arial"/>
          <w:sz w:val="20"/>
          <w:szCs w:val="20"/>
          <w:lang w:val="es-ES" w:eastAsia="en-US"/>
        </w:rPr>
        <w:t xml:space="preserve"> </w:t>
      </w:r>
      <w:r w:rsidRPr="00975C02">
        <w:rPr>
          <w:rFonts w:eastAsiaTheme="minorHAnsi" w:cs="Arial"/>
          <w:b/>
          <w:i/>
          <w:sz w:val="20"/>
          <w:szCs w:val="20"/>
          <w:lang w:val="es-ES" w:eastAsia="en-US"/>
        </w:rPr>
        <w:t>Comisión</w:t>
      </w:r>
      <w:r w:rsidRPr="00975C02">
        <w:rPr>
          <w:rFonts w:eastAsiaTheme="minorHAnsi" w:cs="Arial"/>
          <w:sz w:val="20"/>
          <w:szCs w:val="20"/>
          <w:lang w:val="es-ES" w:eastAsia="en-US"/>
        </w:rPr>
        <w:t xml:space="preserve"> no se pronunció </w:t>
      </w:r>
      <w:r w:rsidRPr="00975C02">
        <w:rPr>
          <w:rFonts w:eastAsia="Batang" w:cs="Arial"/>
          <w:sz w:val="20"/>
          <w:szCs w:val="20"/>
          <w:lang w:val="es-ES" w:eastAsia="es-MX"/>
        </w:rPr>
        <w:t>respecto</w:t>
      </w:r>
      <w:r w:rsidRPr="00975C02">
        <w:rPr>
          <w:rFonts w:eastAsiaTheme="minorHAnsi" w:cs="Arial"/>
          <w:sz w:val="20"/>
          <w:szCs w:val="20"/>
          <w:lang w:val="es-ES" w:eastAsia="en-US"/>
        </w:rPr>
        <w:t xml:space="preserve"> a este punto.</w:t>
      </w:r>
    </w:p>
    <w:p w14:paraId="0EC34793" w14:textId="77777777" w:rsidR="00495E03" w:rsidRPr="00975C02" w:rsidRDefault="00495E03" w:rsidP="006E0342">
      <w:pPr>
        <w:widowControl/>
        <w:adjustRightInd/>
        <w:spacing w:line="240" w:lineRule="auto"/>
        <w:textAlignment w:val="auto"/>
        <w:rPr>
          <w:rFonts w:eastAsiaTheme="minorHAnsi" w:cs="Arial"/>
          <w:b/>
          <w:sz w:val="20"/>
          <w:szCs w:val="20"/>
          <w:lang w:val="es-ES" w:eastAsia="en-US"/>
        </w:rPr>
      </w:pPr>
    </w:p>
    <w:p w14:paraId="749D9217" w14:textId="4CD09F1F" w:rsidR="00495E03" w:rsidRPr="00975C02" w:rsidRDefault="00495E03" w:rsidP="00495E03">
      <w:pPr>
        <w:widowControl/>
        <w:numPr>
          <w:ilvl w:val="0"/>
          <w:numId w:val="2"/>
        </w:numPr>
        <w:tabs>
          <w:tab w:val="left" w:pos="567"/>
          <w:tab w:val="num" w:pos="12305"/>
        </w:tabs>
        <w:autoSpaceDE w:val="0"/>
        <w:autoSpaceDN w:val="0"/>
        <w:spacing w:line="240" w:lineRule="auto"/>
        <w:ind w:left="0" w:firstLine="0"/>
        <w:textAlignment w:val="auto"/>
        <w:rPr>
          <w:rFonts w:eastAsiaTheme="minorHAnsi" w:cs="Arial"/>
          <w:lang w:val="es-ES"/>
        </w:rPr>
      </w:pPr>
      <w:r w:rsidRPr="00975C02">
        <w:rPr>
          <w:rFonts w:eastAsia="Batang" w:cs="Arial"/>
          <w:sz w:val="20"/>
          <w:szCs w:val="20"/>
          <w:lang w:val="es-ES" w:eastAsia="es-MX"/>
        </w:rPr>
        <w:t>Las</w:t>
      </w:r>
      <w:r w:rsidRPr="00975C02">
        <w:rPr>
          <w:rFonts w:eastAsia="MS Mincho" w:cs="Arial"/>
          <w:sz w:val="20"/>
          <w:szCs w:val="20"/>
          <w:lang w:val="es-ES"/>
        </w:rPr>
        <w:t xml:space="preserve"> </w:t>
      </w:r>
      <w:r w:rsidRPr="00975C02">
        <w:rPr>
          <w:rFonts w:eastAsia="MS Mincho" w:cs="Arial"/>
          <w:b/>
          <w:i/>
          <w:sz w:val="20"/>
          <w:szCs w:val="20"/>
          <w:lang w:val="es-ES"/>
        </w:rPr>
        <w:t>representantes</w:t>
      </w:r>
      <w:r w:rsidRPr="00975C02">
        <w:rPr>
          <w:rFonts w:eastAsia="MS Mincho" w:cs="Arial"/>
          <w:sz w:val="20"/>
          <w:szCs w:val="20"/>
          <w:lang w:val="es-ES"/>
        </w:rPr>
        <w:t xml:space="preserve"> señalaron que la señora V.P.C. fue denunciada por los delitos de injurias y calumnias</w:t>
      </w:r>
      <w:r w:rsidRPr="00975C02" w:rsidDel="009E7F35">
        <w:rPr>
          <w:rFonts w:eastAsia="MS Mincho" w:cs="Arial"/>
          <w:sz w:val="20"/>
          <w:szCs w:val="20"/>
          <w:lang w:val="es-ES"/>
        </w:rPr>
        <w:t xml:space="preserve"> </w:t>
      </w:r>
      <w:r w:rsidRPr="00975C02">
        <w:rPr>
          <w:rFonts w:eastAsia="MS Mincho" w:cs="Arial"/>
          <w:sz w:val="20"/>
          <w:szCs w:val="20"/>
          <w:lang w:val="es-ES"/>
        </w:rPr>
        <w:t xml:space="preserve">por diferentes servidores públicos que intervinieron en el procedimiento. Además, indicaron que la niña V.R.P. dejó de asistir al colegio porque sentía vergüenza y miedo al rechazo, y que tenían </w:t>
      </w:r>
      <w:r w:rsidR="00E96D8C">
        <w:rPr>
          <w:rFonts w:eastAsia="MS Mincho" w:cs="Arial"/>
          <w:sz w:val="20"/>
          <w:szCs w:val="20"/>
          <w:lang w:val="es-ES"/>
        </w:rPr>
        <w:t>temor</w:t>
      </w:r>
      <w:r w:rsidRPr="00975C02">
        <w:rPr>
          <w:rFonts w:eastAsia="MS Mincho" w:cs="Arial"/>
          <w:sz w:val="20"/>
          <w:szCs w:val="20"/>
          <w:lang w:val="es-ES"/>
        </w:rPr>
        <w:t xml:space="preserve"> de que la señora V.P.C. fuera a prisión y que “el agresor se quedara con la custodia de la niña y continuara haciéndole daño”</w:t>
      </w:r>
      <w:r w:rsidR="006E0342" w:rsidRPr="00975C02">
        <w:rPr>
          <w:rFonts w:eastAsia="MS Mincho" w:cs="Arial"/>
          <w:sz w:val="20"/>
          <w:szCs w:val="20"/>
          <w:lang w:val="es-ES"/>
        </w:rPr>
        <w:t>.</w:t>
      </w:r>
      <w:r w:rsidRPr="00975C02">
        <w:rPr>
          <w:rFonts w:eastAsia="MS Mincho" w:cs="Arial"/>
          <w:sz w:val="20"/>
          <w:szCs w:val="20"/>
          <w:lang w:val="es-ES"/>
        </w:rPr>
        <w:t xml:space="preserve"> Sostuvieron que, ante tales circunstancias, en diciembre de 2002 la señora V.P.C. “tuvo que abandonar y huir de Nicaragua” junto a sus hijas V.R.P. y N.R.P. debido a la “persecución del Poder Judicial politizado en su contra, persecución religiosa por ser mormona y persecución de género”, y recibieron asilo en los Estados Unidos. </w:t>
      </w:r>
      <w:r w:rsidRPr="00975C02">
        <w:rPr>
          <w:rFonts w:eastAsiaTheme="minorHAnsi" w:cs="Arial"/>
          <w:sz w:val="20"/>
          <w:szCs w:val="20"/>
          <w:lang w:val="es-ES"/>
        </w:rPr>
        <w:t xml:space="preserve">Alegaron que el Estado no prestó la protección debida a la familia, ya </w:t>
      </w:r>
      <w:r w:rsidRPr="00975C02">
        <w:rPr>
          <w:rFonts w:eastAsia="MS Mincho" w:cs="Arial"/>
          <w:sz w:val="20"/>
          <w:szCs w:val="20"/>
          <w:lang w:val="es-ES"/>
        </w:rPr>
        <w:t>que</w:t>
      </w:r>
      <w:r w:rsidRPr="00975C02">
        <w:rPr>
          <w:rFonts w:eastAsiaTheme="minorHAnsi" w:cs="Arial"/>
          <w:sz w:val="20"/>
          <w:szCs w:val="20"/>
          <w:lang w:val="es-ES"/>
        </w:rPr>
        <w:t xml:space="preserve"> “las denuncias y amenazas que provenían de los servidores públicos que participaron en dicho proceso” </w:t>
      </w:r>
      <w:r w:rsidR="00D57585" w:rsidRPr="00975C02">
        <w:rPr>
          <w:rFonts w:eastAsiaTheme="minorHAnsi" w:cs="Arial"/>
          <w:sz w:val="20"/>
          <w:szCs w:val="20"/>
          <w:lang w:val="es-ES"/>
        </w:rPr>
        <w:t>trajeron</w:t>
      </w:r>
      <w:r w:rsidRPr="00975C02">
        <w:rPr>
          <w:rFonts w:eastAsiaTheme="minorHAnsi" w:cs="Arial"/>
          <w:sz w:val="20"/>
          <w:szCs w:val="20"/>
          <w:lang w:val="es-ES"/>
        </w:rPr>
        <w:t xml:space="preserve"> como consecuencia el desplazamiento de algunos integrantes de la familia</w:t>
      </w:r>
      <w:r w:rsidR="006E0342" w:rsidRPr="00975C02">
        <w:rPr>
          <w:rFonts w:eastAsiaTheme="minorHAnsi" w:cs="Arial"/>
          <w:sz w:val="20"/>
          <w:szCs w:val="20"/>
          <w:lang w:val="es-ES"/>
        </w:rPr>
        <w:t>.</w:t>
      </w:r>
      <w:r w:rsidRPr="00975C02">
        <w:rPr>
          <w:rFonts w:eastAsiaTheme="minorHAnsi" w:cs="Arial"/>
          <w:lang w:val="es-ES"/>
        </w:rPr>
        <w:t xml:space="preserve"> </w:t>
      </w:r>
      <w:r w:rsidRPr="00975C02">
        <w:rPr>
          <w:rFonts w:eastAsia="MS Mincho" w:cs="Arial"/>
          <w:sz w:val="20"/>
          <w:szCs w:val="20"/>
          <w:lang w:val="es-ES"/>
        </w:rPr>
        <w:t>Señalaron que V.R.P., su madre y hermana quedaron sin vivienda. Asimismo, manifestaron que existió un desarraigo de su comunidad, la fragmentación del núcleo familiar y la pérdida de la figura esencial de la madre, quien era la única que velaba por sus hijos</w:t>
      </w:r>
      <w:r w:rsidR="006E0342" w:rsidRPr="00975C02">
        <w:rPr>
          <w:rFonts w:eastAsia="MS Mincho" w:cs="Arial"/>
          <w:sz w:val="20"/>
          <w:szCs w:val="20"/>
          <w:lang w:val="es-ES"/>
        </w:rPr>
        <w:t>.</w:t>
      </w:r>
      <w:r w:rsidRPr="00975C02">
        <w:rPr>
          <w:rFonts w:eastAsiaTheme="minorHAnsi" w:cs="Arial"/>
          <w:lang w:val="es-ES"/>
        </w:rPr>
        <w:t xml:space="preserve"> </w:t>
      </w:r>
      <w:r w:rsidRPr="00975C02">
        <w:rPr>
          <w:rFonts w:eastAsiaTheme="minorHAnsi" w:cs="Arial"/>
          <w:sz w:val="20"/>
          <w:szCs w:val="20"/>
          <w:lang w:val="es-ES"/>
        </w:rPr>
        <w:t xml:space="preserve">Por lo anterior, las representantes alegaron que el Estado violó los artículos 1.1, 17.1, </w:t>
      </w:r>
      <w:r w:rsidR="000377EA" w:rsidRPr="00975C02">
        <w:rPr>
          <w:rFonts w:eastAsiaTheme="minorHAnsi" w:cs="Arial"/>
          <w:sz w:val="20"/>
          <w:szCs w:val="20"/>
          <w:lang w:val="es-ES"/>
        </w:rPr>
        <w:t xml:space="preserve">12.1, </w:t>
      </w:r>
      <w:r w:rsidRPr="00975C02">
        <w:rPr>
          <w:rFonts w:eastAsiaTheme="minorHAnsi" w:cs="Arial"/>
          <w:sz w:val="20"/>
          <w:szCs w:val="20"/>
          <w:lang w:val="es-ES"/>
        </w:rPr>
        <w:t>19 y 22.1 de la Convención Americana</w:t>
      </w:r>
      <w:r w:rsidR="006E0342" w:rsidRPr="00975C02">
        <w:rPr>
          <w:rFonts w:eastAsiaTheme="minorHAnsi" w:cs="Arial"/>
          <w:sz w:val="20"/>
          <w:szCs w:val="20"/>
          <w:lang w:val="es-ES"/>
        </w:rPr>
        <w:t>.</w:t>
      </w:r>
    </w:p>
    <w:p w14:paraId="5BFA6554" w14:textId="77777777" w:rsidR="00495E03" w:rsidRPr="00975C02" w:rsidRDefault="00495E03" w:rsidP="006E0342">
      <w:pPr>
        <w:widowControl/>
        <w:adjustRightInd/>
        <w:spacing w:line="240" w:lineRule="auto"/>
        <w:textAlignment w:val="auto"/>
        <w:rPr>
          <w:rFonts w:eastAsiaTheme="minorHAnsi" w:cs="Arial"/>
          <w:sz w:val="20"/>
          <w:szCs w:val="20"/>
          <w:lang w:val="es-ES"/>
        </w:rPr>
      </w:pPr>
    </w:p>
    <w:p w14:paraId="300E33CA" w14:textId="6CD4C430" w:rsidR="00495E03" w:rsidRPr="00975C02" w:rsidRDefault="00495E03" w:rsidP="00495E03">
      <w:pPr>
        <w:pStyle w:val="ListParagraph"/>
        <w:widowControl/>
        <w:numPr>
          <w:ilvl w:val="0"/>
          <w:numId w:val="2"/>
        </w:numPr>
        <w:adjustRightInd/>
        <w:spacing w:line="240" w:lineRule="auto"/>
        <w:ind w:left="0" w:firstLine="0"/>
        <w:contextualSpacing/>
        <w:textAlignment w:val="auto"/>
        <w:rPr>
          <w:rFonts w:eastAsiaTheme="minorHAnsi" w:cs="Arial"/>
          <w:lang w:val="es-ES"/>
        </w:rPr>
      </w:pPr>
      <w:r w:rsidRPr="00975C02">
        <w:rPr>
          <w:rFonts w:eastAsiaTheme="minorHAnsi" w:cs="Arial"/>
          <w:sz w:val="20"/>
          <w:szCs w:val="20"/>
          <w:lang w:val="es-ES"/>
        </w:rPr>
        <w:t xml:space="preserve">El </w:t>
      </w:r>
      <w:r w:rsidRPr="00975C02">
        <w:rPr>
          <w:rFonts w:eastAsiaTheme="minorHAnsi" w:cs="Arial"/>
          <w:b/>
          <w:i/>
          <w:sz w:val="20"/>
          <w:szCs w:val="20"/>
          <w:lang w:val="es-ES"/>
        </w:rPr>
        <w:t>Estado</w:t>
      </w:r>
      <w:r w:rsidRPr="00975C02">
        <w:rPr>
          <w:rFonts w:eastAsiaTheme="minorHAnsi" w:cs="Arial"/>
          <w:sz w:val="20"/>
          <w:szCs w:val="20"/>
          <w:lang w:val="es-ES"/>
        </w:rPr>
        <w:t xml:space="preserve"> sostuvo que los funcionarios públicos que presentaron denuncia no actuaron en su carácter funcional sino como particulares. Agregó que los delitos de injurias o calumnias no conllevaban penas privativas de libertad</w:t>
      </w:r>
      <w:r w:rsidR="006E0342" w:rsidRPr="00975C02">
        <w:rPr>
          <w:rFonts w:eastAsiaTheme="minorHAnsi" w:cs="Arial"/>
          <w:sz w:val="20"/>
          <w:szCs w:val="20"/>
          <w:lang w:val="es-ES"/>
        </w:rPr>
        <w:t>.</w:t>
      </w:r>
      <w:r w:rsidRPr="00975C02">
        <w:rPr>
          <w:rFonts w:eastAsiaTheme="minorHAnsi" w:cs="Arial"/>
          <w:sz w:val="20"/>
          <w:szCs w:val="20"/>
          <w:lang w:val="es-ES"/>
        </w:rPr>
        <w:t xml:space="preserve"> Consideró que el hecho de que las causas contra V.P.C. hayan sido interpuestas por particulares demuestra que no hubo persecución política. Asimismo, indicó que tampoco hubo persecución religiosa ya que las “iglesias mormonas” tienen libertad de culto y Nicaragua es un Estado laico.</w:t>
      </w:r>
      <w:r w:rsidRPr="00975C02">
        <w:rPr>
          <w:rFonts w:eastAsiaTheme="minorHAnsi" w:cs="Arial"/>
          <w:b/>
          <w:sz w:val="20"/>
          <w:szCs w:val="20"/>
          <w:lang w:val="es-ES"/>
        </w:rPr>
        <w:t xml:space="preserve"> </w:t>
      </w:r>
      <w:r w:rsidRPr="00975C02">
        <w:rPr>
          <w:rFonts w:eastAsiaTheme="minorHAnsi" w:cs="Arial"/>
          <w:sz w:val="20"/>
          <w:szCs w:val="20"/>
          <w:lang w:val="es-ES"/>
        </w:rPr>
        <w:t>Respecto al abandono escolar de V.R.P., el Estado afirmó que se proveyó la atención psicológica necesaria a la niña para superar la situación; sin embargo, su madre decidió salir del país, a pesar de que en Nicaragua la educación es gratuita y podía ser inscrita en otro colegio</w:t>
      </w:r>
      <w:r w:rsidR="006E0342" w:rsidRPr="00975C02">
        <w:rPr>
          <w:rFonts w:eastAsiaTheme="minorHAnsi" w:cs="Arial"/>
          <w:sz w:val="20"/>
          <w:szCs w:val="20"/>
          <w:lang w:val="es-ES"/>
        </w:rPr>
        <w:t>.</w:t>
      </w:r>
      <w:r w:rsidRPr="00975C02">
        <w:rPr>
          <w:rFonts w:eastAsiaTheme="minorHAnsi" w:cs="Arial"/>
          <w:sz w:val="20"/>
          <w:szCs w:val="20"/>
          <w:lang w:val="es-ES"/>
        </w:rPr>
        <w:t xml:space="preserve"> Con relación a la solicitud de asilo, el Estado indicó que V.P.C. abandonó el país debido a una decisión personal y voluntaria cuya consecuencia fue la separación de la familia</w:t>
      </w:r>
      <w:r w:rsidR="006E0342" w:rsidRPr="00975C02">
        <w:rPr>
          <w:rFonts w:eastAsiaTheme="minorHAnsi" w:cs="Arial"/>
          <w:sz w:val="20"/>
          <w:szCs w:val="20"/>
          <w:lang w:val="es-ES"/>
        </w:rPr>
        <w:t>.</w:t>
      </w:r>
      <w:r w:rsidRPr="00975C02">
        <w:rPr>
          <w:rFonts w:eastAsiaTheme="minorHAnsi" w:cs="Arial"/>
          <w:sz w:val="20"/>
          <w:szCs w:val="20"/>
          <w:lang w:val="es-ES"/>
        </w:rPr>
        <w:t xml:space="preserve"> Afirmó que la decisión de un Estado de otorgar asilo a una persona se realiza en ejercicio de su soberanía de acuerdo a sus leyes internas. Asimismo, negó que la familia se haya quedado sin vivienda ya que V.P.C. continúa ejerciendo su derecho de dominio sobre una propiedad en la ciudad de Jinotega. Afirmó que V.P.C., V.R.P. y N.R.P., no han tenido restricción para ingresar a Nicaragua, como lo demuestran los movimientos migratorios de V.P.C. que ha ingresado al territorio nacional en dos ocasiones. En el mismo sentido, agregó que el resto de la familia sigue residiendo en el país. Por lo señalado, el Estado negó la violación a los artículos 1.1,</w:t>
      </w:r>
      <w:r w:rsidR="00D57585" w:rsidRPr="00975C02">
        <w:rPr>
          <w:rFonts w:eastAsiaTheme="minorHAnsi" w:cs="Arial"/>
          <w:sz w:val="20"/>
          <w:szCs w:val="20"/>
          <w:lang w:val="es-ES"/>
        </w:rPr>
        <w:t xml:space="preserve"> 12.1,</w:t>
      </w:r>
      <w:r w:rsidRPr="00975C02">
        <w:rPr>
          <w:rFonts w:eastAsiaTheme="minorHAnsi" w:cs="Arial"/>
          <w:sz w:val="20"/>
          <w:szCs w:val="20"/>
          <w:lang w:val="es-ES"/>
        </w:rPr>
        <w:t xml:space="preserve"> 17.1, 19 y 22.1 de la </w:t>
      </w:r>
      <w:r w:rsidRPr="00975C02">
        <w:rPr>
          <w:sz w:val="20"/>
          <w:szCs w:val="20"/>
          <w:lang w:val="es-ES"/>
        </w:rPr>
        <w:t>Convención</w:t>
      </w:r>
      <w:r w:rsidRPr="00975C02">
        <w:rPr>
          <w:rFonts w:eastAsiaTheme="minorHAnsi" w:cs="Arial"/>
          <w:sz w:val="20"/>
          <w:szCs w:val="20"/>
          <w:lang w:val="es-ES"/>
        </w:rPr>
        <w:t xml:space="preserve"> Americana.</w:t>
      </w:r>
    </w:p>
    <w:p w14:paraId="2BE591EB" w14:textId="77777777" w:rsidR="00495E03" w:rsidRPr="00975C02" w:rsidRDefault="00495E03" w:rsidP="00495E03">
      <w:pPr>
        <w:pStyle w:val="ListParagraph"/>
        <w:ind w:left="0"/>
        <w:rPr>
          <w:rFonts w:eastAsiaTheme="minorHAnsi" w:cs="Arial"/>
          <w:sz w:val="20"/>
          <w:szCs w:val="20"/>
          <w:lang w:val="es-ES"/>
        </w:rPr>
      </w:pPr>
    </w:p>
    <w:p w14:paraId="211BAD6E" w14:textId="77777777" w:rsidR="00495E03" w:rsidRPr="00975C02" w:rsidRDefault="00495E03" w:rsidP="0011586B">
      <w:pPr>
        <w:keepNext/>
        <w:keepLines/>
        <w:tabs>
          <w:tab w:val="left" w:pos="1134"/>
        </w:tabs>
        <w:autoSpaceDE w:val="0"/>
        <w:autoSpaceDN w:val="0"/>
        <w:spacing w:line="240" w:lineRule="auto"/>
        <w:ind w:left="567" w:firstLine="1"/>
        <w:outlineLvl w:val="1"/>
        <w:rPr>
          <w:rFonts w:eastAsia="MS Mincho" w:cs="Arial"/>
          <w:b/>
          <w:bCs/>
          <w:i/>
          <w:kern w:val="2"/>
          <w:sz w:val="20"/>
          <w:szCs w:val="20"/>
          <w:lang w:val="es-ES"/>
        </w:rPr>
      </w:pPr>
      <w:bookmarkStart w:id="154" w:name="_Toc514172657"/>
      <w:r w:rsidRPr="00975C02">
        <w:rPr>
          <w:rFonts w:eastAsia="MS Mincho" w:cs="Arial"/>
          <w:b/>
          <w:bCs/>
          <w:i/>
          <w:kern w:val="2"/>
          <w:sz w:val="20"/>
          <w:szCs w:val="20"/>
          <w:lang w:val="es-ES"/>
        </w:rPr>
        <w:t>B.</w:t>
      </w:r>
      <w:r w:rsidRPr="00975C02">
        <w:rPr>
          <w:rFonts w:eastAsia="MS Mincho" w:cs="Arial"/>
          <w:b/>
          <w:bCs/>
          <w:i/>
          <w:kern w:val="2"/>
          <w:sz w:val="20"/>
          <w:szCs w:val="20"/>
          <w:lang w:val="es-ES"/>
        </w:rPr>
        <w:tab/>
        <w:t>Consideraciones de la Corte</w:t>
      </w:r>
      <w:bookmarkEnd w:id="154"/>
    </w:p>
    <w:p w14:paraId="3DD90C42" w14:textId="77777777" w:rsidR="00495E03" w:rsidRPr="00975C02" w:rsidRDefault="00495E03" w:rsidP="0011586B">
      <w:pPr>
        <w:pStyle w:val="ListParagraph"/>
        <w:spacing w:line="240" w:lineRule="auto"/>
        <w:ind w:left="0"/>
        <w:rPr>
          <w:sz w:val="20"/>
          <w:szCs w:val="20"/>
          <w:lang w:val="es-ES"/>
        </w:rPr>
      </w:pPr>
    </w:p>
    <w:p w14:paraId="4AB81BC3" w14:textId="0B8F8656" w:rsidR="00495E03" w:rsidRPr="00975C02" w:rsidRDefault="00495E03" w:rsidP="0011586B">
      <w:pPr>
        <w:pStyle w:val="ListParagraph"/>
        <w:widowControl/>
        <w:numPr>
          <w:ilvl w:val="0"/>
          <w:numId w:val="2"/>
        </w:numPr>
        <w:adjustRightInd/>
        <w:spacing w:line="240" w:lineRule="auto"/>
        <w:ind w:left="0" w:firstLine="0"/>
        <w:textAlignment w:val="auto"/>
        <w:rPr>
          <w:sz w:val="20"/>
          <w:szCs w:val="20"/>
          <w:lang w:val="es-ES"/>
        </w:rPr>
      </w:pPr>
      <w:r w:rsidRPr="00975C02">
        <w:rPr>
          <w:sz w:val="20"/>
          <w:szCs w:val="20"/>
          <w:lang w:val="es-ES"/>
        </w:rPr>
        <w:lastRenderedPageBreak/>
        <w:t>El artículo 22.1 de la Convención reconoce el derecho de circulación y de residencia. En esta línea, la Corte ha considerado que esta norma protege el derecho a no ser desplazado forzadamente dentro de un Estado Parte o a no tener que salir forzadamente fuera del territorio del Estado en el cual se halle legalmente</w:t>
      </w:r>
      <w:r w:rsidR="008A7BAE" w:rsidRPr="00975C02">
        <w:rPr>
          <w:rStyle w:val="FootnoteReference"/>
          <w:sz w:val="20"/>
          <w:szCs w:val="20"/>
          <w:lang w:val="es-ES"/>
        </w:rPr>
        <w:footnoteReference w:id="386"/>
      </w:r>
      <w:r w:rsidRPr="00975C02">
        <w:rPr>
          <w:sz w:val="20"/>
          <w:szCs w:val="20"/>
          <w:lang w:val="es-ES"/>
        </w:rPr>
        <w:t>. Asimismo, este Tribunal ha señalado en forma reiterada que el derecho de circulación y residencia es una condición indispensable para el libre desarrollo de la persona</w:t>
      </w:r>
      <w:r w:rsidRPr="00975C02">
        <w:rPr>
          <w:sz w:val="20"/>
          <w:szCs w:val="20"/>
          <w:vertAlign w:val="superscript"/>
          <w:lang w:val="es-ES"/>
        </w:rPr>
        <w:footnoteReference w:id="387"/>
      </w:r>
      <w:r w:rsidRPr="00975C02">
        <w:rPr>
          <w:sz w:val="20"/>
          <w:szCs w:val="20"/>
          <w:lang w:val="es-ES"/>
        </w:rPr>
        <w:t>.</w:t>
      </w:r>
    </w:p>
    <w:p w14:paraId="140DF53D" w14:textId="77777777" w:rsidR="00495E03" w:rsidRPr="00975C02" w:rsidRDefault="00495E03" w:rsidP="0011586B">
      <w:pPr>
        <w:spacing w:line="240" w:lineRule="auto"/>
        <w:rPr>
          <w:sz w:val="20"/>
          <w:szCs w:val="20"/>
          <w:lang w:val="es-ES"/>
        </w:rPr>
      </w:pPr>
    </w:p>
    <w:p w14:paraId="7685E020" w14:textId="77777777" w:rsidR="00495E03" w:rsidRPr="00975C02" w:rsidRDefault="00495E03" w:rsidP="0011586B">
      <w:pPr>
        <w:pStyle w:val="ListParagraph"/>
        <w:widowControl/>
        <w:numPr>
          <w:ilvl w:val="0"/>
          <w:numId w:val="2"/>
        </w:numPr>
        <w:adjustRightInd/>
        <w:spacing w:line="240" w:lineRule="auto"/>
        <w:ind w:left="0" w:right="49" w:firstLine="0"/>
        <w:textAlignment w:val="auto"/>
        <w:rPr>
          <w:sz w:val="20"/>
          <w:szCs w:val="20"/>
          <w:lang w:val="es-ES"/>
        </w:rPr>
      </w:pPr>
      <w:r w:rsidRPr="00975C02">
        <w:rPr>
          <w:sz w:val="20"/>
          <w:szCs w:val="20"/>
          <w:lang w:val="es-ES"/>
        </w:rPr>
        <w:t xml:space="preserve">La Corte ha señalado que el derecho de circulación y de residencia puede ser vulnerado por restricciones </w:t>
      </w:r>
      <w:r w:rsidRPr="00975C02">
        <w:rPr>
          <w:i/>
          <w:sz w:val="20"/>
          <w:szCs w:val="20"/>
          <w:lang w:val="es-ES"/>
        </w:rPr>
        <w:t>de facto</w:t>
      </w:r>
      <w:r w:rsidRPr="00975C02">
        <w:rPr>
          <w:sz w:val="20"/>
          <w:szCs w:val="20"/>
          <w:lang w:val="es-ES"/>
        </w:rPr>
        <w:t xml:space="preserve"> si el Estado no ha establecido las condiciones</w:t>
      </w:r>
      <w:r w:rsidR="00E747B5" w:rsidRPr="00975C02">
        <w:rPr>
          <w:sz w:val="20"/>
          <w:szCs w:val="20"/>
          <w:lang w:val="es-ES"/>
        </w:rPr>
        <w:t>,</w:t>
      </w:r>
      <w:r w:rsidRPr="00975C02">
        <w:rPr>
          <w:sz w:val="20"/>
          <w:szCs w:val="20"/>
          <w:lang w:val="es-ES"/>
        </w:rPr>
        <w:t xml:space="preserve"> ni provisto los medios que permiten ejercerlo</w:t>
      </w:r>
      <w:r w:rsidRPr="00975C02">
        <w:rPr>
          <w:rStyle w:val="FootnoteReference"/>
          <w:sz w:val="20"/>
          <w:szCs w:val="20"/>
          <w:lang w:val="es-ES"/>
        </w:rPr>
        <w:footnoteReference w:id="388"/>
      </w:r>
      <w:r w:rsidRPr="00975C02">
        <w:rPr>
          <w:sz w:val="20"/>
          <w:szCs w:val="20"/>
          <w:lang w:val="es-ES"/>
        </w:rPr>
        <w:t>. En este sentido, el derecho de circulación y de residencia puede resultar afectado cuando una persona es víctima de amenazas u hostigamientos y el Estado no provee las garantías necesarias para que pueda transitar y residir libremente en el territorio de que se trate, incluso cuando las amenazas y hostigamientos provienen de actores no estatales</w:t>
      </w:r>
      <w:r w:rsidRPr="00975C02">
        <w:rPr>
          <w:rStyle w:val="FootnoteReference"/>
          <w:sz w:val="20"/>
          <w:szCs w:val="20"/>
          <w:lang w:val="es-ES"/>
        </w:rPr>
        <w:footnoteReference w:id="389"/>
      </w:r>
      <w:r w:rsidRPr="00975C02">
        <w:rPr>
          <w:sz w:val="20"/>
          <w:szCs w:val="20"/>
          <w:lang w:val="es-ES"/>
        </w:rPr>
        <w:t xml:space="preserve">. </w:t>
      </w:r>
      <w:r w:rsidRPr="00975C02">
        <w:rPr>
          <w:rFonts w:cs="Arial"/>
          <w:sz w:val="20"/>
          <w:szCs w:val="20"/>
          <w:lang w:val="es-ES"/>
        </w:rPr>
        <w:t xml:space="preserve">Asimismo, </w:t>
      </w:r>
      <w:r w:rsidRPr="00975C02">
        <w:rPr>
          <w:rFonts w:cs="Arial"/>
          <w:bCs/>
          <w:sz w:val="20"/>
          <w:szCs w:val="20"/>
          <w:lang w:val="es-ES"/>
        </w:rPr>
        <w:t>la falta de una investigación efectiva de hechos violentos, así como la situación de impunidad, pueden menoscabar la confianza de las víctimas en el sistema de justicia y contribuir a condiciones de inseguridad</w:t>
      </w:r>
      <w:r w:rsidRPr="00975C02">
        <w:rPr>
          <w:rStyle w:val="FootnoteReference"/>
          <w:rFonts w:cs="Arial"/>
          <w:bCs/>
          <w:sz w:val="20"/>
          <w:szCs w:val="20"/>
          <w:lang w:val="es-ES"/>
        </w:rPr>
        <w:footnoteReference w:id="390"/>
      </w:r>
      <w:r w:rsidRPr="00975C02">
        <w:rPr>
          <w:rFonts w:cs="Arial"/>
          <w:bCs/>
          <w:sz w:val="20"/>
          <w:szCs w:val="20"/>
          <w:lang w:val="es-ES"/>
        </w:rPr>
        <w:t>. Además, dicha situación de impunidad puede propiciar o perpetuar un exilio o desplazamiento forzado</w:t>
      </w:r>
      <w:r w:rsidRPr="00975C02">
        <w:rPr>
          <w:rStyle w:val="FootnoteReference"/>
          <w:rFonts w:cs="Arial"/>
          <w:bCs/>
          <w:sz w:val="20"/>
          <w:szCs w:val="20"/>
          <w:lang w:val="es-ES"/>
        </w:rPr>
        <w:footnoteReference w:id="391"/>
      </w:r>
      <w:r w:rsidRPr="00975C02">
        <w:rPr>
          <w:rFonts w:cs="Arial"/>
          <w:bCs/>
          <w:sz w:val="20"/>
          <w:szCs w:val="20"/>
          <w:lang w:val="es-ES"/>
        </w:rPr>
        <w:t>.</w:t>
      </w:r>
    </w:p>
    <w:p w14:paraId="08F429F5" w14:textId="77777777" w:rsidR="00495E03" w:rsidRPr="00975C02" w:rsidRDefault="00495E03" w:rsidP="0011586B">
      <w:pPr>
        <w:spacing w:line="240" w:lineRule="auto"/>
        <w:rPr>
          <w:sz w:val="20"/>
          <w:szCs w:val="20"/>
          <w:lang w:val="es-ES"/>
        </w:rPr>
      </w:pPr>
    </w:p>
    <w:p w14:paraId="19FA5913" w14:textId="77777777" w:rsidR="00495E03" w:rsidRPr="00975C02" w:rsidRDefault="00495E03" w:rsidP="0011586B">
      <w:pPr>
        <w:pStyle w:val="ListParagraph"/>
        <w:widowControl/>
        <w:numPr>
          <w:ilvl w:val="0"/>
          <w:numId w:val="2"/>
        </w:numPr>
        <w:adjustRightInd/>
        <w:spacing w:line="240" w:lineRule="auto"/>
        <w:ind w:left="0" w:firstLine="0"/>
        <w:textAlignment w:val="auto"/>
        <w:rPr>
          <w:rFonts w:cs="Arial"/>
          <w:sz w:val="20"/>
          <w:szCs w:val="20"/>
          <w:lang w:val="es-ES"/>
        </w:rPr>
      </w:pPr>
      <w:r w:rsidRPr="00975C02">
        <w:rPr>
          <w:rFonts w:cs="Arial"/>
          <w:sz w:val="20"/>
          <w:szCs w:val="20"/>
          <w:lang w:val="es-ES"/>
        </w:rPr>
        <w:t>La Corte ha señalado que la concesión de asilo en otro país permite dimensionar el alto nivel de credibilidad que las autoridades del Estado asilante le dieron a las denuncias hechas por las víctimas</w:t>
      </w:r>
      <w:r w:rsidRPr="00975C02">
        <w:rPr>
          <w:rStyle w:val="FootnoteReference"/>
          <w:rFonts w:cs="Arial"/>
          <w:sz w:val="20"/>
          <w:szCs w:val="20"/>
          <w:lang w:val="es-ES"/>
        </w:rPr>
        <w:footnoteReference w:id="392"/>
      </w:r>
      <w:r w:rsidRPr="00975C02">
        <w:rPr>
          <w:rFonts w:cs="Arial"/>
          <w:sz w:val="20"/>
          <w:szCs w:val="20"/>
          <w:lang w:val="es-ES"/>
        </w:rPr>
        <w:t>. No obstante, tal reconocimiento tampoco es suficiente por sí solo para sostener que en el caso se configuró la vulneración del derecho de residencia. Se trata de un indicio más a tener en cuenta en el conjunto de circunstancias particulares del caso.</w:t>
      </w:r>
    </w:p>
    <w:p w14:paraId="3437E2CE" w14:textId="77777777" w:rsidR="00495E03" w:rsidRPr="00975C02" w:rsidRDefault="00495E03" w:rsidP="0011586B">
      <w:pPr>
        <w:spacing w:line="240" w:lineRule="auto"/>
        <w:ind w:right="49"/>
        <w:rPr>
          <w:sz w:val="20"/>
          <w:szCs w:val="20"/>
          <w:lang w:val="es-ES"/>
        </w:rPr>
      </w:pPr>
    </w:p>
    <w:p w14:paraId="5F04B574" w14:textId="41327BB6" w:rsidR="00495E03" w:rsidRPr="00975C02" w:rsidRDefault="00495E03" w:rsidP="0011586B">
      <w:pPr>
        <w:pStyle w:val="ListParagraph"/>
        <w:widowControl/>
        <w:numPr>
          <w:ilvl w:val="0"/>
          <w:numId w:val="2"/>
        </w:numPr>
        <w:adjustRightInd/>
        <w:spacing w:line="240" w:lineRule="auto"/>
        <w:ind w:left="0" w:firstLine="0"/>
        <w:textAlignment w:val="auto"/>
        <w:rPr>
          <w:sz w:val="20"/>
          <w:szCs w:val="20"/>
          <w:lang w:val="es-ES"/>
        </w:rPr>
      </w:pPr>
      <w:r w:rsidRPr="00975C02">
        <w:rPr>
          <w:sz w:val="20"/>
          <w:szCs w:val="20"/>
          <w:lang w:val="es-ES"/>
        </w:rPr>
        <w:t>Respecto al artículo 17 en relación con el artículo 19 de la Convención Americana, la Corte ha señalado que el Estado se halla obligado no sólo a disponer y ejecutar directamente medidas de protección de niñas</w:t>
      </w:r>
      <w:r w:rsidR="0007139B" w:rsidRPr="00975C02">
        <w:rPr>
          <w:sz w:val="20"/>
          <w:szCs w:val="20"/>
          <w:lang w:val="es-ES"/>
        </w:rPr>
        <w:t>,</w:t>
      </w:r>
      <w:r w:rsidRPr="00975C02">
        <w:rPr>
          <w:sz w:val="20"/>
          <w:szCs w:val="20"/>
          <w:lang w:val="es-ES"/>
        </w:rPr>
        <w:t xml:space="preserve"> niños</w:t>
      </w:r>
      <w:r w:rsidR="0007139B" w:rsidRPr="00975C02">
        <w:rPr>
          <w:sz w:val="20"/>
          <w:szCs w:val="20"/>
          <w:lang w:val="es-ES"/>
        </w:rPr>
        <w:t xml:space="preserve"> y adolescentes</w:t>
      </w:r>
      <w:r w:rsidRPr="00975C02">
        <w:rPr>
          <w:sz w:val="20"/>
          <w:szCs w:val="20"/>
          <w:lang w:val="es-ES"/>
        </w:rPr>
        <w:t>, sino también a favorecer, de la manera más amplia, el desarrollo y la fortaleza del núcleo familiar. En consecuencia, la Corte ha establecido que la separación de niñas</w:t>
      </w:r>
      <w:r w:rsidR="0007139B" w:rsidRPr="00975C02">
        <w:rPr>
          <w:sz w:val="20"/>
          <w:szCs w:val="20"/>
          <w:lang w:val="es-ES"/>
        </w:rPr>
        <w:t>,</w:t>
      </w:r>
      <w:r w:rsidRPr="00975C02">
        <w:rPr>
          <w:sz w:val="20"/>
          <w:szCs w:val="20"/>
          <w:lang w:val="es-ES"/>
        </w:rPr>
        <w:t xml:space="preserve"> niños</w:t>
      </w:r>
      <w:r w:rsidR="0007139B" w:rsidRPr="00975C02">
        <w:rPr>
          <w:sz w:val="20"/>
          <w:szCs w:val="20"/>
          <w:lang w:val="es-ES"/>
        </w:rPr>
        <w:t xml:space="preserve"> y </w:t>
      </w:r>
      <w:r w:rsidR="008A7BAE" w:rsidRPr="00975C02">
        <w:rPr>
          <w:sz w:val="20"/>
          <w:szCs w:val="20"/>
          <w:lang w:val="es-ES"/>
        </w:rPr>
        <w:t>adolescentes</w:t>
      </w:r>
      <w:r w:rsidRPr="00975C02">
        <w:rPr>
          <w:sz w:val="20"/>
          <w:szCs w:val="20"/>
          <w:lang w:val="es-ES"/>
        </w:rPr>
        <w:t xml:space="preserve"> de su familia constituye, bajo ciertas condiciones, una violación de su derecho a la familia reconocido en el artículo 17 de la Convención Americana</w:t>
      </w:r>
      <w:r w:rsidRPr="00975C02">
        <w:rPr>
          <w:rStyle w:val="FootnoteReference"/>
          <w:sz w:val="20"/>
          <w:szCs w:val="20"/>
          <w:lang w:val="es-ES"/>
        </w:rPr>
        <w:footnoteReference w:id="393"/>
      </w:r>
      <w:r w:rsidRPr="00975C02">
        <w:rPr>
          <w:sz w:val="20"/>
          <w:szCs w:val="20"/>
          <w:lang w:val="es-ES"/>
        </w:rPr>
        <w:t>, toda vez que el disfrute mutuo de la convivencia entre padres e hijos constituye un elemento fundamental en la vida de familia</w:t>
      </w:r>
      <w:r w:rsidRPr="00975C02">
        <w:rPr>
          <w:rStyle w:val="FootnoteReference"/>
          <w:sz w:val="20"/>
          <w:szCs w:val="20"/>
          <w:lang w:val="es-ES"/>
        </w:rPr>
        <w:footnoteReference w:id="394"/>
      </w:r>
      <w:r w:rsidRPr="00975C02">
        <w:rPr>
          <w:sz w:val="20"/>
          <w:szCs w:val="20"/>
          <w:lang w:val="es-ES"/>
        </w:rPr>
        <w:t>.</w:t>
      </w:r>
    </w:p>
    <w:p w14:paraId="52B1FAF5" w14:textId="77777777" w:rsidR="00495E03" w:rsidRPr="00975C02" w:rsidRDefault="00495E03" w:rsidP="0011586B">
      <w:pPr>
        <w:spacing w:line="240" w:lineRule="auto"/>
        <w:rPr>
          <w:sz w:val="20"/>
          <w:szCs w:val="20"/>
          <w:lang w:val="es-ES"/>
        </w:rPr>
      </w:pPr>
    </w:p>
    <w:p w14:paraId="10F55E5A" w14:textId="7B2EED8C" w:rsidR="00495E03" w:rsidRPr="00975C02" w:rsidRDefault="00495E03" w:rsidP="0011586B">
      <w:pPr>
        <w:pStyle w:val="ListParagraph"/>
        <w:widowControl/>
        <w:numPr>
          <w:ilvl w:val="0"/>
          <w:numId w:val="2"/>
        </w:numPr>
        <w:adjustRightInd/>
        <w:spacing w:line="240" w:lineRule="auto"/>
        <w:ind w:left="0" w:right="49" w:firstLine="0"/>
        <w:textAlignment w:val="auto"/>
        <w:rPr>
          <w:sz w:val="20"/>
          <w:szCs w:val="20"/>
          <w:lang w:val="es-ES"/>
        </w:rPr>
      </w:pPr>
      <w:r w:rsidRPr="00975C02">
        <w:rPr>
          <w:sz w:val="20"/>
          <w:szCs w:val="20"/>
          <w:lang w:val="es-ES"/>
        </w:rPr>
        <w:lastRenderedPageBreak/>
        <w:t xml:space="preserve">La Corte analizará a continuación si la señora V.P.C. y sus hijas V.R.P. y N.R.P. </w:t>
      </w:r>
      <w:r w:rsidR="00DF3D71" w:rsidRPr="00975C02">
        <w:rPr>
          <w:sz w:val="20"/>
          <w:szCs w:val="20"/>
          <w:lang w:val="es-ES"/>
        </w:rPr>
        <w:t>sufrieron un temor fundado de desprotección de sus derechos por el cual se vieron forzadas</w:t>
      </w:r>
      <w:r w:rsidRPr="00975C02">
        <w:rPr>
          <w:sz w:val="20"/>
          <w:szCs w:val="20"/>
          <w:lang w:val="es-ES"/>
        </w:rPr>
        <w:t xml:space="preserve"> a </w:t>
      </w:r>
      <w:r w:rsidR="00887701" w:rsidRPr="00975C02">
        <w:rPr>
          <w:sz w:val="20"/>
          <w:szCs w:val="20"/>
          <w:lang w:val="es-ES"/>
        </w:rPr>
        <w:t>salir de</w:t>
      </w:r>
      <w:r w:rsidRPr="00975C02">
        <w:rPr>
          <w:sz w:val="20"/>
          <w:szCs w:val="20"/>
          <w:lang w:val="es-ES"/>
        </w:rPr>
        <w:t xml:space="preserve"> Nicaragua, provocando la vulneración de su derecho de residencia reconocido en el artículo 22.1 de la Convención. Asimismo, se determinará si las circunstancias de la salida del país generaron otras consecuencias jurídicas que impliquen vulneración de los derechos a la protección de la familia en perjuicio de V.P.C., </w:t>
      </w:r>
      <w:r w:rsidR="002E1EE5" w:rsidRPr="00975C02">
        <w:rPr>
          <w:sz w:val="20"/>
          <w:szCs w:val="20"/>
          <w:lang w:val="es-ES"/>
        </w:rPr>
        <w:t xml:space="preserve">N.R.P., </w:t>
      </w:r>
      <w:r w:rsidRPr="00975C02">
        <w:rPr>
          <w:sz w:val="20"/>
          <w:szCs w:val="20"/>
          <w:lang w:val="es-ES"/>
        </w:rPr>
        <w:t>H.J.R.P., V.A.R.P. y V.R.P. y</w:t>
      </w:r>
      <w:r w:rsidR="00C15A2E" w:rsidRPr="00975C02">
        <w:rPr>
          <w:sz w:val="20"/>
          <w:szCs w:val="20"/>
          <w:lang w:val="es-ES"/>
        </w:rPr>
        <w:t>,</w:t>
      </w:r>
      <w:r w:rsidRPr="00975C02">
        <w:rPr>
          <w:sz w:val="20"/>
          <w:szCs w:val="20"/>
          <w:lang w:val="es-ES"/>
        </w:rPr>
        <w:t xml:space="preserve"> en particular</w:t>
      </w:r>
      <w:r w:rsidR="00C15A2E" w:rsidRPr="00975C02">
        <w:rPr>
          <w:sz w:val="20"/>
          <w:szCs w:val="20"/>
          <w:lang w:val="es-ES"/>
        </w:rPr>
        <w:t>,</w:t>
      </w:r>
      <w:r w:rsidRPr="00975C02">
        <w:rPr>
          <w:sz w:val="20"/>
          <w:szCs w:val="20"/>
          <w:lang w:val="es-ES"/>
        </w:rPr>
        <w:t xml:space="preserve"> a las medidas especiales de protección de niñas en perjuicio de V.R.P.</w:t>
      </w:r>
    </w:p>
    <w:p w14:paraId="303151E7" w14:textId="77777777" w:rsidR="00495E03" w:rsidRPr="00975C02" w:rsidRDefault="00495E03" w:rsidP="0011586B">
      <w:pPr>
        <w:pStyle w:val="ListParagraph"/>
        <w:spacing w:line="240" w:lineRule="auto"/>
        <w:ind w:left="0"/>
        <w:rPr>
          <w:rFonts w:cs="Arial"/>
          <w:sz w:val="20"/>
          <w:szCs w:val="20"/>
          <w:lang w:val="es-ES"/>
        </w:rPr>
      </w:pPr>
    </w:p>
    <w:p w14:paraId="6F1FCF06" w14:textId="525C0AC5" w:rsidR="0038400D" w:rsidRPr="00975C02" w:rsidRDefault="0038400D" w:rsidP="0038400D">
      <w:pPr>
        <w:pStyle w:val="ListParagraph"/>
        <w:widowControl/>
        <w:numPr>
          <w:ilvl w:val="0"/>
          <w:numId w:val="2"/>
        </w:numPr>
        <w:adjustRightInd/>
        <w:spacing w:line="240" w:lineRule="auto"/>
        <w:ind w:left="0" w:right="49" w:firstLine="0"/>
        <w:textAlignment w:val="auto"/>
        <w:rPr>
          <w:rFonts w:cs="Arial"/>
          <w:sz w:val="20"/>
          <w:szCs w:val="20"/>
          <w:lang w:val="es-ES"/>
        </w:rPr>
      </w:pPr>
      <w:r w:rsidRPr="00975C02">
        <w:rPr>
          <w:rFonts w:cs="Arial"/>
          <w:sz w:val="20"/>
          <w:szCs w:val="20"/>
          <w:lang w:val="es-ES"/>
        </w:rPr>
        <w:t xml:space="preserve">La Corte resalta </w:t>
      </w:r>
      <w:r w:rsidRPr="00975C02">
        <w:rPr>
          <w:sz w:val="20"/>
          <w:szCs w:val="20"/>
          <w:lang w:val="es-ES"/>
        </w:rPr>
        <w:t>que</w:t>
      </w:r>
      <w:r w:rsidRPr="00975C02">
        <w:rPr>
          <w:rFonts w:cs="Arial"/>
          <w:sz w:val="20"/>
          <w:szCs w:val="20"/>
          <w:lang w:val="es-ES"/>
        </w:rPr>
        <w:t>, en el presente caso, las alegadas vulneraciones de derechos humanos deben ser valoradas desde una perspectiva de género</w:t>
      </w:r>
      <w:r w:rsidRPr="00975C02">
        <w:rPr>
          <w:rFonts w:cs="Arial"/>
          <w:sz w:val="20"/>
          <w:szCs w:val="20"/>
          <w:vertAlign w:val="superscript"/>
          <w:lang w:val="es-ES"/>
        </w:rPr>
        <w:footnoteReference w:id="395"/>
      </w:r>
      <w:r w:rsidRPr="00975C02">
        <w:rPr>
          <w:rFonts w:cs="Arial"/>
          <w:sz w:val="20"/>
          <w:szCs w:val="20"/>
          <w:lang w:val="es-ES"/>
        </w:rPr>
        <w:t xml:space="preserve"> y en observancia del paradigma de protección integral de niñas</w:t>
      </w:r>
      <w:r w:rsidR="00907F82" w:rsidRPr="00975C02">
        <w:rPr>
          <w:rFonts w:cs="Arial"/>
          <w:sz w:val="20"/>
          <w:szCs w:val="20"/>
          <w:lang w:val="es-ES"/>
        </w:rPr>
        <w:t>,</w:t>
      </w:r>
      <w:r w:rsidRPr="00975C02">
        <w:rPr>
          <w:rFonts w:cs="Arial"/>
          <w:sz w:val="20"/>
          <w:szCs w:val="20"/>
          <w:lang w:val="es-ES"/>
        </w:rPr>
        <w:t xml:space="preserve"> niños</w:t>
      </w:r>
      <w:r w:rsidR="00907F82" w:rsidRPr="00975C02">
        <w:rPr>
          <w:rFonts w:cs="Arial"/>
          <w:sz w:val="20"/>
          <w:szCs w:val="20"/>
          <w:lang w:val="es-ES"/>
        </w:rPr>
        <w:t xml:space="preserve"> y adolescentes</w:t>
      </w:r>
      <w:r w:rsidRPr="00975C02">
        <w:rPr>
          <w:rFonts w:cs="Arial"/>
          <w:sz w:val="20"/>
          <w:szCs w:val="20"/>
          <w:vertAlign w:val="superscript"/>
          <w:lang w:val="es-ES"/>
        </w:rPr>
        <w:footnoteReference w:id="396"/>
      </w:r>
      <w:r w:rsidRPr="00975C02">
        <w:rPr>
          <w:rFonts w:cs="Arial"/>
          <w:sz w:val="20"/>
          <w:szCs w:val="20"/>
          <w:lang w:val="es-ES"/>
        </w:rPr>
        <w:t>. En este sentido, la Corte observa que la violación sexual es causa de severos daños físicos y psicológicos</w:t>
      </w:r>
      <w:r w:rsidRPr="00975C02">
        <w:rPr>
          <w:rFonts w:cs="Arial"/>
          <w:sz w:val="20"/>
          <w:szCs w:val="20"/>
          <w:vertAlign w:val="superscript"/>
          <w:lang w:val="es-ES"/>
        </w:rPr>
        <w:footnoteReference w:id="397"/>
      </w:r>
      <w:r w:rsidRPr="00975C02">
        <w:rPr>
          <w:rFonts w:cs="Arial"/>
          <w:sz w:val="20"/>
          <w:szCs w:val="20"/>
          <w:lang w:val="es-ES"/>
        </w:rPr>
        <w:t>, que se intensifican cuando la víctima es una niña, y en especial cuando el agresor ostenta una posición de autoridad sobre la misma. Todo ello puede razonablemente generar en la víctima un temor fundado de desprotección equiparable a persecución. Dentro de ese marco, aunque la violación sexual haya sido cometida por un particular, la responsabilidad internacional del Estado ante tal situación de temor fundado de desprotección equiparable a persecución puede generarse en cuanto tolere deliberadamente el acto causante, o se niegue a brindar protección, o sea incapaz de hacerlo</w:t>
      </w:r>
      <w:r w:rsidRPr="00975C02">
        <w:rPr>
          <w:rFonts w:cs="Arial"/>
          <w:sz w:val="20"/>
          <w:szCs w:val="20"/>
          <w:vertAlign w:val="superscript"/>
          <w:lang w:val="es-ES"/>
        </w:rPr>
        <w:footnoteReference w:id="398"/>
      </w:r>
      <w:r w:rsidRPr="00975C02">
        <w:rPr>
          <w:rFonts w:cs="Arial"/>
          <w:sz w:val="20"/>
          <w:szCs w:val="20"/>
          <w:lang w:val="es-ES"/>
        </w:rPr>
        <w:t>.</w:t>
      </w:r>
    </w:p>
    <w:p w14:paraId="32561DA7" w14:textId="77777777" w:rsidR="0038400D" w:rsidRPr="00975C02" w:rsidRDefault="0038400D" w:rsidP="0038400D">
      <w:pPr>
        <w:pStyle w:val="ListParagraph"/>
        <w:widowControl/>
        <w:adjustRightInd/>
        <w:spacing w:line="240" w:lineRule="auto"/>
        <w:ind w:left="0" w:right="49"/>
        <w:textAlignment w:val="auto"/>
        <w:rPr>
          <w:rFonts w:cs="Arial"/>
          <w:sz w:val="20"/>
          <w:szCs w:val="20"/>
          <w:lang w:val="es-ES"/>
        </w:rPr>
      </w:pPr>
    </w:p>
    <w:p w14:paraId="2CBC6EE7" w14:textId="5F5280AC" w:rsidR="0038400D" w:rsidRPr="006457BC" w:rsidRDefault="0038400D" w:rsidP="0038400D">
      <w:pPr>
        <w:pStyle w:val="ListParagraph"/>
        <w:widowControl/>
        <w:numPr>
          <w:ilvl w:val="0"/>
          <w:numId w:val="2"/>
        </w:numPr>
        <w:adjustRightInd/>
        <w:spacing w:line="240" w:lineRule="auto"/>
        <w:ind w:left="0" w:right="49" w:firstLine="0"/>
        <w:textAlignment w:val="auto"/>
        <w:rPr>
          <w:rFonts w:cs="Arial"/>
          <w:sz w:val="20"/>
          <w:szCs w:val="20"/>
          <w:lang w:val="es-ES"/>
        </w:rPr>
      </w:pPr>
      <w:r w:rsidRPr="00975C02">
        <w:rPr>
          <w:rFonts w:cs="Arial"/>
          <w:sz w:val="20"/>
          <w:szCs w:val="20"/>
          <w:lang w:val="es-ES"/>
        </w:rPr>
        <w:t>De conformidad con tales consideraciones, la Corte toma como punto de partida de su análisis el hecho de que la niña V.R.P. fue víctima de violación sexual, perpetrada, según ella ha indicado en reiteradas ocasiones, por su padre, lo cual le produjo graves daños físicos y profundas afectaciones psicológicas, así como también a su entorno familiar (</w:t>
      </w:r>
      <w:r w:rsidRPr="00975C02">
        <w:rPr>
          <w:rFonts w:cs="Arial"/>
          <w:i/>
          <w:sz w:val="20"/>
          <w:szCs w:val="20"/>
          <w:lang w:val="es-ES"/>
        </w:rPr>
        <w:t xml:space="preserve">supra </w:t>
      </w:r>
      <w:r w:rsidR="006E5BF7" w:rsidRPr="00975C02">
        <w:rPr>
          <w:rFonts w:cs="Arial"/>
          <w:sz w:val="20"/>
          <w:szCs w:val="20"/>
          <w:lang w:val="es-ES"/>
        </w:rPr>
        <w:t>C</w:t>
      </w:r>
      <w:r w:rsidRPr="00975C02">
        <w:rPr>
          <w:rFonts w:cs="Arial"/>
          <w:sz w:val="20"/>
          <w:szCs w:val="20"/>
          <w:lang w:val="es-ES"/>
        </w:rPr>
        <w:t xml:space="preserve">apítulo </w:t>
      </w:r>
      <w:r w:rsidR="006E5BF7" w:rsidRPr="00975C02">
        <w:rPr>
          <w:rFonts w:cs="Arial"/>
          <w:sz w:val="20"/>
          <w:szCs w:val="20"/>
          <w:lang w:val="es-ES"/>
        </w:rPr>
        <w:t>VIII-3</w:t>
      </w:r>
      <w:r w:rsidRPr="00975C02">
        <w:rPr>
          <w:rFonts w:cs="Arial"/>
          <w:sz w:val="20"/>
          <w:szCs w:val="20"/>
          <w:lang w:val="es-ES"/>
        </w:rPr>
        <w:t>). A raíz de estos hechos, su progenitora presentó una denuncia por violación sexual. En la tramitación del proceso penal, el Estado no sólo no adoptó medidas especiales de protección de los derechos que correspondían a V.R.P.</w:t>
      </w:r>
      <w:r w:rsidR="006E5BF7" w:rsidRPr="00975C02">
        <w:rPr>
          <w:rFonts w:cs="Arial"/>
          <w:sz w:val="20"/>
          <w:szCs w:val="20"/>
          <w:lang w:val="es-ES"/>
        </w:rPr>
        <w:t>,</w:t>
      </w:r>
      <w:r w:rsidRPr="00975C02">
        <w:rPr>
          <w:rFonts w:cs="Arial"/>
          <w:sz w:val="20"/>
          <w:szCs w:val="20"/>
          <w:lang w:val="es-ES"/>
        </w:rPr>
        <w:t xml:space="preserve"> como niña víctima de violencia sexual, sino que faltó a su deber de debida diligencia reforzada y ejerció a través de sus funcionarios públicos actos de violencia institucional </w:t>
      </w:r>
      <w:r w:rsidRPr="00975C02">
        <w:rPr>
          <w:rFonts w:cs="Arial"/>
          <w:sz w:val="20"/>
          <w:szCs w:val="20"/>
          <w:lang w:val="es-ES"/>
        </w:rPr>
        <w:lastRenderedPageBreak/>
        <w:t>contra V.R.P.</w:t>
      </w:r>
      <w:r w:rsidR="006E5BF7" w:rsidRPr="00975C02">
        <w:rPr>
          <w:rFonts w:cs="Arial"/>
          <w:sz w:val="20"/>
          <w:szCs w:val="20"/>
          <w:lang w:val="es-ES"/>
        </w:rPr>
        <w:t>, los</w:t>
      </w:r>
      <w:r w:rsidRPr="00975C02">
        <w:rPr>
          <w:rFonts w:cs="Arial"/>
          <w:sz w:val="20"/>
          <w:szCs w:val="20"/>
          <w:lang w:val="es-ES"/>
        </w:rPr>
        <w:t xml:space="preserve"> que provocaron graves efectos de revictimización (</w:t>
      </w:r>
      <w:r w:rsidRPr="00975C02">
        <w:rPr>
          <w:rFonts w:cs="Arial"/>
          <w:i/>
          <w:sz w:val="20"/>
          <w:szCs w:val="20"/>
          <w:lang w:val="es-ES"/>
        </w:rPr>
        <w:t xml:space="preserve">supra </w:t>
      </w:r>
      <w:r w:rsidR="006E5BF7" w:rsidRPr="00975C02">
        <w:rPr>
          <w:rFonts w:cs="Arial"/>
          <w:sz w:val="20"/>
          <w:szCs w:val="20"/>
          <w:lang w:val="es-ES"/>
        </w:rPr>
        <w:t>párrs. 291 a 299</w:t>
      </w:r>
      <w:r w:rsidRPr="00975C02">
        <w:rPr>
          <w:rFonts w:cs="Arial"/>
          <w:sz w:val="20"/>
          <w:szCs w:val="20"/>
          <w:lang w:val="es-ES"/>
        </w:rPr>
        <w:t xml:space="preserve">). </w:t>
      </w:r>
      <w:r w:rsidR="00FA687A" w:rsidRPr="006457BC">
        <w:rPr>
          <w:rFonts w:cs="Arial"/>
          <w:sz w:val="20"/>
          <w:szCs w:val="20"/>
          <w:lang w:val="es-ES"/>
        </w:rPr>
        <w:t>L</w:t>
      </w:r>
      <w:r w:rsidRPr="006457BC">
        <w:rPr>
          <w:rFonts w:cs="Arial"/>
          <w:sz w:val="20"/>
          <w:szCs w:val="20"/>
          <w:lang w:val="es-ES"/>
        </w:rPr>
        <w:t>os actos de violencia institucional consistieron</w:t>
      </w:r>
      <w:r w:rsidR="006457BC">
        <w:rPr>
          <w:rFonts w:cs="Arial"/>
          <w:sz w:val="20"/>
          <w:szCs w:val="20"/>
          <w:lang w:val="es-ES"/>
        </w:rPr>
        <w:t>, entre otros,</w:t>
      </w:r>
      <w:r w:rsidRPr="006457BC">
        <w:rPr>
          <w:rFonts w:cs="Arial"/>
          <w:sz w:val="20"/>
          <w:szCs w:val="20"/>
          <w:lang w:val="es-ES"/>
        </w:rPr>
        <w:t xml:space="preserve"> en forzar a V.R.P. para que se sometiera al primer examen médico forense</w:t>
      </w:r>
      <w:r w:rsidR="008A4CF8" w:rsidRPr="006457BC">
        <w:rPr>
          <w:rFonts w:cs="Arial"/>
          <w:sz w:val="20"/>
          <w:szCs w:val="20"/>
          <w:lang w:val="es-ES"/>
        </w:rPr>
        <w:t xml:space="preserve"> </w:t>
      </w:r>
      <w:r w:rsidRPr="006457BC">
        <w:rPr>
          <w:rFonts w:cs="Arial"/>
          <w:sz w:val="20"/>
          <w:szCs w:val="20"/>
          <w:lang w:val="es-ES"/>
        </w:rPr>
        <w:t xml:space="preserve">y </w:t>
      </w:r>
      <w:r w:rsidR="00A02FB7">
        <w:rPr>
          <w:rFonts w:cs="Arial"/>
          <w:sz w:val="20"/>
          <w:szCs w:val="20"/>
          <w:lang w:val="es-ES"/>
        </w:rPr>
        <w:t>participara en</w:t>
      </w:r>
      <w:r w:rsidRPr="006457BC">
        <w:rPr>
          <w:rFonts w:cs="Arial"/>
          <w:sz w:val="20"/>
          <w:szCs w:val="20"/>
          <w:lang w:val="es-ES"/>
        </w:rPr>
        <w:t xml:space="preserve"> la reconstrucción de los hechos, a pesar de su negativa a hacerlo, mediante amenazas de que en caso contrario su agresor saldría en libertad</w:t>
      </w:r>
      <w:r w:rsidR="006457BC">
        <w:rPr>
          <w:rFonts w:cs="Arial"/>
          <w:sz w:val="20"/>
          <w:szCs w:val="20"/>
          <w:lang w:val="es-ES"/>
        </w:rPr>
        <w:t xml:space="preserve"> (</w:t>
      </w:r>
      <w:r w:rsidR="006457BC">
        <w:rPr>
          <w:rFonts w:cs="Arial"/>
          <w:i/>
          <w:sz w:val="20"/>
          <w:szCs w:val="20"/>
          <w:lang w:val="es-ES"/>
        </w:rPr>
        <w:t>supra</w:t>
      </w:r>
      <w:r w:rsidR="006457BC">
        <w:rPr>
          <w:rFonts w:cs="Arial"/>
          <w:sz w:val="20"/>
          <w:szCs w:val="20"/>
          <w:lang w:val="es-ES"/>
        </w:rPr>
        <w:t xml:space="preserve"> párr. 295)</w:t>
      </w:r>
      <w:r w:rsidRPr="006457BC">
        <w:rPr>
          <w:rFonts w:cs="Arial"/>
          <w:sz w:val="20"/>
          <w:szCs w:val="20"/>
          <w:lang w:val="es-ES"/>
        </w:rPr>
        <w:t>.</w:t>
      </w:r>
    </w:p>
    <w:p w14:paraId="53F76896" w14:textId="77777777" w:rsidR="0038400D" w:rsidRPr="00975C02" w:rsidRDefault="0038400D" w:rsidP="0038400D">
      <w:pPr>
        <w:pStyle w:val="ListParagraph"/>
        <w:widowControl/>
        <w:adjustRightInd/>
        <w:spacing w:line="240" w:lineRule="auto"/>
        <w:ind w:left="0" w:right="49"/>
        <w:textAlignment w:val="auto"/>
        <w:rPr>
          <w:rFonts w:cs="Arial"/>
          <w:sz w:val="20"/>
          <w:szCs w:val="20"/>
          <w:lang w:val="es-ES"/>
        </w:rPr>
      </w:pPr>
    </w:p>
    <w:p w14:paraId="55742612" w14:textId="397B2129" w:rsidR="0038400D" w:rsidRPr="00975C02" w:rsidRDefault="0038400D" w:rsidP="0038400D">
      <w:pPr>
        <w:pStyle w:val="ListParagraph"/>
        <w:widowControl/>
        <w:numPr>
          <w:ilvl w:val="0"/>
          <w:numId w:val="2"/>
        </w:numPr>
        <w:adjustRightInd/>
        <w:spacing w:line="240" w:lineRule="auto"/>
        <w:ind w:left="0" w:right="49" w:firstLine="0"/>
        <w:textAlignment w:val="auto"/>
        <w:rPr>
          <w:rFonts w:cs="Arial"/>
          <w:sz w:val="20"/>
          <w:szCs w:val="20"/>
          <w:lang w:val="es-ES"/>
        </w:rPr>
      </w:pPr>
      <w:r w:rsidRPr="00975C02">
        <w:rPr>
          <w:rFonts w:cs="Arial"/>
          <w:sz w:val="20"/>
          <w:szCs w:val="20"/>
          <w:lang w:val="es-ES"/>
        </w:rPr>
        <w:t>Asimismo, como fue demostrado anteriormente, los hechos de violencia sexual quedaron en impunidad tras la decisión de un Tribunal de Jurados cuestionado por su falta de imparcialidad objetiva (</w:t>
      </w:r>
      <w:r w:rsidRPr="00975C02">
        <w:rPr>
          <w:rFonts w:cs="Arial"/>
          <w:i/>
          <w:sz w:val="20"/>
          <w:szCs w:val="20"/>
          <w:lang w:val="es-ES"/>
        </w:rPr>
        <w:t xml:space="preserve">supra </w:t>
      </w:r>
      <w:r w:rsidR="00FA687A" w:rsidRPr="00975C02">
        <w:rPr>
          <w:rFonts w:cs="Arial"/>
          <w:sz w:val="20"/>
          <w:szCs w:val="20"/>
          <w:lang w:val="es-ES"/>
        </w:rPr>
        <w:t>párr. 253</w:t>
      </w:r>
      <w:r w:rsidR="00907F82" w:rsidRPr="00975C02">
        <w:rPr>
          <w:rFonts w:cs="Arial"/>
          <w:sz w:val="20"/>
          <w:szCs w:val="20"/>
          <w:lang w:val="es-ES"/>
        </w:rPr>
        <w:t>)</w:t>
      </w:r>
      <w:r w:rsidRPr="00975C02">
        <w:rPr>
          <w:rFonts w:cs="Arial"/>
          <w:sz w:val="20"/>
          <w:szCs w:val="20"/>
          <w:lang w:val="es-ES"/>
        </w:rPr>
        <w:t>, cuyo veredicto de absolución significó un resultado imprevisible según las actuaciones realizadas a lo largo del proceso penal (</w:t>
      </w:r>
      <w:r w:rsidRPr="00975C02">
        <w:rPr>
          <w:rFonts w:cs="Arial"/>
          <w:i/>
          <w:sz w:val="20"/>
          <w:szCs w:val="20"/>
          <w:lang w:val="es-ES"/>
        </w:rPr>
        <w:t xml:space="preserve">supra </w:t>
      </w:r>
      <w:r w:rsidRPr="00975C02">
        <w:rPr>
          <w:rFonts w:cs="Arial"/>
          <w:sz w:val="20"/>
          <w:szCs w:val="20"/>
          <w:lang w:val="es-ES"/>
        </w:rPr>
        <w:t xml:space="preserve">párr. </w:t>
      </w:r>
      <w:r w:rsidR="00FA687A" w:rsidRPr="00975C02">
        <w:rPr>
          <w:rFonts w:cs="Arial"/>
          <w:sz w:val="20"/>
          <w:szCs w:val="20"/>
          <w:lang w:val="es-ES"/>
        </w:rPr>
        <w:t>269</w:t>
      </w:r>
      <w:r w:rsidR="00907F82" w:rsidRPr="00975C02">
        <w:rPr>
          <w:rFonts w:cs="Arial"/>
          <w:sz w:val="20"/>
          <w:szCs w:val="20"/>
          <w:lang w:val="es-ES"/>
        </w:rPr>
        <w:t>)</w:t>
      </w:r>
      <w:r w:rsidRPr="00975C02">
        <w:rPr>
          <w:rFonts w:cs="Arial"/>
          <w:sz w:val="20"/>
          <w:szCs w:val="20"/>
          <w:lang w:val="es-ES"/>
        </w:rPr>
        <w:t>. Tras dicho veredicto, la señora V.P.C. y su hermana presentaron denuncia penal contra H.R.A. por amenazas que habrían sufrido la noche del mismo día en que se dictó la absolución</w:t>
      </w:r>
      <w:r w:rsidR="00110FC4" w:rsidRPr="00975C02">
        <w:rPr>
          <w:rFonts w:cs="Arial"/>
          <w:sz w:val="20"/>
          <w:szCs w:val="20"/>
          <w:lang w:val="es-ES"/>
        </w:rPr>
        <w:t xml:space="preserve"> (</w:t>
      </w:r>
      <w:r w:rsidR="00110FC4" w:rsidRPr="00975C02">
        <w:rPr>
          <w:rFonts w:cs="Arial"/>
          <w:i/>
          <w:sz w:val="20"/>
          <w:szCs w:val="20"/>
          <w:lang w:val="es-ES"/>
        </w:rPr>
        <w:t xml:space="preserve">supra </w:t>
      </w:r>
      <w:r w:rsidR="00110FC4" w:rsidRPr="00975C02">
        <w:rPr>
          <w:rFonts w:cs="Arial"/>
          <w:sz w:val="20"/>
          <w:szCs w:val="20"/>
          <w:lang w:val="es-ES"/>
        </w:rPr>
        <w:t xml:space="preserve">párr. </w:t>
      </w:r>
      <w:r w:rsidR="00FA687A" w:rsidRPr="00975C02">
        <w:rPr>
          <w:rFonts w:cs="Arial"/>
          <w:sz w:val="20"/>
          <w:szCs w:val="20"/>
          <w:lang w:val="es-ES"/>
        </w:rPr>
        <w:t>102</w:t>
      </w:r>
      <w:r w:rsidR="00110FC4" w:rsidRPr="00975C02">
        <w:rPr>
          <w:rFonts w:cs="Arial"/>
          <w:sz w:val="20"/>
          <w:szCs w:val="20"/>
          <w:lang w:val="es-ES"/>
        </w:rPr>
        <w:t>)</w:t>
      </w:r>
      <w:r w:rsidRPr="00975C02">
        <w:rPr>
          <w:rFonts w:cs="Arial"/>
          <w:sz w:val="20"/>
          <w:szCs w:val="20"/>
          <w:lang w:val="es-ES"/>
        </w:rPr>
        <w:t>. Por otra parte, la falta de respuesta de las autoridades frente a las quejas presentadas por V.P.C. ante los actos de violencia institucional y demás irregularidades cometidas en el transcurso del proceso penal por violencia sexual (</w:t>
      </w:r>
      <w:r w:rsidRPr="00975C02">
        <w:rPr>
          <w:rFonts w:cs="Arial"/>
          <w:i/>
          <w:sz w:val="20"/>
          <w:szCs w:val="20"/>
          <w:lang w:val="es-ES"/>
        </w:rPr>
        <w:t xml:space="preserve">supra </w:t>
      </w:r>
      <w:r w:rsidR="00FA687A" w:rsidRPr="00975C02">
        <w:rPr>
          <w:rFonts w:cs="Arial"/>
          <w:sz w:val="20"/>
          <w:szCs w:val="20"/>
          <w:lang w:val="es-ES"/>
        </w:rPr>
        <w:t>párrs. 125 a 132</w:t>
      </w:r>
      <w:r w:rsidRPr="00975C02">
        <w:rPr>
          <w:rFonts w:cs="Arial"/>
          <w:sz w:val="20"/>
          <w:szCs w:val="20"/>
          <w:lang w:val="es-ES"/>
        </w:rPr>
        <w:t>), se vio agravada por las denuncias interpuestas en contra de V.P.C. y de otros familiares que se habían involucrado en la búsqueda de justicia</w:t>
      </w:r>
      <w:r w:rsidR="00FA687A" w:rsidRPr="00975C02">
        <w:rPr>
          <w:rFonts w:cs="Arial"/>
          <w:sz w:val="20"/>
          <w:szCs w:val="20"/>
          <w:lang w:val="es-ES"/>
        </w:rPr>
        <w:t xml:space="preserve"> (</w:t>
      </w:r>
      <w:r w:rsidR="00FA687A" w:rsidRPr="00975C02">
        <w:rPr>
          <w:rFonts w:cs="Arial"/>
          <w:i/>
          <w:sz w:val="20"/>
          <w:szCs w:val="20"/>
          <w:lang w:val="es-ES"/>
        </w:rPr>
        <w:t xml:space="preserve">supra </w:t>
      </w:r>
      <w:r w:rsidR="00FA687A" w:rsidRPr="00975C02">
        <w:rPr>
          <w:rFonts w:cs="Arial"/>
          <w:sz w:val="20"/>
          <w:szCs w:val="20"/>
          <w:lang w:val="es-ES"/>
        </w:rPr>
        <w:t>párr. 133)</w:t>
      </w:r>
      <w:r w:rsidRPr="00975C02">
        <w:rPr>
          <w:rFonts w:cs="Arial"/>
          <w:sz w:val="20"/>
          <w:szCs w:val="20"/>
          <w:lang w:val="es-ES"/>
        </w:rPr>
        <w:t>, por parte de funcionarios y servidores públicos que intervinieron en el proceso penal por violación sexual y las diferentes citaciones judiciales recibidas con motivo de los mencionados procedimientos penales a fin de que comparecieran al Juzgado Local de lo Penal de Jinotega para prestar declaración</w:t>
      </w:r>
      <w:r w:rsidRPr="00975C02">
        <w:rPr>
          <w:rFonts w:cs="Arial"/>
          <w:sz w:val="20"/>
          <w:szCs w:val="20"/>
          <w:vertAlign w:val="superscript"/>
          <w:lang w:val="es-ES"/>
        </w:rPr>
        <w:footnoteReference w:id="399"/>
      </w:r>
      <w:r w:rsidRPr="00975C02">
        <w:rPr>
          <w:rFonts w:cs="Arial"/>
          <w:sz w:val="20"/>
          <w:szCs w:val="20"/>
          <w:lang w:val="es-ES"/>
        </w:rPr>
        <w:t>. Además, quedó comprobada la estigmatización social sufrida por V.R.P. y sus familiares a consecuencia del proceso judicial, cuyos efectos se intensificaron tras el veredicto de absolución (</w:t>
      </w:r>
      <w:r w:rsidRPr="00975C02">
        <w:rPr>
          <w:rFonts w:cs="Arial"/>
          <w:i/>
          <w:sz w:val="20"/>
          <w:szCs w:val="20"/>
          <w:lang w:val="es-ES"/>
        </w:rPr>
        <w:t xml:space="preserve">supra </w:t>
      </w:r>
      <w:r w:rsidR="00FA687A" w:rsidRPr="00975C02">
        <w:rPr>
          <w:rFonts w:cs="Arial"/>
          <w:sz w:val="20"/>
          <w:szCs w:val="20"/>
          <w:lang w:val="es-ES"/>
        </w:rPr>
        <w:t>C</w:t>
      </w:r>
      <w:r w:rsidRPr="00975C02">
        <w:rPr>
          <w:rFonts w:cs="Arial"/>
          <w:sz w:val="20"/>
          <w:szCs w:val="20"/>
          <w:lang w:val="es-ES"/>
        </w:rPr>
        <w:t xml:space="preserve">apítulo </w:t>
      </w:r>
      <w:r w:rsidR="00FA687A" w:rsidRPr="00975C02">
        <w:rPr>
          <w:rFonts w:cs="Arial"/>
          <w:sz w:val="20"/>
          <w:szCs w:val="20"/>
          <w:lang w:val="es-ES"/>
        </w:rPr>
        <w:t>VIII-3</w:t>
      </w:r>
      <w:r w:rsidRPr="00975C02">
        <w:rPr>
          <w:rFonts w:cs="Arial"/>
          <w:sz w:val="20"/>
          <w:szCs w:val="20"/>
          <w:lang w:val="es-ES"/>
        </w:rPr>
        <w:t>).</w:t>
      </w:r>
    </w:p>
    <w:p w14:paraId="63E569BD" w14:textId="77777777" w:rsidR="0038400D" w:rsidRPr="00975C02" w:rsidRDefault="0038400D" w:rsidP="0038400D">
      <w:pPr>
        <w:pStyle w:val="ListParagraph"/>
        <w:widowControl/>
        <w:adjustRightInd/>
        <w:spacing w:line="240" w:lineRule="auto"/>
        <w:ind w:left="0" w:right="49"/>
        <w:textAlignment w:val="auto"/>
        <w:rPr>
          <w:rFonts w:cs="Arial"/>
          <w:sz w:val="20"/>
          <w:szCs w:val="20"/>
          <w:lang w:val="es-ES"/>
        </w:rPr>
      </w:pPr>
    </w:p>
    <w:p w14:paraId="73165265" w14:textId="634EB6CA" w:rsidR="0038400D" w:rsidRPr="00975C02" w:rsidRDefault="0038400D" w:rsidP="00C67008">
      <w:pPr>
        <w:pStyle w:val="ListParagraph"/>
        <w:widowControl/>
        <w:numPr>
          <w:ilvl w:val="0"/>
          <w:numId w:val="2"/>
        </w:numPr>
        <w:adjustRightInd/>
        <w:spacing w:line="240" w:lineRule="auto"/>
        <w:ind w:left="0" w:right="49" w:firstLine="0"/>
        <w:textAlignment w:val="auto"/>
        <w:rPr>
          <w:rFonts w:cs="Arial"/>
          <w:sz w:val="20"/>
          <w:szCs w:val="20"/>
          <w:lang w:val="es-ES"/>
        </w:rPr>
      </w:pPr>
      <w:r w:rsidRPr="00975C02">
        <w:rPr>
          <w:rFonts w:cs="Arial"/>
          <w:sz w:val="20"/>
          <w:szCs w:val="20"/>
          <w:lang w:val="es-ES"/>
        </w:rPr>
        <w:t>Ante este contexto, la señora V.P.C. señaló en la audiencia ante esta Corte que, cuando salieron de Nicaragua, “iban con miedo, producto de todas las acusaciones criminales, que tanto el médico forense como la juez local y la otra persona del jurado habían interpuesto en [su] contra […], en contra de [su] madre que era una señora de 70 años, y en contra de [su] hermana por el solo hecho de acompañar[la] en los procesos”. Precisó que el temor que sentían se refería al hecho de “ser castigadas o perseguidas por haber proseguido con todas las denuncias que se hicieron en contra de los funcionarios públicos”. Agregó que no tenían “la confianza en el Estado de Nicaragua de que realmente las cosas se [iban] a hacer de una manera de respetar los derechos”</w:t>
      </w:r>
      <w:r w:rsidRPr="00975C02">
        <w:rPr>
          <w:rFonts w:cs="Arial"/>
          <w:sz w:val="20"/>
          <w:szCs w:val="20"/>
          <w:vertAlign w:val="superscript"/>
          <w:lang w:val="es-ES"/>
        </w:rPr>
        <w:footnoteReference w:id="400"/>
      </w:r>
      <w:r w:rsidRPr="00975C02">
        <w:rPr>
          <w:rFonts w:cs="Arial"/>
          <w:sz w:val="20"/>
          <w:szCs w:val="20"/>
          <w:lang w:val="es-ES"/>
        </w:rPr>
        <w:t>. En igual sentido se expresaron sus hijos V.R.P.</w:t>
      </w:r>
      <w:r w:rsidRPr="00975C02">
        <w:rPr>
          <w:rFonts w:cs="Arial"/>
          <w:sz w:val="20"/>
          <w:szCs w:val="20"/>
          <w:vertAlign w:val="superscript"/>
          <w:lang w:val="es-ES"/>
        </w:rPr>
        <w:footnoteReference w:id="401"/>
      </w:r>
      <w:r w:rsidRPr="00975C02">
        <w:rPr>
          <w:rFonts w:cs="Arial"/>
          <w:sz w:val="20"/>
          <w:szCs w:val="20"/>
          <w:lang w:val="es-ES"/>
        </w:rPr>
        <w:t xml:space="preserve"> y H.</w:t>
      </w:r>
      <w:r w:rsidR="0036509B" w:rsidRPr="00975C02">
        <w:rPr>
          <w:rFonts w:cs="Arial"/>
          <w:sz w:val="20"/>
          <w:szCs w:val="20"/>
          <w:lang w:val="es-ES"/>
        </w:rPr>
        <w:t>J.</w:t>
      </w:r>
      <w:r w:rsidRPr="00975C02">
        <w:rPr>
          <w:rFonts w:cs="Arial"/>
          <w:sz w:val="20"/>
          <w:szCs w:val="20"/>
          <w:lang w:val="es-ES"/>
        </w:rPr>
        <w:t>R.P.</w:t>
      </w:r>
      <w:r w:rsidRPr="00975C02">
        <w:rPr>
          <w:rFonts w:cs="Arial"/>
          <w:sz w:val="20"/>
          <w:szCs w:val="20"/>
          <w:vertAlign w:val="superscript"/>
          <w:lang w:val="es-ES"/>
        </w:rPr>
        <w:footnoteReference w:id="402"/>
      </w:r>
      <w:r w:rsidRPr="00975C02">
        <w:rPr>
          <w:rFonts w:cs="Arial"/>
          <w:sz w:val="20"/>
          <w:szCs w:val="20"/>
          <w:lang w:val="es-ES"/>
        </w:rPr>
        <w:t xml:space="preserve"> en torno a las circunstancias de la salida de Nicaragua de V.P.C., junto con sus hijas.</w:t>
      </w:r>
    </w:p>
    <w:p w14:paraId="3A63EB9F" w14:textId="77777777" w:rsidR="00C67008" w:rsidRPr="00975C02" w:rsidRDefault="00C67008" w:rsidP="00C67008">
      <w:pPr>
        <w:pStyle w:val="ListParagraph"/>
        <w:widowControl/>
        <w:adjustRightInd/>
        <w:spacing w:line="240" w:lineRule="auto"/>
        <w:ind w:left="0" w:right="49"/>
        <w:textAlignment w:val="auto"/>
        <w:rPr>
          <w:rFonts w:cs="Arial"/>
          <w:sz w:val="20"/>
          <w:szCs w:val="20"/>
          <w:lang w:val="es-ES"/>
        </w:rPr>
      </w:pPr>
    </w:p>
    <w:p w14:paraId="26530137" w14:textId="5DC73BF2" w:rsidR="0038400D" w:rsidRPr="00975C02" w:rsidRDefault="0038400D" w:rsidP="008513A5">
      <w:pPr>
        <w:pStyle w:val="ListParagraph"/>
        <w:widowControl/>
        <w:numPr>
          <w:ilvl w:val="0"/>
          <w:numId w:val="2"/>
        </w:numPr>
        <w:adjustRightInd/>
        <w:spacing w:line="240" w:lineRule="auto"/>
        <w:ind w:left="0" w:right="49" w:firstLine="0"/>
        <w:textAlignment w:val="auto"/>
        <w:rPr>
          <w:rFonts w:cs="Arial"/>
          <w:sz w:val="20"/>
          <w:szCs w:val="20"/>
          <w:lang w:val="es-ES"/>
        </w:rPr>
      </w:pPr>
      <w:r w:rsidRPr="00975C02">
        <w:rPr>
          <w:rFonts w:cs="Arial"/>
          <w:sz w:val="20"/>
          <w:szCs w:val="20"/>
          <w:lang w:val="es-ES"/>
        </w:rPr>
        <w:lastRenderedPageBreak/>
        <w:t xml:space="preserve">A partir de la valoración integral de las razones esgrimidas, la Corte </w:t>
      </w:r>
      <w:r w:rsidR="00192F16" w:rsidRPr="00975C02">
        <w:rPr>
          <w:rFonts w:cs="Arial"/>
          <w:sz w:val="20"/>
          <w:szCs w:val="20"/>
          <w:lang w:val="es-ES"/>
        </w:rPr>
        <w:t xml:space="preserve">encuentra probado </w:t>
      </w:r>
      <w:r w:rsidRPr="00975C02">
        <w:rPr>
          <w:rFonts w:cs="Arial"/>
          <w:sz w:val="20"/>
          <w:szCs w:val="20"/>
          <w:lang w:val="es-ES"/>
        </w:rPr>
        <w:t xml:space="preserve">que se trata de un cúmulo de factores que en su conjunto demuestran que el temor de desprotección de sus derechos por parte del Estado </w:t>
      </w:r>
      <w:r w:rsidRPr="00975C02">
        <w:rPr>
          <w:rFonts w:cs="Arial"/>
          <w:bCs/>
          <w:sz w:val="20"/>
          <w:szCs w:val="20"/>
          <w:lang w:val="es-ES"/>
        </w:rPr>
        <w:t>si permanecían en Nicaragua,</w:t>
      </w:r>
      <w:r w:rsidRPr="00975C02">
        <w:rPr>
          <w:rFonts w:cs="Arial"/>
          <w:sz w:val="20"/>
          <w:szCs w:val="20"/>
          <w:lang w:val="es-ES"/>
        </w:rPr>
        <w:t xml:space="preserve"> era razonable y fundado. El Estado, a través del accionar que desplegó desde el momento en que tomó conocimiento de los hechos de violencia sexual y a lo largo de todo el proceso, demostró que era incapaz de brindar una protección adecuada a los derechos de las víctimas desde una perspectiva de género y en observancia del paradigma de protección integral de niñas</w:t>
      </w:r>
      <w:r w:rsidR="0036509B" w:rsidRPr="00975C02">
        <w:rPr>
          <w:rFonts w:cs="Arial"/>
          <w:sz w:val="20"/>
          <w:szCs w:val="20"/>
          <w:lang w:val="es-ES"/>
        </w:rPr>
        <w:t>,</w:t>
      </w:r>
      <w:r w:rsidRPr="00975C02">
        <w:rPr>
          <w:rFonts w:cs="Arial"/>
          <w:sz w:val="20"/>
          <w:szCs w:val="20"/>
          <w:lang w:val="es-ES"/>
        </w:rPr>
        <w:t xml:space="preserve"> niños</w:t>
      </w:r>
      <w:r w:rsidR="0036509B" w:rsidRPr="00975C02">
        <w:rPr>
          <w:rFonts w:cs="Arial"/>
          <w:sz w:val="20"/>
          <w:szCs w:val="20"/>
          <w:lang w:val="es-ES"/>
        </w:rPr>
        <w:t xml:space="preserve"> y adolescentes</w:t>
      </w:r>
      <w:r w:rsidRPr="00975C02">
        <w:rPr>
          <w:rFonts w:cs="Arial"/>
          <w:sz w:val="20"/>
          <w:szCs w:val="20"/>
          <w:lang w:val="es-ES"/>
        </w:rPr>
        <w:t>. Incluso, el Estado se posicionó como un agente capaz de intensificar la violencia sufrida y sus efectos ante situaciones en que se requería su resguardo.</w:t>
      </w:r>
    </w:p>
    <w:p w14:paraId="59625546" w14:textId="77777777" w:rsidR="008513A5" w:rsidRPr="00975C02" w:rsidRDefault="008513A5" w:rsidP="008513A5">
      <w:pPr>
        <w:pStyle w:val="ListParagraph"/>
        <w:widowControl/>
        <w:adjustRightInd/>
        <w:spacing w:line="240" w:lineRule="auto"/>
        <w:ind w:left="0" w:right="49"/>
        <w:textAlignment w:val="auto"/>
        <w:rPr>
          <w:rFonts w:cs="Arial"/>
          <w:sz w:val="20"/>
          <w:szCs w:val="20"/>
          <w:lang w:val="es-ES"/>
        </w:rPr>
      </w:pPr>
    </w:p>
    <w:p w14:paraId="2C6E4469" w14:textId="673A5A09" w:rsidR="008513A5" w:rsidRPr="00975C02" w:rsidRDefault="0038400D" w:rsidP="008513A5">
      <w:pPr>
        <w:pStyle w:val="ListParagraph"/>
        <w:widowControl/>
        <w:numPr>
          <w:ilvl w:val="0"/>
          <w:numId w:val="2"/>
        </w:numPr>
        <w:adjustRightInd/>
        <w:spacing w:line="240" w:lineRule="auto"/>
        <w:ind w:left="0" w:right="49" w:firstLine="0"/>
        <w:textAlignment w:val="auto"/>
        <w:rPr>
          <w:rFonts w:cs="Arial"/>
          <w:sz w:val="20"/>
          <w:szCs w:val="20"/>
          <w:lang w:val="es-ES"/>
        </w:rPr>
      </w:pPr>
      <w:r w:rsidRPr="00975C02">
        <w:rPr>
          <w:rFonts w:cs="Arial"/>
          <w:sz w:val="20"/>
          <w:szCs w:val="20"/>
          <w:lang w:val="es-ES"/>
        </w:rPr>
        <w:t>En cuanto a las denuncias interpuestas contra la señora V.P.C., la jurisprudencia de la Corte ha sostenido que es evidente que un Estado no puede evitar que una persona ejerza alguna acción legal contra otra. En este sentido, es claro que el Estado no tiene responsabilidad por el hecho en sí de que esas personas hayan interpuesto una querella y una denuncia o instaurado un proceso civil contra ella o de que las autoridades judiciales hayan abierto las causas respectivas</w:t>
      </w:r>
      <w:r w:rsidRPr="00975C02">
        <w:rPr>
          <w:rFonts w:cs="Arial"/>
          <w:sz w:val="20"/>
          <w:szCs w:val="20"/>
          <w:vertAlign w:val="superscript"/>
          <w:lang w:val="es-ES"/>
        </w:rPr>
        <w:footnoteReference w:id="403"/>
      </w:r>
      <w:r w:rsidRPr="00975C02">
        <w:rPr>
          <w:rFonts w:cs="Arial"/>
          <w:sz w:val="20"/>
          <w:szCs w:val="20"/>
          <w:lang w:val="es-ES"/>
        </w:rPr>
        <w:t>. No obstante, la Corte advierte que en este caso existe una estrecha relación entre las denuncias interpuestas contra V.P.C. y el ejercicio de un cargo de poder como era la función pública o servicio público de las personas denunciantes. Los funcionarios y servidores públicos intervinientes en el proceso penal accionaron judicialmente en respuesta a las quejas y denuncias que V.P.C. había formulado alegando deficiencias e irregularidades en el desempeño de sus respectivos cargos públicos, que tuvieron la entidad de configurar violencia institucional y de género. En consecuencia, resulta razonable entender que las denuncias constituyeron para las víctimas una forma de amedrentamiento que generó</w:t>
      </w:r>
      <w:r w:rsidR="0036509B" w:rsidRPr="00975C02">
        <w:rPr>
          <w:rFonts w:cs="Arial"/>
          <w:sz w:val="20"/>
          <w:szCs w:val="20"/>
          <w:lang w:val="es-ES"/>
        </w:rPr>
        <w:t>,</w:t>
      </w:r>
      <w:r w:rsidRPr="00975C02">
        <w:rPr>
          <w:rFonts w:cs="Arial"/>
          <w:sz w:val="20"/>
          <w:szCs w:val="20"/>
          <w:lang w:val="es-ES"/>
        </w:rPr>
        <w:t xml:space="preserve"> en su subjetividad</w:t>
      </w:r>
      <w:r w:rsidR="0036509B" w:rsidRPr="00975C02">
        <w:rPr>
          <w:rFonts w:cs="Arial"/>
          <w:sz w:val="20"/>
          <w:szCs w:val="20"/>
          <w:lang w:val="es-ES"/>
        </w:rPr>
        <w:t>,</w:t>
      </w:r>
      <w:r w:rsidRPr="00975C02">
        <w:rPr>
          <w:rFonts w:cs="Arial"/>
          <w:sz w:val="20"/>
          <w:szCs w:val="20"/>
          <w:lang w:val="es-ES"/>
        </w:rPr>
        <w:t xml:space="preserve"> un temor fundado de hostigamiento judicial.</w:t>
      </w:r>
    </w:p>
    <w:p w14:paraId="1D432BCA" w14:textId="77777777" w:rsidR="00EE3F08" w:rsidRPr="00975C02" w:rsidRDefault="00EE3F08" w:rsidP="00EE3F08">
      <w:pPr>
        <w:pStyle w:val="ListParagraph"/>
        <w:widowControl/>
        <w:adjustRightInd/>
        <w:spacing w:line="240" w:lineRule="auto"/>
        <w:ind w:left="0" w:right="49"/>
        <w:textAlignment w:val="auto"/>
        <w:rPr>
          <w:rFonts w:cs="Arial"/>
          <w:sz w:val="20"/>
          <w:szCs w:val="20"/>
          <w:lang w:val="es-ES"/>
        </w:rPr>
      </w:pPr>
    </w:p>
    <w:p w14:paraId="34F3AE57" w14:textId="51093D86" w:rsidR="0038400D" w:rsidRPr="00975C02" w:rsidRDefault="0038400D" w:rsidP="000D41E0">
      <w:pPr>
        <w:pStyle w:val="ListParagraph"/>
        <w:widowControl/>
        <w:numPr>
          <w:ilvl w:val="0"/>
          <w:numId w:val="2"/>
        </w:numPr>
        <w:adjustRightInd/>
        <w:spacing w:line="240" w:lineRule="auto"/>
        <w:ind w:left="0" w:right="49" w:firstLine="0"/>
        <w:textAlignment w:val="auto"/>
        <w:rPr>
          <w:rFonts w:cs="Arial"/>
          <w:sz w:val="20"/>
          <w:szCs w:val="20"/>
          <w:lang w:val="es-ES"/>
        </w:rPr>
      </w:pPr>
      <w:r w:rsidRPr="00975C02">
        <w:rPr>
          <w:rFonts w:cs="Arial"/>
          <w:sz w:val="20"/>
          <w:szCs w:val="20"/>
          <w:lang w:val="es-ES"/>
        </w:rPr>
        <w:t xml:space="preserve">Asimismo, </w:t>
      </w:r>
      <w:r w:rsidR="00EE3F08" w:rsidRPr="00975C02">
        <w:rPr>
          <w:rFonts w:cs="Arial"/>
          <w:sz w:val="20"/>
          <w:szCs w:val="20"/>
          <w:lang w:val="es-ES"/>
        </w:rPr>
        <w:t>diferentes informes advirtieron sobre la posible influencia del poder político sobre el sistema judicial de Nicaragua y su falta de imparcialidad e independencia y, en particular, sobre la respuesta del sistema judicial frente a casos de violencia sexual contra niñ</w:t>
      </w:r>
      <w:r w:rsidR="002900D1" w:rsidRPr="00975C02">
        <w:rPr>
          <w:rFonts w:cs="Arial"/>
          <w:sz w:val="20"/>
          <w:szCs w:val="20"/>
          <w:lang w:val="es-ES"/>
        </w:rPr>
        <w:t>a</w:t>
      </w:r>
      <w:r w:rsidR="00EE3F08" w:rsidRPr="00975C02">
        <w:rPr>
          <w:rFonts w:cs="Arial"/>
          <w:sz w:val="20"/>
          <w:szCs w:val="20"/>
          <w:lang w:val="es-ES"/>
        </w:rPr>
        <w:t>s</w:t>
      </w:r>
      <w:r w:rsidR="002900D1" w:rsidRPr="00975C02">
        <w:rPr>
          <w:rFonts w:cs="Arial"/>
          <w:sz w:val="20"/>
          <w:szCs w:val="20"/>
          <w:lang w:val="es-ES"/>
        </w:rPr>
        <w:t>,</w:t>
      </w:r>
      <w:r w:rsidR="00EE3F08" w:rsidRPr="00975C02">
        <w:rPr>
          <w:rFonts w:cs="Arial"/>
          <w:sz w:val="20"/>
          <w:szCs w:val="20"/>
          <w:lang w:val="es-ES"/>
        </w:rPr>
        <w:t xml:space="preserve"> niñ</w:t>
      </w:r>
      <w:r w:rsidR="002900D1" w:rsidRPr="00975C02">
        <w:rPr>
          <w:rFonts w:cs="Arial"/>
          <w:sz w:val="20"/>
          <w:szCs w:val="20"/>
          <w:lang w:val="es-ES"/>
        </w:rPr>
        <w:t>o</w:t>
      </w:r>
      <w:r w:rsidR="00EE3F08" w:rsidRPr="00975C02">
        <w:rPr>
          <w:rFonts w:cs="Arial"/>
          <w:sz w:val="20"/>
          <w:szCs w:val="20"/>
          <w:lang w:val="es-ES"/>
        </w:rPr>
        <w:t>s</w:t>
      </w:r>
      <w:r w:rsidR="002900D1" w:rsidRPr="00975C02">
        <w:rPr>
          <w:rFonts w:cs="Arial"/>
          <w:sz w:val="20"/>
          <w:szCs w:val="20"/>
          <w:lang w:val="es-ES"/>
        </w:rPr>
        <w:t xml:space="preserve"> y adolescentes</w:t>
      </w:r>
      <w:r w:rsidR="00EE3F08" w:rsidRPr="00975C02">
        <w:rPr>
          <w:rFonts w:cs="Arial"/>
          <w:sz w:val="20"/>
          <w:szCs w:val="20"/>
          <w:lang w:val="es-ES"/>
        </w:rPr>
        <w:t>, en relación con la impunidad de los agresores y la obstaculización del acceso a la justicia de las víctimas</w:t>
      </w:r>
      <w:r w:rsidR="00EE3F08" w:rsidRPr="00975C02">
        <w:rPr>
          <w:sz w:val="20"/>
          <w:szCs w:val="20"/>
          <w:vertAlign w:val="superscript"/>
          <w:lang w:val="es-ES"/>
        </w:rPr>
        <w:footnoteReference w:id="404"/>
      </w:r>
      <w:r w:rsidR="00EE3F08" w:rsidRPr="00975C02">
        <w:rPr>
          <w:rFonts w:cs="Arial"/>
          <w:sz w:val="20"/>
          <w:szCs w:val="20"/>
          <w:lang w:val="es-ES"/>
        </w:rPr>
        <w:t xml:space="preserve">. </w:t>
      </w:r>
      <w:r w:rsidR="001E7EDD" w:rsidRPr="00975C02">
        <w:rPr>
          <w:rFonts w:cs="Arial"/>
          <w:sz w:val="20"/>
          <w:szCs w:val="20"/>
          <w:lang w:val="es-ES"/>
        </w:rPr>
        <w:t xml:space="preserve">Por ello, </w:t>
      </w:r>
      <w:r w:rsidRPr="00975C02">
        <w:rPr>
          <w:rFonts w:cs="Arial"/>
          <w:sz w:val="20"/>
          <w:szCs w:val="20"/>
          <w:lang w:val="es-ES"/>
        </w:rPr>
        <w:t xml:space="preserve">era razonable que la señora V.P.C. y sus hijas </w:t>
      </w:r>
      <w:r w:rsidRPr="00975C02">
        <w:rPr>
          <w:rFonts w:cs="Arial"/>
          <w:bCs/>
          <w:sz w:val="20"/>
          <w:szCs w:val="20"/>
          <w:lang w:val="es-ES"/>
        </w:rPr>
        <w:t>no quisieran acogerse a la protección de su país de origen debido a la desco</w:t>
      </w:r>
      <w:r w:rsidR="00EE3F08" w:rsidRPr="00975C02">
        <w:rPr>
          <w:rFonts w:cs="Arial"/>
          <w:bCs/>
          <w:sz w:val="20"/>
          <w:szCs w:val="20"/>
          <w:lang w:val="es-ES"/>
        </w:rPr>
        <w:t>nfianza en el sistema judicial</w:t>
      </w:r>
      <w:r w:rsidR="00110188" w:rsidRPr="00975C02">
        <w:rPr>
          <w:rFonts w:cs="Arial"/>
          <w:bCs/>
          <w:sz w:val="20"/>
          <w:szCs w:val="20"/>
          <w:lang w:val="es-ES"/>
        </w:rPr>
        <w:t xml:space="preserve"> ante este tipo de delitos</w:t>
      </w:r>
      <w:r w:rsidR="00EE3F08" w:rsidRPr="00975C02">
        <w:rPr>
          <w:rFonts w:cs="Arial"/>
          <w:bCs/>
          <w:sz w:val="20"/>
          <w:szCs w:val="20"/>
          <w:lang w:val="es-ES"/>
        </w:rPr>
        <w:t>.</w:t>
      </w:r>
    </w:p>
    <w:p w14:paraId="0373FDCD" w14:textId="77777777" w:rsidR="000D41E0" w:rsidRPr="00975C02" w:rsidRDefault="000D41E0" w:rsidP="000D41E0">
      <w:pPr>
        <w:pStyle w:val="ListParagraph"/>
        <w:widowControl/>
        <w:adjustRightInd/>
        <w:spacing w:line="240" w:lineRule="auto"/>
        <w:ind w:left="0" w:right="49"/>
        <w:textAlignment w:val="auto"/>
        <w:rPr>
          <w:rFonts w:cs="Arial"/>
          <w:i/>
          <w:sz w:val="20"/>
          <w:szCs w:val="20"/>
          <w:lang w:val="es-ES"/>
        </w:rPr>
      </w:pPr>
    </w:p>
    <w:p w14:paraId="13DC4BCF" w14:textId="6A76E8AA" w:rsidR="0038400D" w:rsidRPr="00975C02" w:rsidRDefault="0038400D" w:rsidP="000D41E0">
      <w:pPr>
        <w:pStyle w:val="ListParagraph"/>
        <w:widowControl/>
        <w:numPr>
          <w:ilvl w:val="0"/>
          <w:numId w:val="2"/>
        </w:numPr>
        <w:adjustRightInd/>
        <w:spacing w:line="240" w:lineRule="auto"/>
        <w:ind w:left="0" w:right="49" w:firstLine="0"/>
        <w:textAlignment w:val="auto"/>
        <w:rPr>
          <w:rFonts w:cs="Arial"/>
          <w:sz w:val="20"/>
          <w:szCs w:val="20"/>
          <w:lang w:val="es-ES"/>
        </w:rPr>
      </w:pPr>
      <w:r w:rsidRPr="00975C02">
        <w:rPr>
          <w:rFonts w:cs="Arial"/>
          <w:sz w:val="20"/>
          <w:szCs w:val="20"/>
          <w:lang w:val="es-ES"/>
        </w:rPr>
        <w:t>La Corte estima que el hecho de no querer acogerse a la protección del Estado por la desconfianza en su efectividad y</w:t>
      </w:r>
      <w:r w:rsidR="007E67EE" w:rsidRPr="00975C02">
        <w:rPr>
          <w:rFonts w:cs="Arial"/>
          <w:sz w:val="20"/>
          <w:szCs w:val="20"/>
          <w:lang w:val="es-ES"/>
        </w:rPr>
        <w:t>,</w:t>
      </w:r>
      <w:r w:rsidRPr="00975C02">
        <w:rPr>
          <w:rFonts w:cs="Arial"/>
          <w:sz w:val="20"/>
          <w:szCs w:val="20"/>
          <w:lang w:val="es-ES"/>
        </w:rPr>
        <w:t xml:space="preserve"> en consecuencia</w:t>
      </w:r>
      <w:r w:rsidR="007E67EE" w:rsidRPr="00975C02">
        <w:rPr>
          <w:rFonts w:cs="Arial"/>
          <w:sz w:val="20"/>
          <w:szCs w:val="20"/>
          <w:lang w:val="es-ES"/>
        </w:rPr>
        <w:t>,</w:t>
      </w:r>
      <w:r w:rsidRPr="00975C02">
        <w:rPr>
          <w:rFonts w:cs="Arial"/>
          <w:sz w:val="20"/>
          <w:szCs w:val="20"/>
          <w:lang w:val="es-ES"/>
        </w:rPr>
        <w:t xml:space="preserve"> trasladar el lugar de residencia, puede ser entendido como una decisión de las víctimas. No obstante, a partir de una valoración integral de las circunstancias del caso, la Corte advierte que se trata de una decisión forzada</w:t>
      </w:r>
      <w:r w:rsidR="007E67EE" w:rsidRPr="00975C02">
        <w:rPr>
          <w:rFonts w:cs="Arial"/>
          <w:sz w:val="20"/>
          <w:szCs w:val="20"/>
          <w:lang w:val="es-ES"/>
        </w:rPr>
        <w:t>,</w:t>
      </w:r>
      <w:r w:rsidRPr="00975C02">
        <w:rPr>
          <w:rFonts w:cs="Arial"/>
          <w:sz w:val="20"/>
          <w:szCs w:val="20"/>
          <w:lang w:val="es-ES"/>
        </w:rPr>
        <w:t xml:space="preserve"> debido al cúmulo de factores objetivos que generaron la situación de desprotección de los derechos de las víctimas por parte del Estado y un temor fundado de hostigamiento judicial y de mayor vulnerabilidad ante eventuales ataques a sus derechos. De este modo, el Estado es responsable por haber generado las condiciones que forzaron</w:t>
      </w:r>
      <w:r w:rsidR="00B437B2">
        <w:rPr>
          <w:rFonts w:cs="Arial"/>
          <w:sz w:val="20"/>
          <w:szCs w:val="20"/>
          <w:lang w:val="es-ES"/>
        </w:rPr>
        <w:t xml:space="preserve"> a</w:t>
      </w:r>
      <w:r w:rsidRPr="00975C02">
        <w:rPr>
          <w:rFonts w:cs="Arial"/>
          <w:sz w:val="20"/>
          <w:szCs w:val="20"/>
          <w:lang w:val="es-ES"/>
        </w:rPr>
        <w:t xml:space="preserve"> la salida de las </w:t>
      </w:r>
      <w:r w:rsidR="000415F8" w:rsidRPr="00975C02">
        <w:rPr>
          <w:rFonts w:cs="Arial"/>
          <w:sz w:val="20"/>
          <w:szCs w:val="20"/>
          <w:lang w:val="es-ES"/>
        </w:rPr>
        <w:t xml:space="preserve">presuntas </w:t>
      </w:r>
      <w:r w:rsidRPr="00975C02">
        <w:rPr>
          <w:rFonts w:cs="Arial"/>
          <w:sz w:val="20"/>
          <w:szCs w:val="20"/>
          <w:lang w:val="es-ES"/>
        </w:rPr>
        <w:t>víctimas de su país</w:t>
      </w:r>
      <w:r w:rsidR="00C8288B" w:rsidRPr="00975C02">
        <w:rPr>
          <w:rFonts w:cs="Arial"/>
          <w:sz w:val="20"/>
          <w:szCs w:val="20"/>
          <w:lang w:val="es-ES"/>
        </w:rPr>
        <w:t xml:space="preserve"> de origen</w:t>
      </w:r>
      <w:r w:rsidR="00B230DF" w:rsidRPr="00975C02">
        <w:rPr>
          <w:rFonts w:cs="Arial"/>
          <w:sz w:val="20"/>
          <w:szCs w:val="20"/>
          <w:lang w:val="es-ES"/>
        </w:rPr>
        <w:t>,</w:t>
      </w:r>
      <w:r w:rsidR="00B555F1" w:rsidRPr="00975C02">
        <w:rPr>
          <w:rFonts w:cs="Arial"/>
          <w:sz w:val="20"/>
          <w:szCs w:val="20"/>
          <w:lang w:val="es-ES"/>
        </w:rPr>
        <w:t xml:space="preserve"> lo</w:t>
      </w:r>
      <w:r w:rsidR="00B230DF" w:rsidRPr="00975C02">
        <w:rPr>
          <w:rFonts w:cs="Arial"/>
          <w:sz w:val="20"/>
          <w:szCs w:val="20"/>
          <w:lang w:val="es-ES"/>
        </w:rPr>
        <w:t xml:space="preserve"> que a su vez conllevó a la separación de la familia.</w:t>
      </w:r>
    </w:p>
    <w:p w14:paraId="05550FBB" w14:textId="77777777" w:rsidR="000D41E0" w:rsidRPr="00975C02" w:rsidRDefault="000D41E0" w:rsidP="000D41E0">
      <w:pPr>
        <w:pStyle w:val="ListParagraph"/>
        <w:widowControl/>
        <w:adjustRightInd/>
        <w:spacing w:line="240" w:lineRule="auto"/>
        <w:ind w:left="0" w:right="49"/>
        <w:textAlignment w:val="auto"/>
        <w:rPr>
          <w:rFonts w:cs="Arial"/>
          <w:sz w:val="20"/>
          <w:szCs w:val="20"/>
          <w:lang w:val="es-ES"/>
        </w:rPr>
      </w:pPr>
    </w:p>
    <w:p w14:paraId="2B493002" w14:textId="11694A94" w:rsidR="0038400D" w:rsidRPr="00975C02" w:rsidRDefault="0038400D" w:rsidP="000D41E0">
      <w:pPr>
        <w:pStyle w:val="ListParagraph"/>
        <w:widowControl/>
        <w:numPr>
          <w:ilvl w:val="0"/>
          <w:numId w:val="2"/>
        </w:numPr>
        <w:adjustRightInd/>
        <w:spacing w:line="240" w:lineRule="auto"/>
        <w:ind w:left="0" w:right="49" w:firstLine="0"/>
        <w:textAlignment w:val="auto"/>
        <w:rPr>
          <w:rFonts w:cs="Arial"/>
          <w:bCs/>
          <w:sz w:val="20"/>
          <w:szCs w:val="20"/>
          <w:lang w:val="es-ES"/>
        </w:rPr>
      </w:pPr>
      <w:r w:rsidRPr="00975C02">
        <w:rPr>
          <w:rFonts w:cs="Arial"/>
          <w:bCs/>
          <w:sz w:val="20"/>
          <w:szCs w:val="20"/>
          <w:lang w:val="es-ES"/>
        </w:rPr>
        <w:lastRenderedPageBreak/>
        <w:t>Por tanto, si bien no consta que el Estado restringi</w:t>
      </w:r>
      <w:r w:rsidR="00B555F1" w:rsidRPr="00975C02">
        <w:rPr>
          <w:rFonts w:cs="Arial"/>
          <w:bCs/>
          <w:sz w:val="20"/>
          <w:szCs w:val="20"/>
          <w:lang w:val="es-ES"/>
        </w:rPr>
        <w:t>era</w:t>
      </w:r>
      <w:r w:rsidRPr="00975C02">
        <w:rPr>
          <w:rFonts w:cs="Arial"/>
          <w:bCs/>
          <w:sz w:val="20"/>
          <w:szCs w:val="20"/>
          <w:lang w:val="es-ES"/>
        </w:rPr>
        <w:t xml:space="preserve"> de manera formal la libertad de residencia, la Corte considera que en este caso dicha libertad se </w:t>
      </w:r>
      <w:r w:rsidR="007C395D" w:rsidRPr="00975C02">
        <w:rPr>
          <w:rFonts w:cs="Arial"/>
          <w:bCs/>
          <w:sz w:val="20"/>
          <w:szCs w:val="20"/>
          <w:lang w:val="es-ES"/>
        </w:rPr>
        <w:t xml:space="preserve">vio </w:t>
      </w:r>
      <w:r w:rsidRPr="00975C02">
        <w:rPr>
          <w:rFonts w:cs="Arial"/>
          <w:bCs/>
          <w:sz w:val="20"/>
          <w:szCs w:val="20"/>
          <w:lang w:val="es-ES"/>
        </w:rPr>
        <w:t xml:space="preserve">limitada </w:t>
      </w:r>
      <w:r w:rsidR="007C395D" w:rsidRPr="00975C02">
        <w:rPr>
          <w:rFonts w:cs="Arial"/>
          <w:bCs/>
          <w:sz w:val="20"/>
          <w:szCs w:val="20"/>
          <w:lang w:val="es-ES"/>
        </w:rPr>
        <w:t>a raíz del</w:t>
      </w:r>
      <w:r w:rsidRPr="00975C02">
        <w:rPr>
          <w:rFonts w:cs="Arial"/>
          <w:bCs/>
          <w:sz w:val="20"/>
          <w:szCs w:val="20"/>
          <w:lang w:val="es-ES"/>
        </w:rPr>
        <w:t xml:space="preserve"> temor de desprotección de </w:t>
      </w:r>
      <w:r w:rsidR="007C395D" w:rsidRPr="00975C02">
        <w:rPr>
          <w:rFonts w:cs="Arial"/>
          <w:bCs/>
          <w:sz w:val="20"/>
          <w:szCs w:val="20"/>
          <w:lang w:val="es-ES"/>
        </w:rPr>
        <w:t xml:space="preserve">los </w:t>
      </w:r>
      <w:r w:rsidRPr="00975C02">
        <w:rPr>
          <w:rFonts w:cs="Arial"/>
          <w:bCs/>
          <w:sz w:val="20"/>
          <w:szCs w:val="20"/>
          <w:lang w:val="es-ES"/>
        </w:rPr>
        <w:t>derechos</w:t>
      </w:r>
      <w:r w:rsidR="007C395D" w:rsidRPr="00975C02">
        <w:rPr>
          <w:rFonts w:cs="Arial"/>
          <w:bCs/>
          <w:sz w:val="20"/>
          <w:szCs w:val="20"/>
          <w:lang w:val="es-ES"/>
        </w:rPr>
        <w:t xml:space="preserve"> de V.R.P. y V.P.C.</w:t>
      </w:r>
      <w:r w:rsidRPr="00975C02">
        <w:rPr>
          <w:rFonts w:cs="Arial"/>
          <w:bCs/>
          <w:sz w:val="20"/>
          <w:szCs w:val="20"/>
          <w:lang w:val="es-ES"/>
        </w:rPr>
        <w:t>, que se encuentra fundado por elementos objetivos imputables a</w:t>
      </w:r>
      <w:r w:rsidR="00C37341">
        <w:rPr>
          <w:rFonts w:cs="Arial"/>
          <w:bCs/>
          <w:sz w:val="20"/>
          <w:szCs w:val="20"/>
          <w:lang w:val="es-ES"/>
        </w:rPr>
        <w:t xml:space="preserve"> la responsabilidad del Estado.</w:t>
      </w:r>
    </w:p>
    <w:p w14:paraId="31C3839C" w14:textId="77777777" w:rsidR="0038400D" w:rsidRPr="00975C02" w:rsidRDefault="0038400D" w:rsidP="0011586B">
      <w:pPr>
        <w:pStyle w:val="ListParagraph"/>
        <w:spacing w:line="240" w:lineRule="auto"/>
        <w:ind w:left="0"/>
        <w:rPr>
          <w:rFonts w:cs="Arial"/>
          <w:sz w:val="20"/>
          <w:szCs w:val="20"/>
          <w:lang w:val="es-ES"/>
        </w:rPr>
      </w:pPr>
    </w:p>
    <w:p w14:paraId="349CCB11" w14:textId="05B1B588" w:rsidR="00495E03" w:rsidRPr="00975C02" w:rsidRDefault="00495E03" w:rsidP="0011586B">
      <w:pPr>
        <w:pStyle w:val="ListParagraph"/>
        <w:widowControl/>
        <w:numPr>
          <w:ilvl w:val="0"/>
          <w:numId w:val="2"/>
        </w:numPr>
        <w:adjustRightInd/>
        <w:spacing w:line="240" w:lineRule="auto"/>
        <w:ind w:left="0" w:firstLine="0"/>
        <w:textAlignment w:val="auto"/>
        <w:rPr>
          <w:sz w:val="20"/>
          <w:szCs w:val="20"/>
          <w:lang w:val="es-ES"/>
        </w:rPr>
      </w:pPr>
      <w:r w:rsidRPr="00975C02">
        <w:rPr>
          <w:sz w:val="20"/>
          <w:szCs w:val="20"/>
          <w:lang w:val="es-ES"/>
        </w:rPr>
        <w:t xml:space="preserve">En consecuencia, la Corte considera que el Estado </w:t>
      </w:r>
      <w:r w:rsidR="00D61200" w:rsidRPr="00975C02">
        <w:rPr>
          <w:sz w:val="20"/>
          <w:szCs w:val="20"/>
          <w:lang w:val="es-ES"/>
        </w:rPr>
        <w:t>es responsable por la violación de los derechos de residencia y</w:t>
      </w:r>
      <w:r w:rsidRPr="00975C02">
        <w:rPr>
          <w:sz w:val="20"/>
          <w:szCs w:val="20"/>
          <w:lang w:val="es-ES"/>
        </w:rPr>
        <w:t xml:space="preserve"> a la protección de la familia, </w:t>
      </w:r>
      <w:r w:rsidR="00D61200" w:rsidRPr="00975C02">
        <w:rPr>
          <w:sz w:val="20"/>
          <w:szCs w:val="20"/>
          <w:lang w:val="es-ES"/>
        </w:rPr>
        <w:t xml:space="preserve">reconocidos en los artículos 22.1 y 17.1 de la Convención Americana, </w:t>
      </w:r>
      <w:r w:rsidRPr="00975C02">
        <w:rPr>
          <w:sz w:val="20"/>
          <w:szCs w:val="20"/>
          <w:lang w:val="es-ES"/>
        </w:rPr>
        <w:t>en relación con los artículos 1.1</w:t>
      </w:r>
      <w:r w:rsidR="000D7883" w:rsidRPr="00975C02">
        <w:rPr>
          <w:sz w:val="20"/>
          <w:szCs w:val="20"/>
          <w:lang w:val="es-ES"/>
        </w:rPr>
        <w:t xml:space="preserve"> y 19</w:t>
      </w:r>
      <w:r w:rsidR="00D61200" w:rsidRPr="00975C02">
        <w:rPr>
          <w:sz w:val="20"/>
          <w:szCs w:val="20"/>
          <w:lang w:val="es-ES"/>
        </w:rPr>
        <w:t xml:space="preserve"> de la misma</w:t>
      </w:r>
      <w:r w:rsidRPr="00975C02">
        <w:rPr>
          <w:sz w:val="20"/>
          <w:szCs w:val="20"/>
          <w:lang w:val="es-ES"/>
        </w:rPr>
        <w:t xml:space="preserve">, en perjuicio de V.R.P. Asimismo, el Estado </w:t>
      </w:r>
      <w:r w:rsidR="00D61200" w:rsidRPr="00975C02">
        <w:rPr>
          <w:sz w:val="20"/>
          <w:szCs w:val="20"/>
          <w:lang w:val="es-ES"/>
        </w:rPr>
        <w:t>es responsable por la violación de los derechos de residencia y a la protección de la familia, reconocidos en los artículos 22.1 y 17.1 de la Convención Americana,</w:t>
      </w:r>
      <w:r w:rsidRPr="00975C02">
        <w:rPr>
          <w:sz w:val="20"/>
          <w:szCs w:val="20"/>
          <w:lang w:val="es-ES"/>
        </w:rPr>
        <w:t xml:space="preserve"> en relación con el artículo 1.1</w:t>
      </w:r>
      <w:r w:rsidR="00D61200" w:rsidRPr="00975C02">
        <w:rPr>
          <w:sz w:val="20"/>
          <w:szCs w:val="20"/>
          <w:lang w:val="es-ES"/>
        </w:rPr>
        <w:t xml:space="preserve"> de la misma</w:t>
      </w:r>
      <w:r w:rsidRPr="00975C02">
        <w:rPr>
          <w:sz w:val="20"/>
          <w:szCs w:val="20"/>
          <w:lang w:val="es-ES"/>
        </w:rPr>
        <w:t xml:space="preserve">, en perjuicio de V.P.C. y N.R.P. Del mismo modo, el Estado </w:t>
      </w:r>
      <w:r w:rsidR="00D61200" w:rsidRPr="00975C02">
        <w:rPr>
          <w:sz w:val="20"/>
          <w:szCs w:val="20"/>
          <w:lang w:val="es-ES"/>
        </w:rPr>
        <w:t>es responsable por la violación del derecho a la protección de la familia, reconocido en el artículo 17.1 de la Convención Americana,</w:t>
      </w:r>
      <w:r w:rsidRPr="00975C02">
        <w:rPr>
          <w:sz w:val="20"/>
          <w:szCs w:val="20"/>
          <w:lang w:val="es-ES"/>
        </w:rPr>
        <w:t xml:space="preserve"> en relación con el artículo 1.1, en perjuicio de H.J.R.P. y V.A.R.P.</w:t>
      </w:r>
    </w:p>
    <w:p w14:paraId="7E272B61" w14:textId="77777777" w:rsidR="00B5625C" w:rsidRPr="00975C02" w:rsidRDefault="00B5625C" w:rsidP="0011586B">
      <w:pPr>
        <w:tabs>
          <w:tab w:val="left" w:pos="567"/>
        </w:tabs>
        <w:spacing w:line="240" w:lineRule="auto"/>
        <w:rPr>
          <w:rFonts w:eastAsiaTheme="minorHAnsi" w:cstheme="minorBidi"/>
          <w:sz w:val="20"/>
          <w:szCs w:val="20"/>
          <w:lang w:val="es-ES" w:eastAsia="en-US"/>
        </w:rPr>
      </w:pPr>
    </w:p>
    <w:p w14:paraId="3FB83122" w14:textId="55A556B7" w:rsidR="003D24D2" w:rsidRPr="00975C02" w:rsidRDefault="003D24D2" w:rsidP="003D24D2">
      <w:pPr>
        <w:pStyle w:val="ListParagraph"/>
        <w:widowControl/>
        <w:numPr>
          <w:ilvl w:val="0"/>
          <w:numId w:val="2"/>
        </w:numPr>
        <w:adjustRightInd/>
        <w:spacing w:line="240" w:lineRule="auto"/>
        <w:ind w:left="0" w:firstLine="0"/>
        <w:textAlignment w:val="auto"/>
        <w:rPr>
          <w:rFonts w:eastAsiaTheme="minorHAnsi" w:cstheme="minorBidi"/>
          <w:sz w:val="20"/>
          <w:szCs w:val="20"/>
          <w:lang w:val="es-ES" w:eastAsia="en-US"/>
        </w:rPr>
      </w:pPr>
      <w:r w:rsidRPr="00975C02">
        <w:rPr>
          <w:rFonts w:eastAsiaTheme="minorHAnsi" w:cstheme="minorBidi"/>
          <w:sz w:val="20"/>
          <w:szCs w:val="20"/>
          <w:lang w:val="es-ES" w:eastAsia="en-US"/>
        </w:rPr>
        <w:t xml:space="preserve">En relación con los alegatos de las representantes referidos a que la salida de Nicaragua se debió a una </w:t>
      </w:r>
      <w:r w:rsidRPr="00975C02">
        <w:rPr>
          <w:sz w:val="20"/>
          <w:szCs w:val="20"/>
          <w:lang w:val="es-ES"/>
        </w:rPr>
        <w:t>supuesta</w:t>
      </w:r>
      <w:r w:rsidRPr="00975C02">
        <w:rPr>
          <w:rFonts w:eastAsiaTheme="minorHAnsi" w:cstheme="minorBidi"/>
          <w:sz w:val="20"/>
          <w:szCs w:val="20"/>
          <w:lang w:val="es-ES" w:eastAsia="en-US"/>
        </w:rPr>
        <w:t xml:space="preserve"> persecución religiosa en desmedro del principio de no discriminación y del derecho a la libertad religiosa, la Corte </w:t>
      </w:r>
      <w:r w:rsidR="00FD0F7C" w:rsidRPr="00975C02">
        <w:rPr>
          <w:rFonts w:eastAsiaTheme="minorHAnsi" w:cstheme="minorBidi"/>
          <w:sz w:val="20"/>
          <w:szCs w:val="20"/>
          <w:lang w:val="es-ES" w:eastAsia="en-US"/>
        </w:rPr>
        <w:t>nota</w:t>
      </w:r>
      <w:r w:rsidRPr="00975C02">
        <w:rPr>
          <w:rFonts w:eastAsiaTheme="minorHAnsi" w:cstheme="minorBidi"/>
          <w:sz w:val="20"/>
          <w:szCs w:val="20"/>
          <w:lang w:val="es-ES" w:eastAsia="en-US"/>
        </w:rPr>
        <w:t xml:space="preserve"> que tales afirmaciones no han sido probadas y no existen elementos que pudieran objetivamente indicar que las vulneraciones de derechos reconocidas en esta Sentencia hayan obedecido a la religión profesada por las víctimas. Por tanto, la Corte considera que </w:t>
      </w:r>
      <w:r w:rsidR="00D61200" w:rsidRPr="00975C02">
        <w:rPr>
          <w:rFonts w:eastAsiaTheme="minorHAnsi" w:cstheme="minorBidi"/>
          <w:sz w:val="20"/>
          <w:szCs w:val="20"/>
          <w:lang w:val="es-ES" w:eastAsia="en-US"/>
        </w:rPr>
        <w:t>el Estado no incurrió en responsabilidad por la</w:t>
      </w:r>
      <w:r w:rsidRPr="00975C02">
        <w:rPr>
          <w:rFonts w:eastAsiaTheme="minorHAnsi" w:cstheme="minorBidi"/>
          <w:sz w:val="20"/>
          <w:szCs w:val="20"/>
          <w:lang w:val="es-ES" w:eastAsia="en-US"/>
        </w:rPr>
        <w:t xml:space="preserve"> </w:t>
      </w:r>
      <w:r w:rsidR="00E122AF" w:rsidRPr="00975C02">
        <w:rPr>
          <w:rFonts w:eastAsiaTheme="minorHAnsi" w:cstheme="minorBidi"/>
          <w:sz w:val="20"/>
          <w:szCs w:val="20"/>
          <w:lang w:val="es-ES" w:eastAsia="en-US"/>
        </w:rPr>
        <w:t xml:space="preserve">alegada </w:t>
      </w:r>
      <w:r w:rsidRPr="00975C02">
        <w:rPr>
          <w:rFonts w:eastAsiaTheme="minorHAnsi" w:cstheme="minorBidi"/>
          <w:sz w:val="20"/>
          <w:szCs w:val="20"/>
          <w:lang w:val="es-ES" w:eastAsia="en-US"/>
        </w:rPr>
        <w:t>vulner</w:t>
      </w:r>
      <w:r w:rsidR="00D61200" w:rsidRPr="00975C02">
        <w:rPr>
          <w:rFonts w:eastAsiaTheme="minorHAnsi" w:cstheme="minorBidi"/>
          <w:sz w:val="20"/>
          <w:szCs w:val="20"/>
          <w:lang w:val="es-ES" w:eastAsia="en-US"/>
        </w:rPr>
        <w:t>ación d</w:t>
      </w:r>
      <w:r w:rsidRPr="00975C02">
        <w:rPr>
          <w:rFonts w:eastAsiaTheme="minorHAnsi" w:cstheme="minorBidi"/>
          <w:sz w:val="20"/>
          <w:szCs w:val="20"/>
          <w:lang w:val="es-ES" w:eastAsia="en-US"/>
        </w:rPr>
        <w:t xml:space="preserve">el principio de no discriminación por </w:t>
      </w:r>
      <w:r w:rsidR="00D61200" w:rsidRPr="00975C02">
        <w:rPr>
          <w:rFonts w:eastAsiaTheme="minorHAnsi" w:cstheme="minorBidi"/>
          <w:sz w:val="20"/>
          <w:szCs w:val="20"/>
          <w:lang w:val="es-ES" w:eastAsia="en-US"/>
        </w:rPr>
        <w:t>motivo</w:t>
      </w:r>
      <w:r w:rsidRPr="00975C02">
        <w:rPr>
          <w:rFonts w:eastAsiaTheme="minorHAnsi" w:cstheme="minorBidi"/>
          <w:sz w:val="20"/>
          <w:szCs w:val="20"/>
          <w:lang w:val="es-ES" w:eastAsia="en-US"/>
        </w:rPr>
        <w:t xml:space="preserve"> de religión</w:t>
      </w:r>
      <w:r w:rsidR="00D61200" w:rsidRPr="00975C02">
        <w:rPr>
          <w:rFonts w:eastAsiaTheme="minorHAnsi" w:cstheme="minorBidi"/>
          <w:sz w:val="20"/>
          <w:szCs w:val="20"/>
          <w:lang w:val="es-ES" w:eastAsia="en-US"/>
        </w:rPr>
        <w:t>,</w:t>
      </w:r>
      <w:r w:rsidRPr="00975C02">
        <w:rPr>
          <w:rFonts w:eastAsiaTheme="minorHAnsi" w:cstheme="minorBidi"/>
          <w:sz w:val="20"/>
          <w:szCs w:val="20"/>
          <w:lang w:val="es-ES" w:eastAsia="en-US"/>
        </w:rPr>
        <w:t xml:space="preserve"> </w:t>
      </w:r>
      <w:r w:rsidR="00D61200" w:rsidRPr="00975C02">
        <w:rPr>
          <w:rFonts w:eastAsiaTheme="minorHAnsi" w:cstheme="minorBidi"/>
          <w:sz w:val="20"/>
          <w:szCs w:val="20"/>
          <w:lang w:val="es-ES" w:eastAsia="en-US"/>
        </w:rPr>
        <w:t>protegido</w:t>
      </w:r>
      <w:r w:rsidRPr="00975C02">
        <w:rPr>
          <w:rFonts w:eastAsiaTheme="minorHAnsi" w:cstheme="minorBidi"/>
          <w:sz w:val="20"/>
          <w:szCs w:val="20"/>
          <w:lang w:val="es-ES" w:eastAsia="en-US"/>
        </w:rPr>
        <w:t xml:space="preserve"> en el artículo 1.1 de la Convención</w:t>
      </w:r>
      <w:r w:rsidR="00D61200" w:rsidRPr="00975C02">
        <w:rPr>
          <w:rFonts w:eastAsiaTheme="minorHAnsi" w:cstheme="minorBidi"/>
          <w:sz w:val="20"/>
          <w:szCs w:val="20"/>
          <w:lang w:val="es-ES" w:eastAsia="en-US"/>
        </w:rPr>
        <w:t xml:space="preserve"> Americana</w:t>
      </w:r>
      <w:r w:rsidRPr="00975C02">
        <w:rPr>
          <w:rFonts w:eastAsiaTheme="minorHAnsi" w:cstheme="minorBidi"/>
          <w:sz w:val="20"/>
          <w:szCs w:val="20"/>
          <w:lang w:val="es-ES" w:eastAsia="en-US"/>
        </w:rPr>
        <w:t xml:space="preserve">, así como tampoco </w:t>
      </w:r>
      <w:r w:rsidR="00E122AF" w:rsidRPr="00975C02">
        <w:rPr>
          <w:rFonts w:eastAsiaTheme="minorHAnsi" w:cstheme="minorBidi"/>
          <w:sz w:val="20"/>
          <w:szCs w:val="20"/>
          <w:lang w:val="es-ES" w:eastAsia="en-US"/>
        </w:rPr>
        <w:t>incurrió en responsabilidad por la alegada vulneración de</w:t>
      </w:r>
      <w:r w:rsidRPr="00975C02">
        <w:rPr>
          <w:rFonts w:eastAsiaTheme="minorHAnsi" w:cstheme="minorBidi"/>
          <w:sz w:val="20"/>
          <w:szCs w:val="20"/>
          <w:lang w:val="es-ES" w:eastAsia="en-US"/>
        </w:rPr>
        <w:t>l derecho a la libertad de religión</w:t>
      </w:r>
      <w:r w:rsidR="00323329" w:rsidRPr="00975C02">
        <w:rPr>
          <w:rFonts w:eastAsiaTheme="minorHAnsi" w:cstheme="minorBidi"/>
          <w:sz w:val="20"/>
          <w:szCs w:val="20"/>
          <w:lang w:val="es-ES" w:eastAsia="en-US"/>
        </w:rPr>
        <w:t>,</w:t>
      </w:r>
      <w:r w:rsidRPr="00975C02">
        <w:rPr>
          <w:rFonts w:eastAsiaTheme="minorHAnsi" w:cstheme="minorBidi"/>
          <w:sz w:val="20"/>
          <w:szCs w:val="20"/>
          <w:lang w:val="es-ES" w:eastAsia="en-US"/>
        </w:rPr>
        <w:t xml:space="preserve"> reconocido en el artículo 12</w:t>
      </w:r>
      <w:r w:rsidR="002900D1" w:rsidRPr="00975C02">
        <w:rPr>
          <w:rFonts w:eastAsiaTheme="minorHAnsi" w:cstheme="minorBidi"/>
          <w:sz w:val="20"/>
          <w:szCs w:val="20"/>
          <w:lang w:val="es-ES" w:eastAsia="en-US"/>
        </w:rPr>
        <w:t>.1</w:t>
      </w:r>
      <w:r w:rsidRPr="00975C02">
        <w:rPr>
          <w:rFonts w:eastAsiaTheme="minorHAnsi" w:cstheme="minorBidi"/>
          <w:sz w:val="20"/>
          <w:szCs w:val="20"/>
          <w:lang w:val="es-ES" w:eastAsia="en-US"/>
        </w:rPr>
        <w:t xml:space="preserve"> de la Convención</w:t>
      </w:r>
      <w:r w:rsidR="00E122AF" w:rsidRPr="00975C02">
        <w:rPr>
          <w:rFonts w:eastAsiaTheme="minorHAnsi" w:cstheme="minorBidi"/>
          <w:sz w:val="20"/>
          <w:szCs w:val="20"/>
          <w:lang w:val="es-ES" w:eastAsia="en-US"/>
        </w:rPr>
        <w:t xml:space="preserve"> Americana</w:t>
      </w:r>
      <w:r w:rsidRPr="00975C02">
        <w:rPr>
          <w:rFonts w:eastAsiaTheme="minorHAnsi" w:cstheme="minorBidi"/>
          <w:sz w:val="20"/>
          <w:szCs w:val="20"/>
          <w:lang w:val="es-ES" w:eastAsia="en-US"/>
        </w:rPr>
        <w:t>.</w:t>
      </w:r>
    </w:p>
    <w:p w14:paraId="1841B9CC" w14:textId="77777777" w:rsidR="003D24D2" w:rsidRPr="00975C02" w:rsidRDefault="003D24D2" w:rsidP="0011586B">
      <w:pPr>
        <w:tabs>
          <w:tab w:val="left" w:pos="567"/>
        </w:tabs>
        <w:spacing w:line="240" w:lineRule="auto"/>
        <w:rPr>
          <w:rFonts w:eastAsiaTheme="minorHAnsi" w:cstheme="minorBidi"/>
          <w:sz w:val="20"/>
          <w:szCs w:val="20"/>
          <w:lang w:val="es-ES" w:eastAsia="en-US"/>
        </w:rPr>
      </w:pPr>
    </w:p>
    <w:p w14:paraId="2C8195C9" w14:textId="77777777" w:rsidR="00B5625C" w:rsidRPr="00975C02" w:rsidRDefault="00B5625C" w:rsidP="00B5625C">
      <w:pPr>
        <w:keepNext/>
        <w:keepLines/>
        <w:widowControl/>
        <w:tabs>
          <w:tab w:val="left" w:pos="851"/>
        </w:tabs>
        <w:autoSpaceDE w:val="0"/>
        <w:autoSpaceDN w:val="0"/>
        <w:spacing w:line="240" w:lineRule="auto"/>
        <w:jc w:val="center"/>
        <w:textAlignment w:val="auto"/>
        <w:outlineLvl w:val="0"/>
        <w:rPr>
          <w:rFonts w:cs="Arial"/>
          <w:b/>
          <w:bCs/>
          <w:caps/>
          <w:sz w:val="20"/>
          <w:szCs w:val="20"/>
          <w:lang w:val="es-ES" w:eastAsia="en-US"/>
        </w:rPr>
      </w:pPr>
      <w:bookmarkStart w:id="155" w:name="_Toc495658690"/>
      <w:bookmarkStart w:id="156" w:name="_Toc514172658"/>
      <w:r w:rsidRPr="00975C02">
        <w:rPr>
          <w:rFonts w:cs="Arial"/>
          <w:b/>
          <w:bCs/>
          <w:caps/>
          <w:sz w:val="20"/>
          <w:szCs w:val="20"/>
          <w:lang w:val="es-ES" w:eastAsia="en-US"/>
        </w:rPr>
        <w:t>VIII-</w:t>
      </w:r>
      <w:r w:rsidR="0049359E" w:rsidRPr="00975C02">
        <w:rPr>
          <w:rFonts w:cs="Arial"/>
          <w:b/>
          <w:bCs/>
          <w:caps/>
          <w:sz w:val="20"/>
          <w:szCs w:val="20"/>
          <w:lang w:val="es-ES" w:eastAsia="en-US"/>
        </w:rPr>
        <w:t>3</w:t>
      </w:r>
      <w:r w:rsidRPr="00975C02">
        <w:rPr>
          <w:rFonts w:cs="Arial"/>
          <w:b/>
          <w:bCs/>
          <w:caps/>
          <w:sz w:val="20"/>
          <w:szCs w:val="20"/>
          <w:lang w:val="es-ES" w:eastAsia="en-US"/>
        </w:rPr>
        <w:br/>
        <w:t>derecho A LA INTEGRIDAD personal</w:t>
      </w:r>
      <w:r w:rsidRPr="00975C02">
        <w:rPr>
          <w:rFonts w:eastAsiaTheme="majorEastAsia" w:cs="Arial"/>
          <w:bCs/>
          <w:caps/>
          <w:sz w:val="20"/>
          <w:szCs w:val="20"/>
          <w:vertAlign w:val="superscript"/>
          <w:lang w:val="es-ES" w:eastAsia="en-US"/>
        </w:rPr>
        <w:footnoteReference w:id="405"/>
      </w:r>
      <w:r w:rsidRPr="00975C02">
        <w:rPr>
          <w:rFonts w:cs="Arial"/>
          <w:b/>
          <w:bCs/>
          <w:caps/>
          <w:sz w:val="20"/>
          <w:szCs w:val="20"/>
          <w:lang w:val="es-ES" w:eastAsia="en-US"/>
        </w:rPr>
        <w:t xml:space="preserve"> DE LOS FAMILIARES en relación con la obligación de respetar los derechos</w:t>
      </w:r>
      <w:bookmarkEnd w:id="155"/>
      <w:bookmarkEnd w:id="156"/>
    </w:p>
    <w:p w14:paraId="025C0F39" w14:textId="77777777" w:rsidR="00B5625C" w:rsidRPr="00975C02" w:rsidRDefault="00B5625C" w:rsidP="00B5625C">
      <w:pPr>
        <w:tabs>
          <w:tab w:val="left" w:pos="720"/>
          <w:tab w:val="num" w:pos="1569"/>
        </w:tabs>
        <w:spacing w:line="240" w:lineRule="auto"/>
        <w:ind w:right="-90"/>
        <w:rPr>
          <w:rFonts w:cs="Verdana"/>
          <w:caps/>
          <w:snapToGrid w:val="0"/>
          <w:sz w:val="20"/>
          <w:szCs w:val="20"/>
          <w:lang w:val="es-ES"/>
        </w:rPr>
      </w:pPr>
    </w:p>
    <w:p w14:paraId="20C0B0F6" w14:textId="77777777" w:rsidR="00B5625C" w:rsidRPr="00975C02" w:rsidRDefault="00B5625C" w:rsidP="00B5625C">
      <w:pPr>
        <w:keepNext/>
        <w:keepLines/>
        <w:widowControl/>
        <w:tabs>
          <w:tab w:val="left" w:pos="1134"/>
        </w:tabs>
        <w:autoSpaceDE w:val="0"/>
        <w:autoSpaceDN w:val="0"/>
        <w:spacing w:line="240" w:lineRule="auto"/>
        <w:ind w:left="567" w:firstLine="1"/>
        <w:textAlignment w:val="auto"/>
        <w:outlineLvl w:val="1"/>
        <w:rPr>
          <w:rFonts w:eastAsia="MS Mincho" w:cs="Arial"/>
          <w:b/>
          <w:bCs/>
          <w:i/>
          <w:sz w:val="20"/>
          <w:szCs w:val="20"/>
          <w:lang w:val="es-ES" w:eastAsia="en-US"/>
        </w:rPr>
      </w:pPr>
      <w:bookmarkStart w:id="157" w:name="_Toc495658691"/>
      <w:bookmarkStart w:id="158" w:name="_Toc514172659"/>
      <w:r w:rsidRPr="00975C02">
        <w:rPr>
          <w:rFonts w:eastAsia="MS Mincho" w:cs="Arial"/>
          <w:b/>
          <w:bCs/>
          <w:i/>
          <w:sz w:val="20"/>
          <w:szCs w:val="20"/>
          <w:lang w:val="es-ES" w:eastAsia="en-US"/>
        </w:rPr>
        <w:t>A.</w:t>
      </w:r>
      <w:r w:rsidRPr="00975C02">
        <w:rPr>
          <w:rFonts w:eastAsia="MS Mincho" w:cs="Arial"/>
          <w:b/>
          <w:bCs/>
          <w:i/>
          <w:sz w:val="20"/>
          <w:szCs w:val="20"/>
          <w:lang w:val="es-ES" w:eastAsia="en-US"/>
        </w:rPr>
        <w:tab/>
        <w:t>Argumentos de las partes y de la Comisión</w:t>
      </w:r>
      <w:bookmarkEnd w:id="157"/>
      <w:bookmarkEnd w:id="158"/>
    </w:p>
    <w:p w14:paraId="1B518A24" w14:textId="77777777" w:rsidR="00B5625C" w:rsidRPr="00975C02" w:rsidRDefault="00B5625C" w:rsidP="00B5625C">
      <w:pPr>
        <w:tabs>
          <w:tab w:val="left" w:pos="720"/>
          <w:tab w:val="num" w:pos="1569"/>
        </w:tabs>
        <w:spacing w:line="240" w:lineRule="auto"/>
        <w:ind w:right="-90"/>
        <w:rPr>
          <w:rFonts w:cs="Verdana"/>
          <w:caps/>
          <w:snapToGrid w:val="0"/>
          <w:sz w:val="20"/>
          <w:szCs w:val="20"/>
          <w:lang w:val="es-ES"/>
        </w:rPr>
      </w:pPr>
    </w:p>
    <w:p w14:paraId="222D371C" w14:textId="06E9B182" w:rsidR="00B5625C" w:rsidRPr="00975C02" w:rsidRDefault="00B5625C" w:rsidP="009167FE">
      <w:pPr>
        <w:pStyle w:val="ListParagraph"/>
        <w:widowControl/>
        <w:numPr>
          <w:ilvl w:val="0"/>
          <w:numId w:val="2"/>
        </w:numPr>
        <w:adjustRightInd/>
        <w:spacing w:line="240" w:lineRule="auto"/>
        <w:ind w:left="0" w:firstLine="0"/>
        <w:textAlignment w:val="auto"/>
        <w:rPr>
          <w:rFonts w:eastAsiaTheme="minorHAnsi" w:cstheme="minorBidi"/>
          <w:sz w:val="20"/>
          <w:szCs w:val="20"/>
          <w:lang w:val="es-ES" w:eastAsia="en-US"/>
        </w:rPr>
      </w:pPr>
      <w:r w:rsidRPr="00975C02">
        <w:rPr>
          <w:rFonts w:eastAsiaTheme="minorHAnsi" w:cstheme="minorBidi"/>
          <w:sz w:val="20"/>
          <w:szCs w:val="20"/>
          <w:lang w:val="es-ES" w:eastAsia="en-US"/>
        </w:rPr>
        <w:t xml:space="preserve">La </w:t>
      </w:r>
      <w:r w:rsidRPr="00975C02">
        <w:rPr>
          <w:rFonts w:eastAsiaTheme="minorHAnsi" w:cstheme="minorBidi"/>
          <w:b/>
          <w:i/>
          <w:sz w:val="20"/>
          <w:szCs w:val="20"/>
          <w:lang w:val="es-ES" w:eastAsia="en-US"/>
        </w:rPr>
        <w:t>Comisión</w:t>
      </w:r>
      <w:r w:rsidRPr="00975C02">
        <w:rPr>
          <w:rFonts w:eastAsiaTheme="minorHAnsi" w:cstheme="minorBidi"/>
          <w:sz w:val="20"/>
          <w:szCs w:val="20"/>
          <w:lang w:val="es-ES" w:eastAsia="en-US"/>
        </w:rPr>
        <w:t xml:space="preserve"> observó que, </w:t>
      </w:r>
      <w:r w:rsidR="00EB3E59" w:rsidRPr="00975C02">
        <w:rPr>
          <w:rFonts w:eastAsiaTheme="minorHAnsi" w:cstheme="minorBidi"/>
          <w:sz w:val="20"/>
          <w:szCs w:val="20"/>
          <w:lang w:val="es-ES" w:eastAsia="en-US"/>
        </w:rPr>
        <w:t>de la declaración de</w:t>
      </w:r>
      <w:r w:rsidRPr="00975C02">
        <w:rPr>
          <w:rFonts w:eastAsiaTheme="minorHAnsi" w:cstheme="minorBidi"/>
          <w:sz w:val="20"/>
          <w:szCs w:val="20"/>
          <w:lang w:val="es-ES" w:eastAsia="en-US"/>
        </w:rPr>
        <w:t xml:space="preserve"> V.P.C., se desprendían afectaciones a su integridad personal y a la de sus </w:t>
      </w:r>
      <w:r w:rsidR="00EB3E59" w:rsidRPr="00975C02">
        <w:rPr>
          <w:rFonts w:eastAsiaTheme="minorHAnsi" w:cstheme="minorBidi"/>
          <w:sz w:val="20"/>
          <w:szCs w:val="20"/>
          <w:lang w:val="es-ES" w:eastAsia="en-US"/>
        </w:rPr>
        <w:t xml:space="preserve">hijas e </w:t>
      </w:r>
      <w:r w:rsidRPr="00975C02">
        <w:rPr>
          <w:rFonts w:eastAsiaTheme="minorHAnsi" w:cstheme="minorBidi"/>
          <w:sz w:val="20"/>
          <w:szCs w:val="20"/>
          <w:lang w:val="es-ES" w:eastAsia="en-US"/>
        </w:rPr>
        <w:t xml:space="preserve">hijos. Además, la Comisión </w:t>
      </w:r>
      <w:r w:rsidRPr="00975C02">
        <w:rPr>
          <w:sz w:val="20"/>
          <w:szCs w:val="20"/>
          <w:lang w:val="es-ES"/>
        </w:rPr>
        <w:t>resaltó</w:t>
      </w:r>
      <w:r w:rsidRPr="00975C02">
        <w:rPr>
          <w:rFonts w:eastAsiaTheme="minorHAnsi" w:cstheme="minorBidi"/>
          <w:sz w:val="20"/>
          <w:szCs w:val="20"/>
          <w:lang w:val="es-ES" w:eastAsia="en-US"/>
        </w:rPr>
        <w:t xml:space="preserve"> los distintos obstáculos que la señora V.P.C. </w:t>
      </w:r>
      <w:r w:rsidR="00EB3E59" w:rsidRPr="00975C02">
        <w:rPr>
          <w:rFonts w:eastAsiaTheme="minorHAnsi" w:cstheme="minorBidi"/>
          <w:sz w:val="20"/>
          <w:szCs w:val="20"/>
          <w:lang w:val="es-ES" w:eastAsia="en-US"/>
        </w:rPr>
        <w:t>tuvo</w:t>
      </w:r>
      <w:r w:rsidRPr="00975C02">
        <w:rPr>
          <w:rFonts w:eastAsiaTheme="minorHAnsi" w:cstheme="minorBidi"/>
          <w:sz w:val="20"/>
          <w:szCs w:val="20"/>
          <w:lang w:val="es-ES" w:eastAsia="en-US"/>
        </w:rPr>
        <w:t xml:space="preserve"> que enfrentar en la búsqueda de justicia, </w:t>
      </w:r>
      <w:r w:rsidR="00EB3E59" w:rsidRPr="00975C02">
        <w:rPr>
          <w:rFonts w:eastAsiaTheme="minorHAnsi" w:cstheme="minorBidi"/>
          <w:sz w:val="20"/>
          <w:szCs w:val="20"/>
          <w:lang w:val="es-ES" w:eastAsia="en-US"/>
        </w:rPr>
        <w:t>y el hecho de que</w:t>
      </w:r>
      <w:r w:rsidRPr="00975C02">
        <w:rPr>
          <w:rFonts w:eastAsiaTheme="minorHAnsi" w:cstheme="minorBidi"/>
          <w:sz w:val="20"/>
          <w:szCs w:val="20"/>
          <w:lang w:val="es-ES" w:eastAsia="en-US"/>
        </w:rPr>
        <w:t xml:space="preserve"> fue denunciada por dos miembros del jurado que </w:t>
      </w:r>
      <w:r w:rsidR="00EB3E59" w:rsidRPr="00975C02">
        <w:rPr>
          <w:rFonts w:eastAsiaTheme="minorHAnsi" w:cstheme="minorBidi"/>
          <w:sz w:val="20"/>
          <w:szCs w:val="20"/>
          <w:lang w:val="es-ES" w:eastAsia="en-US"/>
        </w:rPr>
        <w:t>resolvieron la absolución</w:t>
      </w:r>
      <w:r w:rsidRPr="00975C02">
        <w:rPr>
          <w:rFonts w:eastAsiaTheme="minorHAnsi" w:cstheme="minorBidi"/>
          <w:sz w:val="20"/>
          <w:szCs w:val="20"/>
          <w:lang w:val="es-ES" w:eastAsia="en-US"/>
        </w:rPr>
        <w:t xml:space="preserve"> del </w:t>
      </w:r>
      <w:r w:rsidR="00EB3E59" w:rsidRPr="00975C02">
        <w:rPr>
          <w:rFonts w:eastAsiaTheme="minorHAnsi" w:cstheme="minorBidi"/>
          <w:sz w:val="20"/>
          <w:szCs w:val="20"/>
          <w:lang w:val="es-ES" w:eastAsia="en-US"/>
        </w:rPr>
        <w:t>acusado</w:t>
      </w:r>
      <w:r w:rsidRPr="00975C02">
        <w:rPr>
          <w:rFonts w:eastAsiaTheme="minorHAnsi" w:cstheme="minorBidi"/>
          <w:sz w:val="20"/>
          <w:szCs w:val="20"/>
          <w:lang w:val="es-ES" w:eastAsia="en-US"/>
        </w:rPr>
        <w:t xml:space="preserve">, así como </w:t>
      </w:r>
      <w:r w:rsidR="00EB3E59" w:rsidRPr="00975C02">
        <w:rPr>
          <w:rFonts w:eastAsiaTheme="minorHAnsi" w:cstheme="minorBidi"/>
          <w:sz w:val="20"/>
          <w:szCs w:val="20"/>
          <w:lang w:val="es-ES" w:eastAsia="en-US"/>
        </w:rPr>
        <w:t xml:space="preserve">por </w:t>
      </w:r>
      <w:r w:rsidRPr="00975C02">
        <w:rPr>
          <w:rFonts w:eastAsiaTheme="minorHAnsi" w:cstheme="minorBidi"/>
          <w:sz w:val="20"/>
          <w:szCs w:val="20"/>
          <w:lang w:val="es-ES" w:eastAsia="en-US"/>
        </w:rPr>
        <w:t xml:space="preserve">el médico </w:t>
      </w:r>
      <w:r w:rsidR="00EB3E59" w:rsidRPr="00975C02">
        <w:rPr>
          <w:rFonts w:eastAsiaTheme="minorHAnsi" w:cstheme="minorBidi"/>
          <w:sz w:val="20"/>
          <w:szCs w:val="20"/>
          <w:lang w:val="es-ES" w:eastAsia="en-US"/>
        </w:rPr>
        <w:t xml:space="preserve">forense </w:t>
      </w:r>
      <w:r w:rsidRPr="00975C02">
        <w:rPr>
          <w:rFonts w:eastAsiaTheme="minorHAnsi" w:cstheme="minorBidi"/>
          <w:sz w:val="20"/>
          <w:szCs w:val="20"/>
          <w:lang w:val="es-ES" w:eastAsia="en-US"/>
        </w:rPr>
        <w:t>que participó en el primer examen. La Comisión resaltó que dichas denuncias, a pesar de que posteriormente fueron archivadas, causaron una grave afectación a V.P.C. y su familia. Asimismo, tomó nota de que</w:t>
      </w:r>
      <w:r w:rsidR="00EB3E59" w:rsidRPr="00975C02">
        <w:rPr>
          <w:rFonts w:eastAsiaTheme="minorHAnsi" w:cstheme="minorBidi"/>
          <w:sz w:val="20"/>
          <w:szCs w:val="20"/>
          <w:lang w:val="es-ES" w:eastAsia="en-US"/>
        </w:rPr>
        <w:t>,</w:t>
      </w:r>
      <w:r w:rsidRPr="00975C02">
        <w:rPr>
          <w:rFonts w:eastAsiaTheme="minorHAnsi" w:cstheme="minorBidi"/>
          <w:sz w:val="20"/>
          <w:szCs w:val="20"/>
          <w:lang w:val="es-ES" w:eastAsia="en-US"/>
        </w:rPr>
        <w:t xml:space="preserve"> debido a la situación de impunidad, la señora V.P.C. y sus</w:t>
      </w:r>
      <w:r w:rsidR="00EB3E59" w:rsidRPr="00975C02">
        <w:rPr>
          <w:rFonts w:eastAsiaTheme="minorHAnsi" w:cstheme="minorBidi"/>
          <w:sz w:val="20"/>
          <w:szCs w:val="20"/>
          <w:lang w:val="es-ES" w:eastAsia="en-US"/>
        </w:rPr>
        <w:t xml:space="preserve"> dos</w:t>
      </w:r>
      <w:r w:rsidRPr="00975C02">
        <w:rPr>
          <w:rFonts w:eastAsiaTheme="minorHAnsi" w:cstheme="minorBidi"/>
          <w:sz w:val="20"/>
          <w:szCs w:val="20"/>
          <w:lang w:val="es-ES" w:eastAsia="en-US"/>
        </w:rPr>
        <w:t xml:space="preserve"> hijas, decidieron abandonar Nicaragua y solicitaron asilo en otro país, donde se encontrarían actualmente. Con base en lo anterior, la Comisión consideró que existen suficientes elementos para concluir que la violación sexual sufrida por la niña V.R.P., las consecuencias de la misma y la impunidad en que se mantiene el caso atribuible al Estado, provocaron una afectación emocional a V.P.C. y sus hijos e hija </w:t>
      </w:r>
      <w:r w:rsidR="00AD49AB" w:rsidRPr="00975C02">
        <w:rPr>
          <w:rFonts w:eastAsiaTheme="minorHAnsi" w:cstheme="minorBidi"/>
          <w:sz w:val="20"/>
          <w:szCs w:val="20"/>
          <w:lang w:val="es-ES" w:eastAsia="en-US"/>
        </w:rPr>
        <w:t xml:space="preserve">N.R.P., </w:t>
      </w:r>
      <w:r w:rsidRPr="00975C02">
        <w:rPr>
          <w:rFonts w:eastAsiaTheme="minorHAnsi" w:cstheme="minorBidi"/>
          <w:sz w:val="20"/>
          <w:szCs w:val="20"/>
          <w:lang w:val="es-ES" w:eastAsia="en-US"/>
        </w:rPr>
        <w:t>H.J.R.P.</w:t>
      </w:r>
      <w:r w:rsidR="00AD49AB" w:rsidRPr="00975C02">
        <w:rPr>
          <w:rFonts w:eastAsiaTheme="minorHAnsi" w:cstheme="minorBidi"/>
          <w:sz w:val="20"/>
          <w:szCs w:val="20"/>
          <w:lang w:val="es-ES" w:eastAsia="en-US"/>
        </w:rPr>
        <w:t xml:space="preserve"> y</w:t>
      </w:r>
      <w:r w:rsidRPr="00975C02">
        <w:rPr>
          <w:rFonts w:eastAsiaTheme="minorHAnsi" w:cstheme="minorBidi"/>
          <w:sz w:val="20"/>
          <w:szCs w:val="20"/>
          <w:lang w:val="es-ES" w:eastAsia="en-US"/>
        </w:rPr>
        <w:t xml:space="preserve"> V.A.R.P., en contravención del derecho reconocido en el artículo 5.1 de la Convención Americana, en relación con el artículo 1.1 del mismo instrumento.</w:t>
      </w:r>
    </w:p>
    <w:p w14:paraId="3BA7F135" w14:textId="77777777" w:rsidR="00B5625C" w:rsidRPr="00975C02" w:rsidRDefault="00B5625C" w:rsidP="00B5625C">
      <w:pPr>
        <w:tabs>
          <w:tab w:val="left" w:pos="567"/>
        </w:tabs>
        <w:spacing w:line="240" w:lineRule="auto"/>
        <w:ind w:left="708"/>
        <w:rPr>
          <w:rFonts w:eastAsiaTheme="minorHAnsi" w:cstheme="minorBidi"/>
          <w:sz w:val="20"/>
          <w:szCs w:val="20"/>
          <w:lang w:val="es-ES" w:eastAsia="en-US"/>
        </w:rPr>
      </w:pPr>
    </w:p>
    <w:p w14:paraId="34DD5566" w14:textId="4E423BFF" w:rsidR="00B5625C" w:rsidRPr="00975C02" w:rsidRDefault="00B5625C" w:rsidP="009167FE">
      <w:pPr>
        <w:pStyle w:val="ListParagraph"/>
        <w:widowControl/>
        <w:numPr>
          <w:ilvl w:val="0"/>
          <w:numId w:val="2"/>
        </w:numPr>
        <w:adjustRightInd/>
        <w:spacing w:line="240" w:lineRule="auto"/>
        <w:ind w:left="0" w:firstLine="0"/>
        <w:textAlignment w:val="auto"/>
        <w:rPr>
          <w:rFonts w:eastAsiaTheme="minorHAnsi" w:cstheme="minorBidi"/>
          <w:sz w:val="20"/>
          <w:szCs w:val="20"/>
          <w:lang w:val="es-ES" w:eastAsia="en-US"/>
        </w:rPr>
      </w:pPr>
      <w:r w:rsidRPr="00975C02">
        <w:rPr>
          <w:rFonts w:eastAsiaTheme="minorHAnsi" w:cstheme="minorBidi"/>
          <w:sz w:val="20"/>
          <w:szCs w:val="20"/>
          <w:lang w:val="es-ES" w:eastAsia="en-US"/>
        </w:rPr>
        <w:t xml:space="preserve">Las </w:t>
      </w:r>
      <w:r w:rsidRPr="00975C02">
        <w:rPr>
          <w:rFonts w:eastAsiaTheme="minorHAnsi" w:cstheme="minorBidi"/>
          <w:b/>
          <w:i/>
          <w:sz w:val="20"/>
          <w:szCs w:val="20"/>
          <w:lang w:val="es-ES" w:eastAsia="en-US"/>
        </w:rPr>
        <w:t>representantes</w:t>
      </w:r>
      <w:r w:rsidRPr="00975C02">
        <w:rPr>
          <w:rFonts w:eastAsiaTheme="minorHAnsi" w:cstheme="minorBidi"/>
          <w:sz w:val="20"/>
          <w:szCs w:val="20"/>
          <w:lang w:val="es-ES" w:eastAsia="en-US"/>
        </w:rPr>
        <w:t xml:space="preserve"> señalaron que, conforme a lo declarado por la señora V.P.C., el 6 de diciembre de 2002 tuvo que abandonar y huir de Nicaragua con sus dos hijas </w:t>
      </w:r>
      <w:r w:rsidR="00EB3E59" w:rsidRPr="00975C02">
        <w:rPr>
          <w:rFonts w:eastAsiaTheme="minorHAnsi" w:cstheme="minorBidi"/>
          <w:sz w:val="20"/>
          <w:szCs w:val="20"/>
          <w:lang w:val="es-ES" w:eastAsia="en-US"/>
        </w:rPr>
        <w:t>“</w:t>
      </w:r>
      <w:r w:rsidRPr="00975C02">
        <w:rPr>
          <w:rFonts w:eastAsiaTheme="minorHAnsi" w:cstheme="minorBidi"/>
          <w:sz w:val="20"/>
          <w:szCs w:val="20"/>
          <w:lang w:val="es-ES" w:eastAsia="en-US"/>
        </w:rPr>
        <w:t xml:space="preserve">debido a la persecución del Poder Judicial politizada en su contra, persecución religiosa por ser mormona”. </w:t>
      </w:r>
      <w:r w:rsidR="00EB3E59" w:rsidRPr="00975C02">
        <w:rPr>
          <w:rFonts w:eastAsiaTheme="minorHAnsi" w:cstheme="minorBidi"/>
          <w:sz w:val="20"/>
          <w:szCs w:val="20"/>
          <w:lang w:val="es-ES" w:eastAsia="en-US"/>
        </w:rPr>
        <w:t>O</w:t>
      </w:r>
      <w:r w:rsidRPr="00975C02">
        <w:rPr>
          <w:rFonts w:eastAsiaTheme="minorHAnsi" w:cstheme="minorBidi"/>
          <w:sz w:val="20"/>
          <w:szCs w:val="20"/>
          <w:lang w:val="es-ES" w:eastAsia="en-US"/>
        </w:rPr>
        <w:t>bservar</w:t>
      </w:r>
      <w:r w:rsidR="00EB3E59" w:rsidRPr="00975C02">
        <w:rPr>
          <w:rFonts w:eastAsiaTheme="minorHAnsi" w:cstheme="minorBidi"/>
          <w:sz w:val="20"/>
          <w:szCs w:val="20"/>
          <w:lang w:val="es-ES" w:eastAsia="en-US"/>
        </w:rPr>
        <w:t>on</w:t>
      </w:r>
      <w:r w:rsidRPr="00975C02">
        <w:rPr>
          <w:rFonts w:eastAsiaTheme="minorHAnsi" w:cstheme="minorBidi"/>
          <w:sz w:val="20"/>
          <w:szCs w:val="20"/>
          <w:lang w:val="es-ES" w:eastAsia="en-US"/>
        </w:rPr>
        <w:t xml:space="preserve"> que la madre y </w:t>
      </w:r>
      <w:r w:rsidR="00EB3E59" w:rsidRPr="00975C02">
        <w:rPr>
          <w:rFonts w:eastAsiaTheme="minorHAnsi" w:cstheme="minorBidi"/>
          <w:sz w:val="20"/>
          <w:szCs w:val="20"/>
          <w:lang w:val="es-ES" w:eastAsia="en-US"/>
        </w:rPr>
        <w:t xml:space="preserve">los </w:t>
      </w:r>
      <w:r w:rsidRPr="00975C02">
        <w:rPr>
          <w:rFonts w:eastAsiaTheme="minorHAnsi" w:cstheme="minorBidi"/>
          <w:sz w:val="20"/>
          <w:szCs w:val="20"/>
          <w:lang w:val="es-ES" w:eastAsia="en-US"/>
        </w:rPr>
        <w:t>hermanos de la niña V.R.P. sufrieron afectaciones psíquicas y morales debido al sufrimiento, dolor, impotencia, estigmatización y temor ocasionado ante la</w:t>
      </w:r>
      <w:r w:rsidR="00EB3E59" w:rsidRPr="00975C02">
        <w:rPr>
          <w:rFonts w:eastAsiaTheme="minorHAnsi" w:cstheme="minorBidi"/>
          <w:sz w:val="20"/>
          <w:szCs w:val="20"/>
          <w:lang w:val="es-ES" w:eastAsia="en-US"/>
        </w:rPr>
        <w:t xml:space="preserve"> mencionada</w:t>
      </w:r>
      <w:r w:rsidRPr="00975C02">
        <w:rPr>
          <w:rFonts w:eastAsiaTheme="minorHAnsi" w:cstheme="minorBidi"/>
          <w:sz w:val="20"/>
          <w:szCs w:val="20"/>
          <w:lang w:val="es-ES" w:eastAsia="en-US"/>
        </w:rPr>
        <w:t xml:space="preserve"> persecución de la señora V.P.C., por la desintegración familiar y la distancia que se ha </w:t>
      </w:r>
      <w:r w:rsidRPr="00975C02">
        <w:rPr>
          <w:rFonts w:eastAsiaTheme="minorHAnsi" w:cstheme="minorBidi"/>
          <w:sz w:val="20"/>
          <w:szCs w:val="20"/>
          <w:lang w:val="es-ES" w:eastAsia="en-US"/>
        </w:rPr>
        <w:lastRenderedPageBreak/>
        <w:t xml:space="preserve">ocasionado entre </w:t>
      </w:r>
      <w:r w:rsidR="00EB3E59" w:rsidRPr="00975C02">
        <w:rPr>
          <w:rFonts w:eastAsiaTheme="minorHAnsi" w:cstheme="minorBidi"/>
          <w:sz w:val="20"/>
          <w:szCs w:val="20"/>
          <w:lang w:val="es-ES" w:eastAsia="en-US"/>
        </w:rPr>
        <w:t xml:space="preserve">los miembros de </w:t>
      </w:r>
      <w:r w:rsidRPr="00975C02">
        <w:rPr>
          <w:rFonts w:eastAsiaTheme="minorHAnsi" w:cstheme="minorBidi"/>
          <w:sz w:val="20"/>
          <w:szCs w:val="20"/>
          <w:lang w:val="es-ES" w:eastAsia="en-US"/>
        </w:rPr>
        <w:t xml:space="preserve">la familia. Por lo expuesto, las representantes concluyeron que el Estado es responsable por la violación de </w:t>
      </w:r>
      <w:r w:rsidR="00EB3E59" w:rsidRPr="00975C02">
        <w:rPr>
          <w:rFonts w:eastAsiaTheme="minorHAnsi" w:cstheme="minorBidi"/>
          <w:sz w:val="20"/>
          <w:szCs w:val="20"/>
          <w:lang w:val="es-ES" w:eastAsia="en-US"/>
        </w:rPr>
        <w:t xml:space="preserve">los artículos 1.1, 5.1, 11 y 24 de la Convención Americana, en relación con la peticionaria, así como </w:t>
      </w:r>
      <w:r w:rsidRPr="00975C02">
        <w:rPr>
          <w:rFonts w:eastAsiaTheme="minorHAnsi" w:cstheme="minorBidi"/>
          <w:sz w:val="20"/>
          <w:szCs w:val="20"/>
          <w:lang w:val="es-ES" w:eastAsia="en-US"/>
        </w:rPr>
        <w:t>los artículos 1.1, 5.1 y 11</w:t>
      </w:r>
      <w:r w:rsidR="00EB3E59" w:rsidRPr="00975C02">
        <w:rPr>
          <w:rFonts w:eastAsiaTheme="minorHAnsi" w:cstheme="minorBidi"/>
          <w:sz w:val="20"/>
          <w:szCs w:val="20"/>
          <w:lang w:val="es-ES" w:eastAsia="en-US"/>
        </w:rPr>
        <w:t xml:space="preserve"> de dicho instrumento</w:t>
      </w:r>
      <w:r w:rsidRPr="00975C02">
        <w:rPr>
          <w:rFonts w:eastAsiaTheme="minorHAnsi" w:cstheme="minorBidi"/>
          <w:sz w:val="20"/>
          <w:szCs w:val="20"/>
          <w:lang w:val="es-ES" w:eastAsia="en-US"/>
        </w:rPr>
        <w:t>, en rela</w:t>
      </w:r>
      <w:r w:rsidR="00A32FB4" w:rsidRPr="00975C02">
        <w:rPr>
          <w:rFonts w:eastAsiaTheme="minorHAnsi" w:cstheme="minorBidi"/>
          <w:sz w:val="20"/>
          <w:szCs w:val="20"/>
          <w:lang w:val="es-ES" w:eastAsia="en-US"/>
        </w:rPr>
        <w:t>ción con los hermanos de V.R.P.</w:t>
      </w:r>
    </w:p>
    <w:p w14:paraId="2A21E70C" w14:textId="77777777" w:rsidR="00B5625C" w:rsidRPr="00975C02" w:rsidRDefault="00B5625C" w:rsidP="00B5625C">
      <w:pPr>
        <w:tabs>
          <w:tab w:val="left" w:pos="567"/>
        </w:tabs>
        <w:spacing w:line="240" w:lineRule="auto"/>
        <w:ind w:left="708"/>
        <w:rPr>
          <w:rFonts w:eastAsiaTheme="minorHAnsi" w:cstheme="minorBidi"/>
          <w:sz w:val="20"/>
          <w:szCs w:val="20"/>
          <w:lang w:val="es-ES" w:eastAsia="en-US"/>
        </w:rPr>
      </w:pPr>
    </w:p>
    <w:p w14:paraId="71A98BA7" w14:textId="5F55C973" w:rsidR="00B5625C" w:rsidRPr="00975C02" w:rsidRDefault="00B5625C" w:rsidP="009167FE">
      <w:pPr>
        <w:pStyle w:val="ListParagraph"/>
        <w:widowControl/>
        <w:numPr>
          <w:ilvl w:val="0"/>
          <w:numId w:val="2"/>
        </w:numPr>
        <w:adjustRightInd/>
        <w:spacing w:line="240" w:lineRule="auto"/>
        <w:ind w:left="0" w:firstLine="0"/>
        <w:textAlignment w:val="auto"/>
        <w:rPr>
          <w:rFonts w:eastAsiaTheme="minorHAnsi" w:cstheme="minorBidi"/>
          <w:sz w:val="20"/>
          <w:szCs w:val="20"/>
          <w:lang w:val="es-ES" w:eastAsia="en-US"/>
        </w:rPr>
      </w:pPr>
      <w:r w:rsidRPr="00975C02">
        <w:rPr>
          <w:rFonts w:eastAsiaTheme="minorHAnsi" w:cstheme="minorBidi"/>
          <w:sz w:val="20"/>
          <w:szCs w:val="20"/>
          <w:lang w:val="es-ES" w:eastAsia="en-US"/>
        </w:rPr>
        <w:t xml:space="preserve">El </w:t>
      </w:r>
      <w:r w:rsidRPr="00975C02">
        <w:rPr>
          <w:rFonts w:eastAsiaTheme="minorHAnsi" w:cstheme="minorBidi"/>
          <w:b/>
          <w:i/>
          <w:sz w:val="20"/>
          <w:szCs w:val="20"/>
          <w:lang w:val="es-ES" w:eastAsia="en-US"/>
        </w:rPr>
        <w:t>Estado</w:t>
      </w:r>
      <w:r w:rsidR="00EB3E59" w:rsidRPr="00975C02">
        <w:rPr>
          <w:rFonts w:eastAsiaTheme="minorHAnsi" w:cstheme="minorBidi"/>
          <w:sz w:val="20"/>
          <w:szCs w:val="20"/>
          <w:lang w:val="es-ES" w:eastAsia="en-US"/>
        </w:rPr>
        <w:t>,</w:t>
      </w:r>
      <w:r w:rsidRPr="00975C02">
        <w:rPr>
          <w:rFonts w:eastAsiaTheme="minorHAnsi" w:cstheme="minorBidi"/>
          <w:sz w:val="20"/>
          <w:szCs w:val="20"/>
          <w:lang w:val="es-ES" w:eastAsia="en-US"/>
        </w:rPr>
        <w:t xml:space="preserve"> conforme </w:t>
      </w:r>
      <w:r w:rsidR="00EB3E59" w:rsidRPr="00975C02">
        <w:rPr>
          <w:rFonts w:eastAsiaTheme="minorHAnsi" w:cstheme="minorBidi"/>
          <w:sz w:val="20"/>
          <w:szCs w:val="20"/>
          <w:lang w:val="es-ES" w:eastAsia="en-US"/>
        </w:rPr>
        <w:t xml:space="preserve">se </w:t>
      </w:r>
      <w:r w:rsidRPr="00975C02">
        <w:rPr>
          <w:rFonts w:eastAsiaTheme="minorHAnsi" w:cstheme="minorBidi"/>
          <w:sz w:val="20"/>
          <w:szCs w:val="20"/>
          <w:lang w:val="es-ES" w:eastAsia="en-US"/>
        </w:rPr>
        <w:t xml:space="preserve">señaló en las </w:t>
      </w:r>
      <w:r w:rsidR="00EB3E59" w:rsidRPr="00975C02">
        <w:rPr>
          <w:rFonts w:eastAsiaTheme="minorHAnsi" w:cstheme="minorBidi"/>
          <w:sz w:val="20"/>
          <w:szCs w:val="20"/>
          <w:lang w:val="es-ES" w:eastAsia="en-US"/>
        </w:rPr>
        <w:t xml:space="preserve">consideraciones </w:t>
      </w:r>
      <w:r w:rsidRPr="00975C02">
        <w:rPr>
          <w:rFonts w:eastAsiaTheme="minorHAnsi" w:cstheme="minorBidi"/>
          <w:sz w:val="20"/>
          <w:szCs w:val="20"/>
          <w:lang w:val="es-ES" w:eastAsia="en-US"/>
        </w:rPr>
        <w:t>previas</w:t>
      </w:r>
      <w:r w:rsidR="00EB3E59" w:rsidRPr="00975C02">
        <w:rPr>
          <w:rFonts w:eastAsiaTheme="minorHAnsi" w:cstheme="minorBidi"/>
          <w:sz w:val="20"/>
          <w:szCs w:val="20"/>
          <w:lang w:val="es-ES" w:eastAsia="en-US"/>
        </w:rPr>
        <w:t xml:space="preserve"> (</w:t>
      </w:r>
      <w:r w:rsidR="00EB3E59" w:rsidRPr="00975C02">
        <w:rPr>
          <w:rFonts w:eastAsiaTheme="minorHAnsi" w:cstheme="minorBidi"/>
          <w:i/>
          <w:sz w:val="20"/>
          <w:szCs w:val="20"/>
          <w:lang w:val="es-ES" w:eastAsia="en-US"/>
        </w:rPr>
        <w:t xml:space="preserve">supra </w:t>
      </w:r>
      <w:r w:rsidR="00EB3E59" w:rsidRPr="00975C02">
        <w:rPr>
          <w:rFonts w:eastAsiaTheme="minorHAnsi" w:cstheme="minorBidi"/>
          <w:sz w:val="20"/>
          <w:szCs w:val="20"/>
          <w:lang w:val="es-ES" w:eastAsia="en-US"/>
        </w:rPr>
        <w:t>Capítulo V)</w:t>
      </w:r>
      <w:r w:rsidRPr="00975C02">
        <w:rPr>
          <w:rFonts w:eastAsiaTheme="minorHAnsi" w:cstheme="minorBidi"/>
          <w:sz w:val="20"/>
          <w:szCs w:val="20"/>
          <w:lang w:val="es-ES" w:eastAsia="en-US"/>
        </w:rPr>
        <w:t xml:space="preserve">, no reconoció a los hermanos de V.R.P. </w:t>
      </w:r>
      <w:r w:rsidRPr="00975C02">
        <w:rPr>
          <w:sz w:val="20"/>
          <w:szCs w:val="20"/>
          <w:lang w:val="es-ES"/>
        </w:rPr>
        <w:t>como</w:t>
      </w:r>
      <w:r w:rsidRPr="00975C02">
        <w:rPr>
          <w:rFonts w:eastAsiaTheme="minorHAnsi" w:cstheme="minorBidi"/>
          <w:sz w:val="20"/>
          <w:szCs w:val="20"/>
          <w:lang w:val="es-ES" w:eastAsia="en-US"/>
        </w:rPr>
        <w:t xml:space="preserve"> presuntas víctimas, por no haber sido </w:t>
      </w:r>
      <w:r w:rsidR="00EB3E59" w:rsidRPr="00975C02">
        <w:rPr>
          <w:rFonts w:eastAsiaTheme="minorHAnsi" w:cstheme="minorBidi"/>
          <w:sz w:val="20"/>
          <w:szCs w:val="20"/>
          <w:lang w:val="es-ES" w:eastAsia="en-US"/>
        </w:rPr>
        <w:t xml:space="preserve">determinados </w:t>
      </w:r>
      <w:r w:rsidRPr="00975C02">
        <w:rPr>
          <w:rFonts w:eastAsiaTheme="minorHAnsi" w:cstheme="minorBidi"/>
          <w:sz w:val="20"/>
          <w:szCs w:val="20"/>
          <w:lang w:val="es-ES" w:eastAsia="en-US"/>
        </w:rPr>
        <w:t>por la Comisión en su Informe de Fondo.</w:t>
      </w:r>
    </w:p>
    <w:p w14:paraId="105F6CC6" w14:textId="77777777" w:rsidR="00B5625C" w:rsidRPr="00975C02" w:rsidRDefault="00B5625C" w:rsidP="00B5625C">
      <w:pPr>
        <w:tabs>
          <w:tab w:val="left" w:pos="567"/>
        </w:tabs>
        <w:spacing w:line="240" w:lineRule="auto"/>
        <w:rPr>
          <w:rFonts w:eastAsiaTheme="minorHAnsi" w:cstheme="minorBidi"/>
          <w:sz w:val="20"/>
          <w:szCs w:val="20"/>
          <w:lang w:val="es-ES" w:eastAsia="en-US"/>
        </w:rPr>
      </w:pPr>
    </w:p>
    <w:p w14:paraId="37DC9902" w14:textId="77777777" w:rsidR="00B5625C" w:rsidRPr="00975C02" w:rsidRDefault="00B5625C" w:rsidP="00B5625C">
      <w:pPr>
        <w:keepNext/>
        <w:keepLines/>
        <w:widowControl/>
        <w:tabs>
          <w:tab w:val="left" w:pos="1134"/>
        </w:tabs>
        <w:autoSpaceDE w:val="0"/>
        <w:autoSpaceDN w:val="0"/>
        <w:spacing w:line="240" w:lineRule="auto"/>
        <w:ind w:left="567" w:firstLine="1"/>
        <w:textAlignment w:val="auto"/>
        <w:outlineLvl w:val="1"/>
        <w:rPr>
          <w:rFonts w:eastAsia="MS Mincho" w:cs="Arial"/>
          <w:b/>
          <w:bCs/>
          <w:i/>
          <w:sz w:val="20"/>
          <w:szCs w:val="20"/>
          <w:lang w:val="es-ES" w:eastAsia="en-US"/>
        </w:rPr>
      </w:pPr>
      <w:bookmarkStart w:id="159" w:name="_Toc495658692"/>
      <w:bookmarkStart w:id="160" w:name="_Toc514172660"/>
      <w:r w:rsidRPr="00975C02">
        <w:rPr>
          <w:rFonts w:eastAsia="MS Mincho" w:cs="Arial"/>
          <w:b/>
          <w:bCs/>
          <w:i/>
          <w:sz w:val="20"/>
          <w:szCs w:val="20"/>
          <w:lang w:val="es-ES" w:eastAsia="en-US"/>
        </w:rPr>
        <w:t>B.</w:t>
      </w:r>
      <w:r w:rsidRPr="00975C02">
        <w:rPr>
          <w:rFonts w:eastAsia="MS Mincho" w:cs="Arial"/>
          <w:b/>
          <w:bCs/>
          <w:i/>
          <w:sz w:val="20"/>
          <w:szCs w:val="20"/>
          <w:lang w:val="es-ES" w:eastAsia="en-US"/>
        </w:rPr>
        <w:tab/>
        <w:t>Consideraciones de la Corte</w:t>
      </w:r>
      <w:bookmarkEnd w:id="159"/>
      <w:bookmarkEnd w:id="160"/>
    </w:p>
    <w:p w14:paraId="24E6BA98" w14:textId="77777777" w:rsidR="00B5625C" w:rsidRPr="00975C02" w:rsidRDefault="00B5625C" w:rsidP="00B5625C">
      <w:pPr>
        <w:spacing w:line="240" w:lineRule="auto"/>
        <w:rPr>
          <w:rFonts w:eastAsia="MS Mincho" w:cs="Arial"/>
          <w:b/>
          <w:bCs/>
          <w:sz w:val="20"/>
          <w:szCs w:val="20"/>
          <w:lang w:val="es-ES" w:eastAsia="en-US"/>
        </w:rPr>
      </w:pPr>
    </w:p>
    <w:p w14:paraId="42911D07" w14:textId="7F54F66F" w:rsidR="00B5625C" w:rsidRPr="00975C02" w:rsidRDefault="00B5625C" w:rsidP="009167FE">
      <w:pPr>
        <w:pStyle w:val="ListParagraph"/>
        <w:widowControl/>
        <w:numPr>
          <w:ilvl w:val="0"/>
          <w:numId w:val="2"/>
        </w:numPr>
        <w:adjustRightInd/>
        <w:spacing w:line="240" w:lineRule="auto"/>
        <w:ind w:left="0" w:firstLine="0"/>
        <w:textAlignment w:val="auto"/>
        <w:rPr>
          <w:rFonts w:eastAsiaTheme="minorHAnsi" w:cstheme="minorBidi"/>
          <w:sz w:val="20"/>
          <w:szCs w:val="20"/>
          <w:lang w:val="es-ES" w:eastAsia="en-US"/>
        </w:rPr>
      </w:pPr>
      <w:bookmarkStart w:id="161" w:name="_Ref462932771"/>
      <w:r w:rsidRPr="00975C02">
        <w:rPr>
          <w:rFonts w:eastAsiaTheme="minorHAnsi" w:cstheme="minorBidi"/>
          <w:sz w:val="20"/>
          <w:szCs w:val="20"/>
          <w:lang w:val="es-ES" w:eastAsia="en-US"/>
        </w:rPr>
        <w:t>La Corte ha afirmado, en reiteradas oportunidades, que los familiares de las víctimas de violaciones de los derechos humanos pueden ser, a su vez, víctimas</w:t>
      </w:r>
      <w:r w:rsidRPr="00975C02">
        <w:rPr>
          <w:rFonts w:eastAsiaTheme="minorHAnsi" w:cstheme="minorBidi"/>
          <w:sz w:val="20"/>
          <w:szCs w:val="20"/>
          <w:vertAlign w:val="superscript"/>
          <w:lang w:val="es-ES" w:eastAsia="en-US"/>
        </w:rPr>
        <w:footnoteReference w:id="406"/>
      </w:r>
      <w:r w:rsidRPr="00975C02">
        <w:rPr>
          <w:rFonts w:eastAsiaTheme="minorHAnsi" w:cstheme="minorBidi"/>
          <w:sz w:val="20"/>
          <w:szCs w:val="20"/>
          <w:lang w:val="es-ES" w:eastAsia="en-US"/>
        </w:rPr>
        <w:t xml:space="preserve">. Este Tribunal ha </w:t>
      </w:r>
      <w:r w:rsidRPr="00975C02">
        <w:rPr>
          <w:sz w:val="20"/>
          <w:szCs w:val="20"/>
          <w:lang w:val="es-ES"/>
        </w:rPr>
        <w:t>considerado</w:t>
      </w:r>
      <w:r w:rsidRPr="00975C02">
        <w:rPr>
          <w:rFonts w:eastAsiaTheme="minorHAnsi" w:cstheme="minorBidi"/>
          <w:sz w:val="20"/>
          <w:szCs w:val="20"/>
          <w:lang w:val="es-ES" w:eastAsia="en-US"/>
        </w:rPr>
        <w:t xml:space="preserve"> que se puede declarar violado el derecho a la integridad psíquica y moral de “familiares directos” </w:t>
      </w:r>
      <w:r w:rsidR="009B2777" w:rsidRPr="00975C02">
        <w:rPr>
          <w:rFonts w:eastAsiaTheme="minorHAnsi" w:cstheme="minorBidi"/>
          <w:sz w:val="20"/>
          <w:szCs w:val="20"/>
          <w:lang w:val="es-ES" w:eastAsia="en-US"/>
        </w:rPr>
        <w:t>u</w:t>
      </w:r>
      <w:r w:rsidRPr="00975C02">
        <w:rPr>
          <w:rFonts w:eastAsiaTheme="minorHAnsi" w:cstheme="minorBidi"/>
          <w:sz w:val="20"/>
          <w:szCs w:val="20"/>
          <w:lang w:val="es-ES" w:eastAsia="en-US"/>
        </w:rPr>
        <w:t xml:space="preserve"> otras personas con vínculos estrechos con </w:t>
      </w:r>
      <w:r w:rsidR="009B2777" w:rsidRPr="00975C02">
        <w:rPr>
          <w:rFonts w:eastAsiaTheme="minorHAnsi" w:cstheme="minorBidi"/>
          <w:sz w:val="20"/>
          <w:szCs w:val="20"/>
          <w:lang w:val="es-ES" w:eastAsia="en-US"/>
        </w:rPr>
        <w:t xml:space="preserve">las </w:t>
      </w:r>
      <w:r w:rsidRPr="00975C02">
        <w:rPr>
          <w:rFonts w:eastAsiaTheme="minorHAnsi" w:cstheme="minorBidi"/>
          <w:sz w:val="20"/>
          <w:szCs w:val="20"/>
          <w:lang w:val="es-ES" w:eastAsia="en-US"/>
        </w:rPr>
        <w:t xml:space="preserve">víctimas con motivo del sufrimiento adicional que </w:t>
      </w:r>
      <w:r w:rsidR="009B2777" w:rsidRPr="00975C02">
        <w:rPr>
          <w:rFonts w:eastAsiaTheme="minorHAnsi" w:cstheme="minorBidi"/>
          <w:sz w:val="20"/>
          <w:szCs w:val="20"/>
          <w:lang w:val="es-ES" w:eastAsia="en-US"/>
        </w:rPr>
        <w:t xml:space="preserve">aquéllos </w:t>
      </w:r>
      <w:r w:rsidRPr="00975C02">
        <w:rPr>
          <w:rFonts w:eastAsiaTheme="minorHAnsi" w:cstheme="minorBidi"/>
          <w:sz w:val="20"/>
          <w:szCs w:val="20"/>
          <w:lang w:val="es-ES" w:eastAsia="en-US"/>
        </w:rPr>
        <w:t>han padecido como producto de las circunstancias particulares de las violaciones perpetradas contra sus seres queridos, y a causa de las posteriores actuaciones u omisiones de las autoridades estatales frente a estos hechos</w:t>
      </w:r>
      <w:r w:rsidRPr="00975C02">
        <w:rPr>
          <w:rFonts w:eastAsiaTheme="minorHAnsi" w:cstheme="minorBidi"/>
          <w:sz w:val="20"/>
          <w:szCs w:val="20"/>
          <w:vertAlign w:val="superscript"/>
          <w:lang w:val="es-ES" w:eastAsia="en-US"/>
        </w:rPr>
        <w:footnoteReference w:id="407"/>
      </w:r>
      <w:r w:rsidRPr="00975C02">
        <w:rPr>
          <w:rFonts w:eastAsiaTheme="minorHAnsi" w:cstheme="minorBidi"/>
          <w:sz w:val="20"/>
          <w:szCs w:val="20"/>
          <w:lang w:val="es-ES" w:eastAsia="en-US"/>
        </w:rPr>
        <w:t>, tomando en cuenta, entre otros</w:t>
      </w:r>
      <w:r w:rsidR="009B2777" w:rsidRPr="00975C02">
        <w:rPr>
          <w:rFonts w:eastAsiaTheme="minorHAnsi" w:cstheme="minorBidi"/>
          <w:sz w:val="20"/>
          <w:szCs w:val="20"/>
          <w:lang w:val="es-ES" w:eastAsia="en-US"/>
        </w:rPr>
        <w:t xml:space="preserve"> elementos</w:t>
      </w:r>
      <w:r w:rsidRPr="00975C02">
        <w:rPr>
          <w:rFonts w:eastAsiaTheme="minorHAnsi" w:cstheme="minorBidi"/>
          <w:sz w:val="20"/>
          <w:szCs w:val="20"/>
          <w:lang w:val="es-ES" w:eastAsia="en-US"/>
        </w:rPr>
        <w:t>, las gestiones realizadas para obtener justicia y la existencia de un estrecho vínculo familiar</w:t>
      </w:r>
      <w:r w:rsidRPr="00975C02">
        <w:rPr>
          <w:rFonts w:eastAsiaTheme="minorHAnsi" w:cstheme="minorBidi"/>
          <w:sz w:val="20"/>
          <w:szCs w:val="20"/>
          <w:vertAlign w:val="superscript"/>
          <w:lang w:val="es-ES" w:eastAsia="en-US"/>
        </w:rPr>
        <w:footnoteReference w:id="408"/>
      </w:r>
      <w:r w:rsidRPr="00975C02">
        <w:rPr>
          <w:rFonts w:eastAsiaTheme="minorHAnsi" w:cstheme="minorBidi"/>
          <w:sz w:val="20"/>
          <w:szCs w:val="20"/>
          <w:lang w:val="es-ES" w:eastAsia="en-US"/>
        </w:rPr>
        <w:t>.</w:t>
      </w:r>
    </w:p>
    <w:p w14:paraId="54137E24" w14:textId="77777777" w:rsidR="00B5625C" w:rsidRPr="00975C02" w:rsidRDefault="00B5625C" w:rsidP="00B5625C">
      <w:pPr>
        <w:widowControl/>
        <w:tabs>
          <w:tab w:val="left" w:pos="567"/>
        </w:tabs>
        <w:adjustRightInd/>
        <w:spacing w:line="240" w:lineRule="auto"/>
        <w:textAlignment w:val="auto"/>
        <w:rPr>
          <w:rFonts w:eastAsia="Calibri" w:cs="Calibri"/>
          <w:sz w:val="20"/>
          <w:szCs w:val="22"/>
          <w:lang w:val="es-ES" w:eastAsia="en-US"/>
        </w:rPr>
      </w:pPr>
    </w:p>
    <w:bookmarkEnd w:id="161"/>
    <w:p w14:paraId="0ADB1ACD" w14:textId="4F4DC635" w:rsidR="00B5625C" w:rsidRPr="00975C02" w:rsidRDefault="00456B78" w:rsidP="009167FE">
      <w:pPr>
        <w:pStyle w:val="ListParagraph"/>
        <w:widowControl/>
        <w:numPr>
          <w:ilvl w:val="0"/>
          <w:numId w:val="2"/>
        </w:numPr>
        <w:adjustRightInd/>
        <w:spacing w:line="240" w:lineRule="auto"/>
        <w:ind w:left="0" w:firstLine="0"/>
        <w:textAlignment w:val="auto"/>
        <w:rPr>
          <w:rFonts w:eastAsiaTheme="minorHAnsi" w:cstheme="minorBidi"/>
          <w:sz w:val="20"/>
          <w:szCs w:val="20"/>
          <w:lang w:val="es-ES" w:eastAsia="en-US"/>
        </w:rPr>
      </w:pPr>
      <w:r>
        <w:rPr>
          <w:rFonts w:eastAsia="MS Mincho"/>
          <w:spacing w:val="-2"/>
          <w:sz w:val="20"/>
          <w:szCs w:val="20"/>
        </w:rPr>
        <w:t>L</w:t>
      </w:r>
      <w:r w:rsidRPr="00A34F42">
        <w:rPr>
          <w:rFonts w:eastAsia="MS Mincho"/>
          <w:spacing w:val="-2"/>
          <w:sz w:val="20"/>
          <w:szCs w:val="20"/>
        </w:rPr>
        <w:t xml:space="preserve">a Corte ha señalado que se puede declarar la violación del derecho a la integridad psíquica y moral de familiares de víctimas de ciertas violaciones de derechos humanos aplicando una presunción </w:t>
      </w:r>
      <w:r w:rsidRPr="00A34F42">
        <w:rPr>
          <w:rFonts w:eastAsia="MS Mincho"/>
          <w:i/>
          <w:spacing w:val="-2"/>
          <w:sz w:val="20"/>
          <w:szCs w:val="20"/>
        </w:rPr>
        <w:t>iuris tantum</w:t>
      </w:r>
      <w:r w:rsidRPr="00A34F42">
        <w:rPr>
          <w:rFonts w:eastAsia="MS Mincho"/>
          <w:spacing w:val="-2"/>
          <w:sz w:val="20"/>
          <w:szCs w:val="20"/>
        </w:rPr>
        <w:t>, siempre que ello responda a las circuns</w:t>
      </w:r>
      <w:r>
        <w:rPr>
          <w:rFonts w:eastAsia="MS Mincho"/>
          <w:spacing w:val="-2"/>
          <w:sz w:val="20"/>
          <w:szCs w:val="20"/>
        </w:rPr>
        <w:t>tancias particulares en el caso</w:t>
      </w:r>
      <w:r w:rsidR="009B2777" w:rsidRPr="00975C02">
        <w:rPr>
          <w:rStyle w:val="FootnoteReference"/>
          <w:rFonts w:eastAsiaTheme="minorHAnsi" w:cstheme="minorBidi"/>
          <w:sz w:val="20"/>
          <w:szCs w:val="20"/>
          <w:lang w:val="es-ES" w:eastAsia="en-US"/>
        </w:rPr>
        <w:footnoteReference w:id="409"/>
      </w:r>
      <w:r>
        <w:rPr>
          <w:rFonts w:eastAsia="MS Mincho"/>
          <w:spacing w:val="-2"/>
          <w:sz w:val="20"/>
          <w:szCs w:val="20"/>
        </w:rPr>
        <w:t>.</w:t>
      </w:r>
      <w:r w:rsidR="00B5625C" w:rsidRPr="00975C02">
        <w:rPr>
          <w:rFonts w:eastAsiaTheme="minorHAnsi" w:cstheme="minorBidi"/>
          <w:sz w:val="20"/>
          <w:szCs w:val="20"/>
          <w:lang w:val="es-ES" w:eastAsia="en-US"/>
        </w:rPr>
        <w:t xml:space="preserve"> </w:t>
      </w:r>
      <w:r w:rsidRPr="00A34F42">
        <w:rPr>
          <w:rFonts w:eastAsia="MS Mincho"/>
          <w:spacing w:val="-2"/>
          <w:sz w:val="20"/>
          <w:szCs w:val="20"/>
        </w:rPr>
        <w:t xml:space="preserve">En los demás supuestos, la Corte deberá </w:t>
      </w:r>
      <w:r w:rsidR="00B5625C" w:rsidRPr="00975C02">
        <w:rPr>
          <w:rFonts w:eastAsiaTheme="minorHAnsi" w:cstheme="minorBidi"/>
          <w:sz w:val="20"/>
          <w:szCs w:val="20"/>
          <w:lang w:val="es-ES" w:eastAsia="en-US"/>
        </w:rPr>
        <w:t>eval</w:t>
      </w:r>
      <w:r>
        <w:rPr>
          <w:rFonts w:eastAsiaTheme="minorHAnsi" w:cstheme="minorBidi"/>
          <w:sz w:val="20"/>
          <w:szCs w:val="20"/>
          <w:lang w:val="es-ES" w:eastAsia="en-US"/>
        </w:rPr>
        <w:t>uar</w:t>
      </w:r>
      <w:r w:rsidR="009B2777" w:rsidRPr="00975C02">
        <w:rPr>
          <w:rFonts w:eastAsiaTheme="minorHAnsi" w:cstheme="minorBidi"/>
          <w:sz w:val="20"/>
          <w:szCs w:val="20"/>
          <w:lang w:val="es-ES" w:eastAsia="en-US"/>
        </w:rPr>
        <w:t>,</w:t>
      </w:r>
      <w:r w:rsidR="00B5625C" w:rsidRPr="00975C02">
        <w:rPr>
          <w:rFonts w:eastAsiaTheme="minorHAnsi" w:cstheme="minorBidi"/>
          <w:sz w:val="20"/>
          <w:szCs w:val="20"/>
          <w:lang w:val="es-ES" w:eastAsia="en-US"/>
        </w:rPr>
        <w:t xml:space="preserve"> </w:t>
      </w:r>
      <w:r w:rsidR="009B2777" w:rsidRPr="00975C02">
        <w:rPr>
          <w:rFonts w:eastAsiaTheme="minorHAnsi" w:cstheme="minorBidi"/>
          <w:sz w:val="20"/>
          <w:szCs w:val="20"/>
          <w:lang w:val="es-ES" w:eastAsia="en-US"/>
        </w:rPr>
        <w:t xml:space="preserve">por un lado, </w:t>
      </w:r>
      <w:r w:rsidR="00B5625C" w:rsidRPr="00975C02">
        <w:rPr>
          <w:rFonts w:eastAsiaTheme="minorHAnsi" w:cstheme="minorBidi"/>
          <w:sz w:val="20"/>
          <w:szCs w:val="20"/>
          <w:lang w:val="es-ES" w:eastAsia="en-US"/>
        </w:rPr>
        <w:t xml:space="preserve">la existencia de un vínculo particularmente estrecho entre los familiares y la </w:t>
      </w:r>
      <w:r w:rsidR="00DD768D" w:rsidRPr="00975C02">
        <w:rPr>
          <w:rFonts w:eastAsiaTheme="minorHAnsi" w:cstheme="minorBidi"/>
          <w:sz w:val="20"/>
          <w:szCs w:val="20"/>
          <w:lang w:val="es-ES" w:eastAsia="en-US"/>
        </w:rPr>
        <w:t xml:space="preserve">presunta </w:t>
      </w:r>
      <w:r w:rsidR="00B5625C" w:rsidRPr="00975C02">
        <w:rPr>
          <w:rFonts w:eastAsiaTheme="minorHAnsi" w:cstheme="minorBidi"/>
          <w:sz w:val="20"/>
          <w:szCs w:val="20"/>
          <w:lang w:val="es-ES" w:eastAsia="en-US"/>
        </w:rPr>
        <w:t>víctima del caso que permita establecer una afectación a su integridad personal y, por otro lado, si de la prueba que consta en el expediente se acredita una violación del derecho a la integridad personal</w:t>
      </w:r>
      <w:r w:rsidR="00B5625C" w:rsidRPr="00975C02">
        <w:rPr>
          <w:rFonts w:eastAsiaTheme="minorHAnsi" w:cstheme="minorBidi"/>
          <w:sz w:val="20"/>
          <w:szCs w:val="20"/>
          <w:vertAlign w:val="superscript"/>
          <w:lang w:val="es-ES" w:eastAsia="en-US"/>
        </w:rPr>
        <w:footnoteReference w:id="410"/>
      </w:r>
      <w:r w:rsidR="00B5625C" w:rsidRPr="00975C02">
        <w:rPr>
          <w:rFonts w:eastAsiaTheme="minorHAnsi" w:cstheme="minorBidi"/>
          <w:sz w:val="20"/>
          <w:szCs w:val="20"/>
          <w:lang w:val="es-ES" w:eastAsia="en-US"/>
        </w:rPr>
        <w:t>.</w:t>
      </w:r>
    </w:p>
    <w:p w14:paraId="129FD748" w14:textId="77777777" w:rsidR="00B5625C" w:rsidRPr="00975C02" w:rsidRDefault="00B5625C" w:rsidP="00B5625C">
      <w:pPr>
        <w:tabs>
          <w:tab w:val="left" w:pos="567"/>
        </w:tabs>
        <w:spacing w:line="240" w:lineRule="auto"/>
        <w:rPr>
          <w:rFonts w:cs="Calibri"/>
          <w:sz w:val="20"/>
          <w:lang w:val="es-ES"/>
        </w:rPr>
      </w:pPr>
    </w:p>
    <w:p w14:paraId="1912B076" w14:textId="399685FF" w:rsidR="00B5625C" w:rsidRPr="00975C02" w:rsidRDefault="00B5625C" w:rsidP="009167FE">
      <w:pPr>
        <w:pStyle w:val="ListParagraph"/>
        <w:widowControl/>
        <w:numPr>
          <w:ilvl w:val="0"/>
          <w:numId w:val="2"/>
        </w:numPr>
        <w:adjustRightInd/>
        <w:spacing w:line="240" w:lineRule="auto"/>
        <w:ind w:left="0" w:firstLine="0"/>
        <w:textAlignment w:val="auto"/>
        <w:rPr>
          <w:rFonts w:cs="Calibri"/>
          <w:sz w:val="20"/>
          <w:lang w:val="es-ES"/>
        </w:rPr>
      </w:pPr>
      <w:r w:rsidRPr="00975C02">
        <w:rPr>
          <w:rFonts w:cs="Calibri"/>
          <w:sz w:val="20"/>
          <w:lang w:val="es-ES"/>
        </w:rPr>
        <w:t>Al respecto, durante la audiencia pública</w:t>
      </w:r>
      <w:r w:rsidR="00303C29" w:rsidRPr="00975C02">
        <w:rPr>
          <w:rFonts w:cs="Calibri"/>
          <w:sz w:val="20"/>
          <w:lang w:val="es-ES"/>
        </w:rPr>
        <w:t>,</w:t>
      </w:r>
      <w:r w:rsidRPr="00975C02">
        <w:rPr>
          <w:rFonts w:cs="Calibri"/>
          <w:sz w:val="20"/>
          <w:lang w:val="es-ES"/>
        </w:rPr>
        <w:t xml:space="preserve"> la señora V.P.C. se </w:t>
      </w:r>
      <w:r w:rsidR="00303C29" w:rsidRPr="00975C02">
        <w:rPr>
          <w:rFonts w:cs="Calibri"/>
          <w:sz w:val="20"/>
          <w:lang w:val="es-ES"/>
        </w:rPr>
        <w:t>refirió a</w:t>
      </w:r>
      <w:r w:rsidRPr="00975C02">
        <w:rPr>
          <w:rFonts w:cs="Calibri"/>
          <w:sz w:val="20"/>
          <w:lang w:val="es-ES"/>
        </w:rPr>
        <w:t xml:space="preserve"> las graves </w:t>
      </w:r>
      <w:r w:rsidRPr="00975C02">
        <w:rPr>
          <w:rFonts w:eastAsiaTheme="minorHAnsi" w:cstheme="minorBidi"/>
          <w:sz w:val="20"/>
          <w:szCs w:val="20"/>
          <w:lang w:val="es-ES" w:eastAsia="en-US"/>
        </w:rPr>
        <w:t>consecuencias</w:t>
      </w:r>
      <w:r w:rsidRPr="00975C02">
        <w:rPr>
          <w:rFonts w:cs="Calibri"/>
          <w:sz w:val="20"/>
          <w:lang w:val="es-ES"/>
        </w:rPr>
        <w:t xml:space="preserve"> que tuvo </w:t>
      </w:r>
      <w:r w:rsidR="00303C29" w:rsidRPr="00975C02">
        <w:rPr>
          <w:rFonts w:cs="Calibri"/>
          <w:sz w:val="20"/>
          <w:lang w:val="es-ES"/>
        </w:rPr>
        <w:t xml:space="preserve">para </w:t>
      </w:r>
      <w:r w:rsidRPr="00975C02">
        <w:rPr>
          <w:rFonts w:cs="Calibri"/>
          <w:sz w:val="20"/>
          <w:lang w:val="es-ES"/>
        </w:rPr>
        <w:t>su familia la violación sexual de su hija</w:t>
      </w:r>
      <w:r w:rsidR="00303C29" w:rsidRPr="00975C02">
        <w:rPr>
          <w:rFonts w:cs="Calibri"/>
          <w:sz w:val="20"/>
          <w:lang w:val="es-ES"/>
        </w:rPr>
        <w:t>, así como la violencia institucional y la revictimización a la que fueron sometidas durante</w:t>
      </w:r>
      <w:r w:rsidRPr="00975C02">
        <w:rPr>
          <w:rFonts w:cs="Calibri"/>
          <w:sz w:val="20"/>
          <w:lang w:val="es-ES"/>
        </w:rPr>
        <w:t xml:space="preserve"> el proceso judicial a nivel interno. Señaló que “los actos de dolor y coacción e intimidación que utilizaron las autoridades” en su perjuicio</w:t>
      </w:r>
      <w:r w:rsidR="00EE10B8" w:rsidRPr="00975C02">
        <w:rPr>
          <w:rFonts w:cs="Calibri"/>
          <w:sz w:val="20"/>
          <w:lang w:val="es-ES"/>
        </w:rPr>
        <w:t xml:space="preserve"> provocaron la desintegración de su familia</w:t>
      </w:r>
      <w:r w:rsidRPr="00975C02">
        <w:rPr>
          <w:rFonts w:cs="Calibri"/>
          <w:sz w:val="20"/>
          <w:lang w:val="es-ES"/>
        </w:rPr>
        <w:t xml:space="preserve">. En este sentido, </w:t>
      </w:r>
      <w:r w:rsidR="00EE10B8" w:rsidRPr="00975C02">
        <w:rPr>
          <w:rFonts w:cs="Calibri"/>
          <w:sz w:val="20"/>
          <w:lang w:val="es-ES"/>
        </w:rPr>
        <w:t>l</w:t>
      </w:r>
      <w:r w:rsidRPr="00975C02">
        <w:rPr>
          <w:rFonts w:cs="Calibri"/>
          <w:sz w:val="20"/>
          <w:lang w:val="es-ES"/>
        </w:rPr>
        <w:t>a señora V.P.C. declaró que:</w:t>
      </w:r>
    </w:p>
    <w:p w14:paraId="7D086765" w14:textId="77777777" w:rsidR="00B5625C" w:rsidRPr="00975C02" w:rsidRDefault="00B5625C" w:rsidP="00B5625C">
      <w:pPr>
        <w:tabs>
          <w:tab w:val="left" w:pos="567"/>
        </w:tabs>
        <w:spacing w:line="240" w:lineRule="auto"/>
        <w:rPr>
          <w:rFonts w:cs="Calibri"/>
          <w:sz w:val="20"/>
          <w:lang w:val="es-ES"/>
        </w:rPr>
      </w:pPr>
    </w:p>
    <w:p w14:paraId="4673874D" w14:textId="723F1D38" w:rsidR="00B5625C" w:rsidRPr="00975C02" w:rsidRDefault="00B5625C" w:rsidP="00CE543E">
      <w:pPr>
        <w:tabs>
          <w:tab w:val="left" w:pos="567"/>
        </w:tabs>
        <w:spacing w:line="240" w:lineRule="auto"/>
        <w:ind w:left="567" w:right="582"/>
        <w:rPr>
          <w:rFonts w:cs="Calibri"/>
          <w:sz w:val="16"/>
          <w:szCs w:val="16"/>
          <w:lang w:val="es-ES"/>
        </w:rPr>
      </w:pPr>
      <w:r w:rsidRPr="00975C02">
        <w:rPr>
          <w:rFonts w:cs="Calibri"/>
          <w:sz w:val="16"/>
          <w:szCs w:val="16"/>
          <w:lang w:val="es-ES"/>
        </w:rPr>
        <w:t>[M]is hijos se tuvieron que quedar en Nicaragua y yo tuve que abandonar el país para poder ayudar a mi hija de que no siguiera en ese lugar donde prácticamente en vez de darnos justicia, lo que hicieron fue causarnos, infringirnos más dolor del que nosotros teníamos ya. [</w:t>
      </w:r>
      <w:r w:rsidR="00EE10B8" w:rsidRPr="00975C02">
        <w:rPr>
          <w:rFonts w:cs="Calibri"/>
          <w:sz w:val="16"/>
          <w:szCs w:val="16"/>
          <w:lang w:val="es-ES"/>
        </w:rPr>
        <w:t>Salimos</w:t>
      </w:r>
      <w:r w:rsidRPr="00975C02">
        <w:rPr>
          <w:rFonts w:cs="Calibri"/>
          <w:sz w:val="16"/>
          <w:szCs w:val="16"/>
          <w:lang w:val="es-ES"/>
        </w:rPr>
        <w:t xml:space="preserve">] con miedo, producto de todas las acusaciones criminales, que tanto el médico forense como la juez local y la otra persona del jurado habían interpuesto en contra mía, en contra de mi madre que era una señora de 70 años, y en contra de mi hermana por el solo </w:t>
      </w:r>
      <w:r w:rsidRPr="00975C02">
        <w:rPr>
          <w:rFonts w:cs="Calibri"/>
          <w:sz w:val="16"/>
          <w:szCs w:val="16"/>
          <w:lang w:val="es-ES"/>
        </w:rPr>
        <w:lastRenderedPageBreak/>
        <w:t>hecho de acompañarme en los procesos. [</w:t>
      </w:r>
      <w:r w:rsidR="00EE10B8" w:rsidRPr="00975C02">
        <w:rPr>
          <w:rFonts w:cs="Calibri"/>
          <w:sz w:val="16"/>
          <w:szCs w:val="16"/>
          <w:lang w:val="es-ES"/>
        </w:rPr>
        <w:t>E</w:t>
      </w:r>
      <w:r w:rsidRPr="00975C02">
        <w:rPr>
          <w:rFonts w:cs="Calibri"/>
          <w:sz w:val="16"/>
          <w:szCs w:val="16"/>
          <w:lang w:val="es-ES"/>
        </w:rPr>
        <w:t xml:space="preserve">]n el momento que se dieron todos esos hechos, yo podía sostener a mis hijos en el sentido de que les estaba pagando una universidad privada a mi hija, la mayor. Mis otros hijos también estaban estudiando en un colegio privado, o sea, tenían ropa, tenían alimentos, medicinas </w:t>
      </w:r>
      <w:r w:rsidR="00F06BCE" w:rsidRPr="00975C02">
        <w:rPr>
          <w:rFonts w:cs="Calibri"/>
          <w:sz w:val="16"/>
          <w:szCs w:val="16"/>
          <w:lang w:val="es-ES"/>
        </w:rPr>
        <w:t>[…]</w:t>
      </w:r>
      <w:r w:rsidRPr="00975C02">
        <w:rPr>
          <w:rFonts w:cs="Calibri"/>
          <w:sz w:val="16"/>
          <w:szCs w:val="16"/>
          <w:lang w:val="es-ES"/>
        </w:rPr>
        <w:t>, incluso también les pagaba una empleada para que atendiera las cosas de la casa</w:t>
      </w:r>
      <w:r w:rsidR="00F06BCE" w:rsidRPr="00975C02">
        <w:rPr>
          <w:rFonts w:cs="Calibri"/>
          <w:sz w:val="16"/>
          <w:szCs w:val="16"/>
          <w:lang w:val="es-ES"/>
        </w:rPr>
        <w:t>[, …]</w:t>
      </w:r>
      <w:r w:rsidRPr="00975C02">
        <w:rPr>
          <w:rFonts w:cs="Calibri"/>
          <w:sz w:val="16"/>
          <w:szCs w:val="16"/>
          <w:lang w:val="es-ES"/>
        </w:rPr>
        <w:t xml:space="preserve"> estaban bien, no como están ahora</w:t>
      </w:r>
      <w:r w:rsidRPr="00975C02">
        <w:rPr>
          <w:rFonts w:cs="Calibri"/>
          <w:sz w:val="16"/>
          <w:szCs w:val="16"/>
          <w:vertAlign w:val="superscript"/>
          <w:lang w:val="es-ES"/>
        </w:rPr>
        <w:footnoteReference w:id="411"/>
      </w:r>
      <w:r w:rsidR="00086C46" w:rsidRPr="00975C02">
        <w:rPr>
          <w:rFonts w:cs="Calibri"/>
          <w:sz w:val="16"/>
          <w:szCs w:val="16"/>
          <w:lang w:val="es-ES"/>
        </w:rPr>
        <w:t>.</w:t>
      </w:r>
    </w:p>
    <w:p w14:paraId="591A6751" w14:textId="77777777" w:rsidR="00B5625C" w:rsidRPr="00975C02" w:rsidRDefault="00B5625C" w:rsidP="00B5625C">
      <w:pPr>
        <w:tabs>
          <w:tab w:val="left" w:pos="567"/>
        </w:tabs>
        <w:spacing w:line="240" w:lineRule="auto"/>
        <w:rPr>
          <w:rFonts w:cs="Calibri"/>
          <w:sz w:val="16"/>
          <w:szCs w:val="16"/>
          <w:lang w:val="es-ES"/>
        </w:rPr>
      </w:pPr>
    </w:p>
    <w:p w14:paraId="64FA802A" w14:textId="635A184D" w:rsidR="00B53418" w:rsidRPr="00975C02" w:rsidRDefault="00B53418" w:rsidP="00B53418">
      <w:pPr>
        <w:pStyle w:val="ListParagraph"/>
        <w:widowControl/>
        <w:numPr>
          <w:ilvl w:val="0"/>
          <w:numId w:val="2"/>
        </w:numPr>
        <w:adjustRightInd/>
        <w:spacing w:line="240" w:lineRule="auto"/>
        <w:ind w:left="0" w:firstLine="0"/>
        <w:textAlignment w:val="auto"/>
        <w:rPr>
          <w:sz w:val="20"/>
          <w:szCs w:val="20"/>
          <w:lang w:val="es-ES"/>
        </w:rPr>
      </w:pPr>
      <w:r w:rsidRPr="00975C02">
        <w:rPr>
          <w:sz w:val="20"/>
          <w:szCs w:val="20"/>
          <w:lang w:val="es-ES"/>
        </w:rPr>
        <w:t xml:space="preserve">Respecto </w:t>
      </w:r>
      <w:r w:rsidR="00F06BCE" w:rsidRPr="00975C02">
        <w:rPr>
          <w:sz w:val="20"/>
          <w:szCs w:val="20"/>
          <w:lang w:val="es-ES"/>
        </w:rPr>
        <w:t xml:space="preserve">a </w:t>
      </w:r>
      <w:r w:rsidRPr="00975C02">
        <w:rPr>
          <w:sz w:val="20"/>
          <w:szCs w:val="20"/>
          <w:lang w:val="es-ES"/>
        </w:rPr>
        <w:t xml:space="preserve">las afectaciones </w:t>
      </w:r>
      <w:r w:rsidR="00F06BCE" w:rsidRPr="00975C02">
        <w:rPr>
          <w:sz w:val="20"/>
          <w:szCs w:val="20"/>
          <w:lang w:val="es-ES"/>
        </w:rPr>
        <w:t xml:space="preserve">y la revictimización </w:t>
      </w:r>
      <w:r w:rsidRPr="00975C02">
        <w:rPr>
          <w:sz w:val="20"/>
          <w:szCs w:val="20"/>
          <w:lang w:val="es-ES"/>
        </w:rPr>
        <w:t>sufridas por la señora V.P.C.</w:t>
      </w:r>
      <w:r w:rsidR="00A03CDB" w:rsidRPr="00975C02">
        <w:rPr>
          <w:sz w:val="20"/>
          <w:szCs w:val="20"/>
          <w:lang w:val="es-ES"/>
        </w:rPr>
        <w:t xml:space="preserve"> </w:t>
      </w:r>
      <w:r w:rsidR="00F06BCE" w:rsidRPr="00975C02">
        <w:rPr>
          <w:sz w:val="20"/>
          <w:szCs w:val="20"/>
          <w:lang w:val="es-ES"/>
        </w:rPr>
        <w:t>al acudir</w:t>
      </w:r>
      <w:r w:rsidRPr="00975C02">
        <w:rPr>
          <w:sz w:val="20"/>
          <w:szCs w:val="20"/>
          <w:lang w:val="es-ES"/>
        </w:rPr>
        <w:t xml:space="preserve"> a las instancias judiciales, el perito Enrique Oscar Stola señaló que “la madre, que es una madre protectora, también es una víctima y cuando analizamos la conducta del Poder Judicial en principio se había colocado que era una víctima secundaria, pero también pienso que la madre protectora recibe tal nivel de agresión dentro del Poder Judicial que puede ser una víctima primaria, tanto como la niña. Por último, las actitudes de hacerle reiterar y reiterar con diferentes profesionales lo vivido, lo único que puede hacer es aumentar el trauma y la prolongación del juicio, del proceso legal, </w:t>
      </w:r>
      <w:r w:rsidR="00F06BCE" w:rsidRPr="00975C02">
        <w:rPr>
          <w:sz w:val="20"/>
          <w:szCs w:val="20"/>
          <w:lang w:val="es-ES"/>
        </w:rPr>
        <w:t>[…]</w:t>
      </w:r>
      <w:r w:rsidRPr="00975C02">
        <w:rPr>
          <w:sz w:val="20"/>
          <w:szCs w:val="20"/>
          <w:lang w:val="es-ES"/>
        </w:rPr>
        <w:t xml:space="preserve"> lo que hace es mantener activo el estrés post-traumático y profundizar alguna sintomatología”</w:t>
      </w:r>
      <w:r w:rsidRPr="00975C02">
        <w:rPr>
          <w:rStyle w:val="FootnoteReference"/>
          <w:sz w:val="20"/>
          <w:szCs w:val="20"/>
          <w:lang w:val="es-ES"/>
        </w:rPr>
        <w:footnoteReference w:id="412"/>
      </w:r>
      <w:r w:rsidRPr="00975C02">
        <w:rPr>
          <w:sz w:val="20"/>
          <w:szCs w:val="20"/>
          <w:lang w:val="es-ES"/>
        </w:rPr>
        <w:t>.</w:t>
      </w:r>
    </w:p>
    <w:p w14:paraId="7913C11E" w14:textId="77777777" w:rsidR="00B53418" w:rsidRPr="00975C02" w:rsidRDefault="00B53418" w:rsidP="00B5625C">
      <w:pPr>
        <w:tabs>
          <w:tab w:val="left" w:pos="567"/>
        </w:tabs>
        <w:spacing w:line="240" w:lineRule="auto"/>
        <w:rPr>
          <w:rFonts w:cs="Calibri"/>
          <w:sz w:val="20"/>
          <w:szCs w:val="20"/>
          <w:lang w:val="es-ES"/>
        </w:rPr>
      </w:pPr>
    </w:p>
    <w:p w14:paraId="05E49164" w14:textId="734E5BDF" w:rsidR="00B5625C" w:rsidRPr="00975C02" w:rsidRDefault="00B5625C" w:rsidP="009167FE">
      <w:pPr>
        <w:pStyle w:val="ListParagraph"/>
        <w:widowControl/>
        <w:numPr>
          <w:ilvl w:val="0"/>
          <w:numId w:val="2"/>
        </w:numPr>
        <w:adjustRightInd/>
        <w:spacing w:line="240" w:lineRule="auto"/>
        <w:ind w:left="0" w:firstLine="0"/>
        <w:textAlignment w:val="auto"/>
        <w:rPr>
          <w:rFonts w:cs="Calibri"/>
          <w:sz w:val="20"/>
          <w:lang w:val="es-ES"/>
        </w:rPr>
      </w:pPr>
      <w:r w:rsidRPr="00975C02">
        <w:rPr>
          <w:rFonts w:cs="Calibri"/>
          <w:sz w:val="20"/>
          <w:lang w:val="es-ES"/>
        </w:rPr>
        <w:t xml:space="preserve">En cuanto a las afectaciones a la integridad personal de </w:t>
      </w:r>
      <w:r w:rsidR="00B13C64" w:rsidRPr="00975C02">
        <w:rPr>
          <w:rFonts w:cs="Calibri"/>
          <w:sz w:val="20"/>
          <w:lang w:val="es-ES"/>
        </w:rPr>
        <w:t xml:space="preserve">la hermana y </w:t>
      </w:r>
      <w:r w:rsidRPr="00975C02">
        <w:rPr>
          <w:rFonts w:cs="Calibri"/>
          <w:sz w:val="20"/>
          <w:lang w:val="es-ES"/>
        </w:rPr>
        <w:t>los hermanos</w:t>
      </w:r>
      <w:r w:rsidR="00F6290A" w:rsidRPr="00975C02">
        <w:rPr>
          <w:rFonts w:cs="Calibri"/>
          <w:sz w:val="20"/>
          <w:lang w:val="es-ES"/>
        </w:rPr>
        <w:t xml:space="preserve"> </w:t>
      </w:r>
      <w:r w:rsidRPr="00975C02">
        <w:rPr>
          <w:rFonts w:cs="Calibri"/>
          <w:sz w:val="20"/>
          <w:lang w:val="es-ES"/>
        </w:rPr>
        <w:t>de V.R.P., la señora V.P.C. declaró en audiencia que “</w:t>
      </w:r>
      <w:r w:rsidR="00F6290A" w:rsidRPr="00975C02">
        <w:rPr>
          <w:rFonts w:cs="Calibri"/>
          <w:sz w:val="20"/>
          <w:lang w:val="es-ES"/>
        </w:rPr>
        <w:t xml:space="preserve">[su] </w:t>
      </w:r>
      <w:r w:rsidRPr="00975C02">
        <w:rPr>
          <w:rFonts w:cs="Calibri"/>
          <w:sz w:val="20"/>
          <w:lang w:val="es-ES"/>
        </w:rPr>
        <w:t>hija mayor que fue la que vino con nosotr</w:t>
      </w:r>
      <w:r w:rsidR="00F6290A" w:rsidRPr="00975C02">
        <w:rPr>
          <w:rFonts w:cs="Calibri"/>
          <w:sz w:val="20"/>
          <w:lang w:val="es-ES"/>
        </w:rPr>
        <w:t>[a]</w:t>
      </w:r>
      <w:r w:rsidRPr="00975C02">
        <w:rPr>
          <w:rFonts w:cs="Calibri"/>
          <w:sz w:val="20"/>
          <w:lang w:val="es-ES"/>
        </w:rPr>
        <w:t xml:space="preserve">s [a Estados Unidos], ella prácticamente asumió como un rol junto conmigo, porque </w:t>
      </w:r>
      <w:r w:rsidRPr="00975C02">
        <w:rPr>
          <w:rFonts w:eastAsiaTheme="minorHAnsi" w:cstheme="minorBidi"/>
          <w:sz w:val="20"/>
          <w:szCs w:val="20"/>
          <w:lang w:val="es-ES" w:eastAsia="en-US"/>
        </w:rPr>
        <w:t>entre</w:t>
      </w:r>
      <w:r w:rsidRPr="00975C02">
        <w:rPr>
          <w:rFonts w:cs="Calibri"/>
          <w:sz w:val="20"/>
          <w:lang w:val="es-ES"/>
        </w:rPr>
        <w:t xml:space="preserve"> las dos tratamos como de sacar adelante a mi hija </w:t>
      </w:r>
      <w:r w:rsidR="00F6290A" w:rsidRPr="00975C02">
        <w:rPr>
          <w:rFonts w:cs="Calibri"/>
          <w:sz w:val="20"/>
          <w:lang w:val="es-ES"/>
        </w:rPr>
        <w:t xml:space="preserve">[V.R.P.] </w:t>
      </w:r>
      <w:r w:rsidRPr="00975C02">
        <w:rPr>
          <w:rFonts w:cs="Calibri"/>
          <w:sz w:val="20"/>
          <w:lang w:val="es-ES"/>
        </w:rPr>
        <w:t xml:space="preserve">porque yo muchas veces me quedaba con mi hija y ella se iba a trabajar. Ella actualmente tuvo un episodio demasiado fuerte porque estuvo internada en un psiquiátrico aproximadamente 10 días. Hasta el momento, eso ocurrió hace poco. A mi hijo H, cuando salí de Nicaragua, </w:t>
      </w:r>
      <w:r w:rsidR="00F6290A" w:rsidRPr="00975C02">
        <w:rPr>
          <w:rFonts w:cs="Calibri"/>
          <w:sz w:val="20"/>
          <w:lang w:val="es-ES"/>
        </w:rPr>
        <w:t xml:space="preserve">[…] </w:t>
      </w:r>
      <w:r w:rsidRPr="00975C02">
        <w:rPr>
          <w:rFonts w:cs="Calibri"/>
          <w:sz w:val="20"/>
          <w:lang w:val="es-ES"/>
        </w:rPr>
        <w:t>tenían que estarle haciendo controles constantes porque él fue operado de un cáncer en el cerebro y yo tenía que darle el seguimiento necesario a él porque todavía tiene una válvula en la cabeza y prácticamente quedó en abandono porque yo no he podido ayudarle a él en cuanto a la salud</w:t>
      </w:r>
      <w:r w:rsidR="00F6290A" w:rsidRPr="00975C02">
        <w:rPr>
          <w:rFonts w:cs="Calibri"/>
          <w:sz w:val="20"/>
          <w:lang w:val="es-ES"/>
        </w:rPr>
        <w:t>”</w:t>
      </w:r>
      <w:r w:rsidR="00F6290A" w:rsidRPr="00975C02">
        <w:rPr>
          <w:rFonts w:cs="Calibri"/>
          <w:sz w:val="20"/>
          <w:vertAlign w:val="superscript"/>
          <w:lang w:val="es-ES"/>
        </w:rPr>
        <w:footnoteReference w:id="413"/>
      </w:r>
      <w:r w:rsidR="00F6290A" w:rsidRPr="00975C02">
        <w:rPr>
          <w:rFonts w:cs="Calibri"/>
          <w:sz w:val="20"/>
          <w:lang w:val="es-ES"/>
        </w:rPr>
        <w:t>. Señaló, además, que H.J.R.P.</w:t>
      </w:r>
      <w:r w:rsidRPr="00975C02">
        <w:rPr>
          <w:rFonts w:cs="Calibri"/>
          <w:sz w:val="20"/>
          <w:lang w:val="es-ES"/>
        </w:rPr>
        <w:t xml:space="preserve"> fue despedido de su trabajo a raíz de la denuncia internacional del presente caso.</w:t>
      </w:r>
      <w:r w:rsidR="00F6290A" w:rsidRPr="00975C02">
        <w:rPr>
          <w:rFonts w:cs="Calibri"/>
          <w:sz w:val="20"/>
          <w:lang w:val="es-ES"/>
        </w:rPr>
        <w:t xml:space="preserve"> Respecto de V.A.R.P., sostuvo que no han podido sufragar las medicinas requeridas para sus problemas de salud</w:t>
      </w:r>
      <w:r w:rsidRPr="00975C02">
        <w:rPr>
          <w:rFonts w:cs="Calibri"/>
          <w:sz w:val="20"/>
          <w:vertAlign w:val="superscript"/>
          <w:lang w:val="es-ES"/>
        </w:rPr>
        <w:footnoteReference w:id="414"/>
      </w:r>
      <w:r w:rsidR="00F6290A" w:rsidRPr="00975C02">
        <w:rPr>
          <w:rFonts w:cs="Calibri"/>
          <w:sz w:val="20"/>
          <w:lang w:val="es-ES"/>
        </w:rPr>
        <w:t>.</w:t>
      </w:r>
    </w:p>
    <w:p w14:paraId="2CAA559D" w14:textId="77777777" w:rsidR="00B5625C" w:rsidRPr="00975C02" w:rsidRDefault="00B5625C" w:rsidP="00B5625C">
      <w:pPr>
        <w:tabs>
          <w:tab w:val="left" w:pos="567"/>
        </w:tabs>
        <w:spacing w:line="240" w:lineRule="auto"/>
        <w:rPr>
          <w:rFonts w:cs="Calibri"/>
          <w:sz w:val="20"/>
          <w:lang w:val="es-ES"/>
        </w:rPr>
      </w:pPr>
    </w:p>
    <w:p w14:paraId="1DA328ED" w14:textId="6B975863" w:rsidR="00B5625C" w:rsidRPr="00975C02" w:rsidRDefault="00B536DB" w:rsidP="009167FE">
      <w:pPr>
        <w:pStyle w:val="ListParagraph"/>
        <w:widowControl/>
        <w:numPr>
          <w:ilvl w:val="0"/>
          <w:numId w:val="2"/>
        </w:numPr>
        <w:adjustRightInd/>
        <w:spacing w:line="240" w:lineRule="auto"/>
        <w:ind w:left="0" w:firstLine="0"/>
        <w:textAlignment w:val="auto"/>
        <w:rPr>
          <w:rFonts w:cs="Calibri"/>
          <w:sz w:val="20"/>
          <w:lang w:val="es-ES"/>
        </w:rPr>
      </w:pPr>
      <w:r w:rsidRPr="00975C02">
        <w:rPr>
          <w:sz w:val="20"/>
          <w:szCs w:val="20"/>
          <w:lang w:val="es-ES"/>
        </w:rPr>
        <w:t>En el caso de H.J.R.P., de acuerdo con su declaración ante fedatario público, la salida de su madre y hermanas de Nicaragua “[destrozó su] vida”, ya que su madre era “[su] respaldo emocional, moral y económico” y, desde que ella salió de Nicaragua, no ha podido realizarse periódicamente la resonancia magnética por la válvula que tiene implantada en el cerebelo debido a una operación quirúrgica por un tumor cerebral. Por otra parte, manifestó que, con motivo de la petición de la señora V.P.C. ante la Comisión Interamericana, “la mayoría de los jueces y secretarios de los juzgados [crearon] un rechazo y temor [en su contra]. Ello “[lo] perjudicó profesionalmente ya que no [pudo] encontrar un trabajo estable”. Además</w:t>
      </w:r>
      <w:r w:rsidR="00E40CD7" w:rsidRPr="00975C02">
        <w:rPr>
          <w:sz w:val="20"/>
          <w:szCs w:val="20"/>
          <w:lang w:val="es-ES"/>
        </w:rPr>
        <w:t>,</w:t>
      </w:r>
      <w:r w:rsidRPr="00975C02">
        <w:rPr>
          <w:sz w:val="20"/>
          <w:szCs w:val="20"/>
          <w:lang w:val="es-ES"/>
        </w:rPr>
        <w:t xml:space="preserve"> sostuvo que “[t]odo esto ha venido repercutiendo en [su] vida diaria [afectando] aún más [su] débil salud con gastritis, migraña y episodios depresivos acrecentados por la situación económica”</w:t>
      </w:r>
      <w:r w:rsidRPr="00975C02">
        <w:rPr>
          <w:rStyle w:val="FootnoteReference"/>
          <w:sz w:val="20"/>
          <w:szCs w:val="20"/>
          <w:lang w:val="es-ES"/>
        </w:rPr>
        <w:footnoteReference w:id="415"/>
      </w:r>
      <w:r w:rsidRPr="00975C02">
        <w:rPr>
          <w:sz w:val="20"/>
          <w:szCs w:val="20"/>
          <w:lang w:val="es-ES"/>
        </w:rPr>
        <w:t>.</w:t>
      </w:r>
      <w:r w:rsidR="00B5625C" w:rsidRPr="00975C02">
        <w:rPr>
          <w:rFonts w:cs="Calibri"/>
          <w:sz w:val="20"/>
          <w:lang w:val="es-ES"/>
        </w:rPr>
        <w:t xml:space="preserve"> </w:t>
      </w:r>
      <w:r w:rsidR="00E40CD7" w:rsidRPr="00975C02">
        <w:rPr>
          <w:rFonts w:cs="Calibri"/>
          <w:sz w:val="20"/>
          <w:lang w:val="es-ES"/>
        </w:rPr>
        <w:t>Asimismo,</w:t>
      </w:r>
      <w:r w:rsidR="00B5625C" w:rsidRPr="00975C02">
        <w:rPr>
          <w:rFonts w:cs="Calibri"/>
          <w:sz w:val="20"/>
          <w:lang w:val="es-ES"/>
        </w:rPr>
        <w:t xml:space="preserve"> V.A.R.P.</w:t>
      </w:r>
      <w:r w:rsidR="00E40CD7" w:rsidRPr="00975C02">
        <w:rPr>
          <w:rFonts w:cs="Calibri"/>
          <w:sz w:val="20"/>
          <w:lang w:val="es-ES"/>
        </w:rPr>
        <w:t xml:space="preserve"> indicó</w:t>
      </w:r>
      <w:r w:rsidR="00B5625C" w:rsidRPr="00975C02">
        <w:rPr>
          <w:rFonts w:cs="Calibri"/>
          <w:sz w:val="20"/>
          <w:lang w:val="es-ES"/>
        </w:rPr>
        <w:t xml:space="preserve"> e</w:t>
      </w:r>
      <w:r w:rsidR="00E40CD7" w:rsidRPr="00975C02">
        <w:rPr>
          <w:rFonts w:cs="Calibri"/>
          <w:sz w:val="20"/>
          <w:lang w:val="es-ES"/>
        </w:rPr>
        <w:t>n</w:t>
      </w:r>
      <w:r w:rsidR="00B5625C" w:rsidRPr="00975C02">
        <w:rPr>
          <w:rFonts w:cs="Calibri"/>
          <w:sz w:val="20"/>
          <w:lang w:val="es-ES"/>
        </w:rPr>
        <w:t xml:space="preserve"> su declaración ante fedatario público que</w:t>
      </w:r>
      <w:r w:rsidR="00E40CD7" w:rsidRPr="00975C02">
        <w:rPr>
          <w:rFonts w:cs="Calibri"/>
          <w:sz w:val="20"/>
          <w:lang w:val="es-ES"/>
        </w:rPr>
        <w:t>,</w:t>
      </w:r>
      <w:r w:rsidR="00B5625C" w:rsidRPr="00975C02">
        <w:rPr>
          <w:rFonts w:cs="Calibri"/>
          <w:sz w:val="20"/>
          <w:lang w:val="es-ES"/>
        </w:rPr>
        <w:t xml:space="preserve"> aparte de las graves afectaciones emocionales producto de la estigmatización y revictimización vivida por el proceso a nivel interno y la separación de su familia, no pudo estudiar y sus sueños se vieron truncados al no poder culminar con su educación universitaria</w:t>
      </w:r>
      <w:r w:rsidR="00B5625C" w:rsidRPr="00975C02">
        <w:rPr>
          <w:rFonts w:cs="Calibri"/>
          <w:sz w:val="20"/>
          <w:vertAlign w:val="superscript"/>
          <w:lang w:val="es-ES"/>
        </w:rPr>
        <w:footnoteReference w:id="416"/>
      </w:r>
      <w:r w:rsidR="001B2DEA" w:rsidRPr="00975C02">
        <w:rPr>
          <w:rFonts w:cs="Calibri"/>
          <w:sz w:val="20"/>
          <w:lang w:val="es-ES"/>
        </w:rPr>
        <w:t>.</w:t>
      </w:r>
      <w:r w:rsidR="00B5625C" w:rsidRPr="00975C02">
        <w:rPr>
          <w:rFonts w:cs="Calibri"/>
          <w:sz w:val="20"/>
          <w:lang w:val="es-ES"/>
        </w:rPr>
        <w:t xml:space="preserve"> </w:t>
      </w:r>
      <w:r w:rsidR="001B2DEA" w:rsidRPr="00975C02">
        <w:rPr>
          <w:rFonts w:eastAsiaTheme="minorHAnsi" w:cstheme="minorBidi"/>
          <w:sz w:val="20"/>
          <w:szCs w:val="20"/>
          <w:lang w:val="es-ES" w:eastAsia="en-US"/>
        </w:rPr>
        <w:t xml:space="preserve">Por </w:t>
      </w:r>
      <w:r w:rsidR="00E40CD7" w:rsidRPr="00975C02">
        <w:rPr>
          <w:rFonts w:eastAsiaTheme="minorHAnsi" w:cstheme="minorBidi"/>
          <w:sz w:val="20"/>
          <w:szCs w:val="20"/>
          <w:lang w:val="es-ES" w:eastAsia="en-US"/>
        </w:rPr>
        <w:t>su parte</w:t>
      </w:r>
      <w:r w:rsidR="001B2DEA" w:rsidRPr="00975C02">
        <w:rPr>
          <w:rFonts w:eastAsiaTheme="minorHAnsi" w:cstheme="minorBidi"/>
          <w:sz w:val="20"/>
          <w:szCs w:val="20"/>
          <w:lang w:val="es-ES" w:eastAsia="en-US"/>
        </w:rPr>
        <w:t xml:space="preserve">, N.R.P. </w:t>
      </w:r>
      <w:r w:rsidR="003A7F24" w:rsidRPr="00975C02">
        <w:rPr>
          <w:rFonts w:eastAsiaTheme="minorHAnsi" w:cstheme="minorBidi"/>
          <w:sz w:val="20"/>
          <w:szCs w:val="20"/>
          <w:lang w:val="es-ES" w:eastAsia="en-US"/>
        </w:rPr>
        <w:t xml:space="preserve">relató que la situación que vivieron a raíz de </w:t>
      </w:r>
      <w:r w:rsidR="003A7F24" w:rsidRPr="00975C02">
        <w:rPr>
          <w:rFonts w:eastAsiaTheme="minorHAnsi" w:cstheme="minorBidi"/>
          <w:sz w:val="20"/>
          <w:szCs w:val="20"/>
          <w:lang w:val="es-ES" w:eastAsia="en-US"/>
        </w:rPr>
        <w:lastRenderedPageBreak/>
        <w:t>los procesos legales iniciados “fue desgastante, aterradora, y denigrante para los miembros de toda la familia”.</w:t>
      </w:r>
      <w:r w:rsidR="003169F0" w:rsidRPr="00975C02">
        <w:rPr>
          <w:rFonts w:eastAsiaTheme="minorHAnsi" w:cstheme="minorBidi"/>
          <w:sz w:val="20"/>
          <w:szCs w:val="20"/>
          <w:lang w:val="es-ES" w:eastAsia="en-US"/>
        </w:rPr>
        <w:t xml:space="preserve"> T</w:t>
      </w:r>
      <w:r w:rsidR="001B2DEA" w:rsidRPr="00975C02">
        <w:rPr>
          <w:rFonts w:eastAsiaTheme="minorHAnsi" w:cstheme="minorBidi"/>
          <w:sz w:val="20"/>
          <w:szCs w:val="20"/>
          <w:lang w:val="es-ES" w:eastAsia="en-US"/>
        </w:rPr>
        <w:t>ambién señaló que “el deterioro en su salud emocional, física y psicológica [producto de los hechos del presente caso] ha impedido que pueda desarrollar</w:t>
      </w:r>
      <w:r w:rsidRPr="00975C02">
        <w:rPr>
          <w:rFonts w:eastAsiaTheme="minorHAnsi" w:cstheme="minorBidi"/>
          <w:sz w:val="20"/>
          <w:szCs w:val="20"/>
          <w:lang w:val="es-ES" w:eastAsia="en-US"/>
        </w:rPr>
        <w:t>[se]</w:t>
      </w:r>
      <w:r w:rsidR="001B2DEA" w:rsidRPr="00975C02">
        <w:rPr>
          <w:rFonts w:eastAsiaTheme="minorHAnsi" w:cstheme="minorBidi"/>
          <w:sz w:val="20"/>
          <w:szCs w:val="20"/>
          <w:lang w:val="es-ES" w:eastAsia="en-US"/>
        </w:rPr>
        <w:t xml:space="preserve"> profesionalmente por el impacto que ha tenido en </w:t>
      </w:r>
      <w:r w:rsidRPr="00975C02">
        <w:rPr>
          <w:rFonts w:eastAsiaTheme="minorHAnsi" w:cstheme="minorBidi"/>
          <w:sz w:val="20"/>
          <w:szCs w:val="20"/>
          <w:lang w:val="es-ES" w:eastAsia="en-US"/>
        </w:rPr>
        <w:t>[su]</w:t>
      </w:r>
      <w:r w:rsidR="001B2DEA" w:rsidRPr="00975C02">
        <w:rPr>
          <w:rFonts w:eastAsiaTheme="minorHAnsi" w:cstheme="minorBidi"/>
          <w:sz w:val="20"/>
          <w:szCs w:val="20"/>
          <w:lang w:val="es-ES" w:eastAsia="en-US"/>
        </w:rPr>
        <w:t xml:space="preserve"> vida la desintegración familiar </w:t>
      </w:r>
      <w:r w:rsidRPr="00975C02">
        <w:rPr>
          <w:rFonts w:eastAsiaTheme="minorHAnsi" w:cstheme="minorBidi"/>
          <w:sz w:val="20"/>
          <w:szCs w:val="20"/>
          <w:lang w:val="es-ES" w:eastAsia="en-US"/>
        </w:rPr>
        <w:t>[…]</w:t>
      </w:r>
      <w:r w:rsidR="001B2DEA" w:rsidRPr="00975C02">
        <w:rPr>
          <w:rFonts w:eastAsiaTheme="minorHAnsi" w:cstheme="minorBidi"/>
          <w:sz w:val="20"/>
          <w:szCs w:val="20"/>
          <w:lang w:val="es-ES" w:eastAsia="en-US"/>
        </w:rPr>
        <w:t xml:space="preserve"> vivid</w:t>
      </w:r>
      <w:r w:rsidRPr="00975C02">
        <w:rPr>
          <w:rFonts w:eastAsiaTheme="minorHAnsi" w:cstheme="minorBidi"/>
          <w:sz w:val="20"/>
          <w:szCs w:val="20"/>
          <w:lang w:val="es-ES" w:eastAsia="en-US"/>
        </w:rPr>
        <w:t>[a]</w:t>
      </w:r>
      <w:r w:rsidR="001B2DEA" w:rsidRPr="00975C02">
        <w:rPr>
          <w:rFonts w:eastAsiaTheme="minorHAnsi" w:cstheme="minorBidi"/>
          <w:sz w:val="20"/>
          <w:szCs w:val="20"/>
          <w:lang w:val="es-ES" w:eastAsia="en-US"/>
        </w:rPr>
        <w:t>”</w:t>
      </w:r>
      <w:r w:rsidR="001B2DEA" w:rsidRPr="00975C02">
        <w:rPr>
          <w:rFonts w:eastAsiaTheme="minorHAnsi" w:cstheme="minorBidi"/>
          <w:sz w:val="20"/>
          <w:szCs w:val="20"/>
          <w:vertAlign w:val="superscript"/>
          <w:lang w:val="es-ES" w:eastAsia="en-US"/>
        </w:rPr>
        <w:footnoteReference w:id="417"/>
      </w:r>
      <w:r w:rsidR="001B2DEA" w:rsidRPr="00975C02">
        <w:rPr>
          <w:rFonts w:eastAsiaTheme="minorHAnsi" w:cstheme="minorBidi"/>
          <w:sz w:val="20"/>
          <w:szCs w:val="20"/>
          <w:lang w:val="es-ES" w:eastAsia="en-US"/>
        </w:rPr>
        <w:t>.</w:t>
      </w:r>
    </w:p>
    <w:p w14:paraId="1765CB1D" w14:textId="77777777" w:rsidR="00B5625C" w:rsidRPr="00975C02" w:rsidRDefault="00B5625C" w:rsidP="00B5625C">
      <w:pPr>
        <w:tabs>
          <w:tab w:val="left" w:pos="567"/>
        </w:tabs>
        <w:spacing w:line="240" w:lineRule="auto"/>
        <w:rPr>
          <w:rFonts w:cs="Calibri"/>
          <w:sz w:val="20"/>
          <w:lang w:val="es-ES"/>
        </w:rPr>
      </w:pPr>
    </w:p>
    <w:p w14:paraId="372DE829" w14:textId="78E33930" w:rsidR="00B5625C" w:rsidRPr="00975C02" w:rsidRDefault="00B5625C" w:rsidP="009167FE">
      <w:pPr>
        <w:pStyle w:val="ListParagraph"/>
        <w:widowControl/>
        <w:numPr>
          <w:ilvl w:val="0"/>
          <w:numId w:val="2"/>
        </w:numPr>
        <w:adjustRightInd/>
        <w:spacing w:line="240" w:lineRule="auto"/>
        <w:ind w:left="0" w:firstLine="0"/>
        <w:textAlignment w:val="auto"/>
        <w:rPr>
          <w:rFonts w:eastAsiaTheme="minorHAnsi" w:cstheme="minorBidi"/>
          <w:sz w:val="20"/>
          <w:szCs w:val="20"/>
          <w:lang w:val="es-ES" w:eastAsia="en-US"/>
        </w:rPr>
      </w:pPr>
      <w:r w:rsidRPr="00975C02">
        <w:rPr>
          <w:rFonts w:eastAsiaTheme="minorHAnsi" w:cstheme="minorBidi"/>
          <w:sz w:val="20"/>
          <w:szCs w:val="20"/>
          <w:lang w:val="es-ES" w:eastAsia="en-US"/>
        </w:rPr>
        <w:t>La Corte ad</w:t>
      </w:r>
      <w:r w:rsidRPr="003F706B">
        <w:rPr>
          <w:rFonts w:eastAsiaTheme="minorHAnsi" w:cstheme="minorBidi"/>
          <w:sz w:val="20"/>
          <w:szCs w:val="20"/>
          <w:lang w:val="es-ES" w:eastAsia="en-US"/>
        </w:rPr>
        <w:t>vierte que</w:t>
      </w:r>
      <w:r w:rsidR="00C361F3" w:rsidRPr="003F706B">
        <w:rPr>
          <w:rFonts w:eastAsiaTheme="minorHAnsi" w:cstheme="minorBidi"/>
          <w:sz w:val="20"/>
          <w:szCs w:val="20"/>
          <w:lang w:val="es-ES" w:eastAsia="en-US"/>
        </w:rPr>
        <w:t>,</w:t>
      </w:r>
      <w:r w:rsidRPr="003F706B">
        <w:rPr>
          <w:rFonts w:eastAsiaTheme="minorHAnsi" w:cstheme="minorBidi"/>
          <w:sz w:val="20"/>
          <w:szCs w:val="20"/>
          <w:lang w:val="es-ES" w:eastAsia="en-US"/>
        </w:rPr>
        <w:t xml:space="preserve"> en el presente caso</w:t>
      </w:r>
      <w:r w:rsidR="00C361F3" w:rsidRPr="003F706B">
        <w:rPr>
          <w:rFonts w:eastAsiaTheme="minorHAnsi" w:cstheme="minorBidi"/>
          <w:sz w:val="20"/>
          <w:szCs w:val="20"/>
          <w:lang w:val="es-ES" w:eastAsia="en-US"/>
        </w:rPr>
        <w:t>,</w:t>
      </w:r>
      <w:r w:rsidRPr="003F706B">
        <w:rPr>
          <w:rFonts w:eastAsiaTheme="minorHAnsi" w:cstheme="minorBidi"/>
          <w:sz w:val="20"/>
          <w:szCs w:val="20"/>
          <w:lang w:val="es-ES" w:eastAsia="en-US"/>
        </w:rPr>
        <w:t xml:space="preserve"> </w:t>
      </w:r>
      <w:r w:rsidR="001B2DEA" w:rsidRPr="003F706B">
        <w:rPr>
          <w:rFonts w:eastAsiaTheme="minorHAnsi" w:cstheme="minorBidi"/>
          <w:sz w:val="20"/>
          <w:szCs w:val="20"/>
          <w:lang w:val="es-ES" w:eastAsia="en-US"/>
        </w:rPr>
        <w:t>la</w:t>
      </w:r>
      <w:r w:rsidR="004F23E7" w:rsidRPr="003F706B">
        <w:rPr>
          <w:rFonts w:eastAsiaTheme="minorHAnsi" w:cstheme="minorBidi"/>
          <w:sz w:val="20"/>
          <w:szCs w:val="20"/>
          <w:lang w:val="es-ES" w:eastAsia="en-US"/>
        </w:rPr>
        <w:t xml:space="preserve"> conducta estatal a raíz</w:t>
      </w:r>
      <w:r w:rsidR="001B2DEA" w:rsidRPr="003F706B">
        <w:rPr>
          <w:rFonts w:eastAsiaTheme="minorHAnsi" w:cstheme="minorBidi"/>
          <w:sz w:val="20"/>
          <w:szCs w:val="20"/>
          <w:lang w:val="es-ES" w:eastAsia="en-US"/>
        </w:rPr>
        <w:t xml:space="preserve"> de </w:t>
      </w:r>
      <w:r w:rsidRPr="003F706B">
        <w:rPr>
          <w:rFonts w:eastAsiaTheme="minorHAnsi" w:cstheme="minorBidi"/>
          <w:sz w:val="20"/>
          <w:szCs w:val="20"/>
          <w:lang w:val="es-ES" w:eastAsia="en-US"/>
        </w:rPr>
        <w:t>la violación sexual sufrida por la niña V.R.P.</w:t>
      </w:r>
      <w:r w:rsidR="00BE6128" w:rsidRPr="003F706B">
        <w:rPr>
          <w:rFonts w:eastAsiaTheme="minorHAnsi" w:cstheme="minorBidi"/>
          <w:sz w:val="20"/>
          <w:szCs w:val="20"/>
          <w:lang w:val="es-ES" w:eastAsia="en-US"/>
        </w:rPr>
        <w:t>,</w:t>
      </w:r>
      <w:r w:rsidR="00BE6128" w:rsidRPr="003F706B">
        <w:rPr>
          <w:sz w:val="20"/>
          <w:szCs w:val="20"/>
          <w:lang w:val="es-ES"/>
        </w:rPr>
        <w:t xml:space="preserve"> la revictimización, la violencia institucional provocada por las autoridades intervinientes, las denuncias interpuestas por funcionarios y servidores públicos, según se determinó en la presente Sentencia,</w:t>
      </w:r>
      <w:r w:rsidRPr="003F706B">
        <w:rPr>
          <w:rFonts w:eastAsiaTheme="minorHAnsi" w:cstheme="minorBidi"/>
          <w:sz w:val="20"/>
          <w:szCs w:val="20"/>
          <w:lang w:val="es-ES" w:eastAsia="en-US"/>
        </w:rPr>
        <w:t xml:space="preserve"> provocaron una afectación </w:t>
      </w:r>
      <w:r w:rsidR="00BE6128" w:rsidRPr="003F706B">
        <w:rPr>
          <w:rFonts w:eastAsiaTheme="minorHAnsi" w:cstheme="minorBidi"/>
          <w:sz w:val="20"/>
          <w:szCs w:val="20"/>
          <w:lang w:val="es-ES" w:eastAsia="en-US"/>
        </w:rPr>
        <w:t xml:space="preserve">psíquica y </w:t>
      </w:r>
      <w:r w:rsidRPr="003F706B">
        <w:rPr>
          <w:rFonts w:eastAsiaTheme="minorHAnsi" w:cstheme="minorBidi"/>
          <w:sz w:val="20"/>
          <w:szCs w:val="20"/>
          <w:lang w:val="es-ES" w:eastAsia="en-US"/>
        </w:rPr>
        <w:t xml:space="preserve">emocional </w:t>
      </w:r>
      <w:r w:rsidR="007F35DB" w:rsidRPr="003F706B">
        <w:rPr>
          <w:rFonts w:eastAsiaTheme="minorHAnsi" w:cstheme="minorBidi"/>
          <w:sz w:val="20"/>
          <w:szCs w:val="20"/>
          <w:lang w:val="es-ES" w:eastAsia="en-US"/>
        </w:rPr>
        <w:t xml:space="preserve">de envergadura </w:t>
      </w:r>
      <w:r w:rsidR="001F595B" w:rsidRPr="003F706B">
        <w:rPr>
          <w:rFonts w:eastAsiaTheme="minorHAnsi" w:cstheme="minorBidi"/>
          <w:sz w:val="20"/>
          <w:szCs w:val="20"/>
          <w:lang w:val="es-ES" w:eastAsia="en-US"/>
        </w:rPr>
        <w:t>en</w:t>
      </w:r>
      <w:r w:rsidRPr="003F706B">
        <w:rPr>
          <w:rFonts w:eastAsiaTheme="minorHAnsi" w:cstheme="minorBidi"/>
          <w:sz w:val="20"/>
          <w:szCs w:val="20"/>
          <w:lang w:val="es-ES" w:eastAsia="en-US"/>
        </w:rPr>
        <w:t xml:space="preserve"> </w:t>
      </w:r>
      <w:r w:rsidR="001B2DEA" w:rsidRPr="003F706B">
        <w:rPr>
          <w:rFonts w:eastAsiaTheme="minorHAnsi" w:cstheme="minorBidi"/>
          <w:sz w:val="20"/>
          <w:szCs w:val="20"/>
          <w:lang w:val="es-ES" w:eastAsia="en-US"/>
        </w:rPr>
        <w:t>la señora</w:t>
      </w:r>
      <w:r w:rsidRPr="003F706B">
        <w:rPr>
          <w:rFonts w:eastAsiaTheme="minorHAnsi" w:cstheme="minorBidi"/>
          <w:sz w:val="20"/>
          <w:szCs w:val="20"/>
          <w:lang w:val="es-ES" w:eastAsia="en-US"/>
        </w:rPr>
        <w:t xml:space="preserve"> V.P.C. y</w:t>
      </w:r>
      <w:r w:rsidR="001B2DEA" w:rsidRPr="003F706B">
        <w:rPr>
          <w:rFonts w:eastAsiaTheme="minorHAnsi" w:cstheme="minorBidi"/>
          <w:sz w:val="20"/>
          <w:szCs w:val="20"/>
          <w:lang w:val="es-ES" w:eastAsia="en-US"/>
        </w:rPr>
        <w:t xml:space="preserve"> </w:t>
      </w:r>
      <w:r w:rsidRPr="003F706B">
        <w:rPr>
          <w:rFonts w:eastAsiaTheme="minorHAnsi" w:cstheme="minorBidi"/>
          <w:sz w:val="20"/>
          <w:szCs w:val="20"/>
          <w:lang w:val="es-ES" w:eastAsia="en-US"/>
        </w:rPr>
        <w:t xml:space="preserve">sus hijos </w:t>
      </w:r>
      <w:r w:rsidR="00AD49AB" w:rsidRPr="003F706B">
        <w:rPr>
          <w:rFonts w:eastAsiaTheme="minorHAnsi" w:cstheme="minorBidi"/>
          <w:sz w:val="20"/>
          <w:szCs w:val="20"/>
          <w:lang w:val="es-ES" w:eastAsia="en-US"/>
        </w:rPr>
        <w:t xml:space="preserve">N.R.P., </w:t>
      </w:r>
      <w:r w:rsidRPr="003F706B">
        <w:rPr>
          <w:rFonts w:eastAsiaTheme="minorHAnsi" w:cstheme="minorBidi"/>
          <w:sz w:val="20"/>
          <w:szCs w:val="20"/>
          <w:lang w:val="es-ES" w:eastAsia="en-US"/>
        </w:rPr>
        <w:t>H.J.R.P.</w:t>
      </w:r>
      <w:r w:rsidR="00AD49AB" w:rsidRPr="003F706B">
        <w:rPr>
          <w:rFonts w:eastAsiaTheme="minorHAnsi" w:cstheme="minorBidi"/>
          <w:sz w:val="20"/>
          <w:szCs w:val="20"/>
          <w:lang w:val="es-ES" w:eastAsia="en-US"/>
        </w:rPr>
        <w:t xml:space="preserve"> y</w:t>
      </w:r>
      <w:r w:rsidRPr="003F706B">
        <w:rPr>
          <w:rFonts w:eastAsiaTheme="minorHAnsi" w:cstheme="minorBidi"/>
          <w:sz w:val="20"/>
          <w:szCs w:val="20"/>
          <w:lang w:val="es-ES" w:eastAsia="en-US"/>
        </w:rPr>
        <w:t xml:space="preserve"> V.A.R.P. Además, la Corte considera que</w:t>
      </w:r>
      <w:r w:rsidR="001B2DEA" w:rsidRPr="003F706B">
        <w:rPr>
          <w:rFonts w:eastAsiaTheme="minorHAnsi" w:cstheme="minorBidi"/>
          <w:sz w:val="20"/>
          <w:szCs w:val="20"/>
          <w:lang w:val="es-ES" w:eastAsia="en-US"/>
        </w:rPr>
        <w:t>, según quedó establecido (</w:t>
      </w:r>
      <w:r w:rsidR="001B2DEA" w:rsidRPr="003F706B">
        <w:rPr>
          <w:rFonts w:eastAsiaTheme="minorHAnsi" w:cstheme="minorBidi"/>
          <w:i/>
          <w:sz w:val="20"/>
          <w:szCs w:val="20"/>
          <w:lang w:val="es-ES" w:eastAsia="en-US"/>
        </w:rPr>
        <w:t xml:space="preserve">supra </w:t>
      </w:r>
      <w:r w:rsidR="001B2DEA" w:rsidRPr="003F706B">
        <w:rPr>
          <w:rFonts w:eastAsiaTheme="minorHAnsi" w:cstheme="minorBidi"/>
          <w:sz w:val="20"/>
          <w:szCs w:val="20"/>
          <w:lang w:val="es-ES" w:eastAsia="en-US"/>
        </w:rPr>
        <w:t>Capítulo VIII-2),</w:t>
      </w:r>
      <w:r w:rsidRPr="003F706B">
        <w:rPr>
          <w:rFonts w:eastAsiaTheme="minorHAnsi" w:cstheme="minorBidi"/>
          <w:sz w:val="20"/>
          <w:szCs w:val="20"/>
          <w:lang w:val="es-ES" w:eastAsia="en-US"/>
        </w:rPr>
        <w:t xml:space="preserve"> la señora V.P.C. y sus </w:t>
      </w:r>
      <w:r w:rsidR="001B2DEA" w:rsidRPr="003F706B">
        <w:rPr>
          <w:rFonts w:eastAsiaTheme="minorHAnsi" w:cstheme="minorBidi"/>
          <w:sz w:val="20"/>
          <w:szCs w:val="20"/>
          <w:lang w:val="es-ES" w:eastAsia="en-US"/>
        </w:rPr>
        <w:t xml:space="preserve">dos </w:t>
      </w:r>
      <w:r w:rsidRPr="003F706B">
        <w:rPr>
          <w:rFonts w:eastAsiaTheme="minorHAnsi" w:cstheme="minorBidi"/>
          <w:sz w:val="20"/>
          <w:szCs w:val="20"/>
          <w:lang w:val="es-ES" w:eastAsia="en-US"/>
        </w:rPr>
        <w:t>hijas V.R.P.</w:t>
      </w:r>
      <w:r w:rsidR="001B2DEA" w:rsidRPr="003F706B">
        <w:rPr>
          <w:rFonts w:eastAsiaTheme="minorHAnsi" w:cstheme="minorBidi"/>
          <w:sz w:val="20"/>
          <w:szCs w:val="20"/>
          <w:lang w:val="es-ES" w:eastAsia="en-US"/>
        </w:rPr>
        <w:t xml:space="preserve"> y N.R.P.</w:t>
      </w:r>
      <w:r w:rsidRPr="003F706B">
        <w:rPr>
          <w:rFonts w:eastAsiaTheme="minorHAnsi" w:cstheme="minorBidi"/>
          <w:sz w:val="20"/>
          <w:szCs w:val="20"/>
          <w:lang w:val="es-ES" w:eastAsia="en-US"/>
        </w:rPr>
        <w:t xml:space="preserve">, </w:t>
      </w:r>
      <w:r w:rsidR="00FC3BF6" w:rsidRPr="003F706B">
        <w:rPr>
          <w:rFonts w:eastAsiaTheme="minorHAnsi" w:cstheme="minorBidi"/>
          <w:sz w:val="20"/>
          <w:szCs w:val="20"/>
          <w:lang w:val="es-ES" w:eastAsia="en-US"/>
        </w:rPr>
        <w:t>se vieron for</w:t>
      </w:r>
      <w:r w:rsidR="00FC3BF6" w:rsidRPr="00975C02">
        <w:rPr>
          <w:rFonts w:eastAsiaTheme="minorHAnsi" w:cstheme="minorBidi"/>
          <w:sz w:val="20"/>
          <w:szCs w:val="20"/>
          <w:lang w:val="es-ES" w:eastAsia="en-US"/>
        </w:rPr>
        <w:t xml:space="preserve">zadas a </w:t>
      </w:r>
      <w:r w:rsidR="00515318" w:rsidRPr="00975C02">
        <w:rPr>
          <w:rFonts w:eastAsiaTheme="minorHAnsi" w:cstheme="minorBidi"/>
          <w:sz w:val="20"/>
          <w:szCs w:val="20"/>
          <w:lang w:val="es-ES" w:eastAsia="en-US"/>
        </w:rPr>
        <w:t xml:space="preserve">salir de </w:t>
      </w:r>
      <w:r w:rsidRPr="00975C02">
        <w:rPr>
          <w:rFonts w:eastAsiaTheme="minorHAnsi" w:cstheme="minorBidi"/>
          <w:sz w:val="20"/>
          <w:szCs w:val="20"/>
          <w:lang w:val="es-ES" w:eastAsia="en-US"/>
        </w:rPr>
        <w:t>Nicaragua y solicitaron asilo en otro país. Esta situación provocó dificultades socio</w:t>
      </w:r>
      <w:r w:rsidR="001B2DEA" w:rsidRPr="00975C02">
        <w:rPr>
          <w:rFonts w:eastAsiaTheme="minorHAnsi" w:cstheme="minorBidi"/>
          <w:sz w:val="20"/>
          <w:szCs w:val="20"/>
          <w:lang w:val="es-ES" w:eastAsia="en-US"/>
        </w:rPr>
        <w:t>-</w:t>
      </w:r>
      <w:r w:rsidRPr="00975C02">
        <w:rPr>
          <w:rFonts w:eastAsiaTheme="minorHAnsi" w:cstheme="minorBidi"/>
          <w:sz w:val="20"/>
          <w:szCs w:val="20"/>
          <w:lang w:val="es-ES" w:eastAsia="en-US"/>
        </w:rPr>
        <w:t>económicas en la familia</w:t>
      </w:r>
      <w:r w:rsidR="001B2DEA" w:rsidRPr="00975C02">
        <w:rPr>
          <w:rFonts w:eastAsiaTheme="minorHAnsi" w:cstheme="minorBidi"/>
          <w:sz w:val="20"/>
          <w:szCs w:val="20"/>
          <w:lang w:val="es-ES" w:eastAsia="en-US"/>
        </w:rPr>
        <w:t xml:space="preserve"> así como la pérdida</w:t>
      </w:r>
      <w:r w:rsidRPr="00975C02">
        <w:rPr>
          <w:rFonts w:eastAsiaTheme="minorHAnsi" w:cstheme="minorBidi"/>
          <w:sz w:val="20"/>
          <w:szCs w:val="20"/>
          <w:lang w:val="es-ES" w:eastAsia="en-US"/>
        </w:rPr>
        <w:t xml:space="preserve"> </w:t>
      </w:r>
      <w:r w:rsidR="001B2DEA" w:rsidRPr="00975C02">
        <w:rPr>
          <w:rFonts w:eastAsiaTheme="minorHAnsi" w:cstheme="minorBidi"/>
          <w:sz w:val="20"/>
          <w:szCs w:val="20"/>
          <w:lang w:val="es-ES" w:eastAsia="en-US"/>
        </w:rPr>
        <w:t>de</w:t>
      </w:r>
      <w:r w:rsidRPr="00975C02">
        <w:rPr>
          <w:rFonts w:eastAsiaTheme="minorHAnsi" w:cstheme="minorBidi"/>
          <w:sz w:val="20"/>
          <w:szCs w:val="20"/>
          <w:lang w:val="es-ES" w:eastAsia="en-US"/>
        </w:rPr>
        <w:t xml:space="preserve"> sus empleo</w:t>
      </w:r>
      <w:r w:rsidR="001B2DEA" w:rsidRPr="00975C02">
        <w:rPr>
          <w:rFonts w:eastAsiaTheme="minorHAnsi" w:cstheme="minorBidi"/>
          <w:sz w:val="20"/>
          <w:szCs w:val="20"/>
          <w:lang w:val="es-ES" w:eastAsia="en-US"/>
        </w:rPr>
        <w:t>s en el caso de V.P.C. y H.J.R.P.</w:t>
      </w:r>
      <w:r w:rsidRPr="00975C02">
        <w:rPr>
          <w:rFonts w:eastAsiaTheme="minorHAnsi" w:cstheme="minorBidi"/>
          <w:sz w:val="20"/>
          <w:szCs w:val="20"/>
          <w:lang w:val="es-ES" w:eastAsia="en-US"/>
        </w:rPr>
        <w:t xml:space="preserve"> y</w:t>
      </w:r>
      <w:r w:rsidR="001B2DEA" w:rsidRPr="00975C02">
        <w:rPr>
          <w:rFonts w:eastAsiaTheme="minorHAnsi" w:cstheme="minorBidi"/>
          <w:sz w:val="20"/>
          <w:szCs w:val="20"/>
          <w:lang w:val="es-ES" w:eastAsia="en-US"/>
        </w:rPr>
        <w:t>,</w:t>
      </w:r>
      <w:r w:rsidRPr="00975C02">
        <w:rPr>
          <w:rFonts w:eastAsiaTheme="minorHAnsi" w:cstheme="minorBidi"/>
          <w:sz w:val="20"/>
          <w:szCs w:val="20"/>
          <w:lang w:val="es-ES" w:eastAsia="en-US"/>
        </w:rPr>
        <w:t xml:space="preserve"> en el caso de V.A.R.P.</w:t>
      </w:r>
      <w:r w:rsidR="001B2DEA" w:rsidRPr="00975C02">
        <w:rPr>
          <w:rFonts w:eastAsiaTheme="minorHAnsi" w:cstheme="minorBidi"/>
          <w:sz w:val="20"/>
          <w:szCs w:val="20"/>
          <w:lang w:val="es-ES" w:eastAsia="en-US"/>
        </w:rPr>
        <w:t>, la pérdida de</w:t>
      </w:r>
      <w:r w:rsidRPr="00975C02">
        <w:rPr>
          <w:rFonts w:eastAsiaTheme="minorHAnsi" w:cstheme="minorBidi"/>
          <w:sz w:val="20"/>
          <w:szCs w:val="20"/>
          <w:lang w:val="es-ES" w:eastAsia="en-US"/>
        </w:rPr>
        <w:t xml:space="preserve"> la posibilidad de culminar sus estudios universitarios.</w:t>
      </w:r>
    </w:p>
    <w:p w14:paraId="77303173" w14:textId="77777777" w:rsidR="00B5625C" w:rsidRPr="00975C02" w:rsidRDefault="00B5625C" w:rsidP="00B5625C">
      <w:pPr>
        <w:tabs>
          <w:tab w:val="left" w:pos="567"/>
        </w:tabs>
        <w:spacing w:line="240" w:lineRule="auto"/>
        <w:rPr>
          <w:rFonts w:cs="Calibri"/>
          <w:sz w:val="20"/>
          <w:lang w:val="es-ES"/>
        </w:rPr>
      </w:pPr>
    </w:p>
    <w:p w14:paraId="0EE610B3" w14:textId="76E67180" w:rsidR="00B5625C" w:rsidRPr="00975C02" w:rsidRDefault="00B5625C" w:rsidP="009167FE">
      <w:pPr>
        <w:pStyle w:val="ListParagraph"/>
        <w:widowControl/>
        <w:numPr>
          <w:ilvl w:val="0"/>
          <w:numId w:val="2"/>
        </w:numPr>
        <w:adjustRightInd/>
        <w:spacing w:line="240" w:lineRule="auto"/>
        <w:ind w:left="0" w:firstLine="0"/>
        <w:textAlignment w:val="auto"/>
        <w:rPr>
          <w:rFonts w:cs="Calibri"/>
          <w:sz w:val="20"/>
          <w:lang w:val="es-ES"/>
        </w:rPr>
      </w:pPr>
      <w:r w:rsidRPr="00975C02">
        <w:rPr>
          <w:rFonts w:cs="Calibri"/>
          <w:sz w:val="20"/>
          <w:lang w:val="es-ES"/>
        </w:rPr>
        <w:t xml:space="preserve">En consecuencia, este Tribunal considera que el Estado es responsable por la violación </w:t>
      </w:r>
      <w:r w:rsidR="005A2976">
        <w:rPr>
          <w:rFonts w:cs="Calibri"/>
          <w:sz w:val="20"/>
          <w:lang w:val="es-ES"/>
        </w:rPr>
        <w:t>de</w:t>
      </w:r>
      <w:r w:rsidRPr="00975C02">
        <w:rPr>
          <w:rFonts w:cs="Calibri"/>
          <w:sz w:val="20"/>
          <w:lang w:val="es-ES"/>
        </w:rPr>
        <w:t xml:space="preserve">l derecho a la integridad personal, </w:t>
      </w:r>
      <w:r w:rsidR="00B836E9" w:rsidRPr="00975C02">
        <w:rPr>
          <w:rFonts w:cs="Calibri"/>
          <w:sz w:val="20"/>
          <w:lang w:val="es-ES"/>
        </w:rPr>
        <w:t>reconocido</w:t>
      </w:r>
      <w:r w:rsidRPr="00975C02">
        <w:rPr>
          <w:rFonts w:cs="Calibri"/>
          <w:sz w:val="20"/>
          <w:lang w:val="es-ES"/>
        </w:rPr>
        <w:t xml:space="preserve"> en el artículo 5.1 de la Convención, en relación con el artículo 1.1 de la misma, en perjuicio de los familiares de V.R.P., identificados como V.P.C., </w:t>
      </w:r>
      <w:r w:rsidR="00AD49AB" w:rsidRPr="00975C02">
        <w:rPr>
          <w:rFonts w:eastAsiaTheme="minorHAnsi" w:cstheme="minorBidi"/>
          <w:sz w:val="20"/>
          <w:szCs w:val="20"/>
          <w:lang w:val="es-ES" w:eastAsia="en-US"/>
        </w:rPr>
        <w:t xml:space="preserve">N.R.P., </w:t>
      </w:r>
      <w:r w:rsidRPr="00975C02">
        <w:rPr>
          <w:rFonts w:eastAsiaTheme="minorHAnsi" w:cstheme="minorBidi"/>
          <w:sz w:val="20"/>
          <w:szCs w:val="20"/>
          <w:lang w:val="es-ES" w:eastAsia="en-US"/>
        </w:rPr>
        <w:t>H.J.R.P.</w:t>
      </w:r>
      <w:r w:rsidR="00AD49AB" w:rsidRPr="00975C02">
        <w:rPr>
          <w:rFonts w:eastAsiaTheme="minorHAnsi" w:cstheme="minorBidi"/>
          <w:sz w:val="20"/>
          <w:szCs w:val="20"/>
          <w:lang w:val="es-ES" w:eastAsia="en-US"/>
        </w:rPr>
        <w:t xml:space="preserve"> y</w:t>
      </w:r>
      <w:r w:rsidRPr="00975C02">
        <w:rPr>
          <w:rFonts w:eastAsiaTheme="minorHAnsi" w:cstheme="minorBidi"/>
          <w:sz w:val="20"/>
          <w:szCs w:val="20"/>
          <w:lang w:val="es-ES" w:eastAsia="en-US"/>
        </w:rPr>
        <w:t xml:space="preserve"> V.A.R.P.</w:t>
      </w:r>
    </w:p>
    <w:p w14:paraId="2B1B69B0" w14:textId="77777777" w:rsidR="00B5625C" w:rsidRPr="00975C02" w:rsidRDefault="00B5625C" w:rsidP="00B5625C">
      <w:pPr>
        <w:tabs>
          <w:tab w:val="left" w:pos="720"/>
          <w:tab w:val="num" w:pos="5057"/>
        </w:tabs>
        <w:autoSpaceDE w:val="0"/>
        <w:autoSpaceDN w:val="0"/>
        <w:spacing w:line="240" w:lineRule="auto"/>
        <w:ind w:right="157"/>
        <w:rPr>
          <w:rFonts w:eastAsia="MS Mincho"/>
          <w:spacing w:val="-2"/>
          <w:sz w:val="20"/>
          <w:szCs w:val="20"/>
          <w:lang w:val="es-ES"/>
        </w:rPr>
      </w:pPr>
    </w:p>
    <w:p w14:paraId="55B2436D" w14:textId="77777777" w:rsidR="009D661E" w:rsidRPr="00975C02" w:rsidRDefault="009D661E" w:rsidP="009D661E">
      <w:pPr>
        <w:keepNext/>
        <w:keepLines/>
        <w:tabs>
          <w:tab w:val="left" w:pos="851"/>
        </w:tabs>
        <w:spacing w:line="240" w:lineRule="auto"/>
        <w:jc w:val="center"/>
        <w:outlineLvl w:val="0"/>
        <w:rPr>
          <w:rFonts w:cs="Verdana"/>
          <w:b/>
          <w:bCs/>
          <w:caps/>
          <w:snapToGrid w:val="0"/>
          <w:sz w:val="20"/>
          <w:szCs w:val="20"/>
          <w:lang w:val="es-ES"/>
        </w:rPr>
      </w:pPr>
      <w:bookmarkStart w:id="162" w:name="_Toc495658693"/>
      <w:bookmarkStart w:id="163" w:name="_Toc459158147"/>
      <w:bookmarkStart w:id="164" w:name="_Toc449460763"/>
      <w:bookmarkStart w:id="165" w:name="_Toc375517149"/>
      <w:bookmarkStart w:id="166" w:name="_Toc514172661"/>
      <w:r w:rsidRPr="00975C02">
        <w:rPr>
          <w:rFonts w:cs="Verdana"/>
          <w:b/>
          <w:bCs/>
          <w:caps/>
          <w:snapToGrid w:val="0"/>
          <w:sz w:val="20"/>
          <w:szCs w:val="20"/>
          <w:lang w:val="es-ES"/>
        </w:rPr>
        <w:t>IX</w:t>
      </w:r>
      <w:r w:rsidRPr="00975C02">
        <w:rPr>
          <w:rFonts w:cs="Verdana"/>
          <w:b/>
          <w:bCs/>
          <w:caps/>
          <w:snapToGrid w:val="0"/>
          <w:sz w:val="20"/>
          <w:szCs w:val="20"/>
          <w:lang w:val="es-ES"/>
        </w:rPr>
        <w:br/>
        <w:t>REPARACIONES</w:t>
      </w:r>
      <w:r w:rsidRPr="00975C02">
        <w:rPr>
          <w:rFonts w:cs="Verdana"/>
          <w:b/>
          <w:bCs/>
          <w:caps/>
          <w:snapToGrid w:val="0"/>
          <w:sz w:val="20"/>
          <w:szCs w:val="20"/>
          <w:lang w:val="es-ES"/>
        </w:rPr>
        <w:br/>
        <w:t>(</w:t>
      </w:r>
      <w:r w:rsidRPr="00975C02">
        <w:rPr>
          <w:rFonts w:cs="Verdana"/>
          <w:b/>
          <w:bCs/>
          <w:snapToGrid w:val="0"/>
          <w:sz w:val="20"/>
          <w:szCs w:val="20"/>
          <w:lang w:val="es-ES"/>
        </w:rPr>
        <w:t>Aplicación del artículo 63.1 de la Convención Americana</w:t>
      </w:r>
      <w:r w:rsidRPr="00975C02">
        <w:rPr>
          <w:rFonts w:cs="Verdana"/>
          <w:b/>
          <w:bCs/>
          <w:caps/>
          <w:snapToGrid w:val="0"/>
          <w:sz w:val="20"/>
          <w:szCs w:val="20"/>
          <w:lang w:val="es-ES"/>
        </w:rPr>
        <w:t>)</w:t>
      </w:r>
      <w:bookmarkEnd w:id="162"/>
      <w:bookmarkEnd w:id="163"/>
      <w:bookmarkEnd w:id="164"/>
      <w:bookmarkEnd w:id="165"/>
      <w:bookmarkEnd w:id="166"/>
    </w:p>
    <w:p w14:paraId="32D1992B" w14:textId="77777777" w:rsidR="009D661E" w:rsidRPr="00975C02" w:rsidRDefault="009D661E" w:rsidP="009D661E">
      <w:pPr>
        <w:tabs>
          <w:tab w:val="left" w:pos="720"/>
          <w:tab w:val="num" w:pos="1427"/>
        </w:tabs>
        <w:spacing w:line="240" w:lineRule="auto"/>
        <w:ind w:right="-90"/>
        <w:rPr>
          <w:rFonts w:cs="Verdana"/>
          <w:sz w:val="20"/>
          <w:szCs w:val="20"/>
          <w:lang w:val="es-ES"/>
        </w:rPr>
      </w:pPr>
    </w:p>
    <w:p w14:paraId="2DEDE808" w14:textId="77777777" w:rsidR="009D661E" w:rsidRPr="00975C02" w:rsidRDefault="009D661E" w:rsidP="009D661E">
      <w:pPr>
        <w:numPr>
          <w:ilvl w:val="0"/>
          <w:numId w:val="2"/>
        </w:numPr>
        <w:tabs>
          <w:tab w:val="left" w:pos="567"/>
          <w:tab w:val="num" w:pos="5057"/>
        </w:tabs>
        <w:spacing w:line="240" w:lineRule="auto"/>
        <w:ind w:left="0" w:firstLine="0"/>
        <w:textAlignment w:val="auto"/>
        <w:rPr>
          <w:sz w:val="20"/>
          <w:szCs w:val="20"/>
          <w:lang w:val="es-ES" w:bidi="en-US"/>
        </w:rPr>
      </w:pPr>
      <w:r w:rsidRPr="00975C02">
        <w:rPr>
          <w:sz w:val="20"/>
          <w:szCs w:val="20"/>
          <w:lang w:val="es-ES" w:eastAsia="es-ES" w:bidi="en-US"/>
        </w:rPr>
        <w:t>Sobre</w:t>
      </w:r>
      <w:r w:rsidRPr="00975C02">
        <w:rPr>
          <w:sz w:val="20"/>
          <w:szCs w:val="20"/>
          <w:lang w:val="es-ES" w:bidi="en-US"/>
        </w:rPr>
        <w:t xml:space="preserve"> </w:t>
      </w:r>
      <w:r w:rsidRPr="00975C02">
        <w:rPr>
          <w:bCs/>
          <w:sz w:val="20"/>
          <w:szCs w:val="20"/>
          <w:lang w:val="es-ES" w:bidi="en-US"/>
        </w:rPr>
        <w:t>la</w:t>
      </w:r>
      <w:r w:rsidRPr="00975C02">
        <w:rPr>
          <w:sz w:val="20"/>
          <w:szCs w:val="20"/>
          <w:lang w:val="es-ES" w:bidi="en-US"/>
        </w:rPr>
        <w:t xml:space="preserve"> base de lo dispuesto en el artículo 63.1 de la Convención Americana</w:t>
      </w:r>
      <w:r w:rsidRPr="00975C02">
        <w:rPr>
          <w:sz w:val="20"/>
          <w:szCs w:val="20"/>
          <w:vertAlign w:val="superscript"/>
          <w:lang w:val="es-ES" w:bidi="en-US"/>
        </w:rPr>
        <w:footnoteReference w:id="418"/>
      </w:r>
      <w:r w:rsidRPr="00975C02">
        <w:rPr>
          <w:sz w:val="20"/>
          <w:szCs w:val="20"/>
          <w:lang w:val="es-ES" w:bidi="en-US"/>
        </w:rPr>
        <w:t>, la Corte ha indicado que toda violación de una obligación internacional que haya producido daño comporta el deber de repararlo adecuadamente y que esa disposición recoge una norma consuetudinaria que constituye uno de los principios fundamentales del Derecho Internacional contemporáneo sobre responsabilidad de un Estado</w:t>
      </w:r>
      <w:r w:rsidRPr="00975C02">
        <w:rPr>
          <w:sz w:val="20"/>
          <w:szCs w:val="20"/>
          <w:vertAlign w:val="superscript"/>
          <w:lang w:val="es-ES" w:bidi="en-US"/>
        </w:rPr>
        <w:footnoteReference w:id="419"/>
      </w:r>
      <w:r w:rsidRPr="00975C02">
        <w:rPr>
          <w:sz w:val="20"/>
          <w:szCs w:val="20"/>
          <w:lang w:val="es-ES" w:bidi="en-US"/>
        </w:rPr>
        <w:t>.</w:t>
      </w:r>
    </w:p>
    <w:p w14:paraId="1AEB337B" w14:textId="77777777" w:rsidR="009D661E" w:rsidRPr="00975C02" w:rsidRDefault="009D661E" w:rsidP="009D661E">
      <w:pPr>
        <w:autoSpaceDE w:val="0"/>
        <w:autoSpaceDN w:val="0"/>
        <w:spacing w:line="240" w:lineRule="auto"/>
        <w:rPr>
          <w:rFonts w:cs="Verdana"/>
          <w:sz w:val="20"/>
          <w:szCs w:val="20"/>
          <w:lang w:val="es-ES"/>
        </w:rPr>
      </w:pPr>
    </w:p>
    <w:p w14:paraId="4C22AE7B" w14:textId="118DD58C" w:rsidR="009D661E" w:rsidRPr="00975C02" w:rsidRDefault="009D661E" w:rsidP="009D661E">
      <w:pPr>
        <w:numPr>
          <w:ilvl w:val="0"/>
          <w:numId w:val="2"/>
        </w:numPr>
        <w:tabs>
          <w:tab w:val="left" w:pos="567"/>
          <w:tab w:val="num" w:pos="5057"/>
        </w:tabs>
        <w:spacing w:line="240" w:lineRule="auto"/>
        <w:ind w:left="0" w:firstLine="0"/>
        <w:textAlignment w:val="auto"/>
        <w:rPr>
          <w:sz w:val="20"/>
          <w:szCs w:val="20"/>
          <w:lang w:val="es-ES" w:bidi="en-US"/>
        </w:rPr>
      </w:pPr>
      <w:r w:rsidRPr="00975C02">
        <w:rPr>
          <w:bCs/>
          <w:sz w:val="20"/>
          <w:szCs w:val="20"/>
          <w:lang w:val="es-ES" w:bidi="en-US"/>
        </w:rPr>
        <w:t xml:space="preserve">La </w:t>
      </w:r>
      <w:r w:rsidRPr="00975C02">
        <w:rPr>
          <w:sz w:val="20"/>
          <w:szCs w:val="20"/>
          <w:lang w:val="es-ES" w:eastAsia="es-ES" w:bidi="en-US"/>
        </w:rPr>
        <w:t>reparación</w:t>
      </w:r>
      <w:r w:rsidRPr="00975C02">
        <w:rPr>
          <w:bCs/>
          <w:sz w:val="20"/>
          <w:szCs w:val="20"/>
          <w:lang w:val="es-ES" w:bidi="en-US"/>
        </w:rPr>
        <w:t xml:space="preserve"> del daño ocasionado por la infracción de una obligación internacional requiere, siempre que sea posible, la plena restitución (</w:t>
      </w:r>
      <w:r w:rsidRPr="00975C02">
        <w:rPr>
          <w:bCs/>
          <w:i/>
          <w:sz w:val="20"/>
          <w:szCs w:val="20"/>
          <w:lang w:val="es-ES" w:bidi="en-US"/>
        </w:rPr>
        <w:t>restitutio in integrum</w:t>
      </w:r>
      <w:r w:rsidRPr="00975C02">
        <w:rPr>
          <w:bCs/>
          <w:sz w:val="20"/>
          <w:szCs w:val="20"/>
          <w:lang w:val="es-ES" w:bidi="en-US"/>
        </w:rPr>
        <w:t xml:space="preserve">), que consiste en el restablecimiento de la situación anterior. De no ser esto factible, como ocurre en la mayoría de los </w:t>
      </w:r>
      <w:r w:rsidRPr="00975C02">
        <w:rPr>
          <w:bCs/>
          <w:sz w:val="20"/>
          <w:szCs w:val="20"/>
          <w:lang w:val="es-ES" w:bidi="en-US"/>
        </w:rPr>
        <w:lastRenderedPageBreak/>
        <w:t>casos de violaciones a derechos humanos, el Tribunal determinará medidas para garantizar los derechos conculcados y reparar las consecuencias que las infracciones produjeron</w:t>
      </w:r>
      <w:r w:rsidRPr="00975C02">
        <w:rPr>
          <w:sz w:val="20"/>
          <w:szCs w:val="20"/>
          <w:vertAlign w:val="superscript"/>
          <w:lang w:val="es-ES" w:bidi="en-US"/>
        </w:rPr>
        <w:footnoteReference w:id="420"/>
      </w:r>
      <w:r w:rsidRPr="00975C02">
        <w:rPr>
          <w:bCs/>
          <w:sz w:val="20"/>
          <w:szCs w:val="20"/>
          <w:lang w:val="es-ES" w:bidi="en-US"/>
        </w:rPr>
        <w:t xml:space="preserve">. Por tanto, </w:t>
      </w:r>
      <w:r w:rsidRPr="00975C02">
        <w:rPr>
          <w:sz w:val="20"/>
          <w:szCs w:val="20"/>
          <w:lang w:val="es-ES" w:bidi="en-US"/>
        </w:rPr>
        <w:t>la Corte ha considerado la necesidad de otorgar diversas medidas de reparación a fin de resarcir los daños de manera integral por lo que, además de las compensaciones pecuniarias, las medidas de restitución, rehabilitación, satisfacción y garantías de no repetición tienen especial relevancia por los daños ocasionados</w:t>
      </w:r>
      <w:r w:rsidRPr="00975C02">
        <w:rPr>
          <w:sz w:val="20"/>
          <w:szCs w:val="20"/>
          <w:vertAlign w:val="superscript"/>
          <w:lang w:val="es-ES" w:bidi="en-US"/>
        </w:rPr>
        <w:footnoteReference w:id="421"/>
      </w:r>
      <w:r w:rsidRPr="00975C02">
        <w:rPr>
          <w:sz w:val="20"/>
          <w:szCs w:val="20"/>
          <w:lang w:val="es-ES" w:bidi="en-US"/>
        </w:rPr>
        <w:t>.</w:t>
      </w:r>
    </w:p>
    <w:p w14:paraId="698C7262" w14:textId="77777777" w:rsidR="009D661E" w:rsidRPr="00975C02" w:rsidRDefault="009D661E" w:rsidP="009D661E">
      <w:pPr>
        <w:autoSpaceDE w:val="0"/>
        <w:autoSpaceDN w:val="0"/>
        <w:spacing w:line="240" w:lineRule="auto"/>
        <w:rPr>
          <w:rFonts w:cs="Verdana"/>
          <w:sz w:val="20"/>
          <w:szCs w:val="20"/>
          <w:lang w:val="es-ES"/>
        </w:rPr>
      </w:pPr>
    </w:p>
    <w:p w14:paraId="4C0D014D" w14:textId="6239CBB8" w:rsidR="00482D8B" w:rsidRPr="00975C02" w:rsidRDefault="009D661E" w:rsidP="00482D8B">
      <w:pPr>
        <w:numPr>
          <w:ilvl w:val="0"/>
          <w:numId w:val="2"/>
        </w:numPr>
        <w:tabs>
          <w:tab w:val="left" w:pos="567"/>
          <w:tab w:val="num" w:pos="12305"/>
        </w:tabs>
        <w:spacing w:line="240" w:lineRule="auto"/>
        <w:ind w:left="0" w:firstLine="0"/>
        <w:rPr>
          <w:sz w:val="20"/>
          <w:szCs w:val="20"/>
          <w:lang w:val="es-ES"/>
        </w:rPr>
      </w:pPr>
      <w:r w:rsidRPr="00975C02">
        <w:rPr>
          <w:sz w:val="20"/>
          <w:szCs w:val="20"/>
          <w:lang w:val="es-ES" w:bidi="en-US"/>
        </w:rPr>
        <w:t xml:space="preserve">La </w:t>
      </w:r>
      <w:r w:rsidRPr="00975C02">
        <w:rPr>
          <w:bCs/>
          <w:sz w:val="20"/>
          <w:szCs w:val="20"/>
          <w:lang w:val="es-ES" w:bidi="en-US"/>
        </w:rPr>
        <w:t>Corte</w:t>
      </w:r>
      <w:r w:rsidRPr="00975C02">
        <w:rPr>
          <w:sz w:val="20"/>
          <w:szCs w:val="20"/>
          <w:lang w:val="es-ES" w:bidi="en-US"/>
        </w:rPr>
        <w:t xml:space="preserve"> ha establecido que las reparaciones deben tener un nexo causal con los hechos del caso, las violaciones declaradas, los daños acreditados, así como las medidas solicitadas para reparar los daños respectivos. Por lo tanto, la Corte deberá observar dicha concurrencia para pronunciarse debidamente y conforme a derecho</w:t>
      </w:r>
      <w:r w:rsidRPr="00975C02">
        <w:rPr>
          <w:sz w:val="20"/>
          <w:szCs w:val="20"/>
          <w:vertAlign w:val="superscript"/>
          <w:lang w:val="es-ES" w:bidi="en-US"/>
        </w:rPr>
        <w:footnoteReference w:id="422"/>
      </w:r>
      <w:r w:rsidRPr="00975C02">
        <w:rPr>
          <w:sz w:val="20"/>
          <w:szCs w:val="20"/>
          <w:lang w:val="es-ES" w:bidi="en-US"/>
        </w:rPr>
        <w:t>.</w:t>
      </w:r>
      <w:r w:rsidR="00482D8B" w:rsidRPr="00975C02">
        <w:rPr>
          <w:sz w:val="20"/>
          <w:szCs w:val="20"/>
          <w:lang w:val="es-ES" w:bidi="en-US"/>
        </w:rPr>
        <w:t xml:space="preserve"> </w:t>
      </w:r>
      <w:r w:rsidR="00482D8B" w:rsidRPr="00975C02">
        <w:rPr>
          <w:sz w:val="20"/>
          <w:szCs w:val="20"/>
          <w:lang w:val="es-ES"/>
        </w:rPr>
        <w:t>Asimismo, la Corte estima que las reparaciones deberán incluir un análisis que contemple no sólo el derecho de la víctima a obtener una reparación, sino que</w:t>
      </w:r>
      <w:r w:rsidR="005308C7" w:rsidRPr="00975C02">
        <w:rPr>
          <w:sz w:val="20"/>
          <w:szCs w:val="20"/>
          <w:lang w:val="es-ES"/>
        </w:rPr>
        <w:t>,</w:t>
      </w:r>
      <w:r w:rsidR="00482D8B" w:rsidRPr="00975C02">
        <w:rPr>
          <w:sz w:val="20"/>
          <w:szCs w:val="20"/>
          <w:lang w:val="es-ES"/>
        </w:rPr>
        <w:t xml:space="preserve"> además</w:t>
      </w:r>
      <w:r w:rsidR="005308C7" w:rsidRPr="00975C02">
        <w:rPr>
          <w:sz w:val="20"/>
          <w:szCs w:val="20"/>
          <w:lang w:val="es-ES"/>
        </w:rPr>
        <w:t>,</w:t>
      </w:r>
      <w:r w:rsidR="00482D8B" w:rsidRPr="00975C02">
        <w:rPr>
          <w:sz w:val="20"/>
          <w:szCs w:val="20"/>
          <w:lang w:val="es-ES"/>
        </w:rPr>
        <w:t xml:space="preserve"> incorpore una perspectiva de género </w:t>
      </w:r>
      <w:r w:rsidR="005308C7" w:rsidRPr="00975C02">
        <w:rPr>
          <w:sz w:val="20"/>
          <w:szCs w:val="20"/>
          <w:lang w:val="es-ES"/>
        </w:rPr>
        <w:t>y</w:t>
      </w:r>
      <w:r w:rsidR="00482D8B" w:rsidRPr="00975C02">
        <w:rPr>
          <w:sz w:val="20"/>
          <w:szCs w:val="20"/>
          <w:lang w:val="es-ES"/>
        </w:rPr>
        <w:t xml:space="preserve"> </w:t>
      </w:r>
      <w:r w:rsidR="005308C7" w:rsidRPr="00975C02">
        <w:rPr>
          <w:sz w:val="20"/>
          <w:szCs w:val="20"/>
          <w:lang w:val="es-ES"/>
        </w:rPr>
        <w:t>niñez</w:t>
      </w:r>
      <w:r w:rsidR="00482D8B" w:rsidRPr="00975C02">
        <w:rPr>
          <w:sz w:val="20"/>
          <w:szCs w:val="20"/>
          <w:lang w:val="es-ES"/>
        </w:rPr>
        <w:t>, tanto en su formulación como en su implementación.</w:t>
      </w:r>
    </w:p>
    <w:p w14:paraId="29F7CFCD" w14:textId="77777777" w:rsidR="009D661E" w:rsidRPr="00975C02" w:rsidRDefault="009D661E" w:rsidP="009D661E">
      <w:pPr>
        <w:tabs>
          <w:tab w:val="left" w:pos="567"/>
        </w:tabs>
        <w:spacing w:line="240" w:lineRule="auto"/>
        <w:rPr>
          <w:sz w:val="20"/>
          <w:szCs w:val="20"/>
          <w:lang w:val="es-ES" w:bidi="en-US"/>
        </w:rPr>
      </w:pPr>
    </w:p>
    <w:p w14:paraId="22EBA35F" w14:textId="77777777" w:rsidR="009D661E" w:rsidRPr="00975C02" w:rsidRDefault="009D661E" w:rsidP="009D661E">
      <w:pPr>
        <w:numPr>
          <w:ilvl w:val="0"/>
          <w:numId w:val="2"/>
        </w:numPr>
        <w:tabs>
          <w:tab w:val="left" w:pos="567"/>
          <w:tab w:val="num" w:pos="5057"/>
        </w:tabs>
        <w:spacing w:line="240" w:lineRule="auto"/>
        <w:ind w:left="0" w:firstLine="0"/>
        <w:textAlignment w:val="auto"/>
        <w:rPr>
          <w:sz w:val="20"/>
          <w:szCs w:val="20"/>
          <w:lang w:val="es-ES" w:bidi="en-US"/>
        </w:rPr>
      </w:pPr>
      <w:r w:rsidRPr="00975C02">
        <w:rPr>
          <w:sz w:val="20"/>
          <w:szCs w:val="20"/>
          <w:lang w:val="es-ES"/>
        </w:rPr>
        <w:t>Tomando en cuenta las violaciones a la Convención Americana declaradas en los capítulos anteriores, a la luz de los criterios fijados en la jurisprudencia del Tribunal en relación con la naturaleza y alcances de la obligación de reparar</w:t>
      </w:r>
      <w:r w:rsidRPr="00975C02">
        <w:rPr>
          <w:rStyle w:val="FootnoteReference"/>
          <w:sz w:val="20"/>
          <w:szCs w:val="20"/>
          <w:lang w:val="es-ES"/>
        </w:rPr>
        <w:footnoteReference w:id="423"/>
      </w:r>
      <w:r w:rsidRPr="00975C02">
        <w:rPr>
          <w:sz w:val="20"/>
          <w:szCs w:val="20"/>
          <w:lang w:val="es-ES"/>
        </w:rPr>
        <w:t>, la Corte analizará las pretensiones presentadas por la Comisión y las representantes, así como los argumentos del Estado al respecto, con el objeto de disponer a continuación las medidas tendientes a reparar dichas violaciones.</w:t>
      </w:r>
    </w:p>
    <w:p w14:paraId="44E73A52" w14:textId="77777777" w:rsidR="009D661E" w:rsidRPr="00975C02" w:rsidRDefault="009D661E" w:rsidP="009D661E">
      <w:pPr>
        <w:tabs>
          <w:tab w:val="left" w:pos="567"/>
        </w:tabs>
        <w:spacing w:line="240" w:lineRule="auto"/>
        <w:rPr>
          <w:sz w:val="20"/>
          <w:szCs w:val="20"/>
          <w:lang w:val="es-ES" w:bidi="en-US"/>
        </w:rPr>
      </w:pPr>
    </w:p>
    <w:p w14:paraId="75B52837" w14:textId="77777777" w:rsidR="009D661E" w:rsidRPr="00975C02" w:rsidRDefault="009D661E" w:rsidP="002C415B">
      <w:pPr>
        <w:keepNext/>
        <w:keepLines/>
        <w:numPr>
          <w:ilvl w:val="0"/>
          <w:numId w:val="11"/>
        </w:numPr>
        <w:tabs>
          <w:tab w:val="left" w:pos="567"/>
          <w:tab w:val="left" w:pos="1134"/>
        </w:tabs>
        <w:spacing w:line="240" w:lineRule="auto"/>
        <w:ind w:left="567" w:firstLine="0"/>
        <w:textAlignment w:val="auto"/>
        <w:outlineLvl w:val="1"/>
        <w:rPr>
          <w:rFonts w:eastAsia="MS Mincho"/>
          <w:b/>
          <w:bCs/>
          <w:i/>
          <w:sz w:val="20"/>
          <w:szCs w:val="20"/>
          <w:lang w:val="es-ES"/>
        </w:rPr>
      </w:pPr>
      <w:bookmarkStart w:id="167" w:name="_Toc495658694"/>
      <w:bookmarkStart w:id="168" w:name="_Toc476390738"/>
      <w:bookmarkStart w:id="169" w:name="_Toc514172662"/>
      <w:r w:rsidRPr="00975C02">
        <w:rPr>
          <w:rFonts w:eastAsia="MS Mincho"/>
          <w:b/>
          <w:bCs/>
          <w:i/>
          <w:sz w:val="20"/>
          <w:szCs w:val="20"/>
          <w:lang w:val="es-ES"/>
        </w:rPr>
        <w:t>Parte Lesionada</w:t>
      </w:r>
      <w:bookmarkEnd w:id="167"/>
      <w:bookmarkEnd w:id="168"/>
      <w:bookmarkEnd w:id="169"/>
    </w:p>
    <w:p w14:paraId="41D4AA4F" w14:textId="77777777" w:rsidR="009D661E" w:rsidRPr="00975C02" w:rsidRDefault="009D661E" w:rsidP="009D661E">
      <w:pPr>
        <w:tabs>
          <w:tab w:val="num" w:pos="720"/>
          <w:tab w:val="left" w:pos="851"/>
          <w:tab w:val="num" w:pos="1427"/>
        </w:tabs>
        <w:spacing w:line="240" w:lineRule="auto"/>
        <w:rPr>
          <w:sz w:val="20"/>
          <w:szCs w:val="20"/>
          <w:lang w:val="es-ES"/>
        </w:rPr>
      </w:pPr>
    </w:p>
    <w:p w14:paraId="16967AEF" w14:textId="5E49418F" w:rsidR="009D661E" w:rsidRPr="00975C02" w:rsidRDefault="009D661E" w:rsidP="009D661E">
      <w:pPr>
        <w:numPr>
          <w:ilvl w:val="0"/>
          <w:numId w:val="2"/>
        </w:numPr>
        <w:tabs>
          <w:tab w:val="left" w:pos="567"/>
          <w:tab w:val="num" w:pos="5057"/>
        </w:tabs>
        <w:spacing w:line="240" w:lineRule="auto"/>
        <w:ind w:left="0" w:firstLine="0"/>
        <w:textAlignment w:val="auto"/>
        <w:rPr>
          <w:rFonts w:eastAsia="Verdana" w:cs="Verdana"/>
          <w:sz w:val="20"/>
          <w:szCs w:val="20"/>
          <w:lang w:val="es-ES"/>
        </w:rPr>
      </w:pPr>
      <w:r w:rsidRPr="00975C02">
        <w:rPr>
          <w:rFonts w:eastAsia="MS Mincho"/>
          <w:sz w:val="20"/>
          <w:szCs w:val="20"/>
          <w:lang w:val="es-ES" w:bidi="en-US"/>
        </w:rPr>
        <w:t xml:space="preserve">Se </w:t>
      </w:r>
      <w:r w:rsidRPr="00975C02">
        <w:rPr>
          <w:sz w:val="20"/>
          <w:szCs w:val="20"/>
          <w:lang w:val="es-ES" w:bidi="en-US"/>
        </w:rPr>
        <w:t>considera</w:t>
      </w:r>
      <w:r w:rsidRPr="00975C02">
        <w:rPr>
          <w:rFonts w:eastAsia="MS Mincho"/>
          <w:sz w:val="20"/>
          <w:szCs w:val="20"/>
          <w:lang w:val="es-ES" w:bidi="en-US"/>
        </w:rPr>
        <w:t xml:space="preserve"> parte lesionada, en los términos del artículo 63.1 de la Convención, a quienes han sido </w:t>
      </w:r>
      <w:r w:rsidRPr="00975C02">
        <w:rPr>
          <w:bCs/>
          <w:sz w:val="20"/>
          <w:szCs w:val="20"/>
          <w:lang w:val="es-ES" w:bidi="en-US"/>
        </w:rPr>
        <w:t>declaradas</w:t>
      </w:r>
      <w:r w:rsidRPr="00975C02">
        <w:rPr>
          <w:rFonts w:eastAsia="MS Mincho"/>
          <w:sz w:val="20"/>
          <w:szCs w:val="20"/>
          <w:lang w:val="es-ES" w:bidi="en-US"/>
        </w:rPr>
        <w:t xml:space="preserve"> víctimas de la violación de algún derecho consagrado en </w:t>
      </w:r>
      <w:r w:rsidR="002460B5" w:rsidRPr="00975C02">
        <w:rPr>
          <w:rFonts w:eastAsia="MS Mincho"/>
          <w:sz w:val="20"/>
          <w:szCs w:val="20"/>
          <w:lang w:val="es-ES" w:bidi="en-US"/>
        </w:rPr>
        <w:t>e</w:t>
      </w:r>
      <w:r w:rsidR="005308C7" w:rsidRPr="00975C02">
        <w:rPr>
          <w:rFonts w:eastAsia="MS Mincho"/>
          <w:sz w:val="20"/>
          <w:szCs w:val="20"/>
          <w:lang w:val="es-ES" w:bidi="en-US"/>
        </w:rPr>
        <w:t>sta</w:t>
      </w:r>
      <w:r w:rsidRPr="00975C02">
        <w:rPr>
          <w:rFonts w:eastAsia="MS Mincho"/>
          <w:sz w:val="20"/>
          <w:szCs w:val="20"/>
          <w:lang w:val="es-ES" w:bidi="en-US"/>
        </w:rPr>
        <w:t xml:space="preserve">. Por lo tanto, esta Corte considera como “parte lesionada” a </w:t>
      </w:r>
      <w:r w:rsidRPr="00975C02">
        <w:rPr>
          <w:rFonts w:eastAsia="Verdana" w:cs="Verdana"/>
          <w:sz w:val="20"/>
          <w:szCs w:val="20"/>
          <w:lang w:val="es-ES"/>
        </w:rPr>
        <w:t xml:space="preserve">V.R.P., </w:t>
      </w:r>
      <w:r w:rsidRPr="00975C02">
        <w:rPr>
          <w:rFonts w:eastAsia="MS Mincho"/>
          <w:sz w:val="20"/>
          <w:szCs w:val="20"/>
          <w:lang w:val="es-ES" w:bidi="en-US"/>
        </w:rPr>
        <w:t>V.P.C.</w:t>
      </w:r>
      <w:r w:rsidRPr="00975C02">
        <w:rPr>
          <w:rFonts w:eastAsia="Verdana" w:cs="Verdana"/>
          <w:sz w:val="20"/>
          <w:szCs w:val="20"/>
          <w:lang w:val="es-ES"/>
        </w:rPr>
        <w:t xml:space="preserve">, </w:t>
      </w:r>
      <w:r w:rsidR="00612410" w:rsidRPr="00975C02">
        <w:rPr>
          <w:rFonts w:eastAsia="Verdana" w:cs="Verdana"/>
          <w:sz w:val="20"/>
          <w:szCs w:val="20"/>
          <w:lang w:val="es-ES"/>
        </w:rPr>
        <w:t xml:space="preserve">N.R.P., </w:t>
      </w:r>
      <w:r w:rsidRPr="00975C02">
        <w:rPr>
          <w:rFonts w:eastAsia="Verdana" w:cs="Verdana"/>
          <w:sz w:val="20"/>
          <w:szCs w:val="20"/>
          <w:lang w:val="es-ES"/>
        </w:rPr>
        <w:t xml:space="preserve">H.J.R.P., </w:t>
      </w:r>
      <w:r w:rsidR="00612410" w:rsidRPr="00975C02">
        <w:rPr>
          <w:rFonts w:eastAsia="Verdana" w:cs="Verdana"/>
          <w:sz w:val="20"/>
          <w:szCs w:val="20"/>
          <w:lang w:val="es-ES"/>
        </w:rPr>
        <w:t xml:space="preserve">y </w:t>
      </w:r>
      <w:r w:rsidRPr="00975C02">
        <w:rPr>
          <w:rFonts w:eastAsia="Verdana" w:cs="Verdana"/>
          <w:sz w:val="20"/>
          <w:szCs w:val="20"/>
          <w:lang w:val="es-ES"/>
        </w:rPr>
        <w:t xml:space="preserve">V.A.R.P., </w:t>
      </w:r>
      <w:r w:rsidRPr="00975C02">
        <w:rPr>
          <w:rFonts w:eastAsia="MS Mincho"/>
          <w:sz w:val="20"/>
          <w:szCs w:val="20"/>
          <w:lang w:val="es-ES" w:bidi="en-US"/>
        </w:rPr>
        <w:t>quienes en su condición de víctimas de las violaciones declaradas en esta Sentencia serán consideradas beneficiarias y beneficiarios de las reparaciones que la Corte ordene.</w:t>
      </w:r>
    </w:p>
    <w:p w14:paraId="25F6DB52" w14:textId="77777777" w:rsidR="009D661E" w:rsidRPr="00975C02" w:rsidRDefault="009D661E" w:rsidP="009D661E">
      <w:pPr>
        <w:tabs>
          <w:tab w:val="num" w:pos="720"/>
          <w:tab w:val="left" w:pos="851"/>
          <w:tab w:val="num" w:pos="1427"/>
        </w:tabs>
        <w:spacing w:line="240" w:lineRule="auto"/>
        <w:rPr>
          <w:sz w:val="20"/>
          <w:szCs w:val="20"/>
          <w:lang w:val="es-ES"/>
        </w:rPr>
      </w:pPr>
    </w:p>
    <w:p w14:paraId="0A48B0FC" w14:textId="77777777" w:rsidR="009D661E" w:rsidRPr="00975C02" w:rsidRDefault="009D661E" w:rsidP="002C415B">
      <w:pPr>
        <w:keepNext/>
        <w:keepLines/>
        <w:numPr>
          <w:ilvl w:val="0"/>
          <w:numId w:val="11"/>
        </w:numPr>
        <w:tabs>
          <w:tab w:val="left" w:pos="567"/>
          <w:tab w:val="left" w:pos="1134"/>
        </w:tabs>
        <w:spacing w:line="240" w:lineRule="auto"/>
        <w:ind w:left="567" w:firstLine="0"/>
        <w:textAlignment w:val="auto"/>
        <w:outlineLvl w:val="1"/>
        <w:rPr>
          <w:rFonts w:eastAsia="MS Mincho"/>
          <w:b/>
          <w:bCs/>
          <w:i/>
          <w:sz w:val="20"/>
          <w:szCs w:val="20"/>
          <w:lang w:val="es-ES"/>
        </w:rPr>
      </w:pPr>
      <w:bookmarkStart w:id="170" w:name="_Toc495658695"/>
      <w:bookmarkStart w:id="171" w:name="_Toc476390739"/>
      <w:bookmarkStart w:id="172" w:name="_Toc514172663"/>
      <w:r w:rsidRPr="00975C02">
        <w:rPr>
          <w:rFonts w:eastAsia="MS Mincho"/>
          <w:b/>
          <w:bCs/>
          <w:i/>
          <w:sz w:val="20"/>
          <w:szCs w:val="20"/>
          <w:lang w:val="es-ES"/>
        </w:rPr>
        <w:t>Obligación de investigar los hechos e identificar, juzgar y, en su caso, sancionar a los responsables</w:t>
      </w:r>
      <w:bookmarkEnd w:id="170"/>
      <w:bookmarkEnd w:id="171"/>
      <w:bookmarkEnd w:id="172"/>
    </w:p>
    <w:p w14:paraId="21BA5F02" w14:textId="77777777" w:rsidR="009D661E" w:rsidRPr="00975C02" w:rsidRDefault="009D661E" w:rsidP="009D661E">
      <w:pPr>
        <w:autoSpaceDE w:val="0"/>
        <w:autoSpaceDN w:val="0"/>
        <w:spacing w:line="240" w:lineRule="auto"/>
        <w:rPr>
          <w:rFonts w:cs="Verdana"/>
          <w:b/>
          <w:bCs/>
          <w:i/>
          <w:iCs/>
          <w:sz w:val="20"/>
          <w:szCs w:val="20"/>
          <w:lang w:val="es-ES"/>
        </w:rPr>
      </w:pPr>
    </w:p>
    <w:p w14:paraId="05DB90B1" w14:textId="50ED0F28" w:rsidR="009D661E" w:rsidRPr="00975C02" w:rsidRDefault="009D661E" w:rsidP="009D661E">
      <w:pPr>
        <w:numPr>
          <w:ilvl w:val="0"/>
          <w:numId w:val="2"/>
        </w:numPr>
        <w:tabs>
          <w:tab w:val="left" w:pos="567"/>
          <w:tab w:val="num" w:pos="5057"/>
        </w:tabs>
        <w:spacing w:line="240" w:lineRule="auto"/>
        <w:ind w:left="0" w:firstLine="0"/>
        <w:textAlignment w:val="auto"/>
        <w:rPr>
          <w:rFonts w:eastAsia="MS Mincho"/>
          <w:sz w:val="20"/>
          <w:szCs w:val="20"/>
          <w:lang w:val="es-ES" w:bidi="en-US"/>
        </w:rPr>
      </w:pPr>
      <w:r w:rsidRPr="00975C02">
        <w:rPr>
          <w:rFonts w:eastAsia="MS Mincho"/>
          <w:sz w:val="20"/>
          <w:szCs w:val="20"/>
          <w:lang w:val="es-ES" w:bidi="en-US"/>
        </w:rPr>
        <w:t xml:space="preserve">La </w:t>
      </w:r>
      <w:r w:rsidRPr="00975C02">
        <w:rPr>
          <w:rFonts w:eastAsia="MS Mincho"/>
          <w:b/>
          <w:i/>
          <w:sz w:val="20"/>
          <w:szCs w:val="20"/>
          <w:lang w:val="es-ES" w:bidi="en-US"/>
        </w:rPr>
        <w:t>Comisión</w:t>
      </w:r>
      <w:r w:rsidR="00612410" w:rsidRPr="00975C02">
        <w:rPr>
          <w:rFonts w:eastAsia="MS Mincho"/>
          <w:sz w:val="20"/>
          <w:szCs w:val="20"/>
          <w:lang w:val="es-ES" w:bidi="en-US"/>
        </w:rPr>
        <w:t xml:space="preserve"> </w:t>
      </w:r>
      <w:r w:rsidRPr="00975C02">
        <w:rPr>
          <w:rFonts w:cs="Cambria"/>
          <w:sz w:val="20"/>
          <w:szCs w:val="20"/>
          <w:lang w:val="es-ES"/>
        </w:rPr>
        <w:t>señaló que</w:t>
      </w:r>
      <w:r w:rsidR="00612410" w:rsidRPr="00975C02">
        <w:rPr>
          <w:rFonts w:cs="Cambria"/>
          <w:sz w:val="20"/>
          <w:szCs w:val="20"/>
          <w:lang w:val="es-ES"/>
        </w:rPr>
        <w:t>,</w:t>
      </w:r>
      <w:r w:rsidRPr="00975C02">
        <w:rPr>
          <w:rFonts w:cs="Cambria"/>
          <w:sz w:val="20"/>
          <w:szCs w:val="20"/>
          <w:lang w:val="es-ES"/>
        </w:rPr>
        <w:t xml:space="preserve"> si bien en la recomendación primera de su Informe de Fondo solicitó que el Estado adelantara un proceso contra la persona responsable de la violación sexual en perjuicio de V</w:t>
      </w:r>
      <w:r w:rsidR="00612410" w:rsidRPr="00975C02">
        <w:rPr>
          <w:rFonts w:cs="Cambria"/>
          <w:sz w:val="20"/>
          <w:szCs w:val="20"/>
          <w:lang w:val="es-ES"/>
        </w:rPr>
        <w:t>.</w:t>
      </w:r>
      <w:r w:rsidRPr="00975C02">
        <w:rPr>
          <w:rFonts w:cs="Cambria"/>
          <w:sz w:val="20"/>
          <w:szCs w:val="20"/>
          <w:lang w:val="es-ES"/>
        </w:rPr>
        <w:t>R</w:t>
      </w:r>
      <w:r w:rsidR="00612410" w:rsidRPr="00975C02">
        <w:rPr>
          <w:rFonts w:cs="Cambria"/>
          <w:sz w:val="20"/>
          <w:szCs w:val="20"/>
          <w:lang w:val="es-ES"/>
        </w:rPr>
        <w:t>.</w:t>
      </w:r>
      <w:r w:rsidRPr="00975C02">
        <w:rPr>
          <w:rFonts w:cs="Cambria"/>
          <w:sz w:val="20"/>
          <w:szCs w:val="20"/>
          <w:lang w:val="es-ES"/>
        </w:rPr>
        <w:t>P</w:t>
      </w:r>
      <w:r w:rsidR="00612410" w:rsidRPr="00975C02">
        <w:rPr>
          <w:rFonts w:cs="Cambria"/>
          <w:sz w:val="20"/>
          <w:szCs w:val="20"/>
          <w:lang w:val="es-ES"/>
        </w:rPr>
        <w:t>.</w:t>
      </w:r>
      <w:r w:rsidRPr="00975C02">
        <w:rPr>
          <w:rFonts w:cs="Cambria"/>
          <w:sz w:val="20"/>
          <w:szCs w:val="20"/>
          <w:lang w:val="es-ES"/>
        </w:rPr>
        <w:t>,</w:t>
      </w:r>
      <w:r w:rsidR="00612410" w:rsidRPr="00975C02">
        <w:rPr>
          <w:rFonts w:cs="Cambria"/>
          <w:sz w:val="20"/>
          <w:szCs w:val="20"/>
          <w:lang w:val="es-ES"/>
        </w:rPr>
        <w:t xml:space="preserve"> quien fue identificad</w:t>
      </w:r>
      <w:r w:rsidR="007E1082" w:rsidRPr="00975C02">
        <w:rPr>
          <w:rFonts w:cs="Cambria"/>
          <w:sz w:val="20"/>
          <w:szCs w:val="20"/>
          <w:lang w:val="es-ES"/>
        </w:rPr>
        <w:t>a</w:t>
      </w:r>
      <w:r w:rsidR="00612410" w:rsidRPr="00975C02">
        <w:rPr>
          <w:rFonts w:cs="Cambria"/>
          <w:sz w:val="20"/>
          <w:szCs w:val="20"/>
          <w:lang w:val="es-ES"/>
        </w:rPr>
        <w:t xml:space="preserve"> de</w:t>
      </w:r>
      <w:r w:rsidRPr="00975C02">
        <w:rPr>
          <w:rFonts w:cs="Cambria"/>
          <w:sz w:val="20"/>
          <w:szCs w:val="20"/>
          <w:lang w:val="es-ES"/>
        </w:rPr>
        <w:t xml:space="preserve"> </w:t>
      </w:r>
      <w:r w:rsidR="00612410" w:rsidRPr="00975C02">
        <w:rPr>
          <w:rFonts w:cs="Cambria"/>
          <w:sz w:val="20"/>
          <w:szCs w:val="20"/>
          <w:lang w:val="es-ES"/>
        </w:rPr>
        <w:t xml:space="preserve">forma reiterada por la niña como su padre, de </w:t>
      </w:r>
      <w:r w:rsidRPr="00975C02">
        <w:rPr>
          <w:rFonts w:cs="Cambria"/>
          <w:sz w:val="20"/>
          <w:szCs w:val="20"/>
          <w:lang w:val="es-ES"/>
        </w:rPr>
        <w:t>la información surgida luego de adoptada dicha decisión</w:t>
      </w:r>
      <w:r w:rsidR="00612410" w:rsidRPr="00975C02">
        <w:rPr>
          <w:rFonts w:cs="Cambria"/>
          <w:sz w:val="20"/>
          <w:szCs w:val="20"/>
          <w:lang w:val="es-ES"/>
        </w:rPr>
        <w:t>,</w:t>
      </w:r>
      <w:r w:rsidR="007E1082" w:rsidRPr="00975C02">
        <w:rPr>
          <w:rFonts w:cs="Cambria"/>
          <w:sz w:val="20"/>
          <w:szCs w:val="20"/>
          <w:lang w:val="es-ES"/>
        </w:rPr>
        <w:t xml:space="preserve"> se desprende que</w:t>
      </w:r>
      <w:r w:rsidR="00612410" w:rsidRPr="00975C02">
        <w:rPr>
          <w:rFonts w:cs="Cambria"/>
          <w:sz w:val="20"/>
          <w:szCs w:val="20"/>
          <w:lang w:val="es-ES"/>
        </w:rPr>
        <w:t xml:space="preserve"> el presunto agresor falleció</w:t>
      </w:r>
      <w:r w:rsidR="00163FD0" w:rsidRPr="00975C02">
        <w:rPr>
          <w:rFonts w:cs="Cambria"/>
          <w:sz w:val="20"/>
          <w:szCs w:val="20"/>
          <w:lang w:val="es-ES"/>
        </w:rPr>
        <w:t xml:space="preserve">. Sin perjuicio de ello, la Comisión destacó que </w:t>
      </w:r>
      <w:r w:rsidR="007E1082" w:rsidRPr="00975C02">
        <w:rPr>
          <w:rFonts w:cs="Cambria"/>
          <w:sz w:val="20"/>
          <w:szCs w:val="20"/>
          <w:lang w:val="es-ES"/>
        </w:rPr>
        <w:t xml:space="preserve">ese hecho </w:t>
      </w:r>
      <w:r w:rsidRPr="00975C02">
        <w:rPr>
          <w:rFonts w:cs="Cambria"/>
          <w:sz w:val="20"/>
          <w:szCs w:val="20"/>
          <w:lang w:val="es-ES"/>
        </w:rPr>
        <w:t>no eximía al Estado de su obligación de adoptar todas las medidas necesarias para procurar una justicia integral</w:t>
      </w:r>
      <w:r w:rsidR="007E1082" w:rsidRPr="00975C02">
        <w:rPr>
          <w:rFonts w:cs="Cambria"/>
          <w:sz w:val="20"/>
          <w:szCs w:val="20"/>
          <w:lang w:val="es-ES"/>
        </w:rPr>
        <w:t>,</w:t>
      </w:r>
      <w:r w:rsidRPr="00975C02">
        <w:rPr>
          <w:rFonts w:cs="Cambria"/>
          <w:sz w:val="20"/>
          <w:szCs w:val="20"/>
          <w:lang w:val="es-ES"/>
        </w:rPr>
        <w:t xml:space="preserve"> la cual, en el presente caso, no podía entenderse limitada a la imposición de una pena y</w:t>
      </w:r>
      <w:r w:rsidR="007E1082" w:rsidRPr="00975C02">
        <w:rPr>
          <w:rFonts w:cs="Cambria"/>
          <w:sz w:val="20"/>
          <w:szCs w:val="20"/>
          <w:lang w:val="es-ES"/>
        </w:rPr>
        <w:t>,</w:t>
      </w:r>
      <w:r w:rsidRPr="00975C02">
        <w:rPr>
          <w:rFonts w:cs="Cambria"/>
          <w:sz w:val="20"/>
          <w:szCs w:val="20"/>
          <w:lang w:val="es-ES"/>
        </w:rPr>
        <w:t xml:space="preserve"> en las circunstancias actuales, la imposibilidad de ejercer la acción penal contra el agresor. Para la Comisión</w:t>
      </w:r>
      <w:r w:rsidR="007E1082" w:rsidRPr="00975C02">
        <w:rPr>
          <w:rFonts w:cs="Cambria"/>
          <w:sz w:val="20"/>
          <w:szCs w:val="20"/>
          <w:lang w:val="es-ES"/>
        </w:rPr>
        <w:t>,</w:t>
      </w:r>
      <w:r w:rsidRPr="00975C02">
        <w:rPr>
          <w:rFonts w:cs="Cambria"/>
          <w:sz w:val="20"/>
          <w:szCs w:val="20"/>
          <w:lang w:val="es-ES"/>
        </w:rPr>
        <w:t xml:space="preserve"> el componente de justicia, exige que el Estado de Nicaragua adopte todas las medidas necesarias para determinar “la verdad histórica de los hechos denunciados por V</w:t>
      </w:r>
      <w:r w:rsidR="00163FD0" w:rsidRPr="00975C02">
        <w:rPr>
          <w:rFonts w:cs="Cambria"/>
          <w:sz w:val="20"/>
          <w:szCs w:val="20"/>
          <w:lang w:val="es-ES"/>
        </w:rPr>
        <w:t>.</w:t>
      </w:r>
      <w:r w:rsidRPr="00975C02">
        <w:rPr>
          <w:rFonts w:cs="Cambria"/>
          <w:sz w:val="20"/>
          <w:szCs w:val="20"/>
          <w:lang w:val="es-ES"/>
        </w:rPr>
        <w:t>R</w:t>
      </w:r>
      <w:r w:rsidR="00163FD0" w:rsidRPr="00975C02">
        <w:rPr>
          <w:rFonts w:cs="Cambria"/>
          <w:sz w:val="20"/>
          <w:szCs w:val="20"/>
          <w:lang w:val="es-ES"/>
        </w:rPr>
        <w:t>.</w:t>
      </w:r>
      <w:r w:rsidRPr="00975C02">
        <w:rPr>
          <w:rFonts w:cs="Cambria"/>
          <w:sz w:val="20"/>
          <w:szCs w:val="20"/>
          <w:lang w:val="es-ES"/>
        </w:rPr>
        <w:t>P</w:t>
      </w:r>
      <w:r w:rsidR="00163FD0" w:rsidRPr="00975C02">
        <w:rPr>
          <w:rFonts w:cs="Cambria"/>
          <w:sz w:val="20"/>
          <w:szCs w:val="20"/>
          <w:lang w:val="es-ES"/>
        </w:rPr>
        <w:t>.</w:t>
      </w:r>
      <w:r w:rsidRPr="00975C02">
        <w:rPr>
          <w:rFonts w:cs="Cambria"/>
          <w:sz w:val="20"/>
          <w:szCs w:val="20"/>
          <w:lang w:val="es-ES"/>
        </w:rPr>
        <w:t xml:space="preserve"> y su madre V</w:t>
      </w:r>
      <w:r w:rsidR="00163FD0" w:rsidRPr="00975C02">
        <w:rPr>
          <w:rFonts w:cs="Cambria"/>
          <w:sz w:val="20"/>
          <w:szCs w:val="20"/>
          <w:lang w:val="es-ES"/>
        </w:rPr>
        <w:t>.</w:t>
      </w:r>
      <w:r w:rsidRPr="00975C02">
        <w:rPr>
          <w:rFonts w:cs="Cambria"/>
          <w:sz w:val="20"/>
          <w:szCs w:val="20"/>
          <w:lang w:val="es-ES"/>
        </w:rPr>
        <w:t>P</w:t>
      </w:r>
      <w:r w:rsidR="00163FD0" w:rsidRPr="00975C02">
        <w:rPr>
          <w:rFonts w:cs="Cambria"/>
          <w:sz w:val="20"/>
          <w:szCs w:val="20"/>
          <w:lang w:val="es-ES"/>
        </w:rPr>
        <w:t>.</w:t>
      </w:r>
      <w:r w:rsidRPr="00975C02">
        <w:rPr>
          <w:rFonts w:cs="Cambria"/>
          <w:sz w:val="20"/>
          <w:szCs w:val="20"/>
          <w:lang w:val="es-ES"/>
        </w:rPr>
        <w:t>C</w:t>
      </w:r>
      <w:r w:rsidR="00163FD0" w:rsidRPr="00975C02">
        <w:rPr>
          <w:rFonts w:cs="Cambria"/>
          <w:sz w:val="20"/>
          <w:szCs w:val="20"/>
          <w:lang w:val="es-ES"/>
        </w:rPr>
        <w:t>.</w:t>
      </w:r>
      <w:r w:rsidRPr="00975C02">
        <w:rPr>
          <w:rFonts w:cs="Cambria"/>
          <w:sz w:val="20"/>
          <w:szCs w:val="20"/>
          <w:lang w:val="es-ES"/>
        </w:rPr>
        <w:t xml:space="preserve">, incluyendo todas las graves irregularidades que perpetuaron la impunidad de esta grave violación de derechos humanos, y el establecimiento de las responsabilidades de distinta índole </w:t>
      </w:r>
      <w:r w:rsidRPr="00975C02">
        <w:rPr>
          <w:rFonts w:cs="Cambria"/>
          <w:sz w:val="20"/>
          <w:szCs w:val="20"/>
          <w:lang w:val="es-ES"/>
        </w:rPr>
        <w:lastRenderedPageBreak/>
        <w:t>[</w:t>
      </w:r>
      <w:r w:rsidRPr="00975C02">
        <w:rPr>
          <w:rFonts w:eastAsia="MS Mincho"/>
          <w:sz w:val="20"/>
          <w:szCs w:val="20"/>
          <w:lang w:val="es-ES" w:bidi="en-US"/>
        </w:rPr>
        <w:t xml:space="preserve">administrativas, disciplinarias o penales] </w:t>
      </w:r>
      <w:r w:rsidRPr="00975C02">
        <w:rPr>
          <w:rFonts w:cs="Cambria"/>
          <w:sz w:val="20"/>
          <w:szCs w:val="20"/>
          <w:lang w:val="es-ES"/>
        </w:rPr>
        <w:t>que corresponda</w:t>
      </w:r>
      <w:r w:rsidR="007E1082" w:rsidRPr="00975C02">
        <w:rPr>
          <w:rFonts w:cs="Cambria"/>
          <w:sz w:val="20"/>
          <w:szCs w:val="20"/>
          <w:lang w:val="es-ES"/>
        </w:rPr>
        <w:t>n</w:t>
      </w:r>
      <w:r w:rsidRPr="00975C02">
        <w:rPr>
          <w:rFonts w:cs="Cambria"/>
          <w:sz w:val="20"/>
          <w:szCs w:val="20"/>
          <w:lang w:val="es-ES"/>
        </w:rPr>
        <w:t xml:space="preserve"> a los funcionarios y funcionarias del Estado que contribuyeron a esta denegación de justicia [e impunidad]”.</w:t>
      </w:r>
    </w:p>
    <w:p w14:paraId="534A9C48" w14:textId="77777777" w:rsidR="009D661E" w:rsidRPr="00975C02" w:rsidRDefault="009D661E" w:rsidP="009D661E">
      <w:pPr>
        <w:tabs>
          <w:tab w:val="left" w:pos="709"/>
          <w:tab w:val="num" w:pos="1427"/>
        </w:tabs>
        <w:spacing w:line="240" w:lineRule="auto"/>
        <w:ind w:right="-90"/>
        <w:rPr>
          <w:sz w:val="20"/>
          <w:szCs w:val="20"/>
          <w:lang w:val="es-ES"/>
        </w:rPr>
      </w:pPr>
    </w:p>
    <w:p w14:paraId="705A6905" w14:textId="5FAED34D" w:rsidR="009D661E" w:rsidRPr="00975C02" w:rsidRDefault="009D661E" w:rsidP="009D661E">
      <w:pPr>
        <w:numPr>
          <w:ilvl w:val="0"/>
          <w:numId w:val="2"/>
        </w:numPr>
        <w:tabs>
          <w:tab w:val="left" w:pos="567"/>
          <w:tab w:val="num" w:pos="5057"/>
        </w:tabs>
        <w:spacing w:line="240" w:lineRule="auto"/>
        <w:ind w:left="0" w:firstLine="0"/>
        <w:textAlignment w:val="auto"/>
        <w:rPr>
          <w:rFonts w:eastAsia="Verdana" w:cs="Verdana"/>
          <w:b/>
          <w:bCs/>
          <w:sz w:val="20"/>
          <w:szCs w:val="20"/>
          <w:lang w:val="es-ES"/>
        </w:rPr>
      </w:pPr>
      <w:r w:rsidRPr="00975C02">
        <w:rPr>
          <w:bCs/>
          <w:sz w:val="20"/>
          <w:szCs w:val="20"/>
          <w:lang w:val="es-ES" w:bidi="en-US"/>
        </w:rPr>
        <w:t>Las</w:t>
      </w:r>
      <w:r w:rsidRPr="00975C02">
        <w:rPr>
          <w:rFonts w:eastAsia="MS Mincho"/>
          <w:sz w:val="20"/>
          <w:szCs w:val="20"/>
          <w:lang w:val="es-ES" w:bidi="en-US"/>
        </w:rPr>
        <w:t xml:space="preserve"> </w:t>
      </w:r>
      <w:r w:rsidRPr="00975C02">
        <w:rPr>
          <w:rFonts w:eastAsia="MS Mincho"/>
          <w:b/>
          <w:i/>
          <w:sz w:val="20"/>
          <w:szCs w:val="20"/>
          <w:lang w:val="es-ES" w:bidi="en-US"/>
        </w:rPr>
        <w:t>representantes</w:t>
      </w:r>
      <w:r w:rsidRPr="00975C02">
        <w:rPr>
          <w:rFonts w:eastAsia="MS Mincho"/>
          <w:sz w:val="20"/>
          <w:szCs w:val="20"/>
          <w:lang w:val="es-ES" w:bidi="en-US"/>
        </w:rPr>
        <w:t>, por su parte, solicitaron que se orden</w:t>
      </w:r>
      <w:r w:rsidR="000F278F" w:rsidRPr="00975C02">
        <w:rPr>
          <w:rFonts w:eastAsia="MS Mincho"/>
          <w:sz w:val="20"/>
          <w:szCs w:val="20"/>
          <w:lang w:val="es-ES" w:bidi="en-US"/>
        </w:rPr>
        <w:t>ara</w:t>
      </w:r>
      <w:r w:rsidRPr="00975C02">
        <w:rPr>
          <w:rFonts w:eastAsia="MS Mincho"/>
          <w:sz w:val="20"/>
          <w:szCs w:val="20"/>
          <w:lang w:val="es-ES" w:bidi="en-US"/>
        </w:rPr>
        <w:t xml:space="preserve"> al Estado adoptar las medidas necesarias para que las violaciones a los derechos humanos cometid</w:t>
      </w:r>
      <w:r w:rsidR="000F278F" w:rsidRPr="00975C02">
        <w:rPr>
          <w:rFonts w:eastAsia="MS Mincho"/>
          <w:sz w:val="20"/>
          <w:szCs w:val="20"/>
          <w:lang w:val="es-ES" w:bidi="en-US"/>
        </w:rPr>
        <w:t>a</w:t>
      </w:r>
      <w:r w:rsidRPr="00975C02">
        <w:rPr>
          <w:rFonts w:eastAsia="MS Mincho"/>
          <w:sz w:val="20"/>
          <w:szCs w:val="20"/>
          <w:lang w:val="es-ES" w:bidi="en-US"/>
        </w:rPr>
        <w:t>s en contra de V.R.P. y sus familiares, sean efectivamente investigadas y sancionadas a través de procesos en los que se les otorgue</w:t>
      </w:r>
      <w:r w:rsidR="000F278F" w:rsidRPr="00975C02">
        <w:rPr>
          <w:rFonts w:eastAsia="MS Mincho"/>
          <w:sz w:val="20"/>
          <w:szCs w:val="20"/>
          <w:lang w:val="es-ES" w:bidi="en-US"/>
        </w:rPr>
        <w:t>n</w:t>
      </w:r>
      <w:r w:rsidRPr="00975C02">
        <w:rPr>
          <w:rFonts w:eastAsia="MS Mincho"/>
          <w:sz w:val="20"/>
          <w:szCs w:val="20"/>
          <w:lang w:val="es-ES" w:bidi="en-US"/>
        </w:rPr>
        <w:t xml:space="preserve"> todas las garantías judiciales. Agregaron que tales investigaciones deben comprender las actuaciones de las autoridades judiciales y administrativas que permitieron la impunidad de la agresión sexual materializada contra la </w:t>
      </w:r>
      <w:r w:rsidR="000F278F" w:rsidRPr="00975C02">
        <w:rPr>
          <w:rFonts w:eastAsia="MS Mincho"/>
          <w:sz w:val="20"/>
          <w:szCs w:val="20"/>
          <w:lang w:val="es-ES" w:bidi="en-US"/>
        </w:rPr>
        <w:t xml:space="preserve">niña </w:t>
      </w:r>
      <w:r w:rsidRPr="00975C02">
        <w:rPr>
          <w:rFonts w:eastAsia="MS Mincho"/>
          <w:sz w:val="20"/>
          <w:szCs w:val="20"/>
          <w:lang w:val="es-ES" w:bidi="en-US"/>
        </w:rPr>
        <w:t xml:space="preserve">V.R.P., así como la revictimización </w:t>
      </w:r>
      <w:r w:rsidR="000F278F" w:rsidRPr="00975C02">
        <w:rPr>
          <w:rFonts w:eastAsia="MS Mincho"/>
          <w:sz w:val="20"/>
          <w:szCs w:val="20"/>
          <w:lang w:val="es-ES" w:bidi="en-US"/>
        </w:rPr>
        <w:t>que sufrió.</w:t>
      </w:r>
    </w:p>
    <w:p w14:paraId="577BD01D" w14:textId="77777777" w:rsidR="009D661E" w:rsidRPr="00975C02" w:rsidRDefault="009D661E" w:rsidP="009D661E">
      <w:pPr>
        <w:tabs>
          <w:tab w:val="left" w:pos="0"/>
          <w:tab w:val="num" w:pos="11028"/>
        </w:tabs>
        <w:spacing w:line="240" w:lineRule="auto"/>
        <w:ind w:right="-90"/>
        <w:rPr>
          <w:rFonts w:eastAsia="Verdana" w:cs="Verdana"/>
          <w:b/>
          <w:bCs/>
          <w:sz w:val="20"/>
          <w:szCs w:val="20"/>
          <w:lang w:val="es-ES"/>
        </w:rPr>
      </w:pPr>
    </w:p>
    <w:p w14:paraId="43EBC692" w14:textId="5F1DA7D0" w:rsidR="009D661E" w:rsidRPr="00975C02" w:rsidRDefault="009D661E" w:rsidP="009D661E">
      <w:pPr>
        <w:numPr>
          <w:ilvl w:val="0"/>
          <w:numId w:val="2"/>
        </w:numPr>
        <w:tabs>
          <w:tab w:val="left" w:pos="567"/>
          <w:tab w:val="num" w:pos="5057"/>
        </w:tabs>
        <w:spacing w:line="240" w:lineRule="auto"/>
        <w:ind w:left="0" w:firstLine="0"/>
        <w:textAlignment w:val="auto"/>
        <w:rPr>
          <w:b/>
          <w:sz w:val="20"/>
          <w:szCs w:val="20"/>
          <w:lang w:val="es-ES"/>
        </w:rPr>
      </w:pPr>
      <w:r w:rsidRPr="00975C02">
        <w:rPr>
          <w:rFonts w:eastAsia="MS Mincho"/>
          <w:sz w:val="20"/>
          <w:szCs w:val="20"/>
          <w:lang w:val="es-ES" w:bidi="en-US"/>
        </w:rPr>
        <w:t>El</w:t>
      </w:r>
      <w:r w:rsidRPr="00975C02">
        <w:rPr>
          <w:sz w:val="20"/>
          <w:szCs w:val="20"/>
          <w:lang w:val="es-ES" w:bidi="en-US"/>
        </w:rPr>
        <w:t xml:space="preserve"> </w:t>
      </w:r>
      <w:r w:rsidRPr="00975C02">
        <w:rPr>
          <w:b/>
          <w:i/>
          <w:sz w:val="20"/>
          <w:szCs w:val="20"/>
          <w:lang w:val="es-ES" w:bidi="en-US"/>
        </w:rPr>
        <w:t>Estado</w:t>
      </w:r>
      <w:r w:rsidRPr="00975C02">
        <w:rPr>
          <w:sz w:val="20"/>
          <w:szCs w:val="20"/>
          <w:lang w:val="es-ES" w:bidi="en-US"/>
        </w:rPr>
        <w:t xml:space="preserve"> manifestó que H.R.A., a quien V.R.P. sindicó como el autor de la violación </w:t>
      </w:r>
      <w:r w:rsidR="006E0D35" w:rsidRPr="00975C02">
        <w:rPr>
          <w:sz w:val="20"/>
          <w:szCs w:val="20"/>
          <w:lang w:val="es-ES" w:bidi="en-US"/>
        </w:rPr>
        <w:t xml:space="preserve">sexual </w:t>
      </w:r>
      <w:r w:rsidRPr="00975C02">
        <w:rPr>
          <w:sz w:val="20"/>
          <w:szCs w:val="20"/>
          <w:lang w:val="es-ES" w:bidi="en-US"/>
        </w:rPr>
        <w:t xml:space="preserve">que sufrió, falleció el 29 de agosto de 2008 y que ese evento impide objetivamente el cumplimiento de la recomendación efectuada por la </w:t>
      </w:r>
      <w:r w:rsidR="00163FD0" w:rsidRPr="00975C02">
        <w:rPr>
          <w:sz w:val="20"/>
          <w:szCs w:val="20"/>
          <w:lang w:val="es-ES" w:bidi="en-US"/>
        </w:rPr>
        <w:t>C</w:t>
      </w:r>
      <w:r w:rsidRPr="00975C02">
        <w:rPr>
          <w:sz w:val="20"/>
          <w:szCs w:val="20"/>
          <w:lang w:val="es-ES" w:bidi="en-US"/>
        </w:rPr>
        <w:t>omisión, pues tanto el Código de Instrucción Criminal como el Código Procesal Penal establecen que la muerte del imputado extingue la acción penal</w:t>
      </w:r>
      <w:r w:rsidR="000F278F" w:rsidRPr="00975C02">
        <w:rPr>
          <w:sz w:val="20"/>
          <w:szCs w:val="20"/>
          <w:lang w:val="es-ES" w:bidi="en-US"/>
        </w:rPr>
        <w:t>.</w:t>
      </w:r>
    </w:p>
    <w:p w14:paraId="472DA74E" w14:textId="77777777" w:rsidR="009D661E" w:rsidRPr="00975C02" w:rsidRDefault="009D661E" w:rsidP="009D661E">
      <w:pPr>
        <w:pStyle w:val="ListParagraph"/>
        <w:spacing w:line="240" w:lineRule="auto"/>
        <w:ind w:left="0"/>
        <w:rPr>
          <w:sz w:val="20"/>
          <w:szCs w:val="20"/>
          <w:lang w:val="es-ES"/>
        </w:rPr>
      </w:pPr>
    </w:p>
    <w:p w14:paraId="3D783420" w14:textId="55B83F20" w:rsidR="009D661E" w:rsidRPr="00975C02" w:rsidRDefault="009D661E" w:rsidP="009D661E">
      <w:pPr>
        <w:numPr>
          <w:ilvl w:val="0"/>
          <w:numId w:val="2"/>
        </w:numPr>
        <w:tabs>
          <w:tab w:val="left" w:pos="567"/>
          <w:tab w:val="num" w:pos="5057"/>
        </w:tabs>
        <w:spacing w:line="240" w:lineRule="auto"/>
        <w:ind w:left="0" w:firstLine="0"/>
        <w:textAlignment w:val="auto"/>
        <w:rPr>
          <w:sz w:val="20"/>
          <w:szCs w:val="20"/>
          <w:lang w:val="es-ES"/>
        </w:rPr>
      </w:pPr>
      <w:r w:rsidRPr="00975C02">
        <w:rPr>
          <w:sz w:val="20"/>
          <w:szCs w:val="20"/>
          <w:lang w:val="es-ES"/>
        </w:rPr>
        <w:t xml:space="preserve">Por otro lado, en relación </w:t>
      </w:r>
      <w:r w:rsidR="006E0D35" w:rsidRPr="00975C02">
        <w:rPr>
          <w:sz w:val="20"/>
          <w:szCs w:val="20"/>
          <w:lang w:val="es-ES"/>
        </w:rPr>
        <w:t>con</w:t>
      </w:r>
      <w:r w:rsidRPr="00975C02">
        <w:rPr>
          <w:sz w:val="20"/>
          <w:szCs w:val="20"/>
          <w:lang w:val="es-ES"/>
        </w:rPr>
        <w:t xml:space="preserve"> la investigación a los funcionarios estatales que contribuyeron a la denegación de justicia y la impunidad en que se encuentra el caso, el Estado señaló que la Corte Suprema de Justicia conoció de varios “informativos” promovidos por V.P.C. y que todos ellos fueron resueltos administrativamente</w:t>
      </w:r>
      <w:r w:rsidR="000F278F" w:rsidRPr="00975C02">
        <w:rPr>
          <w:sz w:val="20"/>
          <w:szCs w:val="20"/>
          <w:lang w:val="es-ES"/>
        </w:rPr>
        <w:t>.</w:t>
      </w:r>
      <w:r w:rsidRPr="00975C02">
        <w:rPr>
          <w:sz w:val="20"/>
          <w:szCs w:val="20"/>
          <w:lang w:val="es-ES"/>
        </w:rPr>
        <w:t xml:space="preserve"> Afirmó que los casos promovidos por V</w:t>
      </w:r>
      <w:r w:rsidR="00163FD0" w:rsidRPr="00975C02">
        <w:rPr>
          <w:sz w:val="20"/>
          <w:szCs w:val="20"/>
          <w:lang w:val="es-ES"/>
        </w:rPr>
        <w:t>.</w:t>
      </w:r>
      <w:r w:rsidRPr="00975C02">
        <w:rPr>
          <w:sz w:val="20"/>
          <w:szCs w:val="20"/>
          <w:lang w:val="es-ES"/>
        </w:rPr>
        <w:t>P</w:t>
      </w:r>
      <w:r w:rsidR="00163FD0" w:rsidRPr="00975C02">
        <w:rPr>
          <w:sz w:val="20"/>
          <w:szCs w:val="20"/>
          <w:lang w:val="es-ES"/>
        </w:rPr>
        <w:t>.</w:t>
      </w:r>
      <w:r w:rsidRPr="00975C02">
        <w:rPr>
          <w:sz w:val="20"/>
          <w:szCs w:val="20"/>
          <w:lang w:val="es-ES"/>
        </w:rPr>
        <w:t>C</w:t>
      </w:r>
      <w:r w:rsidR="00163FD0" w:rsidRPr="00975C02">
        <w:rPr>
          <w:sz w:val="20"/>
          <w:szCs w:val="20"/>
          <w:lang w:val="es-ES"/>
        </w:rPr>
        <w:t>.</w:t>
      </w:r>
      <w:r w:rsidRPr="00975C02">
        <w:rPr>
          <w:sz w:val="20"/>
          <w:szCs w:val="20"/>
          <w:lang w:val="es-ES"/>
        </w:rPr>
        <w:t xml:space="preserve"> contra funcionarios públicos intervinientes en el proceso penal por violación</w:t>
      </w:r>
      <w:r w:rsidR="006E0D35" w:rsidRPr="00975C02">
        <w:rPr>
          <w:sz w:val="20"/>
          <w:szCs w:val="20"/>
          <w:lang w:val="es-ES"/>
        </w:rPr>
        <w:t xml:space="preserve"> sexual</w:t>
      </w:r>
      <w:r w:rsidRPr="00975C02">
        <w:rPr>
          <w:sz w:val="20"/>
          <w:szCs w:val="20"/>
          <w:lang w:val="es-ES"/>
        </w:rPr>
        <w:t xml:space="preserve"> se encuentran archivados</w:t>
      </w:r>
      <w:r w:rsidR="000F278F" w:rsidRPr="00975C02">
        <w:rPr>
          <w:sz w:val="20"/>
          <w:szCs w:val="20"/>
          <w:lang w:val="es-ES"/>
        </w:rPr>
        <w:t>.</w:t>
      </w:r>
    </w:p>
    <w:p w14:paraId="477492D4" w14:textId="77777777" w:rsidR="009D661E" w:rsidRPr="00975C02" w:rsidRDefault="009D661E" w:rsidP="009D661E">
      <w:pPr>
        <w:tabs>
          <w:tab w:val="left" w:pos="0"/>
          <w:tab w:val="num" w:pos="11028"/>
        </w:tabs>
        <w:spacing w:line="240" w:lineRule="auto"/>
        <w:ind w:right="-90"/>
        <w:rPr>
          <w:b/>
          <w:sz w:val="20"/>
          <w:szCs w:val="20"/>
          <w:lang w:val="es-ES"/>
        </w:rPr>
      </w:pPr>
    </w:p>
    <w:p w14:paraId="5E31BBBC" w14:textId="77777777" w:rsidR="009D661E" w:rsidRPr="00975C02" w:rsidRDefault="009D661E" w:rsidP="00A11CC7">
      <w:pPr>
        <w:numPr>
          <w:ilvl w:val="0"/>
          <w:numId w:val="2"/>
        </w:numPr>
        <w:tabs>
          <w:tab w:val="left" w:pos="567"/>
          <w:tab w:val="num" w:pos="5057"/>
        </w:tabs>
        <w:spacing w:line="240" w:lineRule="auto"/>
        <w:ind w:left="0" w:firstLine="0"/>
        <w:textAlignment w:val="auto"/>
        <w:rPr>
          <w:rFonts w:eastAsia="MS Mincho" w:cs="Verdana"/>
          <w:sz w:val="20"/>
          <w:szCs w:val="20"/>
          <w:lang w:val="es-ES" w:bidi="en-US"/>
        </w:rPr>
      </w:pPr>
      <w:r w:rsidRPr="00975C02">
        <w:rPr>
          <w:rFonts w:eastAsia="MS Mincho"/>
          <w:sz w:val="20"/>
          <w:szCs w:val="20"/>
          <w:lang w:val="es-ES" w:bidi="en-US"/>
        </w:rPr>
        <w:t xml:space="preserve">La Corte toma en consideración que, desde el inicio del proceso penal por violación sexual, V.R.P. señaló </w:t>
      </w:r>
      <w:r w:rsidR="00163FD0" w:rsidRPr="00975C02">
        <w:rPr>
          <w:rFonts w:eastAsia="MS Mincho"/>
          <w:sz w:val="20"/>
          <w:szCs w:val="20"/>
          <w:lang w:val="es-ES" w:bidi="en-US"/>
        </w:rPr>
        <w:t xml:space="preserve">en distintas declaraciones </w:t>
      </w:r>
      <w:r w:rsidRPr="00975C02">
        <w:rPr>
          <w:rFonts w:eastAsia="MS Mincho"/>
          <w:sz w:val="20"/>
          <w:szCs w:val="20"/>
          <w:lang w:val="es-ES" w:bidi="en-US"/>
        </w:rPr>
        <w:t xml:space="preserve">a su padre, el señor H.R.A., como el </w:t>
      </w:r>
      <w:r w:rsidR="00163FD0" w:rsidRPr="00975C02">
        <w:rPr>
          <w:rFonts w:eastAsia="MS Mincho"/>
          <w:sz w:val="20"/>
          <w:szCs w:val="20"/>
          <w:lang w:val="es-ES" w:bidi="en-US"/>
        </w:rPr>
        <w:t xml:space="preserve">presunto </w:t>
      </w:r>
      <w:r w:rsidRPr="00975C02">
        <w:rPr>
          <w:rFonts w:eastAsia="MS Mincho"/>
          <w:sz w:val="20"/>
          <w:szCs w:val="20"/>
          <w:lang w:val="es-ES" w:bidi="en-US"/>
        </w:rPr>
        <w:t>autor de los hechos. Durante la tramitación del procedimiento ante la Comisión, en fecha 29 de agosto de 2008, el señor H.R.A. falleció</w:t>
      </w:r>
      <w:r w:rsidRPr="00975C02">
        <w:rPr>
          <w:rStyle w:val="FootnoteReference"/>
          <w:rFonts w:eastAsia="MS Mincho"/>
          <w:sz w:val="20"/>
          <w:szCs w:val="20"/>
          <w:lang w:val="es-ES" w:bidi="en-US"/>
        </w:rPr>
        <w:footnoteReference w:id="424"/>
      </w:r>
      <w:r w:rsidRPr="00975C02">
        <w:rPr>
          <w:rFonts w:eastAsia="MS Mincho"/>
          <w:sz w:val="20"/>
          <w:szCs w:val="20"/>
          <w:lang w:val="es-ES" w:bidi="en-US"/>
        </w:rPr>
        <w:t>.</w:t>
      </w:r>
      <w:r w:rsidR="00163FD0" w:rsidRPr="00975C02">
        <w:rPr>
          <w:rFonts w:eastAsia="MS Mincho"/>
          <w:sz w:val="20"/>
          <w:szCs w:val="20"/>
          <w:lang w:val="es-ES" w:bidi="en-US"/>
        </w:rPr>
        <w:t xml:space="preserve"> </w:t>
      </w:r>
      <w:r w:rsidR="00A11CC7" w:rsidRPr="00975C02">
        <w:rPr>
          <w:rFonts w:eastAsia="MS Mincho"/>
          <w:sz w:val="20"/>
          <w:szCs w:val="20"/>
          <w:lang w:val="es-ES" w:bidi="en-US"/>
        </w:rPr>
        <w:t>En las circunstancias de este caso</w:t>
      </w:r>
      <w:r w:rsidRPr="00975C02">
        <w:rPr>
          <w:rFonts w:eastAsia="MS Mincho"/>
          <w:sz w:val="20"/>
          <w:szCs w:val="20"/>
          <w:lang w:val="es-ES" w:bidi="en-US"/>
        </w:rPr>
        <w:t>,</w:t>
      </w:r>
      <w:r w:rsidR="00A11CC7" w:rsidRPr="00975C02">
        <w:rPr>
          <w:rFonts w:eastAsia="MS Mincho"/>
          <w:sz w:val="20"/>
          <w:szCs w:val="20"/>
          <w:lang w:val="es-ES" w:bidi="en-US"/>
        </w:rPr>
        <w:t xml:space="preserve"> la Corte considera que</w:t>
      </w:r>
      <w:r w:rsidRPr="00975C02">
        <w:rPr>
          <w:rFonts w:eastAsia="MS Mincho"/>
          <w:sz w:val="20"/>
          <w:szCs w:val="20"/>
          <w:lang w:val="es-ES" w:bidi="en-US"/>
        </w:rPr>
        <w:t xml:space="preserve"> no corresponde ordenar la realización de un nuevo procedimiento penal que procure la investigación, identificación, juzgamiento y eventual sanción de</w:t>
      </w:r>
      <w:r w:rsidR="00163FD0" w:rsidRPr="00975C02">
        <w:rPr>
          <w:rFonts w:eastAsia="MS Mincho"/>
          <w:sz w:val="20"/>
          <w:szCs w:val="20"/>
          <w:lang w:val="es-ES" w:bidi="en-US"/>
        </w:rPr>
        <w:t xml:space="preserve"> </w:t>
      </w:r>
      <w:r w:rsidR="00A11CC7" w:rsidRPr="00975C02">
        <w:rPr>
          <w:rFonts w:eastAsia="MS Mincho"/>
          <w:sz w:val="20"/>
          <w:szCs w:val="20"/>
          <w:lang w:val="es-ES" w:bidi="en-US"/>
        </w:rPr>
        <w:t>los hechos de violación sexual</w:t>
      </w:r>
      <w:r w:rsidRPr="00975C02">
        <w:rPr>
          <w:rFonts w:eastAsia="MS Mincho"/>
          <w:sz w:val="20"/>
          <w:szCs w:val="20"/>
          <w:lang w:val="es-ES" w:bidi="en-US"/>
        </w:rPr>
        <w:t>.</w:t>
      </w:r>
    </w:p>
    <w:p w14:paraId="34FC0AA4" w14:textId="77777777" w:rsidR="009D661E" w:rsidRPr="00975C02" w:rsidRDefault="009D661E" w:rsidP="009D661E">
      <w:pPr>
        <w:tabs>
          <w:tab w:val="left" w:pos="567"/>
        </w:tabs>
        <w:spacing w:line="240" w:lineRule="auto"/>
        <w:ind w:right="-90"/>
        <w:contextualSpacing/>
        <w:textAlignment w:val="auto"/>
        <w:rPr>
          <w:rFonts w:eastAsia="MS Mincho" w:cs="Verdana"/>
          <w:sz w:val="20"/>
          <w:szCs w:val="20"/>
          <w:lang w:val="es-ES" w:bidi="en-US"/>
        </w:rPr>
      </w:pPr>
    </w:p>
    <w:p w14:paraId="44310C45" w14:textId="3E70EA6E" w:rsidR="009D661E" w:rsidRPr="00975C02" w:rsidRDefault="003574D4" w:rsidP="009D661E">
      <w:pPr>
        <w:numPr>
          <w:ilvl w:val="0"/>
          <w:numId w:val="2"/>
        </w:numPr>
        <w:tabs>
          <w:tab w:val="left" w:pos="567"/>
          <w:tab w:val="num" w:pos="5057"/>
        </w:tabs>
        <w:spacing w:line="240" w:lineRule="auto"/>
        <w:ind w:left="0" w:firstLine="0"/>
        <w:rPr>
          <w:rFonts w:eastAsia="MS Mincho" w:cs="Verdana"/>
          <w:sz w:val="20"/>
          <w:szCs w:val="20"/>
          <w:lang w:val="es-ES" w:bidi="en-US"/>
        </w:rPr>
      </w:pPr>
      <w:r w:rsidRPr="00975C02">
        <w:rPr>
          <w:rFonts w:eastAsia="MS Mincho"/>
          <w:sz w:val="20"/>
          <w:szCs w:val="20"/>
          <w:lang w:val="es-ES" w:bidi="en-US"/>
        </w:rPr>
        <w:t>Por otra parte, e</w:t>
      </w:r>
      <w:r w:rsidR="009D661E" w:rsidRPr="00975C02">
        <w:rPr>
          <w:rFonts w:eastAsia="MS Mincho"/>
          <w:sz w:val="20"/>
          <w:szCs w:val="20"/>
          <w:lang w:val="es-ES" w:bidi="en-US"/>
        </w:rPr>
        <w:t>sta Corte estableci</w:t>
      </w:r>
      <w:r w:rsidR="00F906F8" w:rsidRPr="00975C02">
        <w:rPr>
          <w:rFonts w:eastAsia="MS Mincho"/>
          <w:sz w:val="20"/>
          <w:szCs w:val="20"/>
          <w:lang w:val="es-ES" w:bidi="en-US"/>
        </w:rPr>
        <w:t>ó</w:t>
      </w:r>
      <w:r w:rsidR="009D661E" w:rsidRPr="00975C02">
        <w:rPr>
          <w:rFonts w:eastAsia="MS Mincho"/>
          <w:sz w:val="20"/>
          <w:szCs w:val="20"/>
          <w:lang w:val="es-ES" w:bidi="en-US"/>
        </w:rPr>
        <w:t xml:space="preserve"> que distintas autoridades estatales no adoptaron medidas de protección especiales en beneficio de V.R.P. sino que, por el contrario, actuaron en vulneración de la debida diligencia </w:t>
      </w:r>
      <w:r w:rsidRPr="00975C02">
        <w:rPr>
          <w:rFonts w:eastAsia="MS Mincho"/>
          <w:sz w:val="20"/>
          <w:szCs w:val="20"/>
          <w:lang w:val="es-ES" w:bidi="en-US"/>
        </w:rPr>
        <w:t xml:space="preserve">reforzada </w:t>
      </w:r>
      <w:r w:rsidR="009D661E" w:rsidRPr="00975C02">
        <w:rPr>
          <w:rFonts w:eastAsia="MS Mincho"/>
          <w:sz w:val="20"/>
          <w:szCs w:val="20"/>
          <w:lang w:val="es-ES" w:bidi="en-US"/>
        </w:rPr>
        <w:t>durante el desarrollo de las investigaciones y proceso penal por la violación sexual de la niña V.R.P., lo que conllevó a su revictimización. Asimismo, la Corte concluyó que existi</w:t>
      </w:r>
      <w:r w:rsidR="00F44837" w:rsidRPr="00975C02">
        <w:rPr>
          <w:rFonts w:eastAsia="MS Mincho"/>
          <w:sz w:val="20"/>
          <w:szCs w:val="20"/>
          <w:lang w:val="es-ES" w:bidi="en-US"/>
        </w:rPr>
        <w:t xml:space="preserve">ó un temor fundado de parcialidad </w:t>
      </w:r>
      <w:r w:rsidR="009D661E" w:rsidRPr="00975C02">
        <w:rPr>
          <w:rFonts w:eastAsia="MS Mincho"/>
          <w:sz w:val="20"/>
          <w:szCs w:val="20"/>
          <w:lang w:val="es-ES" w:bidi="en-US"/>
        </w:rPr>
        <w:t xml:space="preserve">en el proceso interno en relación con el </w:t>
      </w:r>
      <w:r w:rsidR="00F44837" w:rsidRPr="00975C02">
        <w:rPr>
          <w:rFonts w:eastAsia="MS Mincho"/>
          <w:sz w:val="20"/>
          <w:szCs w:val="20"/>
          <w:lang w:val="es-ES" w:bidi="en-US"/>
        </w:rPr>
        <w:t xml:space="preserve">actuar </w:t>
      </w:r>
      <w:r w:rsidR="009D661E" w:rsidRPr="00975C02">
        <w:rPr>
          <w:rFonts w:eastAsia="MS Mincho"/>
          <w:sz w:val="20"/>
          <w:szCs w:val="20"/>
          <w:lang w:val="es-ES" w:bidi="en-US"/>
        </w:rPr>
        <w:t>de</w:t>
      </w:r>
      <w:r w:rsidRPr="00975C02">
        <w:rPr>
          <w:rFonts w:eastAsia="MS Mincho"/>
          <w:sz w:val="20"/>
          <w:szCs w:val="20"/>
          <w:lang w:val="es-ES" w:bidi="en-US"/>
        </w:rPr>
        <w:t>l Tribunal</w:t>
      </w:r>
      <w:r w:rsidR="009D661E" w:rsidRPr="00975C02">
        <w:rPr>
          <w:rFonts w:eastAsia="MS Mincho"/>
          <w:sz w:val="20"/>
          <w:szCs w:val="20"/>
          <w:lang w:val="es-ES" w:bidi="en-US"/>
        </w:rPr>
        <w:t xml:space="preserve"> de </w:t>
      </w:r>
      <w:r w:rsidRPr="00975C02">
        <w:rPr>
          <w:rFonts w:eastAsia="MS Mincho"/>
          <w:sz w:val="20"/>
          <w:szCs w:val="20"/>
          <w:lang w:val="es-ES" w:bidi="en-US"/>
        </w:rPr>
        <w:t>J</w:t>
      </w:r>
      <w:r w:rsidR="009D661E" w:rsidRPr="00975C02">
        <w:rPr>
          <w:rFonts w:eastAsia="MS Mincho"/>
          <w:sz w:val="20"/>
          <w:szCs w:val="20"/>
          <w:lang w:val="es-ES" w:bidi="en-US"/>
        </w:rPr>
        <w:t>urado</w:t>
      </w:r>
      <w:r w:rsidRPr="00975C02">
        <w:rPr>
          <w:rFonts w:eastAsia="MS Mincho"/>
          <w:sz w:val="20"/>
          <w:szCs w:val="20"/>
          <w:lang w:val="es-ES" w:bidi="en-US"/>
        </w:rPr>
        <w:t>s</w:t>
      </w:r>
      <w:r w:rsidR="009D661E" w:rsidRPr="00975C02">
        <w:rPr>
          <w:rFonts w:eastAsia="MS Mincho"/>
          <w:sz w:val="20"/>
          <w:szCs w:val="20"/>
          <w:lang w:val="es-ES" w:bidi="en-US"/>
        </w:rPr>
        <w:t xml:space="preserve">. Por ello, </w:t>
      </w:r>
      <w:r w:rsidR="009D661E" w:rsidRPr="00975C02">
        <w:rPr>
          <w:rFonts w:eastAsia="MS Mincho" w:cs="Verdana"/>
          <w:sz w:val="20"/>
          <w:szCs w:val="20"/>
          <w:lang w:val="es-ES" w:bidi="en-US"/>
        </w:rPr>
        <w:t>esta Corte considera que el Estado debe, dentro de un plazo razonable, determinar, por intermedio de las instituciones públicas competentes, las eventuales responsabilidades de los funcionarios que contribuyeron con su actuación a la comisión de actos de revictimización y violencia institucional en perjuicio de V.R.P. y</w:t>
      </w:r>
      <w:r w:rsidR="00F906F8" w:rsidRPr="00975C02">
        <w:rPr>
          <w:rFonts w:eastAsia="MS Mincho" w:cs="Verdana"/>
          <w:sz w:val="20"/>
          <w:szCs w:val="20"/>
          <w:lang w:val="es-ES" w:bidi="en-US"/>
        </w:rPr>
        <w:t>,</w:t>
      </w:r>
      <w:r w:rsidR="009D661E" w:rsidRPr="00975C02">
        <w:rPr>
          <w:rFonts w:eastAsia="MS Mincho" w:cs="Verdana"/>
          <w:sz w:val="20"/>
          <w:szCs w:val="20"/>
          <w:lang w:val="es-ES" w:bidi="en-US"/>
        </w:rPr>
        <w:t xml:space="preserve"> en la medida que corresponda, aplicar las consecuencias que la ley</w:t>
      </w:r>
      <w:r w:rsidR="00192F16" w:rsidRPr="00975C02">
        <w:rPr>
          <w:rFonts w:eastAsia="MS Mincho" w:cs="Verdana"/>
          <w:sz w:val="20"/>
          <w:szCs w:val="20"/>
          <w:lang w:val="es-ES" w:bidi="en-US"/>
        </w:rPr>
        <w:t xml:space="preserve"> pudiera prever</w:t>
      </w:r>
      <w:r w:rsidR="009D661E" w:rsidRPr="00975C02">
        <w:rPr>
          <w:rFonts w:eastAsia="MS Mincho" w:cs="Verdana"/>
          <w:sz w:val="20"/>
          <w:szCs w:val="20"/>
          <w:lang w:val="es-ES" w:bidi="en-US"/>
        </w:rPr>
        <w:t>.</w:t>
      </w:r>
    </w:p>
    <w:p w14:paraId="28B092FA" w14:textId="77777777" w:rsidR="009D661E" w:rsidRPr="00975C02" w:rsidRDefault="009D661E" w:rsidP="009D661E">
      <w:pPr>
        <w:tabs>
          <w:tab w:val="num" w:pos="720"/>
          <w:tab w:val="left" w:pos="851"/>
          <w:tab w:val="num" w:pos="1427"/>
        </w:tabs>
        <w:spacing w:line="240" w:lineRule="auto"/>
        <w:rPr>
          <w:b/>
          <w:sz w:val="20"/>
          <w:szCs w:val="20"/>
          <w:lang w:val="es-ES"/>
        </w:rPr>
      </w:pPr>
    </w:p>
    <w:p w14:paraId="1903477B" w14:textId="77777777" w:rsidR="009D661E" w:rsidRPr="00975C02" w:rsidRDefault="009D661E" w:rsidP="002C415B">
      <w:pPr>
        <w:keepNext/>
        <w:keepLines/>
        <w:numPr>
          <w:ilvl w:val="0"/>
          <w:numId w:val="11"/>
        </w:numPr>
        <w:tabs>
          <w:tab w:val="left" w:pos="567"/>
          <w:tab w:val="left" w:pos="1134"/>
        </w:tabs>
        <w:spacing w:line="240" w:lineRule="auto"/>
        <w:ind w:left="567" w:firstLine="0"/>
        <w:textAlignment w:val="auto"/>
        <w:outlineLvl w:val="1"/>
        <w:rPr>
          <w:rFonts w:eastAsia="MS Mincho"/>
          <w:b/>
          <w:bCs/>
          <w:i/>
          <w:sz w:val="20"/>
          <w:szCs w:val="20"/>
          <w:lang w:val="es-ES"/>
        </w:rPr>
      </w:pPr>
      <w:bookmarkStart w:id="173" w:name="_Toc476390740"/>
      <w:bookmarkStart w:id="174" w:name="_Toc495658696"/>
      <w:bookmarkStart w:id="175" w:name="_Toc514172664"/>
      <w:r w:rsidRPr="00975C02">
        <w:rPr>
          <w:rFonts w:eastAsia="MS Mincho"/>
          <w:b/>
          <w:bCs/>
          <w:i/>
          <w:sz w:val="20"/>
          <w:szCs w:val="20"/>
          <w:lang w:val="es-ES"/>
        </w:rPr>
        <w:t>Medidas de rehabilitación, satisfacción</w:t>
      </w:r>
      <w:bookmarkEnd w:id="173"/>
      <w:r w:rsidRPr="00975C02">
        <w:rPr>
          <w:rFonts w:eastAsia="MS Mincho"/>
          <w:b/>
          <w:bCs/>
          <w:i/>
          <w:sz w:val="20"/>
          <w:szCs w:val="20"/>
          <w:lang w:val="es-ES"/>
        </w:rPr>
        <w:t xml:space="preserve"> y garantías de no repetición</w:t>
      </w:r>
      <w:bookmarkEnd w:id="174"/>
      <w:bookmarkEnd w:id="175"/>
    </w:p>
    <w:p w14:paraId="2DD9F82D" w14:textId="77777777" w:rsidR="009D661E" w:rsidRPr="00975C02" w:rsidRDefault="009D661E" w:rsidP="009D661E">
      <w:pPr>
        <w:spacing w:line="240" w:lineRule="auto"/>
        <w:rPr>
          <w:b/>
          <w:sz w:val="20"/>
          <w:szCs w:val="20"/>
          <w:lang w:val="es-ES"/>
        </w:rPr>
      </w:pPr>
    </w:p>
    <w:p w14:paraId="1E129C8F" w14:textId="77777777" w:rsidR="009D661E" w:rsidRPr="00975C02" w:rsidRDefault="009D661E" w:rsidP="009D661E">
      <w:pPr>
        <w:pStyle w:val="Heading2"/>
        <w:tabs>
          <w:tab w:val="left" w:pos="1843"/>
        </w:tabs>
        <w:spacing w:before="0" w:line="240" w:lineRule="auto"/>
        <w:ind w:left="1134"/>
        <w:rPr>
          <w:rFonts w:ascii="Verdana" w:hAnsi="Verdana"/>
          <w:b w:val="0"/>
          <w:i/>
          <w:color w:val="auto"/>
          <w:sz w:val="20"/>
          <w:szCs w:val="20"/>
          <w:lang w:val="es-ES"/>
        </w:rPr>
      </w:pPr>
      <w:bookmarkStart w:id="176" w:name="_Toc495658697"/>
      <w:bookmarkStart w:id="177" w:name="_Toc514172665"/>
      <w:r w:rsidRPr="00975C02">
        <w:rPr>
          <w:rFonts w:ascii="Verdana" w:hAnsi="Verdana"/>
          <w:b w:val="0"/>
          <w:i/>
          <w:color w:val="auto"/>
          <w:sz w:val="20"/>
          <w:szCs w:val="20"/>
          <w:lang w:val="es-ES"/>
        </w:rPr>
        <w:t xml:space="preserve">C.1 </w:t>
      </w:r>
      <w:r w:rsidRPr="00975C02">
        <w:rPr>
          <w:rFonts w:ascii="Verdana" w:hAnsi="Verdana"/>
          <w:b w:val="0"/>
          <w:i/>
          <w:color w:val="auto"/>
          <w:sz w:val="20"/>
          <w:szCs w:val="20"/>
          <w:lang w:val="es-ES"/>
        </w:rPr>
        <w:tab/>
        <w:t>Rehabilitación</w:t>
      </w:r>
      <w:bookmarkEnd w:id="176"/>
      <w:bookmarkEnd w:id="177"/>
    </w:p>
    <w:p w14:paraId="4B0CD4FE" w14:textId="77777777" w:rsidR="009D661E" w:rsidRPr="00975C02" w:rsidRDefault="009D661E" w:rsidP="009D661E">
      <w:pPr>
        <w:tabs>
          <w:tab w:val="left" w:pos="709"/>
          <w:tab w:val="left" w:pos="1134"/>
        </w:tabs>
        <w:spacing w:line="240" w:lineRule="auto"/>
        <w:rPr>
          <w:sz w:val="20"/>
          <w:szCs w:val="20"/>
          <w:lang w:val="es-ES"/>
        </w:rPr>
      </w:pPr>
    </w:p>
    <w:p w14:paraId="4653F335" w14:textId="64A10978" w:rsidR="009D661E" w:rsidRPr="00975C02" w:rsidRDefault="009D661E" w:rsidP="009D661E">
      <w:pPr>
        <w:numPr>
          <w:ilvl w:val="0"/>
          <w:numId w:val="2"/>
        </w:numPr>
        <w:tabs>
          <w:tab w:val="left" w:pos="567"/>
          <w:tab w:val="num" w:pos="5057"/>
        </w:tabs>
        <w:spacing w:line="240" w:lineRule="auto"/>
        <w:ind w:left="0" w:firstLine="0"/>
        <w:textAlignment w:val="auto"/>
        <w:rPr>
          <w:rFonts w:eastAsia="MS Mincho"/>
          <w:b/>
          <w:sz w:val="20"/>
          <w:szCs w:val="20"/>
          <w:lang w:val="es-ES" w:bidi="en-US"/>
        </w:rPr>
      </w:pPr>
      <w:r w:rsidRPr="00975C02">
        <w:rPr>
          <w:rFonts w:eastAsia="MS Mincho"/>
          <w:sz w:val="20"/>
          <w:szCs w:val="20"/>
          <w:lang w:val="es-ES" w:bidi="en-US"/>
        </w:rPr>
        <w:t xml:space="preserve">La </w:t>
      </w:r>
      <w:r w:rsidRPr="00975C02">
        <w:rPr>
          <w:rFonts w:eastAsia="MS Mincho"/>
          <w:b/>
          <w:i/>
          <w:sz w:val="20"/>
          <w:szCs w:val="20"/>
          <w:lang w:val="es-ES" w:bidi="en-US"/>
        </w:rPr>
        <w:t>Comisión</w:t>
      </w:r>
      <w:r w:rsidRPr="00975C02">
        <w:rPr>
          <w:rFonts w:eastAsia="MS Mincho"/>
          <w:sz w:val="20"/>
          <w:szCs w:val="20"/>
          <w:lang w:val="es-ES" w:bidi="en-US"/>
        </w:rPr>
        <w:t xml:space="preserve"> recomendó brindar, en forma gratuita e inmediata, el tratamiento médico y psicológico o psiquiátrico, según corresponda, a las víctimas que así lo soliciten</w:t>
      </w:r>
      <w:r w:rsidR="00D552B9" w:rsidRPr="00975C02">
        <w:rPr>
          <w:rFonts w:eastAsia="MS Mincho"/>
          <w:sz w:val="20"/>
          <w:szCs w:val="20"/>
          <w:lang w:val="es-ES" w:bidi="en-US"/>
        </w:rPr>
        <w:t>. Asimismo</w:t>
      </w:r>
      <w:r w:rsidRPr="00975C02">
        <w:rPr>
          <w:rFonts w:eastAsia="MS Mincho"/>
          <w:sz w:val="20"/>
          <w:szCs w:val="20"/>
          <w:lang w:val="es-ES" w:bidi="en-US"/>
        </w:rPr>
        <w:t xml:space="preserve">, teniendo en cuenta que </w:t>
      </w:r>
      <w:r w:rsidR="00F53A54" w:rsidRPr="00975C02">
        <w:rPr>
          <w:rFonts w:eastAsia="MS Mincho"/>
          <w:sz w:val="20"/>
          <w:szCs w:val="20"/>
          <w:lang w:val="es-ES" w:bidi="en-US"/>
        </w:rPr>
        <w:t xml:space="preserve">algunas </w:t>
      </w:r>
      <w:r w:rsidRPr="00975C02">
        <w:rPr>
          <w:rFonts w:eastAsia="MS Mincho"/>
          <w:sz w:val="20"/>
          <w:szCs w:val="20"/>
          <w:lang w:val="es-ES" w:bidi="en-US"/>
        </w:rPr>
        <w:t>víctimas se encuentran fuera del país, precisó que esta recomendación puede ser cumplida mediante el otorgamiento de un monto económico que razonablemente permita costear la atención en salud requerida por ellas.</w:t>
      </w:r>
    </w:p>
    <w:p w14:paraId="1DA6176A" w14:textId="77777777" w:rsidR="009D661E" w:rsidRPr="00975C02" w:rsidRDefault="009D661E" w:rsidP="009D661E">
      <w:pPr>
        <w:tabs>
          <w:tab w:val="left" w:pos="0"/>
          <w:tab w:val="num" w:pos="12305"/>
        </w:tabs>
        <w:spacing w:line="240" w:lineRule="auto"/>
        <w:ind w:right="-90"/>
        <w:rPr>
          <w:rFonts w:eastAsia="MS Mincho"/>
          <w:b/>
          <w:sz w:val="20"/>
          <w:szCs w:val="20"/>
          <w:lang w:val="es-ES" w:bidi="en-US"/>
        </w:rPr>
      </w:pPr>
    </w:p>
    <w:p w14:paraId="07DD0B36" w14:textId="087E7CCD" w:rsidR="009D661E" w:rsidRPr="00975C02" w:rsidRDefault="009D661E" w:rsidP="009D661E">
      <w:pPr>
        <w:numPr>
          <w:ilvl w:val="0"/>
          <w:numId w:val="2"/>
        </w:numPr>
        <w:tabs>
          <w:tab w:val="left" w:pos="567"/>
          <w:tab w:val="num" w:pos="5057"/>
        </w:tabs>
        <w:spacing w:line="240" w:lineRule="auto"/>
        <w:ind w:left="0" w:firstLine="0"/>
        <w:textAlignment w:val="auto"/>
        <w:rPr>
          <w:rFonts w:eastAsia="MS Mincho"/>
          <w:sz w:val="20"/>
          <w:szCs w:val="20"/>
          <w:lang w:val="es-ES" w:bidi="en-US"/>
        </w:rPr>
      </w:pPr>
      <w:r w:rsidRPr="00975C02">
        <w:rPr>
          <w:rFonts w:eastAsia="MS Mincho"/>
          <w:sz w:val="20"/>
          <w:szCs w:val="20"/>
          <w:lang w:val="es-ES" w:bidi="en-US"/>
        </w:rPr>
        <w:t xml:space="preserve">Las </w:t>
      </w:r>
      <w:r w:rsidRPr="00975C02">
        <w:rPr>
          <w:rFonts w:eastAsia="MS Mincho"/>
          <w:b/>
          <w:i/>
          <w:sz w:val="20"/>
          <w:szCs w:val="20"/>
          <w:lang w:val="es-ES" w:bidi="en-US"/>
        </w:rPr>
        <w:t>representantes</w:t>
      </w:r>
      <w:r w:rsidRPr="00975C02">
        <w:rPr>
          <w:rFonts w:eastAsia="MS Mincho"/>
          <w:sz w:val="20"/>
          <w:szCs w:val="20"/>
          <w:lang w:val="es-ES" w:bidi="en-US"/>
        </w:rPr>
        <w:t xml:space="preserve"> solicitaron a la Corte que orden</w:t>
      </w:r>
      <w:r w:rsidR="000F6B73" w:rsidRPr="00975C02">
        <w:rPr>
          <w:rFonts w:eastAsia="MS Mincho"/>
          <w:sz w:val="20"/>
          <w:szCs w:val="20"/>
          <w:lang w:val="es-ES" w:bidi="en-US"/>
        </w:rPr>
        <w:t xml:space="preserve">ara </w:t>
      </w:r>
      <w:r w:rsidRPr="00975C02">
        <w:rPr>
          <w:rFonts w:eastAsia="MS Mincho"/>
          <w:sz w:val="20"/>
          <w:szCs w:val="20"/>
          <w:lang w:val="es-ES" w:bidi="en-US"/>
        </w:rPr>
        <w:t>al Estado otorgar a H.J.R.P. y V.A.R.P., qu</w:t>
      </w:r>
      <w:r w:rsidR="000F6B73" w:rsidRPr="00975C02">
        <w:rPr>
          <w:rFonts w:eastAsia="MS Mincho"/>
          <w:sz w:val="20"/>
          <w:szCs w:val="20"/>
          <w:lang w:val="es-ES" w:bidi="en-US"/>
        </w:rPr>
        <w:t>ienes</w:t>
      </w:r>
      <w:r w:rsidRPr="00975C02">
        <w:rPr>
          <w:rFonts w:eastAsia="MS Mincho"/>
          <w:sz w:val="20"/>
          <w:szCs w:val="20"/>
          <w:lang w:val="es-ES" w:bidi="en-US"/>
        </w:rPr>
        <w:t xml:space="preserve"> viven en Nicaragua, tratamiento médico y psicológico en centros especializados, sin costo adicional y de manera gratuita. En relación con V.R.P., V.P.C. y N.R.P., </w:t>
      </w:r>
      <w:r w:rsidR="00AE6175" w:rsidRPr="00975C02">
        <w:rPr>
          <w:rFonts w:eastAsia="MS Mincho"/>
          <w:sz w:val="20"/>
          <w:szCs w:val="20"/>
          <w:lang w:val="es-ES" w:bidi="en-US"/>
        </w:rPr>
        <w:t>en razón</w:t>
      </w:r>
      <w:r w:rsidRPr="00975C02">
        <w:rPr>
          <w:rFonts w:eastAsia="MS Mincho"/>
          <w:sz w:val="20"/>
          <w:szCs w:val="20"/>
          <w:lang w:val="es-ES" w:bidi="en-US"/>
        </w:rPr>
        <w:t xml:space="preserve"> de que ellas no </w:t>
      </w:r>
      <w:r w:rsidR="000F6B73" w:rsidRPr="00975C02">
        <w:rPr>
          <w:rFonts w:eastAsia="MS Mincho"/>
          <w:sz w:val="20"/>
          <w:szCs w:val="20"/>
          <w:lang w:val="es-ES" w:bidi="en-US"/>
        </w:rPr>
        <w:t>residen</w:t>
      </w:r>
      <w:r w:rsidRPr="00975C02">
        <w:rPr>
          <w:rFonts w:eastAsia="MS Mincho"/>
          <w:sz w:val="20"/>
          <w:szCs w:val="20"/>
          <w:lang w:val="es-ES" w:bidi="en-US"/>
        </w:rPr>
        <w:t xml:space="preserve"> en Nicaragua, solicitaron que se disponga el pago en efectivo de un monto prudencial ascendente a US$</w:t>
      </w:r>
      <w:r w:rsidR="00AE6175" w:rsidRPr="00975C02">
        <w:rPr>
          <w:rFonts w:eastAsia="MS Mincho"/>
          <w:sz w:val="20"/>
          <w:szCs w:val="20"/>
          <w:lang w:val="es-ES" w:bidi="en-US"/>
        </w:rPr>
        <w:t xml:space="preserve"> </w:t>
      </w:r>
      <w:r w:rsidRPr="00975C02">
        <w:rPr>
          <w:rFonts w:eastAsia="MS Mincho"/>
          <w:sz w:val="20"/>
          <w:szCs w:val="20"/>
          <w:lang w:val="es-ES" w:bidi="en-US"/>
        </w:rPr>
        <w:t>200</w:t>
      </w:r>
      <w:r w:rsidR="00AE6175" w:rsidRPr="00975C02">
        <w:rPr>
          <w:rFonts w:eastAsia="MS Mincho"/>
          <w:sz w:val="20"/>
          <w:szCs w:val="20"/>
          <w:lang w:val="es-ES" w:bidi="en-US"/>
        </w:rPr>
        <w:t>.</w:t>
      </w:r>
      <w:r w:rsidRPr="00975C02">
        <w:rPr>
          <w:rFonts w:eastAsia="MS Mincho"/>
          <w:sz w:val="20"/>
          <w:szCs w:val="20"/>
          <w:lang w:val="es-ES" w:bidi="en-US"/>
        </w:rPr>
        <w:t>000</w:t>
      </w:r>
      <w:r w:rsidR="00AE6175" w:rsidRPr="00975C02">
        <w:rPr>
          <w:rFonts w:eastAsia="MS Mincho"/>
          <w:sz w:val="20"/>
          <w:szCs w:val="20"/>
          <w:lang w:val="es-ES" w:bidi="en-US"/>
        </w:rPr>
        <w:t>,</w:t>
      </w:r>
      <w:r w:rsidRPr="00975C02">
        <w:rPr>
          <w:rFonts w:eastAsia="MS Mincho"/>
          <w:sz w:val="20"/>
          <w:szCs w:val="20"/>
          <w:lang w:val="es-ES" w:bidi="en-US"/>
        </w:rPr>
        <w:t>00 a favor de V.R.P., US$</w:t>
      </w:r>
      <w:r w:rsidR="00AE6175" w:rsidRPr="00975C02">
        <w:rPr>
          <w:rFonts w:eastAsia="MS Mincho"/>
          <w:sz w:val="20"/>
          <w:szCs w:val="20"/>
          <w:lang w:val="es-ES" w:bidi="en-US"/>
        </w:rPr>
        <w:t xml:space="preserve"> </w:t>
      </w:r>
      <w:r w:rsidRPr="00975C02">
        <w:rPr>
          <w:rFonts w:eastAsia="MS Mincho"/>
          <w:sz w:val="20"/>
          <w:szCs w:val="20"/>
          <w:lang w:val="es-ES" w:bidi="en-US"/>
        </w:rPr>
        <w:t>75</w:t>
      </w:r>
      <w:r w:rsidR="00AE6175" w:rsidRPr="00975C02">
        <w:rPr>
          <w:rFonts w:eastAsia="MS Mincho"/>
          <w:sz w:val="20"/>
          <w:szCs w:val="20"/>
          <w:lang w:val="es-ES" w:bidi="en-US"/>
        </w:rPr>
        <w:t>.</w:t>
      </w:r>
      <w:r w:rsidRPr="00975C02">
        <w:rPr>
          <w:rFonts w:eastAsia="MS Mincho"/>
          <w:sz w:val="20"/>
          <w:szCs w:val="20"/>
          <w:lang w:val="es-ES" w:bidi="en-US"/>
        </w:rPr>
        <w:t>000</w:t>
      </w:r>
      <w:r w:rsidR="00AE6175" w:rsidRPr="00975C02">
        <w:rPr>
          <w:rFonts w:eastAsia="MS Mincho"/>
          <w:sz w:val="20"/>
          <w:szCs w:val="20"/>
          <w:lang w:val="es-ES" w:bidi="en-US"/>
        </w:rPr>
        <w:t>,</w:t>
      </w:r>
      <w:r w:rsidRPr="00975C02">
        <w:rPr>
          <w:rFonts w:eastAsia="MS Mincho"/>
          <w:sz w:val="20"/>
          <w:szCs w:val="20"/>
          <w:lang w:val="es-ES" w:bidi="en-US"/>
        </w:rPr>
        <w:t>00 a V.P.C. y US$</w:t>
      </w:r>
      <w:r w:rsidR="00AE6175" w:rsidRPr="00975C02">
        <w:rPr>
          <w:rFonts w:eastAsia="MS Mincho"/>
          <w:sz w:val="20"/>
          <w:szCs w:val="20"/>
          <w:lang w:val="es-ES" w:bidi="en-US"/>
        </w:rPr>
        <w:t xml:space="preserve"> </w:t>
      </w:r>
      <w:r w:rsidRPr="00975C02">
        <w:rPr>
          <w:rFonts w:eastAsia="MS Mincho"/>
          <w:sz w:val="20"/>
          <w:szCs w:val="20"/>
          <w:lang w:val="es-ES" w:bidi="en-US"/>
        </w:rPr>
        <w:t>30</w:t>
      </w:r>
      <w:r w:rsidR="00AE6175" w:rsidRPr="00975C02">
        <w:rPr>
          <w:rFonts w:eastAsia="MS Mincho"/>
          <w:sz w:val="20"/>
          <w:szCs w:val="20"/>
          <w:lang w:val="es-ES" w:bidi="en-US"/>
        </w:rPr>
        <w:t>.</w:t>
      </w:r>
      <w:r w:rsidRPr="00975C02">
        <w:rPr>
          <w:rFonts w:eastAsia="MS Mincho"/>
          <w:sz w:val="20"/>
          <w:szCs w:val="20"/>
          <w:lang w:val="es-ES" w:bidi="en-US"/>
        </w:rPr>
        <w:t>000</w:t>
      </w:r>
      <w:r w:rsidR="00AE6175" w:rsidRPr="00975C02">
        <w:rPr>
          <w:rFonts w:eastAsia="MS Mincho"/>
          <w:sz w:val="20"/>
          <w:szCs w:val="20"/>
          <w:lang w:val="es-ES" w:bidi="en-US"/>
        </w:rPr>
        <w:t>,</w:t>
      </w:r>
      <w:r w:rsidRPr="00975C02">
        <w:rPr>
          <w:rFonts w:eastAsia="MS Mincho"/>
          <w:sz w:val="20"/>
          <w:szCs w:val="20"/>
          <w:lang w:val="es-ES" w:bidi="en-US"/>
        </w:rPr>
        <w:t>00 a N.R.P., para que puedan cubrir su tratamiento psicológico y psiquiátrico, así como el costo de los medicamentos que se prescriban para su recuperación.</w:t>
      </w:r>
    </w:p>
    <w:p w14:paraId="4603D7F4" w14:textId="77777777" w:rsidR="009D661E" w:rsidRPr="00975C02" w:rsidRDefault="009D661E" w:rsidP="009D661E">
      <w:pPr>
        <w:tabs>
          <w:tab w:val="left" w:pos="709"/>
          <w:tab w:val="left" w:pos="1134"/>
        </w:tabs>
        <w:spacing w:line="240" w:lineRule="auto"/>
        <w:rPr>
          <w:b/>
          <w:sz w:val="20"/>
          <w:szCs w:val="20"/>
          <w:lang w:val="es-ES"/>
        </w:rPr>
      </w:pPr>
    </w:p>
    <w:p w14:paraId="1C809478" w14:textId="7A7E306C" w:rsidR="009D661E" w:rsidRPr="00975C02" w:rsidRDefault="009D661E" w:rsidP="009D661E">
      <w:pPr>
        <w:numPr>
          <w:ilvl w:val="0"/>
          <w:numId w:val="2"/>
        </w:numPr>
        <w:tabs>
          <w:tab w:val="left" w:pos="567"/>
          <w:tab w:val="num" w:pos="5057"/>
        </w:tabs>
        <w:spacing w:line="240" w:lineRule="auto"/>
        <w:ind w:left="0" w:firstLine="0"/>
        <w:textAlignment w:val="auto"/>
        <w:rPr>
          <w:rFonts w:eastAsia="MS Mincho"/>
          <w:b/>
          <w:sz w:val="20"/>
          <w:szCs w:val="20"/>
          <w:lang w:val="es-ES" w:bidi="en-US"/>
        </w:rPr>
      </w:pPr>
      <w:r w:rsidRPr="00975C02">
        <w:rPr>
          <w:rFonts w:eastAsia="MS Mincho"/>
          <w:sz w:val="20"/>
          <w:szCs w:val="20"/>
          <w:lang w:val="es-ES" w:bidi="en-US"/>
        </w:rPr>
        <w:t xml:space="preserve">El </w:t>
      </w:r>
      <w:r w:rsidRPr="00975C02">
        <w:rPr>
          <w:rFonts w:eastAsia="MS Mincho"/>
          <w:b/>
          <w:i/>
          <w:sz w:val="20"/>
          <w:szCs w:val="20"/>
          <w:lang w:val="es-ES" w:bidi="en-US"/>
        </w:rPr>
        <w:t>Estado</w:t>
      </w:r>
      <w:r w:rsidRPr="00975C02">
        <w:rPr>
          <w:rFonts w:eastAsia="MS Mincho"/>
          <w:sz w:val="20"/>
          <w:szCs w:val="20"/>
          <w:lang w:val="es-ES" w:bidi="en-US"/>
        </w:rPr>
        <w:t xml:space="preserve">, no reconoció como presuntas víctimas a </w:t>
      </w:r>
      <w:r w:rsidR="000F6B73" w:rsidRPr="00975C02">
        <w:rPr>
          <w:rFonts w:eastAsia="MS Mincho"/>
          <w:sz w:val="20"/>
          <w:szCs w:val="20"/>
          <w:lang w:val="es-ES" w:bidi="en-US"/>
        </w:rPr>
        <w:t xml:space="preserve">H.J.R.P. y </w:t>
      </w:r>
      <w:r w:rsidRPr="00975C02">
        <w:rPr>
          <w:rFonts w:eastAsia="MS Mincho"/>
          <w:sz w:val="20"/>
          <w:szCs w:val="20"/>
          <w:lang w:val="es-ES" w:bidi="en-US"/>
        </w:rPr>
        <w:t>V.A.R.P.</w:t>
      </w:r>
      <w:r w:rsidR="000F6B73" w:rsidRPr="00975C02">
        <w:rPr>
          <w:rFonts w:eastAsia="MS Mincho"/>
          <w:sz w:val="20"/>
          <w:szCs w:val="20"/>
          <w:lang w:val="es-ES" w:bidi="en-US"/>
        </w:rPr>
        <w:t>,</w:t>
      </w:r>
      <w:r w:rsidRPr="00975C02">
        <w:rPr>
          <w:rFonts w:eastAsia="MS Mincho"/>
          <w:sz w:val="20"/>
          <w:szCs w:val="20"/>
          <w:lang w:val="es-ES" w:bidi="en-US"/>
        </w:rPr>
        <w:t xml:space="preserve"> arguyendo que no se acreditó tal condición ni en el informe de admisibilidad ni en el informe de fondo de la Comisión; agregó, no obstante ello, que el sistema nacional de salud en Nicaragua cuenta con hospitales especializados, clínicas y centros de salud totalmente gratuitos y de acceso a toda la población nacional y extranjera. Precisó que la situación de N.R.P. es idéntica a la de sus hermanos porque no se encuentra acreditada como presunta víctima.</w:t>
      </w:r>
    </w:p>
    <w:p w14:paraId="0BCC777E" w14:textId="77777777" w:rsidR="009D661E" w:rsidRPr="00975C02" w:rsidRDefault="009D661E" w:rsidP="009D661E">
      <w:pPr>
        <w:tabs>
          <w:tab w:val="left" w:pos="567"/>
        </w:tabs>
        <w:spacing w:line="240" w:lineRule="auto"/>
        <w:textAlignment w:val="auto"/>
        <w:rPr>
          <w:rFonts w:eastAsia="MS Mincho"/>
          <w:b/>
          <w:sz w:val="20"/>
          <w:szCs w:val="20"/>
          <w:lang w:val="es-ES" w:bidi="en-US"/>
        </w:rPr>
      </w:pPr>
    </w:p>
    <w:p w14:paraId="3E10E395" w14:textId="334A6923" w:rsidR="009D661E" w:rsidRPr="00975C02" w:rsidRDefault="009D661E" w:rsidP="009D661E">
      <w:pPr>
        <w:numPr>
          <w:ilvl w:val="0"/>
          <w:numId w:val="2"/>
        </w:numPr>
        <w:tabs>
          <w:tab w:val="left" w:pos="567"/>
          <w:tab w:val="num" w:pos="5057"/>
        </w:tabs>
        <w:spacing w:line="240" w:lineRule="auto"/>
        <w:ind w:left="0" w:firstLine="0"/>
        <w:textAlignment w:val="auto"/>
        <w:rPr>
          <w:rFonts w:eastAsia="MS Mincho"/>
          <w:b/>
          <w:sz w:val="20"/>
          <w:szCs w:val="20"/>
          <w:lang w:val="es-ES" w:bidi="en-US"/>
        </w:rPr>
      </w:pPr>
      <w:r w:rsidRPr="00975C02">
        <w:rPr>
          <w:rFonts w:eastAsia="MS Mincho"/>
          <w:sz w:val="20"/>
          <w:szCs w:val="20"/>
          <w:lang w:val="es-ES" w:bidi="en-US"/>
        </w:rPr>
        <w:t xml:space="preserve">Por otro lado, respecto a V.R.P. y V.P.C., </w:t>
      </w:r>
      <w:r w:rsidR="00AE6175" w:rsidRPr="00975C02">
        <w:rPr>
          <w:rFonts w:eastAsia="MS Mincho"/>
          <w:sz w:val="20"/>
          <w:szCs w:val="20"/>
          <w:lang w:val="es-ES" w:bidi="en-US"/>
        </w:rPr>
        <w:t xml:space="preserve">el Estado </w:t>
      </w:r>
      <w:r w:rsidRPr="00975C02">
        <w:rPr>
          <w:rFonts w:eastAsia="MS Mincho"/>
          <w:sz w:val="20"/>
          <w:szCs w:val="20"/>
          <w:lang w:val="es-ES" w:bidi="en-US"/>
        </w:rPr>
        <w:t xml:space="preserve">adujo que debe realizarse una “valoración psicológica” que tome en cuenta la “valoración de salud física cuya causa podría provenir de los hechos puestos en conocimiento de la Corte”, lo que permitiría determinar el tipo de tratamiento que corresponde y, consecuentemente, el monto que procedería otorgarles como medida de rehabilitación acorde a parámetros nacionales, y no </w:t>
      </w:r>
      <w:r w:rsidR="00AE6175" w:rsidRPr="00975C02">
        <w:rPr>
          <w:rFonts w:eastAsia="MS Mincho"/>
          <w:sz w:val="20"/>
          <w:szCs w:val="20"/>
          <w:lang w:val="es-ES" w:bidi="en-US"/>
        </w:rPr>
        <w:t xml:space="preserve">con </w:t>
      </w:r>
      <w:r w:rsidRPr="00975C02">
        <w:rPr>
          <w:rFonts w:eastAsia="MS Mincho"/>
          <w:sz w:val="20"/>
          <w:szCs w:val="20"/>
          <w:lang w:val="es-ES" w:bidi="en-US"/>
        </w:rPr>
        <w:t>relación al parámetro del valor de la salud en los Estados Unidos</w:t>
      </w:r>
      <w:r w:rsidR="00F53A54" w:rsidRPr="00975C02">
        <w:rPr>
          <w:rFonts w:eastAsia="MS Mincho"/>
          <w:sz w:val="20"/>
          <w:szCs w:val="20"/>
          <w:lang w:val="es-ES" w:bidi="en-US"/>
        </w:rPr>
        <w:t>.</w:t>
      </w:r>
      <w:r w:rsidRPr="00975C02">
        <w:rPr>
          <w:rFonts w:eastAsia="MS Mincho"/>
          <w:sz w:val="20"/>
          <w:szCs w:val="20"/>
          <w:lang w:val="es-ES" w:bidi="en-US"/>
        </w:rPr>
        <w:t xml:space="preserve"> En tal sentido, ofreció la atención gratuita e inmediata en Nicaragua para V.P.C. y V.P.R.</w:t>
      </w:r>
      <w:r w:rsidR="003875EC" w:rsidRPr="00975C02">
        <w:rPr>
          <w:rFonts w:eastAsia="MS Mincho"/>
          <w:sz w:val="20"/>
          <w:szCs w:val="20"/>
          <w:lang w:val="es-ES" w:bidi="en-US"/>
        </w:rPr>
        <w:t>,</w:t>
      </w:r>
      <w:r w:rsidRPr="00975C02">
        <w:rPr>
          <w:rFonts w:eastAsia="MS Mincho"/>
          <w:sz w:val="20"/>
          <w:szCs w:val="20"/>
          <w:lang w:val="es-ES" w:bidi="en-US"/>
        </w:rPr>
        <w:t xml:space="preserve"> dado que sobre ellas no existe ninguna orden de restricción para acceder a su territorio.</w:t>
      </w:r>
    </w:p>
    <w:p w14:paraId="28F7978F" w14:textId="77777777" w:rsidR="009D661E" w:rsidRPr="00975C02" w:rsidRDefault="009D661E" w:rsidP="009D661E">
      <w:pPr>
        <w:tabs>
          <w:tab w:val="left" w:pos="567"/>
        </w:tabs>
        <w:spacing w:line="240" w:lineRule="auto"/>
        <w:textAlignment w:val="auto"/>
        <w:rPr>
          <w:rFonts w:eastAsia="MS Mincho"/>
          <w:b/>
          <w:sz w:val="20"/>
          <w:szCs w:val="20"/>
          <w:lang w:val="es-ES" w:bidi="en-US"/>
        </w:rPr>
      </w:pPr>
    </w:p>
    <w:p w14:paraId="3D7E06EA" w14:textId="2CD73B04" w:rsidR="009D661E" w:rsidRPr="00975C02" w:rsidRDefault="009D661E" w:rsidP="009D661E">
      <w:pPr>
        <w:numPr>
          <w:ilvl w:val="0"/>
          <w:numId w:val="2"/>
        </w:numPr>
        <w:tabs>
          <w:tab w:val="left" w:pos="567"/>
          <w:tab w:val="num" w:pos="5057"/>
        </w:tabs>
        <w:spacing w:line="240" w:lineRule="auto"/>
        <w:ind w:left="0" w:firstLine="0"/>
        <w:textAlignment w:val="auto"/>
        <w:rPr>
          <w:rFonts w:eastAsia="MS Mincho"/>
          <w:b/>
          <w:sz w:val="20"/>
          <w:szCs w:val="20"/>
          <w:lang w:val="es-ES" w:bidi="en-US"/>
        </w:rPr>
      </w:pPr>
      <w:r w:rsidRPr="00975C02">
        <w:rPr>
          <w:sz w:val="20"/>
          <w:szCs w:val="20"/>
          <w:lang w:val="es-ES"/>
        </w:rPr>
        <w:t xml:space="preserve">Habiendo constatado las </w:t>
      </w:r>
      <w:r w:rsidR="003875EC" w:rsidRPr="00975C02">
        <w:rPr>
          <w:sz w:val="20"/>
          <w:szCs w:val="20"/>
          <w:lang w:val="es-ES"/>
        </w:rPr>
        <w:t xml:space="preserve">graves </w:t>
      </w:r>
      <w:r w:rsidRPr="00975C02">
        <w:rPr>
          <w:sz w:val="20"/>
          <w:szCs w:val="20"/>
          <w:lang w:val="es-ES"/>
        </w:rPr>
        <w:t>afectaciones a la integridad personal sufridas por V.R.P. y sus familiares a raíz de los hechos del presente caso, la Corte estima, como lo ha hecho en otros casos</w:t>
      </w:r>
      <w:r w:rsidRPr="00975C02">
        <w:rPr>
          <w:sz w:val="20"/>
          <w:szCs w:val="20"/>
          <w:vertAlign w:val="superscript"/>
          <w:lang w:val="es-ES"/>
        </w:rPr>
        <w:footnoteReference w:id="425"/>
      </w:r>
      <w:r w:rsidRPr="00975C02">
        <w:rPr>
          <w:sz w:val="20"/>
          <w:szCs w:val="20"/>
          <w:lang w:val="es-ES"/>
        </w:rPr>
        <w:t xml:space="preserve">, que es preciso disponer una medida de reparación que brinde una atención adecuada a los padecimientos </w:t>
      </w:r>
      <w:r w:rsidR="000F6B73" w:rsidRPr="00975C02">
        <w:rPr>
          <w:sz w:val="20"/>
          <w:szCs w:val="20"/>
          <w:lang w:val="es-ES"/>
        </w:rPr>
        <w:t xml:space="preserve">físicos, </w:t>
      </w:r>
      <w:r w:rsidRPr="00975C02">
        <w:rPr>
          <w:sz w:val="20"/>
          <w:szCs w:val="20"/>
          <w:lang w:val="es-ES"/>
        </w:rPr>
        <w:t>psicológicos y</w:t>
      </w:r>
      <w:r w:rsidR="000F6B73" w:rsidRPr="00975C02">
        <w:rPr>
          <w:sz w:val="20"/>
          <w:szCs w:val="20"/>
          <w:lang w:val="es-ES"/>
        </w:rPr>
        <w:t>/o psiquiátricos</w:t>
      </w:r>
      <w:r w:rsidRPr="00975C02">
        <w:rPr>
          <w:sz w:val="20"/>
          <w:szCs w:val="20"/>
          <w:lang w:val="es-ES"/>
        </w:rPr>
        <w:t xml:space="preserve"> sufridos por las víctimas derivados de las violaciones establecidas en la presente Sentencia.</w:t>
      </w:r>
    </w:p>
    <w:p w14:paraId="26DC212A" w14:textId="77777777" w:rsidR="009D661E" w:rsidRPr="00975C02" w:rsidRDefault="009D661E" w:rsidP="009D661E">
      <w:pPr>
        <w:pStyle w:val="ListParagraph"/>
        <w:spacing w:line="240" w:lineRule="auto"/>
        <w:rPr>
          <w:sz w:val="20"/>
          <w:szCs w:val="20"/>
          <w:lang w:val="es-ES"/>
        </w:rPr>
      </w:pPr>
    </w:p>
    <w:p w14:paraId="65F12026" w14:textId="470A489D" w:rsidR="009D661E" w:rsidRPr="00975C02" w:rsidRDefault="009D661E" w:rsidP="009D661E">
      <w:pPr>
        <w:numPr>
          <w:ilvl w:val="0"/>
          <w:numId w:val="2"/>
        </w:numPr>
        <w:tabs>
          <w:tab w:val="left" w:pos="567"/>
          <w:tab w:val="num" w:pos="5057"/>
        </w:tabs>
        <w:spacing w:line="240" w:lineRule="auto"/>
        <w:ind w:left="0" w:firstLine="0"/>
        <w:textAlignment w:val="auto"/>
        <w:rPr>
          <w:rFonts w:eastAsia="MS Mincho"/>
          <w:b/>
          <w:sz w:val="20"/>
          <w:szCs w:val="20"/>
          <w:lang w:val="es-ES" w:bidi="en-US"/>
        </w:rPr>
      </w:pPr>
      <w:r w:rsidRPr="00975C02">
        <w:rPr>
          <w:sz w:val="20"/>
          <w:szCs w:val="20"/>
          <w:lang w:val="es-ES"/>
        </w:rPr>
        <w:t xml:space="preserve">Con el fin de contribuir a la reparación de los daños </w:t>
      </w:r>
      <w:r w:rsidR="000F6B73" w:rsidRPr="00975C02">
        <w:rPr>
          <w:sz w:val="20"/>
          <w:szCs w:val="20"/>
          <w:lang w:val="es-ES"/>
        </w:rPr>
        <w:t xml:space="preserve">físicos, </w:t>
      </w:r>
      <w:r w:rsidRPr="00975C02">
        <w:rPr>
          <w:sz w:val="20"/>
          <w:szCs w:val="20"/>
          <w:lang w:val="es-ES"/>
        </w:rPr>
        <w:t>psicológicos y/o psiquiátricos sufridos por V.R.P., y considerando que no reside en Nicaragua, el Tribunal dispone la obligación a cargo del Estado de otorgarle, por una única vez, la suma de US$</w:t>
      </w:r>
      <w:r w:rsidR="008F1161" w:rsidRPr="00975C02">
        <w:rPr>
          <w:sz w:val="20"/>
          <w:szCs w:val="20"/>
          <w:lang w:val="es-ES"/>
        </w:rPr>
        <w:t xml:space="preserve"> </w:t>
      </w:r>
      <w:r w:rsidR="00015005" w:rsidRPr="00975C02">
        <w:rPr>
          <w:sz w:val="20"/>
          <w:szCs w:val="20"/>
          <w:lang w:val="es-ES"/>
        </w:rPr>
        <w:t>7</w:t>
      </w:r>
      <w:r w:rsidRPr="00975C02">
        <w:rPr>
          <w:sz w:val="20"/>
          <w:szCs w:val="20"/>
          <w:lang w:val="es-ES"/>
        </w:rPr>
        <w:t>5</w:t>
      </w:r>
      <w:r w:rsidR="008F1161" w:rsidRPr="00975C02">
        <w:rPr>
          <w:sz w:val="20"/>
          <w:szCs w:val="20"/>
          <w:lang w:val="es-ES"/>
        </w:rPr>
        <w:t>.</w:t>
      </w:r>
      <w:r w:rsidRPr="00975C02">
        <w:rPr>
          <w:sz w:val="20"/>
          <w:szCs w:val="20"/>
          <w:lang w:val="es-ES"/>
        </w:rPr>
        <w:t>000</w:t>
      </w:r>
      <w:r w:rsidR="008F1161" w:rsidRPr="00975C02">
        <w:rPr>
          <w:sz w:val="20"/>
          <w:szCs w:val="20"/>
          <w:lang w:val="es-ES"/>
        </w:rPr>
        <w:t>,00</w:t>
      </w:r>
      <w:r w:rsidRPr="00975C02">
        <w:rPr>
          <w:sz w:val="20"/>
          <w:szCs w:val="20"/>
          <w:lang w:val="es-ES"/>
        </w:rPr>
        <w:t xml:space="preserve"> </w:t>
      </w:r>
      <w:r w:rsidR="00015005" w:rsidRPr="00975C02">
        <w:rPr>
          <w:sz w:val="20"/>
          <w:szCs w:val="20"/>
          <w:lang w:val="es-ES"/>
        </w:rPr>
        <w:t>(</w:t>
      </w:r>
      <w:r w:rsidR="008F1161" w:rsidRPr="00975C02">
        <w:rPr>
          <w:sz w:val="20"/>
          <w:szCs w:val="20"/>
          <w:lang w:val="es-ES"/>
        </w:rPr>
        <w:t>setenta</w:t>
      </w:r>
      <w:r w:rsidR="00015005" w:rsidRPr="00975C02">
        <w:rPr>
          <w:sz w:val="20"/>
          <w:szCs w:val="20"/>
          <w:lang w:val="es-ES"/>
        </w:rPr>
        <w:t xml:space="preserve"> y cinco </w:t>
      </w:r>
      <w:r w:rsidRPr="00975C02">
        <w:rPr>
          <w:sz w:val="20"/>
          <w:szCs w:val="20"/>
          <w:lang w:val="es-ES"/>
        </w:rPr>
        <w:t xml:space="preserve">mil dólares de los Estados Unidos de América), por concepto de gastos por tratamiento </w:t>
      </w:r>
      <w:r w:rsidR="00A767BC" w:rsidRPr="00975C02">
        <w:rPr>
          <w:sz w:val="20"/>
          <w:szCs w:val="20"/>
          <w:lang w:val="es-ES"/>
        </w:rPr>
        <w:t>médico</w:t>
      </w:r>
      <w:r w:rsidR="000F6B73" w:rsidRPr="00975C02">
        <w:rPr>
          <w:sz w:val="20"/>
          <w:szCs w:val="20"/>
          <w:lang w:val="es-ES"/>
        </w:rPr>
        <w:t xml:space="preserve">, </w:t>
      </w:r>
      <w:r w:rsidRPr="00975C02">
        <w:rPr>
          <w:sz w:val="20"/>
          <w:szCs w:val="20"/>
          <w:lang w:val="es-ES"/>
        </w:rPr>
        <w:t xml:space="preserve">psicológico </w:t>
      </w:r>
      <w:r w:rsidR="000F6B73" w:rsidRPr="00975C02">
        <w:rPr>
          <w:sz w:val="20"/>
          <w:szCs w:val="20"/>
          <w:lang w:val="es-ES"/>
        </w:rPr>
        <w:t>y/</w:t>
      </w:r>
      <w:r w:rsidRPr="00975C02">
        <w:rPr>
          <w:sz w:val="20"/>
          <w:szCs w:val="20"/>
          <w:lang w:val="es-ES"/>
        </w:rPr>
        <w:t>o psiquiátrico, así como por medicamentos y otros gastos conexos, para que pueda recibir dicha atención en el lugar donde resida.</w:t>
      </w:r>
      <w:r w:rsidRPr="00975C02">
        <w:rPr>
          <w:rFonts w:eastAsia="MS Mincho"/>
          <w:b/>
          <w:sz w:val="20"/>
          <w:szCs w:val="20"/>
          <w:lang w:val="es-ES" w:bidi="en-US"/>
        </w:rPr>
        <w:t xml:space="preserve"> </w:t>
      </w:r>
      <w:r w:rsidRPr="00975C02">
        <w:rPr>
          <w:sz w:val="20"/>
          <w:szCs w:val="20"/>
          <w:lang w:val="es-ES"/>
        </w:rPr>
        <w:t>En relación con los daños sufridos por V.P.C. y N.R.P., y tomando en cuenta que también residen fuera de Nicaragua, la Corte ordena la obligación a cargo del Estado de otorgarles, por una única vez, las sumas de US$</w:t>
      </w:r>
      <w:r w:rsidR="008F1161" w:rsidRPr="00975C02">
        <w:rPr>
          <w:sz w:val="20"/>
          <w:szCs w:val="20"/>
          <w:lang w:val="es-ES"/>
        </w:rPr>
        <w:t xml:space="preserve"> </w:t>
      </w:r>
      <w:r w:rsidR="00015005" w:rsidRPr="00975C02">
        <w:rPr>
          <w:sz w:val="20"/>
          <w:szCs w:val="20"/>
          <w:lang w:val="es-ES"/>
        </w:rPr>
        <w:t>50</w:t>
      </w:r>
      <w:r w:rsidR="008F1161" w:rsidRPr="00975C02">
        <w:rPr>
          <w:sz w:val="20"/>
          <w:szCs w:val="20"/>
          <w:lang w:val="es-ES"/>
        </w:rPr>
        <w:t>.</w:t>
      </w:r>
      <w:r w:rsidRPr="00975C02">
        <w:rPr>
          <w:sz w:val="20"/>
          <w:szCs w:val="20"/>
          <w:lang w:val="es-ES"/>
        </w:rPr>
        <w:t>000</w:t>
      </w:r>
      <w:r w:rsidR="008F1161" w:rsidRPr="00975C02">
        <w:rPr>
          <w:sz w:val="20"/>
          <w:szCs w:val="20"/>
          <w:lang w:val="es-ES"/>
        </w:rPr>
        <w:t>,00</w:t>
      </w:r>
      <w:r w:rsidRPr="00975C02">
        <w:rPr>
          <w:sz w:val="20"/>
          <w:szCs w:val="20"/>
          <w:lang w:val="es-ES"/>
        </w:rPr>
        <w:t xml:space="preserve"> (</w:t>
      </w:r>
      <w:r w:rsidR="00015005" w:rsidRPr="00975C02">
        <w:rPr>
          <w:sz w:val="20"/>
          <w:szCs w:val="20"/>
          <w:lang w:val="es-ES"/>
        </w:rPr>
        <w:t>cincuenta</w:t>
      </w:r>
      <w:r w:rsidRPr="00975C02">
        <w:rPr>
          <w:sz w:val="20"/>
          <w:szCs w:val="20"/>
          <w:lang w:val="es-ES"/>
        </w:rPr>
        <w:t xml:space="preserve"> mil dólares de los Estados Unidos de América), y US$</w:t>
      </w:r>
      <w:r w:rsidR="008F1161" w:rsidRPr="00975C02">
        <w:rPr>
          <w:sz w:val="20"/>
          <w:szCs w:val="20"/>
          <w:lang w:val="es-ES"/>
        </w:rPr>
        <w:t xml:space="preserve"> </w:t>
      </w:r>
      <w:r w:rsidR="00015005" w:rsidRPr="00975C02">
        <w:rPr>
          <w:sz w:val="20"/>
          <w:szCs w:val="20"/>
          <w:lang w:val="es-ES"/>
        </w:rPr>
        <w:t>20</w:t>
      </w:r>
      <w:r w:rsidR="008F1161" w:rsidRPr="00975C02">
        <w:rPr>
          <w:sz w:val="20"/>
          <w:szCs w:val="20"/>
          <w:lang w:val="es-ES"/>
        </w:rPr>
        <w:t>.</w:t>
      </w:r>
      <w:r w:rsidRPr="00975C02">
        <w:rPr>
          <w:sz w:val="20"/>
          <w:szCs w:val="20"/>
          <w:lang w:val="es-ES"/>
        </w:rPr>
        <w:t>000</w:t>
      </w:r>
      <w:r w:rsidR="008F1161" w:rsidRPr="00975C02">
        <w:rPr>
          <w:sz w:val="20"/>
          <w:szCs w:val="20"/>
          <w:lang w:val="es-ES"/>
        </w:rPr>
        <w:t>,00</w:t>
      </w:r>
      <w:r w:rsidRPr="00975C02">
        <w:rPr>
          <w:sz w:val="20"/>
          <w:szCs w:val="20"/>
          <w:lang w:val="es-ES"/>
        </w:rPr>
        <w:t xml:space="preserve"> (</w:t>
      </w:r>
      <w:r w:rsidR="00015005" w:rsidRPr="00975C02">
        <w:rPr>
          <w:sz w:val="20"/>
          <w:szCs w:val="20"/>
          <w:lang w:val="es-ES"/>
        </w:rPr>
        <w:t>veinte</w:t>
      </w:r>
      <w:r w:rsidRPr="00975C02">
        <w:rPr>
          <w:sz w:val="20"/>
          <w:szCs w:val="20"/>
          <w:lang w:val="es-ES"/>
        </w:rPr>
        <w:t xml:space="preserve"> mil dólares de los Estados Unidos de América), respectivamente, por concepto de gastos por tratamiento psicológico y/o psiquiátrico, así como por medicamentos y otros gastos conexos, para que puedan recibir dicha atención en el lugar donde residan.</w:t>
      </w:r>
      <w:r w:rsidR="000F6B73" w:rsidRPr="00975C02">
        <w:rPr>
          <w:rFonts w:eastAsia="MS Mincho"/>
          <w:b/>
          <w:sz w:val="20"/>
          <w:szCs w:val="20"/>
          <w:lang w:val="es-ES" w:bidi="en-US"/>
        </w:rPr>
        <w:t xml:space="preserve"> </w:t>
      </w:r>
      <w:r w:rsidR="000F6B73" w:rsidRPr="00975C02">
        <w:rPr>
          <w:rFonts w:eastAsia="MS Mincho"/>
          <w:sz w:val="20"/>
          <w:szCs w:val="20"/>
          <w:lang w:val="es-ES" w:bidi="en-US"/>
        </w:rPr>
        <w:t>E</w:t>
      </w:r>
      <w:r w:rsidRPr="00975C02">
        <w:rPr>
          <w:rFonts w:eastAsia="MS Mincho"/>
          <w:sz w:val="20"/>
          <w:szCs w:val="20"/>
          <w:lang w:val="es-ES" w:bidi="en-US"/>
        </w:rPr>
        <w:t xml:space="preserve">l Estado dispondrá del plazo de </w:t>
      </w:r>
      <w:r w:rsidR="00352F2A" w:rsidRPr="00975C02">
        <w:rPr>
          <w:rFonts w:eastAsia="MS Mincho"/>
          <w:sz w:val="20"/>
          <w:szCs w:val="20"/>
          <w:lang w:val="es-ES" w:bidi="en-US"/>
        </w:rPr>
        <w:t>un año</w:t>
      </w:r>
      <w:r w:rsidRPr="00975C02">
        <w:rPr>
          <w:rFonts w:eastAsia="MS Mincho"/>
          <w:sz w:val="20"/>
          <w:szCs w:val="20"/>
          <w:lang w:val="es-ES" w:bidi="en-US"/>
        </w:rPr>
        <w:t>,</w:t>
      </w:r>
      <w:r w:rsidR="00352F2A" w:rsidRPr="00975C02">
        <w:rPr>
          <w:rFonts w:eastAsia="MS Mincho"/>
          <w:sz w:val="20"/>
          <w:szCs w:val="20"/>
          <w:lang w:val="es-ES" w:bidi="en-US"/>
        </w:rPr>
        <w:t xml:space="preserve"> </w:t>
      </w:r>
      <w:r w:rsidRPr="00975C02">
        <w:rPr>
          <w:rFonts w:eastAsia="MS Mincho"/>
          <w:sz w:val="20"/>
          <w:szCs w:val="20"/>
          <w:lang w:val="es-ES" w:bidi="en-US"/>
        </w:rPr>
        <w:t xml:space="preserve">contado a partir de la </w:t>
      </w:r>
      <w:r w:rsidR="00352F2A" w:rsidRPr="00975C02">
        <w:rPr>
          <w:rFonts w:eastAsia="MS Mincho"/>
          <w:sz w:val="20"/>
          <w:szCs w:val="20"/>
          <w:lang w:val="es-ES" w:bidi="en-US"/>
        </w:rPr>
        <w:t>notificación de la presente Sentencia, para realizar los pagos a cada una de las víctimas indicadas.</w:t>
      </w:r>
    </w:p>
    <w:p w14:paraId="6E6B2E1D" w14:textId="77777777" w:rsidR="009D661E" w:rsidRPr="00975C02" w:rsidRDefault="009D661E" w:rsidP="009D661E">
      <w:pPr>
        <w:tabs>
          <w:tab w:val="left" w:pos="567"/>
        </w:tabs>
        <w:spacing w:line="240" w:lineRule="auto"/>
        <w:textAlignment w:val="auto"/>
        <w:rPr>
          <w:rFonts w:eastAsia="MS Mincho"/>
          <w:b/>
          <w:sz w:val="20"/>
          <w:szCs w:val="20"/>
          <w:lang w:val="es-ES" w:bidi="en-US"/>
        </w:rPr>
      </w:pPr>
    </w:p>
    <w:p w14:paraId="20D50659" w14:textId="16676DA3" w:rsidR="009D661E" w:rsidRPr="00975C02" w:rsidRDefault="00352F2A" w:rsidP="009D661E">
      <w:pPr>
        <w:numPr>
          <w:ilvl w:val="0"/>
          <w:numId w:val="2"/>
        </w:numPr>
        <w:tabs>
          <w:tab w:val="left" w:pos="567"/>
          <w:tab w:val="num" w:pos="5057"/>
        </w:tabs>
        <w:spacing w:line="240" w:lineRule="auto"/>
        <w:ind w:left="0" w:firstLine="0"/>
        <w:textAlignment w:val="auto"/>
        <w:rPr>
          <w:rFonts w:eastAsia="MS Mincho"/>
          <w:b/>
          <w:sz w:val="20"/>
          <w:szCs w:val="20"/>
          <w:lang w:val="es-ES" w:bidi="en-US"/>
        </w:rPr>
      </w:pPr>
      <w:r w:rsidRPr="00975C02">
        <w:rPr>
          <w:sz w:val="20"/>
          <w:szCs w:val="20"/>
          <w:lang w:val="es-ES"/>
        </w:rPr>
        <w:t>Con r</w:t>
      </w:r>
      <w:r w:rsidR="009D661E" w:rsidRPr="00975C02">
        <w:rPr>
          <w:sz w:val="20"/>
          <w:szCs w:val="20"/>
          <w:lang w:val="es-ES"/>
        </w:rPr>
        <w:t xml:space="preserve">especto a los daños sufridos por los hermanos H.J.R.P. y V.A.R.P., y </w:t>
      </w:r>
      <w:r w:rsidR="00733CE2" w:rsidRPr="00975C02">
        <w:rPr>
          <w:sz w:val="20"/>
          <w:szCs w:val="20"/>
          <w:lang w:val="es-ES"/>
        </w:rPr>
        <w:t xml:space="preserve">teniendo en cuenta </w:t>
      </w:r>
      <w:r w:rsidR="009D661E" w:rsidRPr="00975C02">
        <w:rPr>
          <w:sz w:val="20"/>
          <w:szCs w:val="20"/>
          <w:lang w:val="es-ES"/>
        </w:rPr>
        <w:t xml:space="preserve">que residen en Nicaragua, el Tribunal dispone la obligación a cargo del Estado de brindar gratuitamente, a través de sus instituciones de salud especializadas, y de forma inmediata, adecuada y efectiva, el tratamiento psicológico y/o psiquiátrico, incluyendo el suministro gratuito de los medicamentos que eventualmente se requieran, tomando en consideración los </w:t>
      </w:r>
      <w:r w:rsidR="009D661E" w:rsidRPr="00975C02">
        <w:rPr>
          <w:sz w:val="20"/>
          <w:szCs w:val="20"/>
          <w:lang w:val="es-ES"/>
        </w:rPr>
        <w:lastRenderedPageBreak/>
        <w:t>padecimientos de cada uno de ellos. Lo anterior implica que las víctimas deberán recibir un tratamiento diferenciado en relación con el trámite y procedimiento que debieran realizar para ser atendidos en los hospitales públicos</w:t>
      </w:r>
      <w:r w:rsidR="009D661E" w:rsidRPr="00975C02">
        <w:rPr>
          <w:sz w:val="20"/>
          <w:szCs w:val="20"/>
          <w:vertAlign w:val="superscript"/>
          <w:lang w:val="es-ES"/>
        </w:rPr>
        <w:footnoteReference w:id="426"/>
      </w:r>
      <w:r w:rsidR="009D661E" w:rsidRPr="00975C02">
        <w:rPr>
          <w:sz w:val="20"/>
          <w:szCs w:val="20"/>
          <w:lang w:val="es-ES"/>
        </w:rPr>
        <w:t>. Asimismo, los tratamientos respectivos deberán prestarse, en la medida de lo posible, en los centros más cercanos a sus lugares de residencia</w:t>
      </w:r>
      <w:r w:rsidR="009D661E" w:rsidRPr="00975C02">
        <w:rPr>
          <w:sz w:val="20"/>
          <w:szCs w:val="20"/>
          <w:vertAlign w:val="superscript"/>
          <w:lang w:val="es-ES"/>
        </w:rPr>
        <w:footnoteReference w:id="427"/>
      </w:r>
      <w:r w:rsidR="009D661E" w:rsidRPr="00975C02">
        <w:rPr>
          <w:sz w:val="20"/>
          <w:szCs w:val="20"/>
          <w:lang w:val="es-ES"/>
        </w:rPr>
        <w:t xml:space="preserve"> en Nicaragua por el tiempo que sea necesario. Al proveer el tratamiento psicológico y/o psiquiátrico se debe considerar, además, las circunstancias y necesidades particulares de cada víctima, según lo que se acuerde con cada una de ellas y después de una evaluación individual</w:t>
      </w:r>
      <w:r w:rsidR="009D661E" w:rsidRPr="00975C02">
        <w:rPr>
          <w:sz w:val="20"/>
          <w:szCs w:val="20"/>
          <w:vertAlign w:val="superscript"/>
          <w:lang w:val="es-ES"/>
        </w:rPr>
        <w:footnoteReference w:id="428"/>
      </w:r>
      <w:r w:rsidR="009D661E" w:rsidRPr="00975C02">
        <w:rPr>
          <w:sz w:val="20"/>
          <w:szCs w:val="20"/>
          <w:lang w:val="es-ES"/>
        </w:rPr>
        <w:t>. L</w:t>
      </w:r>
      <w:r w:rsidR="003677C7" w:rsidRPr="00975C02">
        <w:rPr>
          <w:sz w:val="20"/>
          <w:szCs w:val="20"/>
          <w:lang w:val="es-ES"/>
        </w:rPr>
        <w:t>os beneficiarios de esta medida</w:t>
      </w:r>
      <w:r w:rsidR="009D661E" w:rsidRPr="00975C02">
        <w:rPr>
          <w:sz w:val="20"/>
          <w:szCs w:val="20"/>
          <w:lang w:val="es-ES"/>
        </w:rPr>
        <w:t xml:space="preserve"> disponen de un plazo de seis meses, contado a partir de la notificación de la presente Sentencia, para </w:t>
      </w:r>
      <w:r w:rsidR="009D2AAA" w:rsidRPr="00975C02">
        <w:rPr>
          <w:sz w:val="20"/>
          <w:szCs w:val="20"/>
          <w:lang w:val="es-ES"/>
        </w:rPr>
        <w:t>confirmar</w:t>
      </w:r>
      <w:r w:rsidR="009D661E" w:rsidRPr="00975C02">
        <w:rPr>
          <w:sz w:val="20"/>
          <w:szCs w:val="20"/>
          <w:lang w:val="es-ES"/>
        </w:rPr>
        <w:t xml:space="preserve"> al Estado su </w:t>
      </w:r>
      <w:r w:rsidR="009D2AAA" w:rsidRPr="00975C02">
        <w:rPr>
          <w:sz w:val="20"/>
          <w:szCs w:val="20"/>
          <w:lang w:val="es-ES"/>
        </w:rPr>
        <w:t>anuencia</w:t>
      </w:r>
      <w:r w:rsidR="009D661E" w:rsidRPr="00975C02">
        <w:rPr>
          <w:sz w:val="20"/>
          <w:szCs w:val="20"/>
          <w:lang w:val="es-ES"/>
        </w:rPr>
        <w:t xml:space="preserve"> </w:t>
      </w:r>
      <w:r w:rsidR="009D2AAA" w:rsidRPr="00975C02">
        <w:rPr>
          <w:sz w:val="20"/>
          <w:szCs w:val="20"/>
          <w:lang w:val="es-ES"/>
        </w:rPr>
        <w:t>a</w:t>
      </w:r>
      <w:r w:rsidR="009D661E" w:rsidRPr="00975C02">
        <w:rPr>
          <w:sz w:val="20"/>
          <w:szCs w:val="20"/>
          <w:lang w:val="es-ES"/>
        </w:rPr>
        <w:t xml:space="preserve"> recibir atención psicológica </w:t>
      </w:r>
      <w:r w:rsidR="009D2AAA" w:rsidRPr="00975C02">
        <w:rPr>
          <w:sz w:val="20"/>
          <w:szCs w:val="20"/>
          <w:lang w:val="es-ES"/>
        </w:rPr>
        <w:t>y/</w:t>
      </w:r>
      <w:r w:rsidR="009D661E" w:rsidRPr="00975C02">
        <w:rPr>
          <w:sz w:val="20"/>
          <w:szCs w:val="20"/>
          <w:lang w:val="es-ES"/>
        </w:rPr>
        <w:t>o psiquiátrica</w:t>
      </w:r>
      <w:r w:rsidR="009D661E" w:rsidRPr="00975C02">
        <w:rPr>
          <w:sz w:val="20"/>
          <w:szCs w:val="20"/>
          <w:vertAlign w:val="superscript"/>
          <w:lang w:val="es-ES"/>
        </w:rPr>
        <w:footnoteReference w:id="429"/>
      </w:r>
      <w:r w:rsidR="009D661E" w:rsidRPr="00975C02">
        <w:rPr>
          <w:sz w:val="20"/>
          <w:szCs w:val="20"/>
          <w:lang w:val="es-ES"/>
        </w:rPr>
        <w:t xml:space="preserve">. A su vez, el Estado dispondrá del plazo de tres meses, contado a partir de la recepción de dicha solicitud, para brindar de manera efectiva la atención psicológica </w:t>
      </w:r>
      <w:r w:rsidR="004B76BB" w:rsidRPr="00975C02">
        <w:rPr>
          <w:sz w:val="20"/>
          <w:szCs w:val="20"/>
          <w:lang w:val="es-ES"/>
        </w:rPr>
        <w:t>y/</w:t>
      </w:r>
      <w:r w:rsidR="009D661E" w:rsidRPr="00975C02">
        <w:rPr>
          <w:sz w:val="20"/>
          <w:szCs w:val="20"/>
          <w:lang w:val="es-ES"/>
        </w:rPr>
        <w:t>o psiquiátrica solicitada.</w:t>
      </w:r>
    </w:p>
    <w:p w14:paraId="276148E5" w14:textId="77777777" w:rsidR="009D661E" w:rsidRPr="00975C02" w:rsidRDefault="009D661E" w:rsidP="009D661E">
      <w:pPr>
        <w:spacing w:line="240" w:lineRule="auto"/>
        <w:rPr>
          <w:rFonts w:eastAsia="MS Mincho"/>
          <w:sz w:val="20"/>
          <w:szCs w:val="20"/>
          <w:lang w:val="es-ES" w:bidi="en-US"/>
        </w:rPr>
      </w:pPr>
    </w:p>
    <w:p w14:paraId="5A363462" w14:textId="77777777" w:rsidR="009D661E" w:rsidRPr="00975C02" w:rsidRDefault="009D661E" w:rsidP="009D661E">
      <w:pPr>
        <w:pStyle w:val="Heading2"/>
        <w:tabs>
          <w:tab w:val="left" w:pos="1843"/>
        </w:tabs>
        <w:spacing w:before="0" w:line="240" w:lineRule="auto"/>
        <w:ind w:left="1134"/>
        <w:rPr>
          <w:rFonts w:ascii="Verdana" w:hAnsi="Verdana"/>
          <w:b w:val="0"/>
          <w:i/>
          <w:color w:val="auto"/>
          <w:sz w:val="20"/>
          <w:szCs w:val="20"/>
          <w:lang w:val="es-ES"/>
        </w:rPr>
      </w:pPr>
      <w:bookmarkStart w:id="178" w:name="_Toc495658698"/>
      <w:bookmarkStart w:id="179" w:name="_Toc514172666"/>
      <w:r w:rsidRPr="00975C02">
        <w:rPr>
          <w:rFonts w:ascii="Verdana" w:hAnsi="Verdana"/>
          <w:b w:val="0"/>
          <w:i/>
          <w:color w:val="auto"/>
          <w:sz w:val="20"/>
          <w:szCs w:val="20"/>
          <w:lang w:val="es-ES"/>
        </w:rPr>
        <w:t xml:space="preserve">C.2 </w:t>
      </w:r>
      <w:r w:rsidRPr="00975C02">
        <w:rPr>
          <w:rFonts w:ascii="Verdana" w:hAnsi="Verdana"/>
          <w:b w:val="0"/>
          <w:i/>
          <w:color w:val="auto"/>
          <w:sz w:val="20"/>
          <w:szCs w:val="20"/>
          <w:lang w:val="es-ES"/>
        </w:rPr>
        <w:tab/>
        <w:t>Satisfacción</w:t>
      </w:r>
      <w:bookmarkEnd w:id="178"/>
      <w:bookmarkEnd w:id="179"/>
    </w:p>
    <w:p w14:paraId="6C848078" w14:textId="77777777" w:rsidR="009D661E" w:rsidRPr="00975C02" w:rsidRDefault="009D661E" w:rsidP="009D661E">
      <w:pPr>
        <w:autoSpaceDE w:val="0"/>
        <w:autoSpaceDN w:val="0"/>
        <w:spacing w:line="240" w:lineRule="auto"/>
        <w:rPr>
          <w:rFonts w:cs="Verdana"/>
          <w:sz w:val="20"/>
          <w:szCs w:val="20"/>
          <w:lang w:val="es-ES"/>
        </w:rPr>
      </w:pPr>
    </w:p>
    <w:p w14:paraId="324178E0" w14:textId="77777777" w:rsidR="009D661E" w:rsidRPr="00975C02" w:rsidRDefault="009D661E" w:rsidP="009D661E">
      <w:pPr>
        <w:spacing w:line="240" w:lineRule="auto"/>
        <w:ind w:left="1985"/>
        <w:rPr>
          <w:sz w:val="20"/>
          <w:szCs w:val="20"/>
          <w:lang w:val="es-ES"/>
        </w:rPr>
      </w:pPr>
      <w:r w:rsidRPr="00975C02">
        <w:rPr>
          <w:i/>
          <w:iCs/>
          <w:sz w:val="20"/>
          <w:szCs w:val="20"/>
          <w:lang w:val="es-ES"/>
        </w:rPr>
        <w:t>a) Publicación de la Sentencia</w:t>
      </w:r>
    </w:p>
    <w:p w14:paraId="14C6F7D4" w14:textId="77777777" w:rsidR="006F233B" w:rsidRPr="00975C02" w:rsidRDefault="006F233B" w:rsidP="009D661E">
      <w:pPr>
        <w:spacing w:line="240" w:lineRule="auto"/>
        <w:ind w:left="1985"/>
        <w:rPr>
          <w:i/>
          <w:iCs/>
          <w:sz w:val="20"/>
          <w:szCs w:val="20"/>
          <w:lang w:val="es-ES"/>
        </w:rPr>
      </w:pPr>
    </w:p>
    <w:p w14:paraId="301E3A50" w14:textId="352B1A7D" w:rsidR="009D661E" w:rsidRPr="00975C02" w:rsidRDefault="009D661E" w:rsidP="009D661E">
      <w:pPr>
        <w:numPr>
          <w:ilvl w:val="0"/>
          <w:numId w:val="2"/>
        </w:numPr>
        <w:tabs>
          <w:tab w:val="left" w:pos="567"/>
          <w:tab w:val="num" w:pos="5057"/>
        </w:tabs>
        <w:spacing w:line="240" w:lineRule="auto"/>
        <w:ind w:left="0" w:firstLine="0"/>
        <w:textAlignment w:val="auto"/>
        <w:rPr>
          <w:sz w:val="20"/>
          <w:szCs w:val="20"/>
          <w:lang w:val="es-ES"/>
        </w:rPr>
      </w:pPr>
      <w:r w:rsidRPr="00975C02">
        <w:rPr>
          <w:rFonts w:eastAsia="MS Mincho"/>
          <w:sz w:val="20"/>
          <w:szCs w:val="20"/>
          <w:lang w:val="es-ES" w:bidi="en-US"/>
        </w:rPr>
        <w:t xml:space="preserve">Las </w:t>
      </w:r>
      <w:r w:rsidRPr="00975C02">
        <w:rPr>
          <w:rFonts w:eastAsia="MS Mincho"/>
          <w:b/>
          <w:i/>
          <w:sz w:val="20"/>
          <w:szCs w:val="20"/>
          <w:lang w:val="es-ES" w:bidi="en-US"/>
        </w:rPr>
        <w:t>representantes</w:t>
      </w:r>
      <w:r w:rsidRPr="00975C02">
        <w:rPr>
          <w:rFonts w:eastAsia="MS Mincho"/>
          <w:b/>
          <w:sz w:val="20"/>
          <w:szCs w:val="20"/>
          <w:lang w:val="es-ES" w:bidi="en-US"/>
        </w:rPr>
        <w:t xml:space="preserve"> </w:t>
      </w:r>
      <w:r w:rsidRPr="00975C02">
        <w:rPr>
          <w:rFonts w:eastAsia="MS Mincho"/>
          <w:sz w:val="20"/>
          <w:szCs w:val="20"/>
          <w:lang w:val="es-ES" w:bidi="en-US"/>
        </w:rPr>
        <w:t>solicitaron a la Corte que orden</w:t>
      </w:r>
      <w:r w:rsidR="00EF3D6A" w:rsidRPr="00975C02">
        <w:rPr>
          <w:rFonts w:eastAsia="MS Mincho"/>
          <w:sz w:val="20"/>
          <w:szCs w:val="20"/>
          <w:lang w:val="es-ES" w:bidi="en-US"/>
        </w:rPr>
        <w:t>ara</w:t>
      </w:r>
      <w:r w:rsidRPr="00975C02">
        <w:rPr>
          <w:rFonts w:eastAsia="MS Mincho"/>
          <w:sz w:val="20"/>
          <w:szCs w:val="20"/>
          <w:lang w:val="es-ES" w:bidi="en-US"/>
        </w:rPr>
        <w:t xml:space="preserve"> al Estado publicar, en un plazo de seis meses contados a partir de la notificación </w:t>
      </w:r>
      <w:r w:rsidR="00EF3D6A" w:rsidRPr="00975C02">
        <w:rPr>
          <w:rFonts w:eastAsia="MS Mincho"/>
          <w:sz w:val="20"/>
          <w:szCs w:val="20"/>
          <w:lang w:val="es-ES" w:bidi="en-US"/>
        </w:rPr>
        <w:t xml:space="preserve">de </w:t>
      </w:r>
      <w:r w:rsidRPr="00975C02">
        <w:rPr>
          <w:rFonts w:eastAsia="MS Mincho"/>
          <w:sz w:val="20"/>
          <w:szCs w:val="20"/>
          <w:lang w:val="es-ES" w:bidi="en-US"/>
        </w:rPr>
        <w:t>la sentencia, un resumen en el diario oficial La Gaceta y en un diario de amplia circulación nacional</w:t>
      </w:r>
      <w:r w:rsidR="00EF3D6A" w:rsidRPr="00975C02">
        <w:rPr>
          <w:rFonts w:eastAsia="MS Mincho"/>
          <w:sz w:val="20"/>
          <w:szCs w:val="20"/>
          <w:lang w:val="es-ES" w:bidi="en-US"/>
        </w:rPr>
        <w:t>.</w:t>
      </w:r>
      <w:r w:rsidRPr="00975C02">
        <w:rPr>
          <w:rFonts w:eastAsia="MS Mincho"/>
          <w:sz w:val="20"/>
          <w:szCs w:val="20"/>
          <w:lang w:val="es-ES" w:bidi="en-US"/>
        </w:rPr>
        <w:t xml:space="preserve"> </w:t>
      </w:r>
      <w:r w:rsidR="00EF3D6A" w:rsidRPr="00975C02">
        <w:rPr>
          <w:rFonts w:eastAsia="MS Mincho"/>
          <w:sz w:val="20"/>
          <w:szCs w:val="20"/>
          <w:lang w:val="es-ES" w:bidi="en-US"/>
        </w:rPr>
        <w:t>A</w:t>
      </w:r>
      <w:r w:rsidRPr="00975C02">
        <w:rPr>
          <w:rFonts w:eastAsia="MS Mincho"/>
          <w:sz w:val="20"/>
          <w:szCs w:val="20"/>
          <w:lang w:val="es-ES" w:bidi="en-US"/>
        </w:rPr>
        <w:t xml:space="preserve">simismo, </w:t>
      </w:r>
      <w:r w:rsidR="00EF3D6A" w:rsidRPr="00975C02">
        <w:rPr>
          <w:rFonts w:eastAsia="MS Mincho"/>
          <w:sz w:val="20"/>
          <w:szCs w:val="20"/>
          <w:lang w:val="es-ES" w:bidi="en-US"/>
        </w:rPr>
        <w:t>solicitaron</w:t>
      </w:r>
      <w:r w:rsidRPr="00975C02">
        <w:rPr>
          <w:rFonts w:eastAsia="MS Mincho"/>
          <w:sz w:val="20"/>
          <w:szCs w:val="20"/>
          <w:lang w:val="es-ES" w:bidi="en-US"/>
        </w:rPr>
        <w:t xml:space="preserve"> que se orden</w:t>
      </w:r>
      <w:r w:rsidR="00EF3D6A" w:rsidRPr="00975C02">
        <w:rPr>
          <w:rFonts w:eastAsia="MS Mincho"/>
          <w:sz w:val="20"/>
          <w:szCs w:val="20"/>
          <w:lang w:val="es-ES" w:bidi="en-US"/>
        </w:rPr>
        <w:t>ara</w:t>
      </w:r>
      <w:r w:rsidRPr="00975C02">
        <w:rPr>
          <w:rFonts w:eastAsia="MS Mincho"/>
          <w:sz w:val="20"/>
          <w:szCs w:val="20"/>
          <w:lang w:val="es-ES" w:bidi="en-US"/>
        </w:rPr>
        <w:t xml:space="preserve"> efectuar la difusión de la sentencia</w:t>
      </w:r>
      <w:r w:rsidR="00EF3D6A" w:rsidRPr="00975C02">
        <w:rPr>
          <w:rFonts w:eastAsia="MS Mincho"/>
          <w:sz w:val="20"/>
          <w:szCs w:val="20"/>
          <w:lang w:val="es-ES" w:bidi="en-US"/>
        </w:rPr>
        <w:t>,</w:t>
      </w:r>
      <w:r w:rsidRPr="00975C02">
        <w:rPr>
          <w:rFonts w:eastAsia="MS Mincho"/>
          <w:sz w:val="20"/>
          <w:szCs w:val="20"/>
          <w:lang w:val="es-ES" w:bidi="en-US"/>
        </w:rPr>
        <w:t xml:space="preserve"> por un período de un año</w:t>
      </w:r>
      <w:r w:rsidR="00EF3D6A" w:rsidRPr="00975C02">
        <w:rPr>
          <w:rFonts w:eastAsia="MS Mincho"/>
          <w:sz w:val="20"/>
          <w:szCs w:val="20"/>
          <w:lang w:val="es-ES" w:bidi="en-US"/>
        </w:rPr>
        <w:t>,</w:t>
      </w:r>
      <w:r w:rsidRPr="00975C02">
        <w:rPr>
          <w:rFonts w:eastAsia="MS Mincho"/>
          <w:sz w:val="20"/>
          <w:szCs w:val="20"/>
          <w:lang w:val="es-ES" w:bidi="en-US"/>
        </w:rPr>
        <w:t xml:space="preserve"> en un sitio web oficial</w:t>
      </w:r>
      <w:r w:rsidRPr="00975C02">
        <w:rPr>
          <w:sz w:val="20"/>
          <w:szCs w:val="20"/>
          <w:lang w:val="es-ES"/>
        </w:rPr>
        <w:t>.</w:t>
      </w:r>
    </w:p>
    <w:p w14:paraId="12AFCEAE" w14:textId="77777777" w:rsidR="009D661E" w:rsidRPr="00975C02" w:rsidRDefault="009D661E" w:rsidP="006F233B">
      <w:pPr>
        <w:tabs>
          <w:tab w:val="left" w:pos="3675"/>
        </w:tabs>
        <w:spacing w:line="240" w:lineRule="auto"/>
        <w:rPr>
          <w:sz w:val="20"/>
          <w:szCs w:val="20"/>
          <w:lang w:val="es-ES"/>
        </w:rPr>
      </w:pPr>
    </w:p>
    <w:p w14:paraId="7D98A4DA" w14:textId="77777777" w:rsidR="009D661E" w:rsidRPr="00975C02" w:rsidRDefault="006F233B" w:rsidP="009D661E">
      <w:pPr>
        <w:numPr>
          <w:ilvl w:val="0"/>
          <w:numId w:val="2"/>
        </w:numPr>
        <w:tabs>
          <w:tab w:val="left" w:pos="567"/>
          <w:tab w:val="num" w:pos="5057"/>
        </w:tabs>
        <w:spacing w:line="240" w:lineRule="auto"/>
        <w:ind w:left="0" w:firstLine="0"/>
        <w:textAlignment w:val="auto"/>
        <w:rPr>
          <w:rFonts w:eastAsia="MS Mincho"/>
          <w:b/>
          <w:sz w:val="20"/>
          <w:szCs w:val="20"/>
          <w:lang w:val="es-ES" w:bidi="en-US"/>
        </w:rPr>
      </w:pPr>
      <w:r w:rsidRPr="00975C02">
        <w:rPr>
          <w:rFonts w:eastAsia="MS Mincho"/>
          <w:sz w:val="20"/>
          <w:szCs w:val="20"/>
          <w:lang w:val="es-ES" w:bidi="en-US"/>
        </w:rPr>
        <w:t>Ni e</w:t>
      </w:r>
      <w:r w:rsidR="009D661E" w:rsidRPr="00975C02">
        <w:rPr>
          <w:rFonts w:eastAsia="MS Mincho"/>
          <w:sz w:val="20"/>
          <w:szCs w:val="20"/>
          <w:lang w:val="es-ES" w:bidi="en-US"/>
        </w:rPr>
        <w:t xml:space="preserve">l </w:t>
      </w:r>
      <w:r w:rsidR="009D661E" w:rsidRPr="00975C02">
        <w:rPr>
          <w:rFonts w:eastAsia="MS Mincho"/>
          <w:b/>
          <w:i/>
          <w:sz w:val="20"/>
          <w:szCs w:val="20"/>
          <w:lang w:val="es-ES" w:bidi="en-US"/>
        </w:rPr>
        <w:t>Estado</w:t>
      </w:r>
      <w:r w:rsidR="009D661E" w:rsidRPr="00975C02">
        <w:rPr>
          <w:rFonts w:eastAsia="MS Mincho"/>
          <w:sz w:val="20"/>
          <w:szCs w:val="20"/>
          <w:lang w:val="es-ES" w:bidi="en-US"/>
        </w:rPr>
        <w:t xml:space="preserve"> </w:t>
      </w:r>
      <w:r w:rsidRPr="00975C02">
        <w:rPr>
          <w:rFonts w:eastAsia="MS Mincho"/>
          <w:sz w:val="20"/>
          <w:szCs w:val="20"/>
          <w:lang w:val="es-ES" w:bidi="en-US"/>
        </w:rPr>
        <w:t xml:space="preserve">ni la </w:t>
      </w:r>
      <w:r w:rsidRPr="00975C02">
        <w:rPr>
          <w:rFonts w:eastAsia="MS Mincho"/>
          <w:b/>
          <w:i/>
          <w:sz w:val="20"/>
          <w:szCs w:val="20"/>
          <w:lang w:val="es-ES" w:bidi="en-US"/>
        </w:rPr>
        <w:t>Comisión</w:t>
      </w:r>
      <w:r w:rsidRPr="00975C02">
        <w:rPr>
          <w:rFonts w:eastAsia="MS Mincho"/>
          <w:sz w:val="20"/>
          <w:szCs w:val="20"/>
          <w:lang w:val="es-ES" w:bidi="en-US"/>
        </w:rPr>
        <w:t xml:space="preserve"> </w:t>
      </w:r>
      <w:r w:rsidR="009D661E" w:rsidRPr="00975C02">
        <w:rPr>
          <w:rFonts w:eastAsia="MS Mincho"/>
          <w:sz w:val="20"/>
          <w:szCs w:val="20"/>
          <w:lang w:val="es-ES" w:bidi="en-US"/>
        </w:rPr>
        <w:t>present</w:t>
      </w:r>
      <w:r w:rsidRPr="00975C02">
        <w:rPr>
          <w:rFonts w:eastAsia="MS Mincho"/>
          <w:sz w:val="20"/>
          <w:szCs w:val="20"/>
          <w:lang w:val="es-ES" w:bidi="en-US"/>
        </w:rPr>
        <w:t>aron</w:t>
      </w:r>
      <w:r w:rsidR="009D661E" w:rsidRPr="00975C02">
        <w:rPr>
          <w:rFonts w:eastAsia="MS Mincho"/>
          <w:sz w:val="20"/>
          <w:szCs w:val="20"/>
          <w:lang w:val="es-ES" w:bidi="en-US"/>
        </w:rPr>
        <w:t xml:space="preserve"> alegatos específicos sobre este punto.</w:t>
      </w:r>
    </w:p>
    <w:p w14:paraId="63F92F83" w14:textId="77777777" w:rsidR="009D661E" w:rsidRPr="00975C02" w:rsidRDefault="009D661E" w:rsidP="009D661E">
      <w:pPr>
        <w:tabs>
          <w:tab w:val="left" w:pos="4300"/>
        </w:tabs>
        <w:spacing w:line="240" w:lineRule="auto"/>
        <w:textAlignment w:val="auto"/>
        <w:rPr>
          <w:rFonts w:eastAsia="MS Mincho"/>
          <w:b/>
          <w:sz w:val="20"/>
          <w:szCs w:val="20"/>
          <w:lang w:val="es-ES" w:bidi="en-US"/>
        </w:rPr>
      </w:pPr>
    </w:p>
    <w:p w14:paraId="69A09937" w14:textId="77777777" w:rsidR="009D661E" w:rsidRPr="00975C02" w:rsidRDefault="009D661E" w:rsidP="009D661E">
      <w:pPr>
        <w:numPr>
          <w:ilvl w:val="0"/>
          <w:numId w:val="2"/>
        </w:numPr>
        <w:tabs>
          <w:tab w:val="left" w:pos="567"/>
          <w:tab w:val="num" w:pos="5057"/>
        </w:tabs>
        <w:spacing w:line="240" w:lineRule="auto"/>
        <w:ind w:left="0" w:firstLine="0"/>
        <w:textAlignment w:val="auto"/>
        <w:rPr>
          <w:rFonts w:eastAsia="MS Mincho"/>
          <w:b/>
          <w:sz w:val="20"/>
          <w:szCs w:val="20"/>
          <w:lang w:val="es-ES" w:bidi="en-US"/>
        </w:rPr>
      </w:pPr>
      <w:r w:rsidRPr="00975C02">
        <w:rPr>
          <w:rFonts w:eastAsia="MS Mincho"/>
          <w:sz w:val="20"/>
          <w:szCs w:val="20"/>
          <w:lang w:val="es-ES" w:bidi="en-US"/>
        </w:rPr>
        <w:t>La</w:t>
      </w:r>
      <w:r w:rsidRPr="00975C02">
        <w:rPr>
          <w:rFonts w:eastAsia="MS Mincho" w:cs="Verdana"/>
          <w:sz w:val="20"/>
          <w:szCs w:val="20"/>
          <w:lang w:val="es-ES" w:bidi="en-US"/>
        </w:rPr>
        <w:t xml:space="preserve"> </w:t>
      </w:r>
      <w:r w:rsidRPr="00975C02">
        <w:rPr>
          <w:rFonts w:eastAsia="MS Mincho"/>
          <w:sz w:val="20"/>
          <w:szCs w:val="20"/>
          <w:lang w:val="es-ES" w:bidi="en-US"/>
        </w:rPr>
        <w:t>Corte</w:t>
      </w:r>
      <w:r w:rsidRPr="00975C02">
        <w:rPr>
          <w:rFonts w:eastAsia="MS Mincho" w:cs="Verdana"/>
          <w:sz w:val="20"/>
          <w:szCs w:val="20"/>
          <w:lang w:val="es-ES" w:bidi="en-US"/>
        </w:rPr>
        <w:t xml:space="preserve"> estima, como lo ha dispuesto en otros casos</w:t>
      </w:r>
      <w:r w:rsidRPr="00975C02">
        <w:rPr>
          <w:rFonts w:eastAsia="MS Mincho"/>
          <w:sz w:val="20"/>
          <w:szCs w:val="20"/>
          <w:vertAlign w:val="superscript"/>
          <w:lang w:val="es-ES" w:bidi="en-US"/>
        </w:rPr>
        <w:footnoteReference w:id="430"/>
      </w:r>
      <w:r w:rsidRPr="00975C02">
        <w:rPr>
          <w:rFonts w:eastAsia="MS Mincho" w:cs="Verdana"/>
          <w:sz w:val="20"/>
          <w:szCs w:val="20"/>
          <w:lang w:val="es-ES" w:bidi="en-US"/>
        </w:rPr>
        <w:t xml:space="preserve">, que el Estado debe publicar, </w:t>
      </w:r>
      <w:r w:rsidR="00E25B13" w:rsidRPr="00975C02">
        <w:rPr>
          <w:sz w:val="20"/>
          <w:szCs w:val="20"/>
          <w:lang w:val="es-ES"/>
        </w:rPr>
        <w:t xml:space="preserve">si V.R.P. así lo autoriza, </w:t>
      </w:r>
      <w:r w:rsidRPr="00975C02">
        <w:rPr>
          <w:rFonts w:eastAsia="MS Mincho" w:cs="Verdana"/>
          <w:sz w:val="20"/>
          <w:szCs w:val="20"/>
          <w:lang w:val="es-ES" w:bidi="en-US"/>
        </w:rPr>
        <w:t>en el plazo de seis meses, contado a partir de la notificación de la presente Sentencia: a) el resumen oficial de la presente Sentencia elaborado por la Corte, por una sola vez, en el Diario Oficial</w:t>
      </w:r>
      <w:r w:rsidRPr="00975C02">
        <w:rPr>
          <w:sz w:val="20"/>
          <w:szCs w:val="20"/>
          <w:lang w:val="es-ES"/>
        </w:rPr>
        <w:t xml:space="preserve"> en un tamaño de letra legible y adecuado</w:t>
      </w:r>
      <w:r w:rsidRPr="00975C02">
        <w:rPr>
          <w:rFonts w:eastAsia="MS Mincho" w:cs="Verdana"/>
          <w:sz w:val="20"/>
          <w:szCs w:val="20"/>
          <w:lang w:val="es-ES" w:bidi="en-US"/>
        </w:rPr>
        <w:t>; b) el resumen oficial de la presente Sentencia elaborado por la Corte, por una sola vez, en un diario de amplia circulación nacional</w:t>
      </w:r>
      <w:r w:rsidRPr="00975C02">
        <w:rPr>
          <w:sz w:val="20"/>
          <w:szCs w:val="20"/>
          <w:lang w:val="es-ES"/>
        </w:rPr>
        <w:t xml:space="preserve"> en un tamaño de letra legible y adecuado</w:t>
      </w:r>
      <w:r w:rsidRPr="00975C02">
        <w:rPr>
          <w:rFonts w:eastAsia="MS Mincho" w:cs="Verdana"/>
          <w:sz w:val="20"/>
          <w:szCs w:val="20"/>
          <w:lang w:val="es-ES" w:bidi="en-US"/>
        </w:rPr>
        <w:t xml:space="preserve">, y c) la presente Sentencia en su integridad, disponible por un período de un año, en un sitio web oficial </w:t>
      </w:r>
      <w:r w:rsidRPr="00975C02">
        <w:rPr>
          <w:sz w:val="20"/>
          <w:szCs w:val="20"/>
          <w:lang w:val="es-ES"/>
        </w:rPr>
        <w:t>del Estado, de manera accesible al público desde su página de inicio.</w:t>
      </w:r>
    </w:p>
    <w:p w14:paraId="5122D102" w14:textId="77777777" w:rsidR="009D661E" w:rsidRPr="00975C02" w:rsidRDefault="009D661E" w:rsidP="009D661E">
      <w:pPr>
        <w:tabs>
          <w:tab w:val="left" w:pos="567"/>
        </w:tabs>
        <w:spacing w:line="240" w:lineRule="auto"/>
        <w:textAlignment w:val="auto"/>
        <w:rPr>
          <w:rFonts w:eastAsia="MS Mincho"/>
          <w:b/>
          <w:sz w:val="20"/>
          <w:szCs w:val="20"/>
          <w:lang w:val="es-ES" w:bidi="en-US"/>
        </w:rPr>
      </w:pPr>
    </w:p>
    <w:p w14:paraId="3FB9277F" w14:textId="626613F1" w:rsidR="009D661E" w:rsidRPr="00975C02" w:rsidRDefault="009D661E" w:rsidP="009D661E">
      <w:pPr>
        <w:numPr>
          <w:ilvl w:val="0"/>
          <w:numId w:val="2"/>
        </w:numPr>
        <w:tabs>
          <w:tab w:val="left" w:pos="567"/>
          <w:tab w:val="num" w:pos="5057"/>
        </w:tabs>
        <w:spacing w:line="240" w:lineRule="auto"/>
        <w:ind w:left="0" w:firstLine="0"/>
        <w:textAlignment w:val="auto"/>
        <w:rPr>
          <w:rFonts w:eastAsia="MS Mincho"/>
          <w:b/>
          <w:sz w:val="20"/>
          <w:szCs w:val="20"/>
          <w:lang w:val="es-ES" w:bidi="en-US"/>
        </w:rPr>
      </w:pPr>
      <w:r w:rsidRPr="00975C02">
        <w:rPr>
          <w:sz w:val="20"/>
          <w:szCs w:val="20"/>
          <w:lang w:val="es-ES"/>
        </w:rPr>
        <w:t xml:space="preserve">El Estado deberá informar de forma inmediata a este Tribunal una vez que proceda a realizar cada una de las publicaciones dispuestas, independientemente del plazo de un año para presentar su primer informe dispuesto en el punto resolutivo </w:t>
      </w:r>
      <w:r w:rsidR="00696FB2" w:rsidRPr="00975C02">
        <w:rPr>
          <w:sz w:val="20"/>
          <w:szCs w:val="20"/>
          <w:lang w:val="es-ES"/>
        </w:rPr>
        <w:t>25</w:t>
      </w:r>
      <w:r w:rsidRPr="00975C02">
        <w:rPr>
          <w:sz w:val="20"/>
          <w:szCs w:val="20"/>
          <w:lang w:val="es-ES"/>
        </w:rPr>
        <w:t xml:space="preserve"> de la Sentencia.</w:t>
      </w:r>
    </w:p>
    <w:p w14:paraId="3D2D10F3" w14:textId="77777777" w:rsidR="009D661E" w:rsidRPr="00975C02" w:rsidRDefault="009D661E" w:rsidP="009D661E">
      <w:pPr>
        <w:tabs>
          <w:tab w:val="left" w:pos="567"/>
        </w:tabs>
        <w:spacing w:line="240" w:lineRule="auto"/>
        <w:textAlignment w:val="auto"/>
        <w:rPr>
          <w:rFonts w:eastAsia="MS Mincho"/>
          <w:sz w:val="20"/>
          <w:szCs w:val="20"/>
          <w:lang w:val="es-ES" w:bidi="en-US"/>
        </w:rPr>
      </w:pPr>
    </w:p>
    <w:p w14:paraId="04EFFDA4" w14:textId="77777777" w:rsidR="009D661E" w:rsidRPr="00975C02" w:rsidRDefault="009D661E" w:rsidP="009D661E">
      <w:pPr>
        <w:spacing w:line="240" w:lineRule="auto"/>
        <w:ind w:left="1985"/>
        <w:rPr>
          <w:i/>
          <w:iCs/>
          <w:sz w:val="20"/>
          <w:szCs w:val="20"/>
          <w:lang w:val="es-ES"/>
        </w:rPr>
      </w:pPr>
      <w:r w:rsidRPr="00975C02">
        <w:rPr>
          <w:i/>
          <w:iCs/>
          <w:sz w:val="20"/>
          <w:szCs w:val="20"/>
          <w:lang w:val="es-ES"/>
        </w:rPr>
        <w:t>b) Becas de estudio</w:t>
      </w:r>
    </w:p>
    <w:p w14:paraId="05E23B5F" w14:textId="77777777" w:rsidR="009D661E" w:rsidRPr="00975C02" w:rsidRDefault="009D661E" w:rsidP="009D661E">
      <w:pPr>
        <w:tabs>
          <w:tab w:val="left" w:pos="567"/>
        </w:tabs>
        <w:spacing w:line="240" w:lineRule="auto"/>
        <w:textAlignment w:val="auto"/>
        <w:rPr>
          <w:rFonts w:eastAsia="MS Mincho"/>
          <w:sz w:val="20"/>
          <w:szCs w:val="20"/>
          <w:lang w:val="es-ES" w:bidi="en-US"/>
        </w:rPr>
      </w:pPr>
    </w:p>
    <w:p w14:paraId="530C673B" w14:textId="319AE92A" w:rsidR="009D661E" w:rsidRPr="00975C02" w:rsidRDefault="009D661E" w:rsidP="009D661E">
      <w:pPr>
        <w:numPr>
          <w:ilvl w:val="0"/>
          <w:numId w:val="2"/>
        </w:numPr>
        <w:tabs>
          <w:tab w:val="left" w:pos="567"/>
          <w:tab w:val="num" w:pos="5057"/>
        </w:tabs>
        <w:spacing w:line="240" w:lineRule="auto"/>
        <w:ind w:left="0" w:firstLine="0"/>
        <w:textAlignment w:val="auto"/>
        <w:rPr>
          <w:sz w:val="20"/>
          <w:szCs w:val="20"/>
          <w:lang w:val="es-ES"/>
        </w:rPr>
      </w:pPr>
      <w:r w:rsidRPr="00975C02">
        <w:rPr>
          <w:rFonts w:eastAsia="MS Mincho"/>
          <w:iCs/>
          <w:sz w:val="20"/>
          <w:szCs w:val="20"/>
          <w:lang w:val="es-ES" w:bidi="en-US"/>
        </w:rPr>
        <w:t>Las</w:t>
      </w:r>
      <w:r w:rsidRPr="00975C02">
        <w:rPr>
          <w:rFonts w:eastAsia="MS Mincho"/>
          <w:i/>
          <w:sz w:val="20"/>
          <w:szCs w:val="20"/>
          <w:lang w:val="es-ES" w:bidi="en-US"/>
        </w:rPr>
        <w:t xml:space="preserve"> </w:t>
      </w:r>
      <w:r w:rsidRPr="00975C02">
        <w:rPr>
          <w:rFonts w:eastAsia="MS Mincho"/>
          <w:b/>
          <w:i/>
          <w:sz w:val="20"/>
          <w:szCs w:val="20"/>
          <w:lang w:val="es-ES" w:bidi="en-US"/>
        </w:rPr>
        <w:t>representantes</w:t>
      </w:r>
      <w:r w:rsidRPr="00975C02">
        <w:rPr>
          <w:rFonts w:eastAsia="MS Mincho"/>
          <w:sz w:val="20"/>
          <w:szCs w:val="20"/>
          <w:lang w:val="es-ES" w:bidi="en-US"/>
        </w:rPr>
        <w:t xml:space="preserve"> solicitaron, como forma de restablecer el proyecto de vida de las víctimas que no concluyeron sus estudios superiores, que la Corte ordenara al Estado brindarles los medios necesarios para que puedan hacerlo. </w:t>
      </w:r>
      <w:r w:rsidR="004D4F16" w:rsidRPr="00975C02">
        <w:rPr>
          <w:rFonts w:eastAsia="MS Mincho"/>
          <w:sz w:val="20"/>
          <w:szCs w:val="20"/>
          <w:lang w:val="es-ES" w:bidi="en-US"/>
        </w:rPr>
        <w:t xml:space="preserve">En relación con V.R.P., teniendo en cuenta que ella aún no ha podido concluir sus estudios y no puede optar por una beca en Nicaragua, pues reside </w:t>
      </w:r>
      <w:r w:rsidR="004D4F16" w:rsidRPr="00975C02">
        <w:rPr>
          <w:rFonts w:eastAsia="MS Mincho"/>
          <w:sz w:val="20"/>
          <w:szCs w:val="20"/>
          <w:lang w:val="es-ES" w:bidi="en-US"/>
        </w:rPr>
        <w:lastRenderedPageBreak/>
        <w:t>fuera de ese país, solicitaron que se le asigne un monto prudencial ascendente a US$ 150.000,00 para cubrir sus estudios y pagos de préstamos estudiantiles. R</w:t>
      </w:r>
      <w:r w:rsidRPr="00975C02">
        <w:rPr>
          <w:rFonts w:eastAsia="MS Mincho"/>
          <w:sz w:val="20"/>
          <w:szCs w:val="20"/>
          <w:lang w:val="es-ES" w:bidi="en-US"/>
        </w:rPr>
        <w:t xml:space="preserve">especto a V.A.R.P. pidieron que se le proporcione una beca y gastos académicos necesarios para que pueda realizar estudios superiores o universitarios en un centro de reconocida calidad académica, escogido de común acuerdo entre el Estado y la víctima. </w:t>
      </w:r>
    </w:p>
    <w:p w14:paraId="1DE1135C" w14:textId="77777777" w:rsidR="009D661E" w:rsidRPr="00975C02" w:rsidRDefault="009D661E" w:rsidP="009D661E">
      <w:pPr>
        <w:pStyle w:val="ListParagraph"/>
        <w:spacing w:line="240" w:lineRule="auto"/>
        <w:rPr>
          <w:rFonts w:eastAsia="MS Mincho"/>
          <w:sz w:val="20"/>
          <w:szCs w:val="20"/>
          <w:lang w:val="es-ES" w:bidi="en-US"/>
        </w:rPr>
      </w:pPr>
    </w:p>
    <w:p w14:paraId="775E11C8" w14:textId="7F67DC40" w:rsidR="0064446E" w:rsidRPr="00975C02" w:rsidRDefault="0064446E" w:rsidP="009D661E">
      <w:pPr>
        <w:numPr>
          <w:ilvl w:val="0"/>
          <w:numId w:val="2"/>
        </w:numPr>
        <w:tabs>
          <w:tab w:val="left" w:pos="567"/>
          <w:tab w:val="num" w:pos="5057"/>
        </w:tabs>
        <w:spacing w:line="240" w:lineRule="auto"/>
        <w:ind w:left="0" w:firstLine="0"/>
        <w:textAlignment w:val="auto"/>
        <w:rPr>
          <w:sz w:val="20"/>
          <w:szCs w:val="20"/>
          <w:lang w:val="es-ES"/>
        </w:rPr>
      </w:pPr>
      <w:r w:rsidRPr="00975C02">
        <w:rPr>
          <w:rFonts w:eastAsia="MS Mincho"/>
          <w:sz w:val="20"/>
          <w:szCs w:val="20"/>
          <w:lang w:val="es-ES" w:bidi="en-US"/>
        </w:rPr>
        <w:t xml:space="preserve">Respecto al pedido formulado para que se otorgue una suma de dinero a V.R.P., el </w:t>
      </w:r>
      <w:r w:rsidRPr="00975C02">
        <w:rPr>
          <w:rFonts w:eastAsia="MS Mincho"/>
          <w:b/>
          <w:i/>
          <w:sz w:val="20"/>
          <w:szCs w:val="20"/>
          <w:lang w:val="es-ES" w:bidi="en-US"/>
        </w:rPr>
        <w:t>Estado</w:t>
      </w:r>
      <w:r w:rsidRPr="00975C02">
        <w:rPr>
          <w:rFonts w:eastAsia="MS Mincho"/>
          <w:sz w:val="20"/>
          <w:szCs w:val="20"/>
          <w:lang w:val="es-ES" w:bidi="en-US"/>
        </w:rPr>
        <w:t xml:space="preserve"> señaló que el monto solicitado carecía de fundamento y que, si a consideración de la Corte correspondía pagar alguna indemnización, debía efectuarse una tasación de acuerdo a parámetros nacionales. Asimismo, el Estado agregó que la Corte no podía ser una instancia a través de la cual se pretendiera resolver todos los aspectos de la vida de las presuntas víctimas y que, al encontrarse ellas asiladas en Estados Unidos por haberse alejado voluntariamente de Nicaragua, gozaban de “otras prerrogativas y facilidades de desarrollo”.</w:t>
      </w:r>
    </w:p>
    <w:p w14:paraId="3575357F" w14:textId="77777777" w:rsidR="0064446E" w:rsidRPr="00975C02" w:rsidRDefault="0064446E" w:rsidP="0064446E">
      <w:pPr>
        <w:tabs>
          <w:tab w:val="left" w:pos="567"/>
        </w:tabs>
        <w:spacing w:line="240" w:lineRule="auto"/>
        <w:textAlignment w:val="auto"/>
        <w:rPr>
          <w:sz w:val="20"/>
          <w:szCs w:val="20"/>
          <w:lang w:val="es-ES"/>
        </w:rPr>
      </w:pPr>
    </w:p>
    <w:p w14:paraId="5EB06A7D" w14:textId="1D689C94" w:rsidR="009D661E" w:rsidRPr="00975C02" w:rsidRDefault="009D661E" w:rsidP="009D661E">
      <w:pPr>
        <w:numPr>
          <w:ilvl w:val="0"/>
          <w:numId w:val="2"/>
        </w:numPr>
        <w:tabs>
          <w:tab w:val="left" w:pos="567"/>
          <w:tab w:val="num" w:pos="5057"/>
        </w:tabs>
        <w:spacing w:line="240" w:lineRule="auto"/>
        <w:ind w:left="0" w:firstLine="0"/>
        <w:textAlignment w:val="auto"/>
        <w:rPr>
          <w:sz w:val="20"/>
          <w:szCs w:val="20"/>
          <w:lang w:val="es-ES"/>
        </w:rPr>
      </w:pPr>
      <w:r w:rsidRPr="00975C02">
        <w:rPr>
          <w:rFonts w:eastAsia="MS Mincho"/>
          <w:sz w:val="20"/>
          <w:szCs w:val="20"/>
          <w:lang w:val="es-ES" w:bidi="en-US"/>
        </w:rPr>
        <w:t>El Estado alegó que no puede imputársele obligación alguna respecto de V.A.R.P. porque su calidad de presunta víctima no ha</w:t>
      </w:r>
      <w:r w:rsidR="0064446E" w:rsidRPr="00975C02">
        <w:rPr>
          <w:rFonts w:eastAsia="MS Mincho"/>
          <w:sz w:val="20"/>
          <w:szCs w:val="20"/>
          <w:lang w:val="es-ES" w:bidi="en-US"/>
        </w:rPr>
        <w:t>bría</w:t>
      </w:r>
      <w:r w:rsidRPr="00975C02">
        <w:rPr>
          <w:rFonts w:eastAsia="MS Mincho"/>
          <w:sz w:val="20"/>
          <w:szCs w:val="20"/>
          <w:lang w:val="es-ES" w:bidi="en-US"/>
        </w:rPr>
        <w:t xml:space="preserve"> sido acreditada ni en el informe de admisibilidad ni en el informe de fondo de la Comisión. Señaló que llamaba la atención el pedido de otorgamiento de beca de estudios y gastos académicos, pues a la fecha de la contestación V.A.R.P. tenía más de 34 años y, además, pudo y puede acceder a la educación superior en Nicaragua, ya que los centros universitarios nacionales son prácticamente gratuitos y su ingreso está condicionado únicamente a que apruebe un examen de admisión</w:t>
      </w:r>
      <w:r w:rsidR="00F53A54" w:rsidRPr="00975C02">
        <w:rPr>
          <w:rFonts w:eastAsia="MS Mincho"/>
          <w:sz w:val="20"/>
          <w:szCs w:val="20"/>
          <w:lang w:val="es-ES" w:bidi="en-US"/>
        </w:rPr>
        <w:t>.</w:t>
      </w:r>
    </w:p>
    <w:p w14:paraId="3E7870F0" w14:textId="77777777" w:rsidR="009D661E" w:rsidRPr="00975C02" w:rsidRDefault="009D661E" w:rsidP="009D661E">
      <w:pPr>
        <w:tabs>
          <w:tab w:val="left" w:pos="567"/>
        </w:tabs>
        <w:spacing w:line="240" w:lineRule="auto"/>
        <w:textAlignment w:val="auto"/>
        <w:rPr>
          <w:sz w:val="20"/>
          <w:szCs w:val="20"/>
          <w:lang w:val="es-ES"/>
        </w:rPr>
      </w:pPr>
    </w:p>
    <w:p w14:paraId="2D916FF2" w14:textId="77777777" w:rsidR="009D661E" w:rsidRPr="00975C02" w:rsidRDefault="009D661E" w:rsidP="009D661E">
      <w:pPr>
        <w:numPr>
          <w:ilvl w:val="0"/>
          <w:numId w:val="2"/>
        </w:numPr>
        <w:tabs>
          <w:tab w:val="left" w:pos="567"/>
          <w:tab w:val="num" w:pos="5057"/>
        </w:tabs>
        <w:spacing w:line="240" w:lineRule="auto"/>
        <w:ind w:left="0" w:firstLine="0"/>
        <w:textAlignment w:val="auto"/>
        <w:rPr>
          <w:sz w:val="20"/>
          <w:szCs w:val="20"/>
          <w:lang w:val="es-ES"/>
        </w:rPr>
      </w:pPr>
      <w:r w:rsidRPr="00975C02">
        <w:rPr>
          <w:rFonts w:eastAsia="MS Mincho"/>
          <w:sz w:val="20"/>
          <w:szCs w:val="20"/>
          <w:lang w:val="es-ES" w:bidi="en-US"/>
        </w:rPr>
        <w:t xml:space="preserve">La </w:t>
      </w:r>
      <w:r w:rsidRPr="00975C02">
        <w:rPr>
          <w:rFonts w:eastAsia="MS Mincho"/>
          <w:b/>
          <w:i/>
          <w:sz w:val="20"/>
          <w:szCs w:val="20"/>
          <w:lang w:val="es-ES" w:bidi="en-US"/>
        </w:rPr>
        <w:t>Comisión</w:t>
      </w:r>
      <w:r w:rsidRPr="00975C02">
        <w:rPr>
          <w:rFonts w:eastAsia="MS Mincho"/>
          <w:sz w:val="20"/>
          <w:szCs w:val="20"/>
          <w:lang w:val="es-ES" w:bidi="en-US"/>
        </w:rPr>
        <w:t xml:space="preserve"> no se pronunció específicamente sobre esta medida de reparación.</w:t>
      </w:r>
    </w:p>
    <w:p w14:paraId="3F8058B4" w14:textId="77777777" w:rsidR="009D661E" w:rsidRPr="00975C02" w:rsidRDefault="009D661E" w:rsidP="009D661E">
      <w:pPr>
        <w:tabs>
          <w:tab w:val="left" w:pos="567"/>
        </w:tabs>
        <w:spacing w:line="240" w:lineRule="auto"/>
        <w:textAlignment w:val="auto"/>
        <w:rPr>
          <w:sz w:val="20"/>
          <w:szCs w:val="20"/>
          <w:lang w:val="es-ES"/>
        </w:rPr>
      </w:pPr>
    </w:p>
    <w:p w14:paraId="39D7B74D" w14:textId="59EDE87C" w:rsidR="009D661E" w:rsidRPr="00975C02" w:rsidRDefault="009D661E" w:rsidP="009D661E">
      <w:pPr>
        <w:numPr>
          <w:ilvl w:val="0"/>
          <w:numId w:val="2"/>
        </w:numPr>
        <w:tabs>
          <w:tab w:val="left" w:pos="567"/>
          <w:tab w:val="num" w:pos="5057"/>
        </w:tabs>
        <w:spacing w:line="240" w:lineRule="auto"/>
        <w:ind w:left="0" w:firstLine="0"/>
        <w:textAlignment w:val="auto"/>
        <w:rPr>
          <w:sz w:val="20"/>
          <w:szCs w:val="20"/>
          <w:lang w:val="es-ES"/>
        </w:rPr>
      </w:pPr>
      <w:r w:rsidRPr="00975C02">
        <w:rPr>
          <w:sz w:val="20"/>
          <w:szCs w:val="20"/>
          <w:lang w:val="es-ES"/>
        </w:rPr>
        <w:t xml:space="preserve">La Corte ha establecido en la presente Sentencia que los hechos del caso generaron una grave afectación </w:t>
      </w:r>
      <w:r w:rsidR="00601D72" w:rsidRPr="00975C02">
        <w:rPr>
          <w:sz w:val="20"/>
          <w:szCs w:val="20"/>
          <w:lang w:val="es-ES"/>
        </w:rPr>
        <w:t xml:space="preserve">a </w:t>
      </w:r>
      <w:r w:rsidRPr="00975C02">
        <w:rPr>
          <w:sz w:val="20"/>
          <w:szCs w:val="20"/>
          <w:lang w:val="es-ES"/>
        </w:rPr>
        <w:t xml:space="preserve">V.R.P. y sus familiares, que perdura en el tiempo y que ocasionó cambios significativos tanto en sus vidas como en sus relaciones personales y sociales, </w:t>
      </w:r>
      <w:r w:rsidR="009E2A5B" w:rsidRPr="00975C02">
        <w:rPr>
          <w:sz w:val="20"/>
          <w:szCs w:val="20"/>
          <w:lang w:val="es-ES"/>
        </w:rPr>
        <w:t>dañando</w:t>
      </w:r>
      <w:r w:rsidR="00601D72" w:rsidRPr="00975C02">
        <w:rPr>
          <w:sz w:val="20"/>
          <w:szCs w:val="20"/>
          <w:lang w:val="es-ES"/>
        </w:rPr>
        <w:t xml:space="preserve"> </w:t>
      </w:r>
      <w:r w:rsidRPr="00975C02">
        <w:rPr>
          <w:sz w:val="20"/>
          <w:szCs w:val="20"/>
          <w:lang w:val="es-ES"/>
        </w:rPr>
        <w:t>su desarrollo personal (</w:t>
      </w:r>
      <w:r w:rsidRPr="00975C02">
        <w:rPr>
          <w:i/>
          <w:sz w:val="20"/>
          <w:szCs w:val="20"/>
          <w:lang w:val="es-ES"/>
        </w:rPr>
        <w:t>supra</w:t>
      </w:r>
      <w:r w:rsidRPr="00975C02">
        <w:rPr>
          <w:sz w:val="20"/>
          <w:szCs w:val="20"/>
          <w:lang w:val="es-ES"/>
        </w:rPr>
        <w:t xml:space="preserve"> párrs. </w:t>
      </w:r>
      <w:r w:rsidR="0044295D" w:rsidRPr="00975C02">
        <w:rPr>
          <w:sz w:val="20"/>
          <w:szCs w:val="20"/>
          <w:lang w:val="es-ES"/>
        </w:rPr>
        <w:t>295 y 299 y Capítulo VIII-3</w:t>
      </w:r>
      <w:r w:rsidRPr="00975C02">
        <w:rPr>
          <w:sz w:val="20"/>
          <w:szCs w:val="20"/>
          <w:lang w:val="es-ES"/>
        </w:rPr>
        <w:t>).</w:t>
      </w:r>
      <w:r w:rsidRPr="00975C02">
        <w:rPr>
          <w:rFonts w:cs="Arial"/>
          <w:sz w:val="20"/>
          <w:szCs w:val="20"/>
          <w:lang w:val="es-ES"/>
        </w:rPr>
        <w:t xml:space="preserve"> En particular, el Tribunal destaca que los hechos </w:t>
      </w:r>
      <w:r w:rsidR="00601D72" w:rsidRPr="00975C02">
        <w:rPr>
          <w:rFonts w:cs="Arial"/>
          <w:sz w:val="20"/>
          <w:szCs w:val="20"/>
          <w:lang w:val="es-ES"/>
        </w:rPr>
        <w:t xml:space="preserve">sucedieron </w:t>
      </w:r>
      <w:r w:rsidRPr="00975C02">
        <w:rPr>
          <w:rFonts w:cs="Arial"/>
          <w:sz w:val="20"/>
          <w:szCs w:val="20"/>
          <w:lang w:val="es-ES"/>
        </w:rPr>
        <w:t>durante la etapa escolar de V.R.P., quien se vio obligada a abandonar la escuela y</w:t>
      </w:r>
      <w:r w:rsidR="00601D72" w:rsidRPr="00975C02">
        <w:rPr>
          <w:rFonts w:cs="Arial"/>
          <w:sz w:val="20"/>
          <w:szCs w:val="20"/>
          <w:lang w:val="es-ES"/>
        </w:rPr>
        <w:t>,</w:t>
      </w:r>
      <w:r w:rsidRPr="00975C02">
        <w:rPr>
          <w:rFonts w:cs="Arial"/>
          <w:sz w:val="20"/>
          <w:szCs w:val="20"/>
          <w:lang w:val="es-ES"/>
        </w:rPr>
        <w:t xml:space="preserve"> posteriormente</w:t>
      </w:r>
      <w:r w:rsidR="00601D72" w:rsidRPr="00975C02">
        <w:rPr>
          <w:rFonts w:cs="Arial"/>
          <w:sz w:val="20"/>
          <w:szCs w:val="20"/>
          <w:lang w:val="es-ES"/>
        </w:rPr>
        <w:t>,</w:t>
      </w:r>
      <w:r w:rsidRPr="00975C02">
        <w:rPr>
          <w:rFonts w:cs="Arial"/>
          <w:sz w:val="20"/>
          <w:szCs w:val="20"/>
          <w:lang w:val="es-ES"/>
        </w:rPr>
        <w:t xml:space="preserve"> trasladarse a Estados Unidos. Según su declaración en </w:t>
      </w:r>
      <w:r w:rsidR="00601D72" w:rsidRPr="00975C02">
        <w:rPr>
          <w:rFonts w:cs="Arial"/>
          <w:sz w:val="20"/>
          <w:szCs w:val="20"/>
          <w:lang w:val="es-ES"/>
        </w:rPr>
        <w:t xml:space="preserve">la </w:t>
      </w:r>
      <w:r w:rsidRPr="00975C02">
        <w:rPr>
          <w:rFonts w:cs="Arial"/>
          <w:sz w:val="20"/>
          <w:szCs w:val="20"/>
          <w:lang w:val="es-ES"/>
        </w:rPr>
        <w:t>audiencia, actualmente se encuentra realizando estudios universitarios en Estados Unidos “para tratar de ayudar a niños que pasaron cosas similares”. Asimismo, su hermano V.A.R.P. declaró que la estigmatización y revictimización sufrida durante el proceso penal así como la desintegración familiar posterior provocaron la imposibilidad de que concluya su educación universitaria</w:t>
      </w:r>
      <w:r w:rsidR="000F093D" w:rsidRPr="00975C02">
        <w:rPr>
          <w:rStyle w:val="FootnoteReference"/>
          <w:rFonts w:cs="Arial"/>
          <w:sz w:val="20"/>
          <w:szCs w:val="20"/>
          <w:lang w:val="es-ES"/>
        </w:rPr>
        <w:footnoteReference w:id="431"/>
      </w:r>
      <w:r w:rsidRPr="00975C02">
        <w:rPr>
          <w:rFonts w:cs="Arial"/>
          <w:sz w:val="20"/>
          <w:szCs w:val="20"/>
          <w:lang w:val="es-ES"/>
        </w:rPr>
        <w:t>.</w:t>
      </w:r>
    </w:p>
    <w:p w14:paraId="239FCA82" w14:textId="77777777" w:rsidR="009D661E" w:rsidRPr="00975C02" w:rsidRDefault="009D661E" w:rsidP="009D661E">
      <w:pPr>
        <w:pStyle w:val="ListParagraph"/>
        <w:spacing w:line="240" w:lineRule="auto"/>
        <w:rPr>
          <w:rFonts w:cs="Arial"/>
          <w:sz w:val="20"/>
          <w:szCs w:val="20"/>
          <w:lang w:val="es-ES"/>
        </w:rPr>
      </w:pPr>
    </w:p>
    <w:p w14:paraId="4428A648" w14:textId="6D8FFED3" w:rsidR="009D661E" w:rsidRPr="00975C02" w:rsidRDefault="009D661E" w:rsidP="009D661E">
      <w:pPr>
        <w:numPr>
          <w:ilvl w:val="0"/>
          <w:numId w:val="2"/>
        </w:numPr>
        <w:tabs>
          <w:tab w:val="left" w:pos="567"/>
          <w:tab w:val="num" w:pos="5057"/>
        </w:tabs>
        <w:spacing w:line="240" w:lineRule="auto"/>
        <w:ind w:left="0" w:firstLine="0"/>
        <w:textAlignment w:val="auto"/>
        <w:rPr>
          <w:rFonts w:eastAsia="MS Mincho"/>
          <w:b/>
          <w:sz w:val="20"/>
          <w:szCs w:val="20"/>
          <w:lang w:val="es-ES" w:bidi="en-US"/>
        </w:rPr>
      </w:pPr>
      <w:r w:rsidRPr="00975C02">
        <w:rPr>
          <w:rFonts w:cs="Arial"/>
          <w:sz w:val="20"/>
          <w:szCs w:val="20"/>
          <w:lang w:val="es-ES"/>
        </w:rPr>
        <w:t xml:space="preserve">En atención a lo anterior, como </w:t>
      </w:r>
      <w:r w:rsidR="00B92597" w:rsidRPr="00975C02">
        <w:rPr>
          <w:rFonts w:cs="Arial"/>
          <w:sz w:val="20"/>
          <w:szCs w:val="20"/>
          <w:lang w:val="es-ES"/>
        </w:rPr>
        <w:t xml:space="preserve">se </w:t>
      </w:r>
      <w:r w:rsidRPr="00975C02">
        <w:rPr>
          <w:rFonts w:cs="Arial"/>
          <w:sz w:val="20"/>
          <w:szCs w:val="20"/>
          <w:lang w:val="es-ES"/>
        </w:rPr>
        <w:t>ha dispuesto en otros casos</w:t>
      </w:r>
      <w:r w:rsidRPr="00975C02">
        <w:rPr>
          <w:rStyle w:val="FootnoteReference"/>
          <w:rFonts w:eastAsia="Calibri" w:cs="Arial"/>
          <w:sz w:val="20"/>
          <w:szCs w:val="20"/>
          <w:lang w:val="es-ES"/>
        </w:rPr>
        <w:footnoteReference w:id="432"/>
      </w:r>
      <w:r w:rsidRPr="00975C02">
        <w:rPr>
          <w:rFonts w:cs="Arial"/>
          <w:sz w:val="20"/>
          <w:szCs w:val="20"/>
          <w:lang w:val="es-ES"/>
        </w:rPr>
        <w:t>, la Corte estima oportuno ordenar, como medida de satisfacción en el presente caso, que el Estado otorgue a favor de V.R.P.</w:t>
      </w:r>
      <w:r w:rsidRPr="00975C02">
        <w:rPr>
          <w:sz w:val="20"/>
          <w:szCs w:val="20"/>
          <w:lang w:val="es-ES"/>
        </w:rPr>
        <w:t>, por una única vez, la suma de US$</w:t>
      </w:r>
      <w:r w:rsidR="00A85E34" w:rsidRPr="00975C02">
        <w:rPr>
          <w:sz w:val="20"/>
          <w:szCs w:val="20"/>
          <w:lang w:val="es-ES"/>
        </w:rPr>
        <w:t xml:space="preserve"> </w:t>
      </w:r>
      <w:r w:rsidR="00FB01D2" w:rsidRPr="00975C02">
        <w:rPr>
          <w:sz w:val="20"/>
          <w:szCs w:val="20"/>
          <w:lang w:val="es-ES"/>
        </w:rPr>
        <w:t>1</w:t>
      </w:r>
      <w:r w:rsidR="00FC3BF6" w:rsidRPr="00975C02">
        <w:rPr>
          <w:sz w:val="20"/>
          <w:szCs w:val="20"/>
          <w:lang w:val="es-ES"/>
        </w:rPr>
        <w:t>5</w:t>
      </w:r>
      <w:r w:rsidR="00FB01D2" w:rsidRPr="00975C02">
        <w:rPr>
          <w:sz w:val="20"/>
          <w:szCs w:val="20"/>
          <w:lang w:val="es-ES"/>
        </w:rPr>
        <w:t>0</w:t>
      </w:r>
      <w:r w:rsidR="00307673" w:rsidRPr="00975C02">
        <w:rPr>
          <w:sz w:val="20"/>
          <w:szCs w:val="20"/>
          <w:lang w:val="es-ES"/>
        </w:rPr>
        <w:t>.</w:t>
      </w:r>
      <w:r w:rsidRPr="00975C02">
        <w:rPr>
          <w:sz w:val="20"/>
          <w:szCs w:val="20"/>
          <w:lang w:val="es-ES"/>
        </w:rPr>
        <w:t>000</w:t>
      </w:r>
      <w:r w:rsidR="00307673" w:rsidRPr="00975C02">
        <w:rPr>
          <w:sz w:val="20"/>
          <w:szCs w:val="20"/>
          <w:lang w:val="es-ES"/>
        </w:rPr>
        <w:t>,00</w:t>
      </w:r>
      <w:r w:rsidRPr="00975C02">
        <w:rPr>
          <w:sz w:val="20"/>
          <w:szCs w:val="20"/>
          <w:lang w:val="es-ES"/>
        </w:rPr>
        <w:t xml:space="preserve"> (</w:t>
      </w:r>
      <w:r w:rsidR="00FB01D2" w:rsidRPr="00975C02">
        <w:rPr>
          <w:sz w:val="20"/>
          <w:szCs w:val="20"/>
          <w:lang w:val="es-ES"/>
        </w:rPr>
        <w:t>cien</w:t>
      </w:r>
      <w:r w:rsidR="00FC3BF6" w:rsidRPr="00975C02">
        <w:rPr>
          <w:sz w:val="20"/>
          <w:szCs w:val="20"/>
          <w:lang w:val="es-ES"/>
        </w:rPr>
        <w:t>to cincuenta</w:t>
      </w:r>
      <w:r w:rsidRPr="00975C02">
        <w:rPr>
          <w:sz w:val="20"/>
          <w:szCs w:val="20"/>
          <w:lang w:val="es-ES"/>
        </w:rPr>
        <w:t xml:space="preserve"> mil dólares de los Estados Unidos de América), para poder sufragar los gastos necesarios para la conclusión de su formación profesional en el lugar donde resida. </w:t>
      </w:r>
      <w:r w:rsidRPr="00975C02">
        <w:rPr>
          <w:rFonts w:eastAsia="MS Mincho"/>
          <w:sz w:val="20"/>
          <w:szCs w:val="20"/>
          <w:lang w:val="es-ES" w:bidi="en-US"/>
        </w:rPr>
        <w:t>El Estado dispondrá del plazo de un año, contado a partir de la notificación de la presente Sentencia, para hacer efectivo el pago del monto ordenado</w:t>
      </w:r>
      <w:r w:rsidR="00945A71" w:rsidRPr="00975C02">
        <w:rPr>
          <w:rFonts w:eastAsia="MS Mincho"/>
          <w:sz w:val="20"/>
          <w:szCs w:val="20"/>
          <w:lang w:val="es-ES" w:bidi="en-US"/>
        </w:rPr>
        <w:t xml:space="preserve"> a V.R.P.</w:t>
      </w:r>
    </w:p>
    <w:p w14:paraId="667FF5D1" w14:textId="77777777" w:rsidR="009D661E" w:rsidRPr="00975C02" w:rsidRDefault="009D661E" w:rsidP="009D661E">
      <w:pPr>
        <w:pStyle w:val="ListParagraph"/>
        <w:spacing w:line="240" w:lineRule="auto"/>
        <w:rPr>
          <w:rFonts w:eastAsia="MS Mincho"/>
          <w:b/>
          <w:sz w:val="20"/>
          <w:szCs w:val="20"/>
          <w:lang w:val="es-ES" w:bidi="en-US"/>
        </w:rPr>
      </w:pPr>
    </w:p>
    <w:p w14:paraId="56062EB6" w14:textId="482FD977" w:rsidR="009D661E" w:rsidRPr="00975C02" w:rsidRDefault="009D661E" w:rsidP="0054596C">
      <w:pPr>
        <w:numPr>
          <w:ilvl w:val="0"/>
          <w:numId w:val="2"/>
        </w:numPr>
        <w:tabs>
          <w:tab w:val="left" w:pos="567"/>
          <w:tab w:val="num" w:pos="5057"/>
        </w:tabs>
        <w:spacing w:line="240" w:lineRule="auto"/>
        <w:ind w:left="0" w:firstLine="0"/>
        <w:textAlignment w:val="auto"/>
        <w:rPr>
          <w:rFonts w:cs="Verdana"/>
          <w:sz w:val="20"/>
          <w:szCs w:val="20"/>
          <w:lang w:val="es-ES"/>
        </w:rPr>
      </w:pPr>
      <w:r w:rsidRPr="00975C02">
        <w:rPr>
          <w:rFonts w:cs="Arial"/>
          <w:sz w:val="20"/>
          <w:szCs w:val="20"/>
          <w:lang w:val="es-ES"/>
        </w:rPr>
        <w:t xml:space="preserve">Por otra parte, el Tribunal dispone que el Estado debe otorgar una beca en una institución pública nicaragüense en beneficio de V.A.R.P., concertada </w:t>
      </w:r>
      <w:r w:rsidR="00A85E34" w:rsidRPr="00975C02">
        <w:rPr>
          <w:rFonts w:cs="Arial"/>
          <w:sz w:val="20"/>
          <w:szCs w:val="20"/>
          <w:lang w:val="es-ES"/>
        </w:rPr>
        <w:t>entre</w:t>
      </w:r>
      <w:r w:rsidRPr="00975C02">
        <w:rPr>
          <w:rFonts w:cs="Arial"/>
          <w:sz w:val="20"/>
          <w:szCs w:val="20"/>
          <w:lang w:val="es-ES"/>
        </w:rPr>
        <w:t xml:space="preserve"> </w:t>
      </w:r>
      <w:r w:rsidR="00A85E34" w:rsidRPr="00975C02">
        <w:rPr>
          <w:rFonts w:cs="Arial"/>
          <w:sz w:val="20"/>
          <w:szCs w:val="20"/>
          <w:lang w:val="es-ES"/>
        </w:rPr>
        <w:t>é</w:t>
      </w:r>
      <w:r w:rsidRPr="00975C02">
        <w:rPr>
          <w:rFonts w:cs="Arial"/>
          <w:sz w:val="20"/>
          <w:szCs w:val="20"/>
          <w:lang w:val="es-ES"/>
        </w:rPr>
        <w:t xml:space="preserve">ste y el Estado, para realizar estudios superiores técnicos o universitarios, o bien para capacitarse en un oficio. </w:t>
      </w:r>
      <w:r w:rsidRPr="00975C02">
        <w:rPr>
          <w:rFonts w:cs="Verdana"/>
          <w:sz w:val="20"/>
          <w:szCs w:val="20"/>
          <w:lang w:val="es-ES"/>
        </w:rPr>
        <w:t xml:space="preserve">Dicha beca se otorgará desde el momento en que el beneficiario la solicite al Estado hasta la conclusión de sus estudios superiores técnicos o universitarios y deberá cubrir todos los gastos para la completa finalización de dichos estudios, incluyendo el material académico o educativo. Asimismo, deberá </w:t>
      </w:r>
      <w:r w:rsidRPr="00975C02">
        <w:rPr>
          <w:rFonts w:cs="Verdana"/>
          <w:sz w:val="20"/>
          <w:szCs w:val="20"/>
          <w:lang w:val="es-ES"/>
        </w:rPr>
        <w:lastRenderedPageBreak/>
        <w:t>empezar a hacerse efectiva de la manera más pronta posible a partir de la notificación de la presente Sentencia, para que el beneficiario comience sus estudios en el próximo año, si así lo desea.</w:t>
      </w:r>
      <w:r w:rsidRPr="00975C02">
        <w:rPr>
          <w:sz w:val="20"/>
          <w:szCs w:val="20"/>
          <w:lang w:val="es-ES"/>
        </w:rPr>
        <w:t xml:space="preserve"> La víctima o sus representantes cuentan con un plazo de </w:t>
      </w:r>
      <w:r w:rsidR="003F3B0A" w:rsidRPr="00975C02">
        <w:rPr>
          <w:sz w:val="20"/>
          <w:szCs w:val="20"/>
          <w:lang w:val="es-ES"/>
        </w:rPr>
        <w:t>seis meses</w:t>
      </w:r>
      <w:r w:rsidRPr="00975C02">
        <w:rPr>
          <w:sz w:val="20"/>
          <w:szCs w:val="20"/>
          <w:lang w:val="es-ES"/>
        </w:rPr>
        <w:t>, contado a partir de la notificación de la presente Sentencia, para dar a conocer al Estado su intención de recibir dicha beca.</w:t>
      </w:r>
    </w:p>
    <w:p w14:paraId="463AE983" w14:textId="77777777" w:rsidR="009D661E" w:rsidRPr="00975C02" w:rsidRDefault="009D661E" w:rsidP="009D661E">
      <w:pPr>
        <w:tabs>
          <w:tab w:val="left" w:pos="720"/>
        </w:tabs>
        <w:spacing w:line="240" w:lineRule="auto"/>
        <w:ind w:right="-90"/>
        <w:rPr>
          <w:rFonts w:cs="Verdana"/>
          <w:sz w:val="20"/>
          <w:szCs w:val="20"/>
          <w:lang w:val="es-ES"/>
        </w:rPr>
      </w:pPr>
    </w:p>
    <w:p w14:paraId="5D1D27EC" w14:textId="77777777" w:rsidR="00047EC8" w:rsidRPr="00975C02" w:rsidRDefault="009D661E" w:rsidP="00DF3D71">
      <w:pPr>
        <w:pStyle w:val="Heading2"/>
        <w:tabs>
          <w:tab w:val="left" w:pos="1843"/>
        </w:tabs>
        <w:spacing w:before="0" w:line="240" w:lineRule="auto"/>
        <w:ind w:left="1134"/>
        <w:rPr>
          <w:i/>
          <w:color w:val="auto"/>
          <w:sz w:val="20"/>
          <w:szCs w:val="20"/>
          <w:lang w:val="es-ES"/>
        </w:rPr>
      </w:pPr>
      <w:bookmarkStart w:id="180" w:name="_Toc495658699"/>
      <w:bookmarkStart w:id="181" w:name="_Toc514172667"/>
      <w:r w:rsidRPr="00975C02">
        <w:rPr>
          <w:rFonts w:ascii="Verdana" w:hAnsi="Verdana"/>
          <w:b w:val="0"/>
          <w:i/>
          <w:color w:val="auto"/>
          <w:sz w:val="20"/>
          <w:szCs w:val="20"/>
          <w:lang w:val="es-ES"/>
        </w:rPr>
        <w:t xml:space="preserve">C.3 </w:t>
      </w:r>
      <w:r w:rsidRPr="00975C02">
        <w:rPr>
          <w:rFonts w:ascii="Verdana" w:hAnsi="Verdana"/>
          <w:b w:val="0"/>
          <w:i/>
          <w:color w:val="auto"/>
          <w:sz w:val="20"/>
          <w:szCs w:val="20"/>
          <w:lang w:val="es-ES"/>
        </w:rPr>
        <w:tab/>
        <w:t>Garantías de no repetición</w:t>
      </w:r>
      <w:bookmarkEnd w:id="180"/>
      <w:bookmarkEnd w:id="181"/>
    </w:p>
    <w:p w14:paraId="429160B3" w14:textId="77777777" w:rsidR="00047EC8" w:rsidRPr="00975C02" w:rsidRDefault="00047EC8" w:rsidP="006A271A">
      <w:pPr>
        <w:spacing w:line="240" w:lineRule="auto"/>
        <w:rPr>
          <w:i/>
          <w:sz w:val="20"/>
          <w:szCs w:val="20"/>
          <w:lang w:val="es-ES"/>
        </w:rPr>
      </w:pPr>
    </w:p>
    <w:p w14:paraId="5E37964E" w14:textId="272D007D" w:rsidR="009D661E" w:rsidRPr="00975C02" w:rsidRDefault="00D8602B" w:rsidP="006A271A">
      <w:pPr>
        <w:pStyle w:val="ListParagraph"/>
        <w:numPr>
          <w:ilvl w:val="0"/>
          <w:numId w:val="18"/>
        </w:numPr>
        <w:spacing w:line="240" w:lineRule="auto"/>
        <w:rPr>
          <w:lang w:val="es-ES"/>
        </w:rPr>
      </w:pPr>
      <w:r w:rsidRPr="00975C02">
        <w:rPr>
          <w:i/>
          <w:sz w:val="20"/>
          <w:szCs w:val="20"/>
          <w:lang w:val="es-ES"/>
        </w:rPr>
        <w:t xml:space="preserve">Medidas </w:t>
      </w:r>
      <w:r w:rsidR="00A224C6" w:rsidRPr="00975C02">
        <w:rPr>
          <w:i/>
          <w:sz w:val="20"/>
          <w:szCs w:val="20"/>
          <w:lang w:val="es-ES"/>
        </w:rPr>
        <w:t>para el fortalecimiento de la capacidad institucional para enfrentar de forma integral la violencia sexual contra las niñas</w:t>
      </w:r>
      <w:r w:rsidR="00460450" w:rsidRPr="00975C02">
        <w:rPr>
          <w:i/>
          <w:sz w:val="20"/>
          <w:szCs w:val="20"/>
          <w:lang w:val="es-ES"/>
        </w:rPr>
        <w:t>, niños y adolescentes</w:t>
      </w:r>
    </w:p>
    <w:p w14:paraId="158E2207" w14:textId="77777777" w:rsidR="009D661E" w:rsidRPr="00975C02" w:rsidRDefault="009D661E" w:rsidP="006A271A">
      <w:pPr>
        <w:tabs>
          <w:tab w:val="left" w:pos="567"/>
        </w:tabs>
        <w:spacing w:line="240" w:lineRule="auto"/>
        <w:textAlignment w:val="auto"/>
        <w:rPr>
          <w:rFonts w:eastAsia="MS Mincho"/>
          <w:sz w:val="20"/>
          <w:szCs w:val="20"/>
          <w:lang w:val="es-ES" w:bidi="en-US"/>
        </w:rPr>
      </w:pPr>
    </w:p>
    <w:p w14:paraId="08BC2B68" w14:textId="075F96F4" w:rsidR="009D661E" w:rsidRPr="00975C02" w:rsidRDefault="009D661E" w:rsidP="009D661E">
      <w:pPr>
        <w:numPr>
          <w:ilvl w:val="0"/>
          <w:numId w:val="2"/>
        </w:numPr>
        <w:tabs>
          <w:tab w:val="left" w:pos="567"/>
          <w:tab w:val="num" w:pos="5057"/>
        </w:tabs>
        <w:spacing w:line="240" w:lineRule="auto"/>
        <w:ind w:left="0" w:firstLine="0"/>
        <w:textAlignment w:val="auto"/>
        <w:rPr>
          <w:rFonts w:eastAsia="MS Mincho"/>
          <w:sz w:val="20"/>
          <w:szCs w:val="20"/>
          <w:lang w:val="es-ES" w:bidi="en-US"/>
        </w:rPr>
      </w:pPr>
      <w:r w:rsidRPr="00975C02">
        <w:rPr>
          <w:rFonts w:eastAsia="MS Mincho"/>
          <w:sz w:val="20"/>
          <w:szCs w:val="20"/>
          <w:lang w:val="es-ES" w:bidi="en-US"/>
        </w:rPr>
        <w:t xml:space="preserve">La </w:t>
      </w:r>
      <w:r w:rsidRPr="00975C02">
        <w:rPr>
          <w:rFonts w:eastAsia="MS Mincho" w:cs="Verdana"/>
          <w:b/>
          <w:i/>
          <w:sz w:val="20"/>
          <w:szCs w:val="20"/>
          <w:lang w:val="es-ES" w:bidi="en-US"/>
        </w:rPr>
        <w:t>Comisión</w:t>
      </w:r>
      <w:r w:rsidRPr="00975C02">
        <w:rPr>
          <w:rFonts w:eastAsia="MS Mincho"/>
          <w:sz w:val="20"/>
          <w:szCs w:val="20"/>
          <w:lang w:val="es-ES" w:bidi="en-US"/>
        </w:rPr>
        <w:t xml:space="preserve"> solicitó a</w:t>
      </w:r>
      <w:r w:rsidRPr="00975C02">
        <w:rPr>
          <w:sz w:val="20"/>
          <w:szCs w:val="20"/>
          <w:lang w:val="es-ES"/>
        </w:rPr>
        <w:t xml:space="preserve"> la Corte que ordenara al Estado adoptar políticas públicas y programas institucionales integrados, destinados a enfrentar la violencia contra las mujeres y niñas como forma de discriminación, así como a promover la erradicación de patrones socioculturales discriminatorios que impiden su acceso pleno a la justicia</w:t>
      </w:r>
      <w:r w:rsidR="00F53A54" w:rsidRPr="00975C02">
        <w:rPr>
          <w:sz w:val="20"/>
          <w:szCs w:val="20"/>
          <w:lang w:val="es-ES"/>
        </w:rPr>
        <w:t>.</w:t>
      </w:r>
    </w:p>
    <w:p w14:paraId="35D9E57C" w14:textId="77777777" w:rsidR="009D661E" w:rsidRPr="00975C02" w:rsidRDefault="009D661E" w:rsidP="009D661E">
      <w:pPr>
        <w:tabs>
          <w:tab w:val="left" w:pos="567"/>
        </w:tabs>
        <w:spacing w:line="240" w:lineRule="auto"/>
        <w:textAlignment w:val="auto"/>
        <w:rPr>
          <w:rFonts w:eastAsia="MS Mincho"/>
          <w:sz w:val="20"/>
          <w:szCs w:val="20"/>
          <w:lang w:val="es-ES" w:bidi="en-US"/>
        </w:rPr>
      </w:pPr>
    </w:p>
    <w:p w14:paraId="0345A270" w14:textId="7B0FEC6A" w:rsidR="009D661E" w:rsidRPr="00975C02" w:rsidRDefault="009D661E" w:rsidP="009D661E">
      <w:pPr>
        <w:numPr>
          <w:ilvl w:val="0"/>
          <w:numId w:val="2"/>
        </w:numPr>
        <w:tabs>
          <w:tab w:val="left" w:pos="567"/>
          <w:tab w:val="num" w:pos="5057"/>
        </w:tabs>
        <w:spacing w:line="240" w:lineRule="auto"/>
        <w:ind w:left="0" w:firstLine="0"/>
        <w:textAlignment w:val="auto"/>
        <w:rPr>
          <w:rFonts w:eastAsia="MS Mincho"/>
          <w:sz w:val="20"/>
          <w:szCs w:val="20"/>
          <w:lang w:val="es-ES" w:bidi="en-US"/>
        </w:rPr>
      </w:pPr>
      <w:r w:rsidRPr="00975C02">
        <w:rPr>
          <w:rFonts w:eastAsia="MS Mincho"/>
          <w:sz w:val="20"/>
          <w:szCs w:val="20"/>
          <w:lang w:val="es-ES" w:bidi="en-US"/>
        </w:rPr>
        <w:t xml:space="preserve">Asimismo, recomendó </w:t>
      </w:r>
      <w:r w:rsidRPr="00975C02">
        <w:rPr>
          <w:sz w:val="20"/>
          <w:szCs w:val="20"/>
          <w:lang w:val="es-ES"/>
        </w:rPr>
        <w:t>que se orden</w:t>
      </w:r>
      <w:r w:rsidR="002F362A" w:rsidRPr="00975C02">
        <w:rPr>
          <w:sz w:val="20"/>
          <w:szCs w:val="20"/>
          <w:lang w:val="es-ES"/>
        </w:rPr>
        <w:t>ara</w:t>
      </w:r>
      <w:r w:rsidRPr="00975C02">
        <w:rPr>
          <w:sz w:val="20"/>
          <w:szCs w:val="20"/>
          <w:lang w:val="es-ES"/>
        </w:rPr>
        <w:t xml:space="preserve"> al Estado fortalecer la capacidad institucional para combatir la impunidad frente a casos de violación sexual y otras formas de violencia sexual contra mujeres, incluyendo niñas, a través de investigaciones criminales efectivas, con perspectiva de género, garantizando así una adecuada sanción y reparación.</w:t>
      </w:r>
    </w:p>
    <w:p w14:paraId="217554BE" w14:textId="77777777" w:rsidR="009D661E" w:rsidRPr="00975C02" w:rsidRDefault="009D661E" w:rsidP="009D661E">
      <w:pPr>
        <w:tabs>
          <w:tab w:val="left" w:pos="0"/>
          <w:tab w:val="num" w:pos="11028"/>
        </w:tabs>
        <w:spacing w:line="240" w:lineRule="auto"/>
        <w:ind w:right="-90"/>
        <w:rPr>
          <w:rFonts w:eastAsia="MS Mincho"/>
          <w:sz w:val="20"/>
          <w:szCs w:val="20"/>
          <w:lang w:val="es-ES" w:bidi="en-US"/>
        </w:rPr>
      </w:pPr>
    </w:p>
    <w:p w14:paraId="2D40BD64" w14:textId="63F806C8" w:rsidR="009D661E" w:rsidRPr="00975C02" w:rsidRDefault="009D661E" w:rsidP="009D661E">
      <w:pPr>
        <w:numPr>
          <w:ilvl w:val="0"/>
          <w:numId w:val="2"/>
        </w:numPr>
        <w:tabs>
          <w:tab w:val="left" w:pos="567"/>
          <w:tab w:val="num" w:pos="5057"/>
        </w:tabs>
        <w:spacing w:line="240" w:lineRule="auto"/>
        <w:ind w:left="0" w:firstLine="0"/>
        <w:textAlignment w:val="auto"/>
        <w:rPr>
          <w:sz w:val="20"/>
          <w:szCs w:val="20"/>
          <w:lang w:val="es-ES"/>
        </w:rPr>
      </w:pPr>
      <w:r w:rsidRPr="00975C02">
        <w:rPr>
          <w:rFonts w:eastAsia="MS Mincho"/>
          <w:iCs/>
          <w:sz w:val="20"/>
          <w:szCs w:val="20"/>
          <w:lang w:val="es-ES" w:bidi="en-US"/>
        </w:rPr>
        <w:t>Las</w:t>
      </w:r>
      <w:r w:rsidRPr="00975C02">
        <w:rPr>
          <w:rFonts w:eastAsia="MS Mincho"/>
          <w:i/>
          <w:sz w:val="20"/>
          <w:szCs w:val="20"/>
          <w:lang w:val="es-ES" w:bidi="en-US"/>
        </w:rPr>
        <w:t xml:space="preserve"> </w:t>
      </w:r>
      <w:r w:rsidRPr="00975C02">
        <w:rPr>
          <w:rFonts w:eastAsia="MS Mincho"/>
          <w:b/>
          <w:i/>
          <w:sz w:val="20"/>
          <w:szCs w:val="20"/>
          <w:lang w:val="es-ES" w:bidi="en-US"/>
        </w:rPr>
        <w:t>representantes</w:t>
      </w:r>
      <w:r w:rsidRPr="00975C02">
        <w:rPr>
          <w:rFonts w:eastAsia="MS Mincho"/>
          <w:sz w:val="20"/>
          <w:szCs w:val="20"/>
          <w:lang w:val="es-ES" w:bidi="en-US"/>
        </w:rPr>
        <w:t xml:space="preserve"> solicitaron a la Corte que ordenara al Estado adecuar su legislación interna a los estándares mínimos de la Convención Americana sobre Derechos Humanos, en procura de un debido proceso, especialmente </w:t>
      </w:r>
      <w:r w:rsidR="00930F65" w:rsidRPr="00975C02">
        <w:rPr>
          <w:rFonts w:eastAsia="MS Mincho"/>
          <w:sz w:val="20"/>
          <w:szCs w:val="20"/>
          <w:lang w:val="es-ES" w:bidi="en-US"/>
        </w:rPr>
        <w:t xml:space="preserve">en </w:t>
      </w:r>
      <w:r w:rsidRPr="00975C02">
        <w:rPr>
          <w:rFonts w:eastAsia="MS Mincho"/>
          <w:sz w:val="20"/>
          <w:szCs w:val="20"/>
          <w:lang w:val="es-ES" w:bidi="en-US"/>
        </w:rPr>
        <w:t xml:space="preserve">casos que involucren a </w:t>
      </w:r>
      <w:r w:rsidR="00930F65" w:rsidRPr="00975C02">
        <w:rPr>
          <w:rFonts w:eastAsia="MS Mincho"/>
          <w:sz w:val="20"/>
          <w:szCs w:val="20"/>
          <w:lang w:val="es-ES" w:bidi="en-US"/>
        </w:rPr>
        <w:t xml:space="preserve">personas </w:t>
      </w:r>
      <w:r w:rsidRPr="00975C02">
        <w:rPr>
          <w:rFonts w:eastAsia="MS Mincho"/>
          <w:sz w:val="20"/>
          <w:szCs w:val="20"/>
          <w:lang w:val="es-ES" w:bidi="en-US"/>
        </w:rPr>
        <w:t>menores de edad. Indicaron que los procesos debían ser administrados por personas capacitadas, y que el Estado debía tomar una serie de medidas de protección durante el proceso penal, conforme al derecho internacional, en beneficio de l</w:t>
      </w:r>
      <w:r w:rsidR="00930F65" w:rsidRPr="00975C02">
        <w:rPr>
          <w:rFonts w:eastAsia="MS Mincho"/>
          <w:sz w:val="20"/>
          <w:szCs w:val="20"/>
          <w:lang w:val="es-ES" w:bidi="en-US"/>
        </w:rPr>
        <w:t>a</w:t>
      </w:r>
      <w:r w:rsidRPr="00975C02">
        <w:rPr>
          <w:rFonts w:eastAsia="MS Mincho"/>
          <w:sz w:val="20"/>
          <w:szCs w:val="20"/>
          <w:lang w:val="es-ES" w:bidi="en-US"/>
        </w:rPr>
        <w:t xml:space="preserve">s </w:t>
      </w:r>
      <w:r w:rsidR="00930F65" w:rsidRPr="00975C02">
        <w:rPr>
          <w:rFonts w:eastAsia="MS Mincho"/>
          <w:sz w:val="20"/>
          <w:szCs w:val="20"/>
          <w:lang w:val="es-ES" w:bidi="en-US"/>
        </w:rPr>
        <w:t xml:space="preserve">personas </w:t>
      </w:r>
      <w:r w:rsidRPr="00975C02">
        <w:rPr>
          <w:rFonts w:eastAsia="MS Mincho"/>
          <w:sz w:val="20"/>
          <w:szCs w:val="20"/>
          <w:lang w:val="es-ES" w:bidi="en-US"/>
        </w:rPr>
        <w:t>menores de edad, para evitar su revictimización. Señalaron</w:t>
      </w:r>
      <w:r w:rsidR="00930F65" w:rsidRPr="00975C02">
        <w:rPr>
          <w:rFonts w:eastAsia="MS Mincho"/>
          <w:sz w:val="20"/>
          <w:szCs w:val="20"/>
          <w:lang w:val="es-ES" w:bidi="en-US"/>
        </w:rPr>
        <w:t>,</w:t>
      </w:r>
      <w:r w:rsidRPr="00975C02">
        <w:rPr>
          <w:rFonts w:eastAsia="MS Mincho"/>
          <w:sz w:val="20"/>
          <w:szCs w:val="20"/>
          <w:lang w:val="es-ES" w:bidi="en-US"/>
        </w:rPr>
        <w:t xml:space="preserve"> además</w:t>
      </w:r>
      <w:r w:rsidR="00930F65" w:rsidRPr="00975C02">
        <w:rPr>
          <w:rFonts w:eastAsia="MS Mincho"/>
          <w:sz w:val="20"/>
          <w:szCs w:val="20"/>
          <w:lang w:val="es-ES" w:bidi="en-US"/>
        </w:rPr>
        <w:t>,</w:t>
      </w:r>
      <w:r w:rsidRPr="00975C02">
        <w:rPr>
          <w:rFonts w:eastAsia="MS Mincho"/>
          <w:sz w:val="20"/>
          <w:szCs w:val="20"/>
          <w:lang w:val="es-ES" w:bidi="en-US"/>
        </w:rPr>
        <w:t xml:space="preserve"> que la protección del Estado no debió reducirse a la acción judicial, sino que debieron adoptarse medidas de tipo administrativo para resguardar a la víctima de incesto con el fin de que se logre su reintegración social.</w:t>
      </w:r>
    </w:p>
    <w:p w14:paraId="27AE70EF" w14:textId="77777777" w:rsidR="009D661E" w:rsidRPr="00975C02" w:rsidRDefault="009D661E" w:rsidP="009D661E">
      <w:pPr>
        <w:pStyle w:val="ListParagraph"/>
        <w:spacing w:line="240" w:lineRule="auto"/>
        <w:rPr>
          <w:sz w:val="20"/>
          <w:szCs w:val="20"/>
          <w:lang w:val="es-ES"/>
        </w:rPr>
      </w:pPr>
    </w:p>
    <w:p w14:paraId="6A2F3EDD" w14:textId="6785A03B" w:rsidR="009D661E" w:rsidRPr="00975C02" w:rsidRDefault="009D661E" w:rsidP="009D661E">
      <w:pPr>
        <w:numPr>
          <w:ilvl w:val="0"/>
          <w:numId w:val="2"/>
        </w:numPr>
        <w:tabs>
          <w:tab w:val="left" w:pos="567"/>
          <w:tab w:val="num" w:pos="5057"/>
        </w:tabs>
        <w:spacing w:line="240" w:lineRule="auto"/>
        <w:ind w:left="0" w:firstLine="0"/>
        <w:textAlignment w:val="auto"/>
        <w:rPr>
          <w:rFonts w:eastAsia="MS Mincho"/>
          <w:sz w:val="20"/>
          <w:szCs w:val="20"/>
          <w:lang w:val="es-ES" w:bidi="en-US"/>
        </w:rPr>
      </w:pPr>
      <w:r w:rsidRPr="00975C02">
        <w:rPr>
          <w:rFonts w:eastAsia="MS Mincho"/>
          <w:sz w:val="20"/>
          <w:szCs w:val="20"/>
          <w:lang w:val="es-ES" w:bidi="en-US"/>
        </w:rPr>
        <w:t xml:space="preserve">El </w:t>
      </w:r>
      <w:r w:rsidRPr="00975C02">
        <w:rPr>
          <w:rFonts w:eastAsia="MS Mincho"/>
          <w:b/>
          <w:i/>
          <w:sz w:val="20"/>
          <w:szCs w:val="20"/>
          <w:lang w:val="es-ES" w:bidi="en-US"/>
        </w:rPr>
        <w:t>Estado</w:t>
      </w:r>
      <w:r w:rsidRPr="00975C02">
        <w:rPr>
          <w:rFonts w:eastAsia="MS Mincho"/>
          <w:sz w:val="20"/>
          <w:szCs w:val="20"/>
          <w:lang w:val="es-ES" w:bidi="en-US"/>
        </w:rPr>
        <w:t xml:space="preserve"> adujo que, con la finalidad de hacer frente a la violencia contra la mujer y las niñas, modernizó su legislación, haciéndola más eficaz y garante para la víctima, pues sustituyó el sistema inquisitivo por formas orales y públicas de hacer justicia, además de incrementar las penas para los delitos. En este sentido, agregó que</w:t>
      </w:r>
      <w:r w:rsidR="006944C6" w:rsidRPr="00975C02">
        <w:rPr>
          <w:rFonts w:eastAsia="MS Mincho"/>
          <w:sz w:val="20"/>
          <w:szCs w:val="20"/>
          <w:lang w:val="es-ES" w:bidi="en-US"/>
        </w:rPr>
        <w:t>,</w:t>
      </w:r>
      <w:r w:rsidRPr="00975C02">
        <w:rPr>
          <w:rFonts w:eastAsia="MS Mincho"/>
          <w:sz w:val="20"/>
          <w:szCs w:val="20"/>
          <w:lang w:val="es-ES" w:bidi="en-US"/>
        </w:rPr>
        <w:t xml:space="preserve"> en el año 2001</w:t>
      </w:r>
      <w:r w:rsidR="006944C6" w:rsidRPr="00975C02">
        <w:rPr>
          <w:rFonts w:eastAsia="MS Mincho"/>
          <w:sz w:val="20"/>
          <w:szCs w:val="20"/>
          <w:lang w:val="es-ES" w:bidi="en-US"/>
        </w:rPr>
        <w:t>,</w:t>
      </w:r>
      <w:r w:rsidRPr="00975C02">
        <w:rPr>
          <w:rFonts w:eastAsia="MS Mincho"/>
          <w:sz w:val="20"/>
          <w:szCs w:val="20"/>
          <w:lang w:val="es-ES" w:bidi="en-US"/>
        </w:rPr>
        <w:t xml:space="preserve"> se promulgó el Código Procesal Penal mediante la Ley N° 406, basado en los principios de oralidad e inmediación que garantizan a la víctima el acceso a la justicia</w:t>
      </w:r>
      <w:r w:rsidR="003F2657" w:rsidRPr="00975C02">
        <w:rPr>
          <w:rFonts w:eastAsia="MS Mincho"/>
          <w:sz w:val="20"/>
          <w:szCs w:val="20"/>
          <w:lang w:val="es-ES" w:bidi="en-US"/>
        </w:rPr>
        <w:t>,</w:t>
      </w:r>
      <w:r w:rsidRPr="00975C02">
        <w:rPr>
          <w:rFonts w:eastAsia="MS Mincho"/>
          <w:sz w:val="20"/>
          <w:szCs w:val="20"/>
          <w:lang w:val="es-ES" w:bidi="en-US"/>
        </w:rPr>
        <w:t xml:space="preserve"> y al acusado el derecho a ser juzgado sin dilación</w:t>
      </w:r>
      <w:r w:rsidR="00F53A54" w:rsidRPr="00975C02">
        <w:rPr>
          <w:rFonts w:eastAsia="MS Mincho"/>
          <w:sz w:val="20"/>
          <w:szCs w:val="20"/>
          <w:lang w:val="es-ES" w:bidi="en-US"/>
        </w:rPr>
        <w:t>.</w:t>
      </w:r>
      <w:r w:rsidRPr="00975C02">
        <w:rPr>
          <w:rFonts w:eastAsia="MS Mincho"/>
          <w:sz w:val="20"/>
          <w:szCs w:val="20"/>
          <w:lang w:val="es-ES" w:bidi="en-US"/>
        </w:rPr>
        <w:t xml:space="preserve"> Además, en el año 2008 se promulgó el Código Penal de Nicaragua, en el que se incrementaron las penas de diversos delitos y que constituye una herramienta para prevenir y detener los abusos sexuales, especialmente contra niñas, adolescentes y mujeres</w:t>
      </w:r>
      <w:r w:rsidR="00F53A54" w:rsidRPr="00975C02">
        <w:rPr>
          <w:rFonts w:eastAsia="MS Mincho"/>
          <w:sz w:val="20"/>
          <w:szCs w:val="20"/>
          <w:lang w:val="es-ES" w:bidi="en-US"/>
        </w:rPr>
        <w:t>.</w:t>
      </w:r>
      <w:r w:rsidRPr="00975C02">
        <w:rPr>
          <w:rFonts w:eastAsia="MS Mincho"/>
          <w:sz w:val="20"/>
          <w:szCs w:val="20"/>
          <w:lang w:val="es-ES" w:bidi="en-US"/>
        </w:rPr>
        <w:t xml:space="preserve"> Por otro lado, señaló que la </w:t>
      </w:r>
      <w:r w:rsidR="00CB5403">
        <w:rPr>
          <w:rFonts w:eastAsia="MS Mincho"/>
          <w:sz w:val="20"/>
          <w:szCs w:val="20"/>
          <w:lang w:val="es-ES" w:bidi="en-US"/>
        </w:rPr>
        <w:t>Ley N°</w:t>
      </w:r>
      <w:r w:rsidRPr="00975C02">
        <w:rPr>
          <w:rFonts w:eastAsia="MS Mincho"/>
          <w:sz w:val="20"/>
          <w:szCs w:val="20"/>
          <w:lang w:val="es-ES" w:bidi="en-US"/>
        </w:rPr>
        <w:t xml:space="preserve"> 779 tiene como objetivo principal proteger los derechos de las mujeres y garantizarles una vida libre de violencia, conforme a los principios de igualdad y no discriminación</w:t>
      </w:r>
      <w:r w:rsidR="002F7A4C" w:rsidRPr="00975C02">
        <w:rPr>
          <w:rFonts w:eastAsia="MS Mincho"/>
          <w:sz w:val="20"/>
          <w:szCs w:val="20"/>
          <w:lang w:val="es-ES" w:bidi="en-US"/>
        </w:rPr>
        <w:t>. Esa norma creó</w:t>
      </w:r>
      <w:r w:rsidRPr="00975C02">
        <w:rPr>
          <w:rFonts w:eastAsia="MS Mincho"/>
          <w:sz w:val="20"/>
          <w:szCs w:val="20"/>
          <w:lang w:val="es-ES" w:bidi="en-US"/>
        </w:rPr>
        <w:t xml:space="preserve"> nuevos delitos en materia penal, así como medidas de seguridad</w:t>
      </w:r>
      <w:r w:rsidR="00F53A54" w:rsidRPr="00975C02">
        <w:rPr>
          <w:rFonts w:eastAsia="MS Mincho"/>
          <w:sz w:val="20"/>
          <w:szCs w:val="20"/>
          <w:lang w:val="es-ES" w:bidi="en-US"/>
        </w:rPr>
        <w:t>.</w:t>
      </w:r>
      <w:r w:rsidRPr="00975C02">
        <w:rPr>
          <w:rFonts w:eastAsia="MS Mincho"/>
          <w:sz w:val="20"/>
          <w:szCs w:val="20"/>
          <w:lang w:val="es-ES" w:bidi="en-US"/>
        </w:rPr>
        <w:t xml:space="preserve"> Asimismo, el Estado señaló que se creó una política </w:t>
      </w:r>
      <w:r w:rsidR="002F7A4C" w:rsidRPr="00975C02">
        <w:rPr>
          <w:rFonts w:eastAsia="MS Mincho"/>
          <w:sz w:val="20"/>
          <w:szCs w:val="20"/>
          <w:lang w:val="es-ES" w:bidi="en-US"/>
        </w:rPr>
        <w:t>pública</w:t>
      </w:r>
      <w:r w:rsidRPr="00975C02">
        <w:rPr>
          <w:rFonts w:eastAsia="MS Mincho"/>
          <w:sz w:val="20"/>
          <w:szCs w:val="20"/>
          <w:lang w:val="es-ES" w:bidi="en-US"/>
        </w:rPr>
        <w:t xml:space="preserve"> para el fortalecimiento de la familia y prevención de la violencia, cuyo objetivo es la promoción, protección y restitución de los derechos humanos de las familias, mujeres, niñas, niños y adolescentes, garantizando una vida libre de violencia y estableciendo medidas integrales para prevenir, sancionar y erradicar progresivamente la violencia a través de la atención a las víctimas e impulsando cambios en los patrones socioculturales. Esta política cuenta con estrategias de prevención, atención, coordinación interinstitucional, fortalecimiento institucional, comunicación y, finalmente, de articulación territorial y comunitaria</w:t>
      </w:r>
      <w:r w:rsidR="00F53A54" w:rsidRPr="00975C02">
        <w:rPr>
          <w:rFonts w:eastAsia="MS Mincho"/>
          <w:sz w:val="20"/>
          <w:szCs w:val="20"/>
          <w:lang w:val="es-ES" w:bidi="en-US"/>
        </w:rPr>
        <w:t>.</w:t>
      </w:r>
    </w:p>
    <w:p w14:paraId="318B8D69" w14:textId="77777777" w:rsidR="009D661E" w:rsidRPr="00975C02" w:rsidRDefault="009D661E" w:rsidP="009D661E">
      <w:pPr>
        <w:tabs>
          <w:tab w:val="left" w:pos="567"/>
        </w:tabs>
        <w:spacing w:line="240" w:lineRule="auto"/>
        <w:textAlignment w:val="auto"/>
        <w:rPr>
          <w:rFonts w:eastAsia="MS Mincho"/>
          <w:sz w:val="20"/>
          <w:szCs w:val="20"/>
          <w:lang w:val="es-ES" w:bidi="en-US"/>
        </w:rPr>
      </w:pPr>
    </w:p>
    <w:p w14:paraId="51BCC8EA" w14:textId="48E20937" w:rsidR="009D661E" w:rsidRPr="00975C02" w:rsidRDefault="00F91E64" w:rsidP="009D661E">
      <w:pPr>
        <w:numPr>
          <w:ilvl w:val="0"/>
          <w:numId w:val="2"/>
        </w:numPr>
        <w:tabs>
          <w:tab w:val="left" w:pos="567"/>
          <w:tab w:val="num" w:pos="5057"/>
        </w:tabs>
        <w:spacing w:line="240" w:lineRule="auto"/>
        <w:ind w:left="0" w:firstLine="0"/>
        <w:textAlignment w:val="auto"/>
        <w:rPr>
          <w:rFonts w:eastAsia="MS Mincho"/>
          <w:sz w:val="20"/>
          <w:szCs w:val="20"/>
          <w:lang w:val="es-ES" w:bidi="en-US"/>
        </w:rPr>
      </w:pPr>
      <w:r w:rsidRPr="00975C02">
        <w:rPr>
          <w:rFonts w:eastAsia="MS Mincho"/>
          <w:sz w:val="20"/>
          <w:szCs w:val="20"/>
          <w:lang w:val="es-ES" w:bidi="en-US"/>
        </w:rPr>
        <w:t>Nicaragua a</w:t>
      </w:r>
      <w:r w:rsidR="009D661E" w:rsidRPr="00975C02">
        <w:rPr>
          <w:rFonts w:eastAsia="MS Mincho"/>
          <w:sz w:val="20"/>
          <w:szCs w:val="20"/>
          <w:lang w:val="es-ES" w:bidi="en-US"/>
        </w:rPr>
        <w:t xml:space="preserve">gregó que, con la finalidad de disminuir los índices de impunidad, ha venido desarrollando a través del Poder Judicial, políticas, programas y buenas prácticas que reflejan el </w:t>
      </w:r>
      <w:r w:rsidR="009D661E" w:rsidRPr="00975C02">
        <w:rPr>
          <w:rFonts w:eastAsia="MS Mincho"/>
          <w:sz w:val="20"/>
          <w:szCs w:val="20"/>
          <w:lang w:val="es-ES" w:bidi="en-US"/>
        </w:rPr>
        <w:lastRenderedPageBreak/>
        <w:t>reconocimiento de los derechos de las personas en situación de vulnerabilidad que hacen uso de los servicios judiciales, además de aplicar el contenido de las 100 Reglas de Brasilia</w:t>
      </w:r>
      <w:r w:rsidR="00F53A54" w:rsidRPr="00975C02">
        <w:rPr>
          <w:rFonts w:eastAsia="MS Mincho"/>
          <w:sz w:val="20"/>
          <w:szCs w:val="20"/>
          <w:lang w:val="es-ES" w:bidi="en-US"/>
        </w:rPr>
        <w:t>.</w:t>
      </w:r>
      <w:r w:rsidR="009D661E" w:rsidRPr="00975C02">
        <w:rPr>
          <w:rFonts w:eastAsia="MS Mincho"/>
          <w:sz w:val="20"/>
          <w:szCs w:val="20"/>
          <w:lang w:val="es-ES" w:bidi="en-US"/>
        </w:rPr>
        <w:t xml:space="preserve"> Precisó que el Poder Judicial cuenta con un Plan Estratégico Decenal 2012-2021 para aumentar el acceso a la justicia de la población, en especial de las personas en estado de vulnerabilidad, con un enfoque y perspectiva de género</w:t>
      </w:r>
      <w:r w:rsidRPr="00975C02">
        <w:rPr>
          <w:rFonts w:eastAsia="MS Mincho"/>
          <w:sz w:val="20"/>
          <w:szCs w:val="20"/>
          <w:lang w:val="es-ES" w:bidi="en-US"/>
        </w:rPr>
        <w:t>. Los</w:t>
      </w:r>
      <w:r w:rsidR="009D661E" w:rsidRPr="00975C02">
        <w:rPr>
          <w:rFonts w:eastAsia="MS Mincho"/>
          <w:sz w:val="20"/>
          <w:szCs w:val="20"/>
          <w:lang w:val="es-ES" w:bidi="en-US"/>
        </w:rPr>
        <w:t xml:space="preserve"> principales lineamientos</w:t>
      </w:r>
      <w:r w:rsidRPr="00975C02">
        <w:rPr>
          <w:rFonts w:eastAsia="MS Mincho"/>
          <w:sz w:val="20"/>
          <w:szCs w:val="20"/>
          <w:lang w:val="es-ES" w:bidi="en-US"/>
        </w:rPr>
        <w:t xml:space="preserve"> de este plan son</w:t>
      </w:r>
      <w:r w:rsidR="009D661E" w:rsidRPr="00975C02">
        <w:rPr>
          <w:rFonts w:eastAsia="MS Mincho"/>
          <w:sz w:val="20"/>
          <w:szCs w:val="20"/>
          <w:lang w:val="es-ES" w:bidi="en-US"/>
        </w:rPr>
        <w:t>: continuar con la reducción de la retardación de la administración de justicia</w:t>
      </w:r>
      <w:r w:rsidRPr="00975C02">
        <w:rPr>
          <w:rFonts w:eastAsia="MS Mincho"/>
          <w:sz w:val="20"/>
          <w:szCs w:val="20"/>
          <w:lang w:val="es-ES" w:bidi="en-US"/>
        </w:rPr>
        <w:t>;</w:t>
      </w:r>
      <w:r w:rsidR="009D661E" w:rsidRPr="00975C02">
        <w:rPr>
          <w:rFonts w:eastAsia="MS Mincho"/>
          <w:sz w:val="20"/>
          <w:szCs w:val="20"/>
          <w:lang w:val="es-ES" w:bidi="en-US"/>
        </w:rPr>
        <w:t xml:space="preserve"> garantizar a las partes la seguridad de que sus casos serán resueltos conforme a las leyes y con imparcialidad</w:t>
      </w:r>
      <w:r w:rsidRPr="00975C02">
        <w:rPr>
          <w:rFonts w:eastAsia="MS Mincho"/>
          <w:sz w:val="20"/>
          <w:szCs w:val="20"/>
          <w:lang w:val="es-ES" w:bidi="en-US"/>
        </w:rPr>
        <w:t>;</w:t>
      </w:r>
      <w:r w:rsidR="009D661E" w:rsidRPr="00975C02">
        <w:rPr>
          <w:rFonts w:eastAsia="MS Mincho"/>
          <w:sz w:val="20"/>
          <w:szCs w:val="20"/>
          <w:lang w:val="es-ES" w:bidi="en-US"/>
        </w:rPr>
        <w:t xml:space="preserve"> facilitar el acceso a la justicia de la ciudadanía sin discriminación alguna y, finalmente, desarrollar la coordinación interinstitucional con el sector justicia y con otros poderes del Estado. Manifestó que la especialización y sensibilización de los y las funcionarias judiciales ha facilitado el acceso a la justicia de las víctimas con mayor confianza en el sistema de administración de justicia, en especial de las mujeres y la niñez</w:t>
      </w:r>
      <w:r w:rsidR="002C4AD1" w:rsidRPr="00975C02">
        <w:rPr>
          <w:rFonts w:eastAsia="MS Mincho"/>
          <w:sz w:val="20"/>
          <w:szCs w:val="20"/>
          <w:lang w:val="es-ES" w:bidi="en-US"/>
        </w:rPr>
        <w:t>.</w:t>
      </w:r>
      <w:r w:rsidR="009D661E" w:rsidRPr="00975C02">
        <w:rPr>
          <w:rFonts w:eastAsia="MS Mincho"/>
          <w:sz w:val="20"/>
          <w:szCs w:val="20"/>
          <w:lang w:val="es-ES" w:bidi="en-US"/>
        </w:rPr>
        <w:t xml:space="preserve"> </w:t>
      </w:r>
      <w:r w:rsidR="002C4AD1" w:rsidRPr="00975C02">
        <w:rPr>
          <w:rFonts w:eastAsia="MS Mincho"/>
          <w:sz w:val="20"/>
          <w:szCs w:val="20"/>
          <w:lang w:val="es-ES" w:bidi="en-US"/>
        </w:rPr>
        <w:t>A</w:t>
      </w:r>
      <w:r w:rsidR="009D661E" w:rsidRPr="00975C02">
        <w:rPr>
          <w:rFonts w:eastAsia="MS Mincho"/>
          <w:sz w:val="20"/>
          <w:szCs w:val="20"/>
          <w:lang w:val="es-ES" w:bidi="en-US"/>
        </w:rPr>
        <w:t xml:space="preserve">sí, </w:t>
      </w:r>
      <w:r w:rsidR="002C4AD1" w:rsidRPr="00975C02">
        <w:rPr>
          <w:rFonts w:eastAsia="MS Mincho"/>
          <w:sz w:val="20"/>
          <w:szCs w:val="20"/>
          <w:lang w:val="es-ES" w:bidi="en-US"/>
        </w:rPr>
        <w:t xml:space="preserve">de forma paulatina, </w:t>
      </w:r>
      <w:r w:rsidR="009D661E" w:rsidRPr="00975C02">
        <w:rPr>
          <w:rFonts w:eastAsia="MS Mincho"/>
          <w:sz w:val="20"/>
          <w:szCs w:val="20"/>
          <w:lang w:val="es-ES" w:bidi="en-US"/>
        </w:rPr>
        <w:t>se han creado los juzgados especializados en violencia de género, familia y justicia penal de adolescentes, en los 17 departamentos del país. El Estado alegó, además, que desde el año 2005, en el Ministerio Público se creó la Unidad Especializada contra los Delitos de Violencia de Género, de competencia nacional, con fiscales especializados en cada sede departamental, la que ejerce la acción penal defendiendo los derechos de las víctimas desde la investigación hasta la culminación del proceso judicial.</w:t>
      </w:r>
    </w:p>
    <w:p w14:paraId="527495B1" w14:textId="77777777" w:rsidR="009D661E" w:rsidRPr="00975C02" w:rsidRDefault="009D661E" w:rsidP="009D661E">
      <w:pPr>
        <w:pStyle w:val="ListParagraph"/>
        <w:spacing w:line="240" w:lineRule="auto"/>
        <w:ind w:left="0"/>
        <w:rPr>
          <w:rFonts w:eastAsia="MS Mincho"/>
          <w:sz w:val="20"/>
          <w:szCs w:val="20"/>
          <w:lang w:val="es-ES" w:bidi="en-US"/>
        </w:rPr>
      </w:pPr>
    </w:p>
    <w:p w14:paraId="5D9F9B97" w14:textId="77777777" w:rsidR="009D661E" w:rsidRPr="00975C02" w:rsidRDefault="009D661E" w:rsidP="009D661E">
      <w:pPr>
        <w:pStyle w:val="ListParagraph"/>
        <w:spacing w:line="240" w:lineRule="auto"/>
        <w:ind w:left="0" w:firstLine="720"/>
        <w:rPr>
          <w:rFonts w:eastAsia="MS Mincho"/>
          <w:i/>
          <w:sz w:val="20"/>
          <w:szCs w:val="20"/>
          <w:lang w:val="es-ES" w:bidi="en-US"/>
        </w:rPr>
      </w:pPr>
      <w:r w:rsidRPr="00975C02">
        <w:rPr>
          <w:rFonts w:eastAsia="MS Mincho"/>
          <w:i/>
          <w:sz w:val="20"/>
          <w:szCs w:val="20"/>
          <w:lang w:val="es-ES" w:bidi="en-US"/>
        </w:rPr>
        <w:t>Consideraciones de la Corte</w:t>
      </w:r>
    </w:p>
    <w:p w14:paraId="4F20C619" w14:textId="77777777" w:rsidR="009D661E" w:rsidRPr="00975C02" w:rsidRDefault="009D661E" w:rsidP="009D661E">
      <w:pPr>
        <w:pStyle w:val="ListParagraph"/>
        <w:spacing w:line="240" w:lineRule="auto"/>
        <w:ind w:left="0"/>
        <w:rPr>
          <w:rFonts w:eastAsia="MS Mincho"/>
          <w:i/>
          <w:sz w:val="20"/>
          <w:szCs w:val="20"/>
          <w:lang w:val="es-ES" w:bidi="en-US"/>
        </w:rPr>
      </w:pPr>
    </w:p>
    <w:p w14:paraId="375C898B" w14:textId="61F9B04C" w:rsidR="00632FC4" w:rsidRPr="00975C02" w:rsidRDefault="00AE1EEC" w:rsidP="009D661E">
      <w:pPr>
        <w:numPr>
          <w:ilvl w:val="0"/>
          <w:numId w:val="2"/>
        </w:numPr>
        <w:tabs>
          <w:tab w:val="left" w:pos="567"/>
          <w:tab w:val="num" w:pos="5057"/>
        </w:tabs>
        <w:spacing w:line="240" w:lineRule="auto"/>
        <w:ind w:left="0" w:firstLine="0"/>
        <w:textAlignment w:val="auto"/>
        <w:rPr>
          <w:sz w:val="20"/>
          <w:szCs w:val="20"/>
          <w:lang w:val="es-ES"/>
        </w:rPr>
      </w:pPr>
      <w:r w:rsidRPr="00975C02">
        <w:rPr>
          <w:sz w:val="20"/>
          <w:szCs w:val="20"/>
          <w:lang w:val="es-ES"/>
        </w:rPr>
        <w:t>La Corte nota que el Estado remitió documentación diversa relativa a normativa interna en relación con sus esfuerzos para prevenir, sancionar y erradicar la violencia de género, en particular la violación sexual, a través de legislación, circulares y directrices del Fiscal General, manuales de procedimiento de la Policía Nacional, normas técnicas, protocolos, decretos de Presidencia, entre otros. De igual manera, la Corte nota que parte de esta normativa incluye ciertos criterios generales sobre el tratamiento y atención a niñas, niños y adolescentes víctimas de violencia sexual e intrafamiliar</w:t>
      </w:r>
      <w:r w:rsidRPr="00975C02">
        <w:rPr>
          <w:rStyle w:val="FootnoteReference"/>
          <w:sz w:val="20"/>
          <w:szCs w:val="20"/>
          <w:lang w:val="es-ES"/>
        </w:rPr>
        <w:footnoteReference w:id="433"/>
      </w:r>
      <w:r w:rsidRPr="00975C02">
        <w:rPr>
          <w:sz w:val="20"/>
          <w:szCs w:val="20"/>
          <w:lang w:val="es-ES"/>
        </w:rPr>
        <w:t>.</w:t>
      </w:r>
    </w:p>
    <w:p w14:paraId="741578E1" w14:textId="77777777" w:rsidR="00632FC4" w:rsidRPr="00975C02" w:rsidRDefault="00632FC4" w:rsidP="00DF3D71">
      <w:pPr>
        <w:tabs>
          <w:tab w:val="left" w:pos="567"/>
        </w:tabs>
        <w:spacing w:line="240" w:lineRule="auto"/>
        <w:textAlignment w:val="auto"/>
        <w:rPr>
          <w:sz w:val="20"/>
          <w:szCs w:val="20"/>
          <w:lang w:val="es-ES"/>
        </w:rPr>
      </w:pPr>
    </w:p>
    <w:p w14:paraId="76CB3257" w14:textId="055B8215" w:rsidR="009D661E" w:rsidRPr="00975C02" w:rsidRDefault="009D661E" w:rsidP="002A43A0">
      <w:pPr>
        <w:numPr>
          <w:ilvl w:val="0"/>
          <w:numId w:val="2"/>
        </w:numPr>
        <w:tabs>
          <w:tab w:val="left" w:pos="567"/>
          <w:tab w:val="num" w:pos="5057"/>
        </w:tabs>
        <w:spacing w:line="240" w:lineRule="auto"/>
        <w:ind w:left="0" w:firstLine="0"/>
        <w:textAlignment w:val="auto"/>
        <w:rPr>
          <w:sz w:val="20"/>
          <w:szCs w:val="20"/>
          <w:lang w:val="es-ES"/>
        </w:rPr>
      </w:pPr>
      <w:r w:rsidRPr="00975C02">
        <w:rPr>
          <w:sz w:val="20"/>
          <w:szCs w:val="20"/>
          <w:lang w:val="es-ES"/>
        </w:rPr>
        <w:t xml:space="preserve">Asimismo, </w:t>
      </w:r>
      <w:r w:rsidR="00632FC4" w:rsidRPr="00975C02">
        <w:rPr>
          <w:sz w:val="20"/>
          <w:szCs w:val="20"/>
          <w:lang w:val="es-ES"/>
        </w:rPr>
        <w:t xml:space="preserve">conforme a la </w:t>
      </w:r>
      <w:r w:rsidR="00CB5403">
        <w:rPr>
          <w:sz w:val="20"/>
          <w:szCs w:val="20"/>
          <w:lang w:val="es-ES"/>
        </w:rPr>
        <w:t>Ley N°</w:t>
      </w:r>
      <w:r w:rsidR="00632FC4" w:rsidRPr="00975C02">
        <w:rPr>
          <w:sz w:val="20"/>
          <w:szCs w:val="20"/>
          <w:lang w:val="es-ES"/>
        </w:rPr>
        <w:t xml:space="preserve"> 779, </w:t>
      </w:r>
      <w:r w:rsidR="00980760" w:rsidRPr="00975C02">
        <w:rPr>
          <w:sz w:val="20"/>
          <w:szCs w:val="20"/>
          <w:lang w:val="es-ES"/>
        </w:rPr>
        <w:t xml:space="preserve">“Ley Integral Contra la Violencia hacia las Mujeres y de Reformas a la </w:t>
      </w:r>
      <w:r w:rsidR="00CB5403">
        <w:rPr>
          <w:sz w:val="20"/>
          <w:szCs w:val="20"/>
          <w:lang w:val="es-ES"/>
        </w:rPr>
        <w:t>Ley N°</w:t>
      </w:r>
      <w:r w:rsidR="00980760" w:rsidRPr="00975C02">
        <w:rPr>
          <w:sz w:val="20"/>
          <w:szCs w:val="20"/>
          <w:lang w:val="es-ES"/>
        </w:rPr>
        <w:t xml:space="preserve"> 641, ‘Código Penal’”</w:t>
      </w:r>
      <w:r w:rsidR="000C09FE" w:rsidRPr="00975C02">
        <w:rPr>
          <w:sz w:val="20"/>
          <w:szCs w:val="20"/>
          <w:lang w:val="es-ES"/>
        </w:rPr>
        <w:t xml:space="preserve"> y su decreto reglamentario</w:t>
      </w:r>
      <w:r w:rsidR="00632FC4" w:rsidRPr="00975C02">
        <w:rPr>
          <w:sz w:val="20"/>
          <w:szCs w:val="20"/>
          <w:lang w:val="es-ES"/>
        </w:rPr>
        <w:t xml:space="preserve">, se crearon los juzgados de distrito especializados en materia de violencia, integrados por un juez o jueza especializada en la materia, así como equipos interdisciplinarios de atención a la víctima, </w:t>
      </w:r>
      <w:r w:rsidR="000C09FE" w:rsidRPr="00975C02">
        <w:rPr>
          <w:sz w:val="20"/>
          <w:szCs w:val="20"/>
          <w:lang w:val="es-ES"/>
        </w:rPr>
        <w:t xml:space="preserve">compuestos </w:t>
      </w:r>
      <w:r w:rsidR="00632FC4" w:rsidRPr="00975C02">
        <w:rPr>
          <w:sz w:val="20"/>
          <w:szCs w:val="20"/>
          <w:lang w:val="es-ES"/>
        </w:rPr>
        <w:t>al menos por una psicóloga y una trabajadora social, encargados de brindar asistencia especializada, en apoyo de la función jurisdiccional en las audiencias, y para brindar seguimiento y control de las medidas de protección impuestas por el juzgado</w:t>
      </w:r>
      <w:r w:rsidR="000C09FE" w:rsidRPr="00975C02">
        <w:rPr>
          <w:rStyle w:val="FootnoteReference"/>
          <w:sz w:val="20"/>
          <w:szCs w:val="20"/>
          <w:lang w:val="es-ES"/>
        </w:rPr>
        <w:footnoteReference w:id="434"/>
      </w:r>
      <w:r w:rsidR="00632FC4" w:rsidRPr="00975C02">
        <w:rPr>
          <w:sz w:val="20"/>
          <w:szCs w:val="20"/>
          <w:lang w:val="es-ES"/>
        </w:rPr>
        <w:t xml:space="preserve">. </w:t>
      </w:r>
      <w:r w:rsidR="002A43A0" w:rsidRPr="00975C02">
        <w:rPr>
          <w:sz w:val="20"/>
          <w:szCs w:val="20"/>
          <w:lang w:val="es-ES"/>
        </w:rPr>
        <w:t>De igual manera, de acuerdo</w:t>
      </w:r>
      <w:r w:rsidR="00632FC4" w:rsidRPr="00975C02">
        <w:rPr>
          <w:sz w:val="20"/>
          <w:szCs w:val="20"/>
          <w:lang w:val="es-ES"/>
        </w:rPr>
        <w:t xml:space="preserve"> </w:t>
      </w:r>
      <w:r w:rsidR="002A43A0" w:rsidRPr="00975C02">
        <w:rPr>
          <w:sz w:val="20"/>
          <w:szCs w:val="20"/>
          <w:lang w:val="es-ES"/>
        </w:rPr>
        <w:t>con</w:t>
      </w:r>
      <w:r w:rsidR="008E2E79" w:rsidRPr="00975C02">
        <w:rPr>
          <w:sz w:val="20"/>
          <w:szCs w:val="20"/>
          <w:lang w:val="es-ES"/>
        </w:rPr>
        <w:t xml:space="preserve"> el mencionado </w:t>
      </w:r>
      <w:r w:rsidR="008E2E79" w:rsidRPr="00975C02">
        <w:rPr>
          <w:sz w:val="20"/>
          <w:szCs w:val="20"/>
          <w:lang w:val="es-ES"/>
        </w:rPr>
        <w:lastRenderedPageBreak/>
        <w:t>reglamento y otro</w:t>
      </w:r>
      <w:r w:rsidRPr="00975C02">
        <w:rPr>
          <w:sz w:val="20"/>
          <w:szCs w:val="20"/>
          <w:lang w:val="es-ES"/>
        </w:rPr>
        <w:t xml:space="preserve"> decreto, Nicaragua habría adoptado una política </w:t>
      </w:r>
      <w:r w:rsidR="008E2E79" w:rsidRPr="00975C02">
        <w:rPr>
          <w:sz w:val="20"/>
          <w:szCs w:val="20"/>
          <w:lang w:val="es-ES"/>
        </w:rPr>
        <w:t>pública</w:t>
      </w:r>
      <w:r w:rsidRPr="00975C02">
        <w:rPr>
          <w:sz w:val="20"/>
          <w:szCs w:val="20"/>
          <w:lang w:val="es-ES"/>
        </w:rPr>
        <w:t xml:space="preserve"> para el fortalecimiento de la familia nicaragüense y prevención de la violencia, mediante los cuales se establecen distintas estrategias (de prevención, atención, coordinación institucional, fortalecimiento institucional, articulación territorial y comunitaria, de comunicación, investigación y resarcimiento) para lograr prevenir la violencia. Entre ellas, se establece incluir en los sistemas educativos, de salud, institucionales, entre otros, líneas de acción para una educación con </w:t>
      </w:r>
      <w:r w:rsidR="008E2E79" w:rsidRPr="00975C02">
        <w:rPr>
          <w:sz w:val="20"/>
          <w:szCs w:val="20"/>
          <w:lang w:val="es-ES"/>
        </w:rPr>
        <w:t>perspectiva de</w:t>
      </w:r>
      <w:r w:rsidRPr="00975C02">
        <w:rPr>
          <w:sz w:val="20"/>
          <w:szCs w:val="20"/>
          <w:lang w:val="es-ES"/>
        </w:rPr>
        <w:t xml:space="preserve"> derechos humanos</w:t>
      </w:r>
      <w:r w:rsidR="008E2E79" w:rsidRPr="00975C02">
        <w:rPr>
          <w:sz w:val="20"/>
          <w:szCs w:val="20"/>
          <w:lang w:val="es-ES"/>
        </w:rPr>
        <w:t>,</w:t>
      </w:r>
      <w:r w:rsidRPr="00975C02">
        <w:rPr>
          <w:sz w:val="20"/>
          <w:szCs w:val="20"/>
          <w:lang w:val="es-ES"/>
        </w:rPr>
        <w:t xml:space="preserve"> que promueva la igualdad y no discriminación entre hombres y mujeres, </w:t>
      </w:r>
      <w:r w:rsidR="008E2E79" w:rsidRPr="00975C02">
        <w:rPr>
          <w:sz w:val="20"/>
          <w:szCs w:val="20"/>
          <w:lang w:val="es-ES"/>
        </w:rPr>
        <w:t xml:space="preserve">e </w:t>
      </w:r>
      <w:r w:rsidRPr="00975C02">
        <w:rPr>
          <w:sz w:val="20"/>
          <w:szCs w:val="20"/>
          <w:lang w:val="es-ES"/>
        </w:rPr>
        <w:t>impuls</w:t>
      </w:r>
      <w:r w:rsidR="008E2E79" w:rsidRPr="00975C02">
        <w:rPr>
          <w:sz w:val="20"/>
          <w:szCs w:val="20"/>
          <w:lang w:val="es-ES"/>
        </w:rPr>
        <w:t>e</w:t>
      </w:r>
      <w:r w:rsidRPr="00975C02">
        <w:rPr>
          <w:sz w:val="20"/>
          <w:szCs w:val="20"/>
          <w:lang w:val="es-ES"/>
        </w:rPr>
        <w:t xml:space="preserve"> cambios en los patrones socioculturales</w:t>
      </w:r>
      <w:r w:rsidRPr="00975C02">
        <w:rPr>
          <w:rStyle w:val="FootnoteReference"/>
          <w:sz w:val="20"/>
          <w:szCs w:val="20"/>
          <w:lang w:val="es-ES"/>
        </w:rPr>
        <w:footnoteReference w:id="435"/>
      </w:r>
      <w:r w:rsidRPr="00975C02">
        <w:rPr>
          <w:sz w:val="20"/>
          <w:szCs w:val="20"/>
          <w:lang w:val="es-ES"/>
        </w:rPr>
        <w:t>.</w:t>
      </w:r>
    </w:p>
    <w:p w14:paraId="6C57354E" w14:textId="77777777" w:rsidR="009D661E" w:rsidRPr="00975C02" w:rsidRDefault="009D661E" w:rsidP="009D661E">
      <w:pPr>
        <w:tabs>
          <w:tab w:val="left" w:pos="567"/>
        </w:tabs>
        <w:spacing w:line="240" w:lineRule="auto"/>
        <w:textAlignment w:val="auto"/>
        <w:rPr>
          <w:sz w:val="20"/>
          <w:szCs w:val="20"/>
          <w:lang w:val="es-ES"/>
        </w:rPr>
      </w:pPr>
    </w:p>
    <w:p w14:paraId="68A4DB5B" w14:textId="5A9499F4" w:rsidR="009D661E" w:rsidRPr="00975C02" w:rsidRDefault="009D661E" w:rsidP="009D661E">
      <w:pPr>
        <w:numPr>
          <w:ilvl w:val="0"/>
          <w:numId w:val="2"/>
        </w:numPr>
        <w:tabs>
          <w:tab w:val="left" w:pos="567"/>
          <w:tab w:val="num" w:pos="5057"/>
        </w:tabs>
        <w:spacing w:line="240" w:lineRule="auto"/>
        <w:ind w:left="0" w:firstLine="0"/>
        <w:textAlignment w:val="auto"/>
        <w:rPr>
          <w:sz w:val="20"/>
          <w:szCs w:val="20"/>
          <w:lang w:val="es-ES"/>
        </w:rPr>
      </w:pPr>
      <w:r w:rsidRPr="00975C02">
        <w:rPr>
          <w:sz w:val="20"/>
          <w:szCs w:val="20"/>
          <w:lang w:val="es-ES"/>
        </w:rPr>
        <w:t>El Tribunal valora los esfuerzos del Estado para adoptar legislación, otros actos jurídicos, instituciones y políticas públicas orientadas a combatir la violencia por razón de género, así como su esfuerzo por adecuar su sistema en materia de investigación penal y procesal penal</w:t>
      </w:r>
      <w:r w:rsidR="005A4608" w:rsidRPr="00975C02">
        <w:rPr>
          <w:sz w:val="20"/>
          <w:szCs w:val="20"/>
          <w:lang w:val="es-ES"/>
        </w:rPr>
        <w:t>.</w:t>
      </w:r>
      <w:r w:rsidRPr="00975C02">
        <w:rPr>
          <w:sz w:val="20"/>
          <w:szCs w:val="20"/>
          <w:lang w:val="es-ES"/>
        </w:rPr>
        <w:t xml:space="preserve"> </w:t>
      </w:r>
      <w:r w:rsidRPr="00975C02">
        <w:rPr>
          <w:rFonts w:eastAsia="Calibri"/>
          <w:sz w:val="20"/>
          <w:szCs w:val="20"/>
          <w:lang w:val="es-ES"/>
        </w:rPr>
        <w:t>Estos avances constituyen indicadores estructurales relacionados con la adopción de medidas que, en principio, tienen como objetivo enfrentar la violencia y discriminación contra la mujer y las niñas, o que su aplicación coadyuva a ello</w:t>
      </w:r>
      <w:r w:rsidRPr="00975C02">
        <w:rPr>
          <w:rFonts w:eastAsia="Calibri" w:cs="Verdana"/>
          <w:sz w:val="20"/>
          <w:szCs w:val="20"/>
          <w:vertAlign w:val="superscript"/>
          <w:lang w:val="es-ES"/>
        </w:rPr>
        <w:footnoteReference w:id="436"/>
      </w:r>
      <w:r w:rsidRPr="00975C02">
        <w:rPr>
          <w:sz w:val="20"/>
          <w:szCs w:val="20"/>
          <w:lang w:val="es-ES"/>
        </w:rPr>
        <w:t>.</w:t>
      </w:r>
    </w:p>
    <w:p w14:paraId="1780332A" w14:textId="77777777" w:rsidR="009D661E" w:rsidRPr="00975C02" w:rsidRDefault="009D661E" w:rsidP="009D661E">
      <w:pPr>
        <w:tabs>
          <w:tab w:val="left" w:pos="567"/>
        </w:tabs>
        <w:spacing w:line="240" w:lineRule="auto"/>
        <w:textAlignment w:val="auto"/>
        <w:rPr>
          <w:sz w:val="20"/>
          <w:szCs w:val="20"/>
          <w:lang w:val="es-ES"/>
        </w:rPr>
      </w:pPr>
    </w:p>
    <w:p w14:paraId="2C378476" w14:textId="73A6E9E9" w:rsidR="009D661E" w:rsidRPr="00975C02" w:rsidRDefault="00174377" w:rsidP="00DF3D71">
      <w:pPr>
        <w:numPr>
          <w:ilvl w:val="0"/>
          <w:numId w:val="2"/>
        </w:numPr>
        <w:tabs>
          <w:tab w:val="left" w:pos="567"/>
          <w:tab w:val="num" w:pos="5057"/>
        </w:tabs>
        <w:spacing w:line="240" w:lineRule="auto"/>
        <w:ind w:left="0" w:firstLine="0"/>
        <w:textAlignment w:val="auto"/>
        <w:rPr>
          <w:sz w:val="20"/>
          <w:szCs w:val="20"/>
          <w:lang w:val="es-ES"/>
        </w:rPr>
      </w:pPr>
      <w:r w:rsidRPr="00975C02">
        <w:rPr>
          <w:rFonts w:eastAsia="Calibri"/>
          <w:sz w:val="20"/>
          <w:szCs w:val="20"/>
          <w:lang w:val="es-ES"/>
        </w:rPr>
        <w:t>S</w:t>
      </w:r>
      <w:r w:rsidR="005A4608" w:rsidRPr="00975C02">
        <w:rPr>
          <w:rFonts w:eastAsia="Calibri"/>
          <w:sz w:val="20"/>
          <w:szCs w:val="20"/>
          <w:lang w:val="es-ES"/>
        </w:rPr>
        <w:t>i</w:t>
      </w:r>
      <w:r w:rsidRPr="00975C02">
        <w:rPr>
          <w:rFonts w:eastAsia="Calibri"/>
          <w:sz w:val="20"/>
          <w:szCs w:val="20"/>
          <w:lang w:val="es-ES"/>
        </w:rPr>
        <w:t>n perjuicio de lo anterior</w:t>
      </w:r>
      <w:r w:rsidR="005A4608" w:rsidRPr="00975C02">
        <w:rPr>
          <w:rFonts w:eastAsia="Calibri"/>
          <w:sz w:val="20"/>
          <w:szCs w:val="20"/>
          <w:lang w:val="es-ES"/>
        </w:rPr>
        <w:t xml:space="preserve">, </w:t>
      </w:r>
      <w:r w:rsidR="009D661E" w:rsidRPr="00975C02">
        <w:rPr>
          <w:rFonts w:eastAsia="Calibri"/>
          <w:sz w:val="20"/>
          <w:szCs w:val="20"/>
          <w:lang w:val="es-ES"/>
        </w:rPr>
        <w:t xml:space="preserve">la Corte estima pertinente ordenar las siguientes </w:t>
      </w:r>
      <w:r w:rsidR="005A4608" w:rsidRPr="00975C02">
        <w:rPr>
          <w:rFonts w:eastAsia="Calibri"/>
          <w:sz w:val="20"/>
          <w:szCs w:val="20"/>
          <w:lang w:val="es-ES"/>
        </w:rPr>
        <w:t>garantías de no repetición</w:t>
      </w:r>
      <w:r w:rsidRPr="00975C02">
        <w:rPr>
          <w:rFonts w:eastAsia="Calibri"/>
          <w:sz w:val="20"/>
          <w:szCs w:val="20"/>
          <w:lang w:val="es-ES"/>
        </w:rPr>
        <w:t>, en tanto constituyen medidas que contribuirían a</w:t>
      </w:r>
      <w:r w:rsidR="009D661E" w:rsidRPr="00975C02">
        <w:rPr>
          <w:rFonts w:eastAsia="Calibri"/>
          <w:sz w:val="20"/>
          <w:szCs w:val="20"/>
          <w:lang w:val="es-ES"/>
        </w:rPr>
        <w:t xml:space="preserve"> fortalecer la capacidad institucional del Estado en distintas esferas de actuación y brindar una atención integral a las niñas</w:t>
      </w:r>
      <w:r w:rsidR="000C09FE" w:rsidRPr="00975C02">
        <w:rPr>
          <w:rFonts w:eastAsia="Calibri"/>
          <w:sz w:val="20"/>
          <w:szCs w:val="20"/>
          <w:lang w:val="es-ES"/>
        </w:rPr>
        <w:t>, niños y adolescentes</w:t>
      </w:r>
      <w:r w:rsidR="009D661E" w:rsidRPr="00975C02">
        <w:rPr>
          <w:rFonts w:eastAsia="Calibri"/>
          <w:sz w:val="20"/>
          <w:szCs w:val="20"/>
          <w:lang w:val="es-ES"/>
        </w:rPr>
        <w:t xml:space="preserve"> víctimas de violencia y violación sexual.</w:t>
      </w:r>
    </w:p>
    <w:p w14:paraId="68E1712A" w14:textId="77777777" w:rsidR="009D661E" w:rsidRPr="00975C02" w:rsidRDefault="009D661E" w:rsidP="009D661E">
      <w:pPr>
        <w:pStyle w:val="ListParagraph"/>
        <w:spacing w:line="240" w:lineRule="auto"/>
        <w:ind w:left="0"/>
        <w:rPr>
          <w:sz w:val="20"/>
          <w:szCs w:val="20"/>
          <w:lang w:val="es-ES"/>
        </w:rPr>
      </w:pPr>
    </w:p>
    <w:p w14:paraId="2BBF5158" w14:textId="11E30F98" w:rsidR="009D661E" w:rsidRPr="00975C02" w:rsidRDefault="008F7852" w:rsidP="009D661E">
      <w:pPr>
        <w:spacing w:line="240" w:lineRule="auto"/>
        <w:ind w:left="1985"/>
        <w:rPr>
          <w:i/>
          <w:iCs/>
          <w:sz w:val="20"/>
          <w:szCs w:val="20"/>
          <w:lang w:val="es-ES"/>
        </w:rPr>
      </w:pPr>
      <w:r w:rsidRPr="00975C02">
        <w:rPr>
          <w:i/>
          <w:iCs/>
          <w:sz w:val="20"/>
          <w:szCs w:val="20"/>
          <w:lang w:val="es-ES"/>
        </w:rPr>
        <w:t>a</w:t>
      </w:r>
      <w:r w:rsidR="00D8602B" w:rsidRPr="00975C02">
        <w:rPr>
          <w:i/>
          <w:iCs/>
          <w:sz w:val="20"/>
          <w:szCs w:val="20"/>
          <w:lang w:val="es-ES"/>
        </w:rPr>
        <w:t>.1</w:t>
      </w:r>
      <w:r w:rsidR="009D661E" w:rsidRPr="00975C02">
        <w:rPr>
          <w:i/>
          <w:iCs/>
          <w:sz w:val="20"/>
          <w:szCs w:val="20"/>
          <w:lang w:val="es-ES"/>
        </w:rPr>
        <w:t>) Adopción de protocolos estandarizados de investigación</w:t>
      </w:r>
      <w:r w:rsidR="005A4608" w:rsidRPr="00975C02">
        <w:rPr>
          <w:i/>
          <w:iCs/>
          <w:sz w:val="20"/>
          <w:szCs w:val="20"/>
          <w:lang w:val="es-ES"/>
        </w:rPr>
        <w:t xml:space="preserve"> y atención integral </w:t>
      </w:r>
      <w:r w:rsidR="009D661E" w:rsidRPr="00975C02">
        <w:rPr>
          <w:i/>
          <w:iCs/>
          <w:sz w:val="20"/>
          <w:szCs w:val="20"/>
          <w:lang w:val="es-ES"/>
        </w:rPr>
        <w:t>para casos de violencia sexual en perjuicio de niñas</w:t>
      </w:r>
      <w:r w:rsidR="008E2E79" w:rsidRPr="00975C02">
        <w:rPr>
          <w:i/>
          <w:iCs/>
          <w:sz w:val="20"/>
          <w:szCs w:val="20"/>
          <w:lang w:val="es-ES"/>
        </w:rPr>
        <w:t>, niños y adolescentes</w:t>
      </w:r>
    </w:p>
    <w:p w14:paraId="65A064D3" w14:textId="77777777" w:rsidR="009D661E" w:rsidRPr="00975C02" w:rsidRDefault="009D661E" w:rsidP="009D661E">
      <w:pPr>
        <w:spacing w:line="240" w:lineRule="auto"/>
        <w:rPr>
          <w:iCs/>
          <w:sz w:val="20"/>
          <w:szCs w:val="20"/>
          <w:lang w:val="es-ES"/>
        </w:rPr>
      </w:pPr>
    </w:p>
    <w:p w14:paraId="5548D3E9" w14:textId="1894E1F1" w:rsidR="009D661E" w:rsidRPr="00975C02" w:rsidRDefault="009D661E" w:rsidP="009D661E">
      <w:pPr>
        <w:numPr>
          <w:ilvl w:val="0"/>
          <w:numId w:val="2"/>
        </w:numPr>
        <w:tabs>
          <w:tab w:val="left" w:pos="567"/>
          <w:tab w:val="num" w:pos="5057"/>
        </w:tabs>
        <w:spacing w:line="240" w:lineRule="auto"/>
        <w:ind w:left="0" w:firstLine="0"/>
        <w:textAlignment w:val="auto"/>
        <w:rPr>
          <w:rFonts w:eastAsia="MS Mincho"/>
          <w:sz w:val="20"/>
          <w:szCs w:val="20"/>
          <w:lang w:val="es-ES" w:bidi="en-US"/>
        </w:rPr>
      </w:pPr>
      <w:r w:rsidRPr="00975C02">
        <w:rPr>
          <w:rFonts w:eastAsia="MS Mincho"/>
          <w:sz w:val="20"/>
          <w:szCs w:val="20"/>
          <w:lang w:val="es-ES" w:bidi="en-US"/>
        </w:rPr>
        <w:t xml:space="preserve">La </w:t>
      </w:r>
      <w:r w:rsidRPr="00975C02">
        <w:rPr>
          <w:rFonts w:eastAsia="MS Mincho" w:cs="Verdana"/>
          <w:b/>
          <w:i/>
          <w:sz w:val="20"/>
          <w:szCs w:val="20"/>
          <w:lang w:val="es-ES" w:bidi="en-US"/>
        </w:rPr>
        <w:t>Comisión</w:t>
      </w:r>
      <w:r w:rsidRPr="00975C02">
        <w:rPr>
          <w:rFonts w:eastAsia="MS Mincho"/>
          <w:sz w:val="20"/>
          <w:szCs w:val="20"/>
          <w:lang w:val="es-ES" w:bidi="en-US"/>
        </w:rPr>
        <w:t xml:space="preserve"> solicitó </w:t>
      </w:r>
      <w:r w:rsidRPr="00975C02">
        <w:rPr>
          <w:sz w:val="20"/>
          <w:szCs w:val="20"/>
          <w:lang w:val="es-ES"/>
        </w:rPr>
        <w:t>a la Corte que ordenara al Estado desarrollar protocolos de investigación para que los casos de violación sexual y otras formas de violencia sexual contra las mujeres, incluyendo niñas, sean debidamente investigados y juzgados conforme a los estándares establecidos en su informe</w:t>
      </w:r>
      <w:r w:rsidR="00F53A54" w:rsidRPr="00975C02">
        <w:rPr>
          <w:sz w:val="20"/>
          <w:szCs w:val="20"/>
          <w:lang w:val="es-ES"/>
        </w:rPr>
        <w:t>.</w:t>
      </w:r>
    </w:p>
    <w:p w14:paraId="65F662A4" w14:textId="77777777" w:rsidR="009D661E" w:rsidRPr="00975C02" w:rsidRDefault="009D661E" w:rsidP="009D661E">
      <w:pPr>
        <w:tabs>
          <w:tab w:val="left" w:pos="0"/>
          <w:tab w:val="num" w:pos="11028"/>
        </w:tabs>
        <w:spacing w:line="240" w:lineRule="auto"/>
        <w:ind w:right="-90"/>
        <w:rPr>
          <w:rFonts w:eastAsia="MS Mincho"/>
          <w:sz w:val="20"/>
          <w:szCs w:val="20"/>
          <w:lang w:val="es-ES" w:bidi="en-US"/>
        </w:rPr>
      </w:pPr>
    </w:p>
    <w:p w14:paraId="383314FB" w14:textId="22ACAC99" w:rsidR="009D661E" w:rsidRPr="00975C02" w:rsidRDefault="009D661E" w:rsidP="009D661E">
      <w:pPr>
        <w:numPr>
          <w:ilvl w:val="0"/>
          <w:numId w:val="2"/>
        </w:numPr>
        <w:tabs>
          <w:tab w:val="left" w:pos="567"/>
          <w:tab w:val="num" w:pos="5057"/>
        </w:tabs>
        <w:spacing w:line="240" w:lineRule="auto"/>
        <w:ind w:left="0" w:firstLine="0"/>
        <w:textAlignment w:val="auto"/>
        <w:rPr>
          <w:sz w:val="20"/>
          <w:szCs w:val="20"/>
          <w:lang w:val="es-ES"/>
        </w:rPr>
      </w:pPr>
      <w:r w:rsidRPr="00975C02">
        <w:rPr>
          <w:rFonts w:eastAsia="MS Mincho"/>
          <w:iCs/>
          <w:sz w:val="20"/>
          <w:szCs w:val="20"/>
          <w:lang w:val="es-ES" w:bidi="en-US"/>
        </w:rPr>
        <w:t>Las</w:t>
      </w:r>
      <w:r w:rsidRPr="00975C02">
        <w:rPr>
          <w:rFonts w:eastAsia="MS Mincho"/>
          <w:i/>
          <w:sz w:val="20"/>
          <w:szCs w:val="20"/>
          <w:lang w:val="es-ES" w:bidi="en-US"/>
        </w:rPr>
        <w:t xml:space="preserve"> </w:t>
      </w:r>
      <w:r w:rsidRPr="00975C02">
        <w:rPr>
          <w:rFonts w:eastAsia="MS Mincho"/>
          <w:b/>
          <w:i/>
          <w:sz w:val="20"/>
          <w:szCs w:val="20"/>
          <w:lang w:val="es-ES" w:bidi="en-US"/>
        </w:rPr>
        <w:t>representantes</w:t>
      </w:r>
      <w:r w:rsidRPr="00975C02">
        <w:rPr>
          <w:rFonts w:eastAsia="MS Mincho"/>
          <w:sz w:val="20"/>
          <w:szCs w:val="20"/>
          <w:lang w:val="es-ES" w:bidi="en-US"/>
        </w:rPr>
        <w:t xml:space="preserve"> pidieron que se desarrolle un protocolo de investigación para los casos de agresión sexual contra la mujer, poniendo especial énfasis en lo relativo a la atención a las niñas víctimas.</w:t>
      </w:r>
    </w:p>
    <w:p w14:paraId="1AB8AE23" w14:textId="77777777" w:rsidR="009D661E" w:rsidRPr="00975C02" w:rsidRDefault="009D661E" w:rsidP="009D661E">
      <w:pPr>
        <w:pStyle w:val="ListParagraph"/>
        <w:spacing w:line="240" w:lineRule="auto"/>
        <w:rPr>
          <w:rFonts w:eastAsia="MS Mincho"/>
          <w:sz w:val="20"/>
          <w:szCs w:val="20"/>
          <w:lang w:val="es-ES" w:bidi="en-US"/>
        </w:rPr>
      </w:pPr>
    </w:p>
    <w:p w14:paraId="39FD3D19" w14:textId="3EB779A5" w:rsidR="009D661E" w:rsidRPr="00975C02" w:rsidRDefault="009D661E" w:rsidP="009D661E">
      <w:pPr>
        <w:numPr>
          <w:ilvl w:val="0"/>
          <w:numId w:val="2"/>
        </w:numPr>
        <w:tabs>
          <w:tab w:val="left" w:pos="567"/>
          <w:tab w:val="num" w:pos="5057"/>
        </w:tabs>
        <w:spacing w:line="240" w:lineRule="auto"/>
        <w:ind w:left="0" w:firstLine="0"/>
        <w:textAlignment w:val="auto"/>
        <w:rPr>
          <w:sz w:val="20"/>
          <w:szCs w:val="20"/>
          <w:lang w:val="es-ES"/>
        </w:rPr>
      </w:pPr>
      <w:r w:rsidRPr="00975C02">
        <w:rPr>
          <w:rFonts w:eastAsia="MS Mincho"/>
          <w:sz w:val="20"/>
          <w:szCs w:val="20"/>
          <w:lang w:val="es-ES" w:bidi="en-US"/>
        </w:rPr>
        <w:t xml:space="preserve">El </w:t>
      </w:r>
      <w:r w:rsidRPr="00975C02">
        <w:rPr>
          <w:rFonts w:eastAsia="MS Mincho"/>
          <w:b/>
          <w:i/>
          <w:sz w:val="20"/>
          <w:szCs w:val="20"/>
          <w:lang w:val="es-ES" w:bidi="en-US"/>
        </w:rPr>
        <w:t>Estado</w:t>
      </w:r>
      <w:r w:rsidRPr="00975C02">
        <w:rPr>
          <w:rFonts w:eastAsia="MS Mincho"/>
          <w:sz w:val="20"/>
          <w:szCs w:val="20"/>
          <w:lang w:val="es-ES" w:bidi="en-US"/>
        </w:rPr>
        <w:t xml:space="preserve"> señaló que esta recomendación ya se encontraba en cumplimiento, </w:t>
      </w:r>
      <w:r w:rsidR="00AE1EEC" w:rsidRPr="00975C02">
        <w:rPr>
          <w:rFonts w:eastAsia="MS Mincho"/>
          <w:sz w:val="20"/>
          <w:szCs w:val="20"/>
          <w:lang w:val="es-ES" w:bidi="en-US"/>
        </w:rPr>
        <w:t xml:space="preserve">puesto </w:t>
      </w:r>
      <w:r w:rsidRPr="00975C02">
        <w:rPr>
          <w:rFonts w:eastAsia="MS Mincho"/>
          <w:sz w:val="20"/>
          <w:szCs w:val="20"/>
          <w:lang w:val="es-ES" w:bidi="en-US"/>
        </w:rPr>
        <w:t>que para el Estado de Nicaragua era importante la investigación de los casos de violación sexual y otras formas de violencia contra las mujeres, niñas y niños</w:t>
      </w:r>
      <w:r w:rsidR="00AE1EEC" w:rsidRPr="00975C02">
        <w:rPr>
          <w:rFonts w:eastAsia="MS Mincho"/>
          <w:sz w:val="20"/>
          <w:szCs w:val="20"/>
          <w:lang w:val="es-ES" w:bidi="en-US"/>
        </w:rPr>
        <w:t>. En esta línea</w:t>
      </w:r>
      <w:r w:rsidRPr="00975C02">
        <w:rPr>
          <w:rFonts w:eastAsia="MS Mincho"/>
          <w:sz w:val="20"/>
          <w:szCs w:val="20"/>
          <w:lang w:val="es-ES" w:bidi="en-US"/>
        </w:rPr>
        <w:t>, creó instrumentos de política institucional, como los Protocolos de Actuación de Atención a Víctimas y el Protocolo de la Gestión Fiscal en materia de violencia de género</w:t>
      </w:r>
      <w:r w:rsidR="00F53A54" w:rsidRPr="00975C02">
        <w:rPr>
          <w:rFonts w:eastAsia="MS Mincho"/>
          <w:sz w:val="20"/>
          <w:szCs w:val="20"/>
          <w:lang w:val="es-ES" w:bidi="en-US"/>
        </w:rPr>
        <w:t>.</w:t>
      </w:r>
      <w:r w:rsidRPr="00975C02">
        <w:rPr>
          <w:rFonts w:eastAsia="MS Mincho"/>
          <w:sz w:val="20"/>
          <w:szCs w:val="20"/>
          <w:lang w:val="es-ES" w:bidi="en-US"/>
        </w:rPr>
        <w:t xml:space="preserve"> Precisó que</w:t>
      </w:r>
      <w:r w:rsidR="00182928" w:rsidRPr="00975C02">
        <w:rPr>
          <w:rFonts w:eastAsia="MS Mincho"/>
          <w:sz w:val="20"/>
          <w:szCs w:val="20"/>
          <w:lang w:val="es-ES" w:bidi="en-US"/>
        </w:rPr>
        <w:t>,</w:t>
      </w:r>
      <w:r w:rsidRPr="00975C02">
        <w:rPr>
          <w:rFonts w:eastAsia="MS Mincho"/>
          <w:sz w:val="20"/>
          <w:szCs w:val="20"/>
          <w:lang w:val="es-ES" w:bidi="en-US"/>
        </w:rPr>
        <w:t xml:space="preserve"> en el año 2010</w:t>
      </w:r>
      <w:r w:rsidR="00182928" w:rsidRPr="00975C02">
        <w:rPr>
          <w:rFonts w:eastAsia="MS Mincho"/>
          <w:sz w:val="20"/>
          <w:szCs w:val="20"/>
          <w:lang w:val="es-ES" w:bidi="en-US"/>
        </w:rPr>
        <w:t>,</w:t>
      </w:r>
      <w:r w:rsidRPr="00975C02">
        <w:rPr>
          <w:rFonts w:eastAsia="MS Mincho"/>
          <w:sz w:val="20"/>
          <w:szCs w:val="20"/>
          <w:lang w:val="es-ES" w:bidi="en-US"/>
        </w:rPr>
        <w:t xml:space="preserve"> se puso en marcha el Modelo de Atención Integral a Víctimas de Violencia de Género en Nicaragua (MAI), con el objetivo de articular el sistema de atención a favor de víctimas de delitos de violencia intrafamiliar y violencia sexual, lo que permitía realizar acciones de investigación, persecución y sanción penal desde el conocimiento del hecho y la protección para la recuperación de la víctima hasta la restitución y resarcimiento de los daños. Finalmente, señaló que de manera específica se planteó la implementación de normas de atención y actuación centrada en las víctimas </w:t>
      </w:r>
      <w:r w:rsidR="00AE1EEC" w:rsidRPr="00975C02">
        <w:rPr>
          <w:rFonts w:eastAsia="MS Mincho"/>
          <w:sz w:val="20"/>
          <w:szCs w:val="20"/>
          <w:lang w:val="es-ES" w:bidi="en-US"/>
        </w:rPr>
        <w:t xml:space="preserve">que evitan </w:t>
      </w:r>
      <w:r w:rsidRPr="00975C02">
        <w:rPr>
          <w:rFonts w:eastAsia="MS Mincho"/>
          <w:sz w:val="20"/>
          <w:szCs w:val="20"/>
          <w:lang w:val="es-ES" w:bidi="en-US"/>
        </w:rPr>
        <w:t xml:space="preserve">la victimización secundaria, fortalecen la capacidad de respuesta institucional en los casos de violencia intrafamiliar y delitos sexuales, así como protegen la integridad física, psicológica, sexual </w:t>
      </w:r>
      <w:r w:rsidRPr="00975C02">
        <w:rPr>
          <w:rFonts w:eastAsia="MS Mincho"/>
          <w:sz w:val="20"/>
          <w:szCs w:val="20"/>
          <w:lang w:val="es-ES" w:bidi="en-US"/>
        </w:rPr>
        <w:lastRenderedPageBreak/>
        <w:t>y patrimonial, con la aplicación de medidas precautelares a favor de las víctimas</w:t>
      </w:r>
      <w:r w:rsidR="00F53A54" w:rsidRPr="00975C02">
        <w:rPr>
          <w:rFonts w:eastAsia="MS Mincho"/>
          <w:sz w:val="20"/>
          <w:szCs w:val="20"/>
          <w:lang w:val="es-ES" w:bidi="en-US"/>
        </w:rPr>
        <w:t>.</w:t>
      </w:r>
    </w:p>
    <w:p w14:paraId="431DAD64" w14:textId="77777777" w:rsidR="009D661E" w:rsidRPr="00975C02" w:rsidRDefault="009D661E" w:rsidP="009D661E">
      <w:pPr>
        <w:tabs>
          <w:tab w:val="left" w:pos="567"/>
        </w:tabs>
        <w:spacing w:line="240" w:lineRule="auto"/>
        <w:textAlignment w:val="auto"/>
        <w:rPr>
          <w:sz w:val="20"/>
          <w:szCs w:val="20"/>
          <w:lang w:val="es-ES"/>
        </w:rPr>
      </w:pPr>
    </w:p>
    <w:p w14:paraId="6491AFD7" w14:textId="1C7C6558" w:rsidR="009D661E" w:rsidRPr="00975C02" w:rsidRDefault="009D661E" w:rsidP="009D661E">
      <w:pPr>
        <w:numPr>
          <w:ilvl w:val="0"/>
          <w:numId w:val="2"/>
        </w:numPr>
        <w:tabs>
          <w:tab w:val="left" w:pos="567"/>
          <w:tab w:val="num" w:pos="5057"/>
        </w:tabs>
        <w:spacing w:line="240" w:lineRule="auto"/>
        <w:ind w:left="0" w:firstLine="0"/>
        <w:textAlignment w:val="auto"/>
        <w:rPr>
          <w:sz w:val="20"/>
          <w:szCs w:val="20"/>
          <w:lang w:val="es-ES"/>
        </w:rPr>
      </w:pPr>
      <w:r w:rsidRPr="00975C02">
        <w:rPr>
          <w:rFonts w:eastAsia="MS Mincho"/>
          <w:sz w:val="20"/>
          <w:szCs w:val="20"/>
          <w:lang w:val="es-ES" w:bidi="en-US"/>
        </w:rPr>
        <w:t>El Estado alegó, además, que desde el año 2005, en el Ministerio Público se cre</w:t>
      </w:r>
      <w:r w:rsidR="00AE1EEC" w:rsidRPr="00975C02">
        <w:rPr>
          <w:rFonts w:eastAsia="MS Mincho"/>
          <w:sz w:val="20"/>
          <w:szCs w:val="20"/>
          <w:lang w:val="es-ES" w:bidi="en-US"/>
        </w:rPr>
        <w:t>ó</w:t>
      </w:r>
      <w:r w:rsidRPr="00975C02">
        <w:rPr>
          <w:rFonts w:eastAsia="MS Mincho"/>
          <w:sz w:val="20"/>
          <w:szCs w:val="20"/>
          <w:lang w:val="es-ES" w:bidi="en-US"/>
        </w:rPr>
        <w:t xml:space="preserve"> la Unidad Especializada contra los Delitos de Violencia de Género y la Unidad Especializada de Atención a Víctimas</w:t>
      </w:r>
      <w:r w:rsidR="00AE1EEC" w:rsidRPr="00975C02">
        <w:rPr>
          <w:rFonts w:eastAsia="MS Mincho"/>
          <w:sz w:val="20"/>
          <w:szCs w:val="20"/>
          <w:lang w:val="es-ES" w:bidi="en-US"/>
        </w:rPr>
        <w:t>.</w:t>
      </w:r>
      <w:r w:rsidRPr="00975C02">
        <w:rPr>
          <w:rFonts w:eastAsia="MS Mincho"/>
          <w:sz w:val="20"/>
          <w:szCs w:val="20"/>
          <w:lang w:val="es-ES" w:bidi="en-US"/>
        </w:rPr>
        <w:t xml:space="preserve"> </w:t>
      </w:r>
      <w:r w:rsidR="00AE1EEC" w:rsidRPr="00975C02">
        <w:rPr>
          <w:rFonts w:eastAsia="MS Mincho"/>
          <w:sz w:val="20"/>
          <w:szCs w:val="20"/>
          <w:lang w:val="es-ES" w:bidi="en-US"/>
        </w:rPr>
        <w:t>É</w:t>
      </w:r>
      <w:r w:rsidRPr="00975C02">
        <w:rPr>
          <w:rFonts w:eastAsia="MS Mincho"/>
          <w:sz w:val="20"/>
          <w:szCs w:val="20"/>
          <w:lang w:val="es-ES" w:bidi="en-US"/>
        </w:rPr>
        <w:t>sta última se encarga de brindar atención integral en temas jurídicos, psicológicos, asesoría legal, trabajo social y acompañamientos, en el que las víctimas pasan por un proceso de empoderamiento, reforzamiento de autoestima, preparación emocional y jurídica para enfrentar el proceso penal. Manifestó que otro de sus logros era la creación y funcionamiento de la clínica forense integral de la mujer y la oficina de ayuda a la víctima, que ha</w:t>
      </w:r>
      <w:r w:rsidR="00AE1EEC" w:rsidRPr="00975C02">
        <w:rPr>
          <w:rFonts w:eastAsia="MS Mincho"/>
          <w:sz w:val="20"/>
          <w:szCs w:val="20"/>
          <w:lang w:val="es-ES" w:bidi="en-US"/>
        </w:rPr>
        <w:t>n</w:t>
      </w:r>
      <w:r w:rsidRPr="00975C02">
        <w:rPr>
          <w:rFonts w:eastAsia="MS Mincho"/>
          <w:sz w:val="20"/>
          <w:szCs w:val="20"/>
          <w:lang w:val="es-ES" w:bidi="en-US"/>
        </w:rPr>
        <w:t xml:space="preserve"> contribuido a disminuir la impunidad y la victimización secundaria. Agregó que se ha logrado aportar elementos de prueba al sistema de justicia para demostrar o descartar faltas y delitos, entre otros, contra la libertad e integridad sexual, la trata de personas, violencia intrafamiliar, violencia física y psicológica</w:t>
      </w:r>
      <w:r w:rsidR="00F53A54" w:rsidRPr="00975C02">
        <w:rPr>
          <w:rFonts w:eastAsia="MS Mincho"/>
          <w:sz w:val="20"/>
          <w:szCs w:val="20"/>
          <w:lang w:val="es-ES" w:bidi="en-US"/>
        </w:rPr>
        <w:t>.</w:t>
      </w:r>
    </w:p>
    <w:p w14:paraId="4413B521" w14:textId="77777777" w:rsidR="009D661E" w:rsidRPr="00975C02" w:rsidRDefault="009D661E" w:rsidP="009D661E">
      <w:pPr>
        <w:tabs>
          <w:tab w:val="left" w:pos="567"/>
        </w:tabs>
        <w:spacing w:line="240" w:lineRule="auto"/>
        <w:textAlignment w:val="auto"/>
        <w:rPr>
          <w:sz w:val="20"/>
          <w:szCs w:val="20"/>
          <w:lang w:val="es-ES"/>
        </w:rPr>
      </w:pPr>
    </w:p>
    <w:p w14:paraId="43188DA7" w14:textId="02E30826" w:rsidR="00383283" w:rsidRPr="00975C02" w:rsidRDefault="00DD1DDB" w:rsidP="00AE1EEC">
      <w:pPr>
        <w:numPr>
          <w:ilvl w:val="0"/>
          <w:numId w:val="2"/>
        </w:numPr>
        <w:tabs>
          <w:tab w:val="left" w:pos="567"/>
          <w:tab w:val="num" w:pos="5057"/>
        </w:tabs>
        <w:spacing w:line="240" w:lineRule="auto"/>
        <w:ind w:left="0" w:firstLine="0"/>
        <w:textAlignment w:val="auto"/>
        <w:rPr>
          <w:b/>
          <w:sz w:val="20"/>
          <w:szCs w:val="20"/>
          <w:lang w:val="es-ES"/>
        </w:rPr>
      </w:pPr>
      <w:r w:rsidRPr="00975C02">
        <w:rPr>
          <w:rFonts w:eastAsia="MS Mincho"/>
          <w:sz w:val="20"/>
          <w:szCs w:val="20"/>
          <w:lang w:val="es-ES" w:bidi="en-US"/>
        </w:rPr>
        <w:t xml:space="preserve">La Corte nota que </w:t>
      </w:r>
      <w:r w:rsidR="00535BF4" w:rsidRPr="00975C02">
        <w:rPr>
          <w:rFonts w:eastAsia="MS Mincho"/>
          <w:sz w:val="20"/>
          <w:szCs w:val="20"/>
          <w:lang w:val="es-ES" w:bidi="en-US"/>
        </w:rPr>
        <w:t xml:space="preserve">la mayoría de la normativa remitida por </w:t>
      </w:r>
      <w:r w:rsidRPr="00975C02">
        <w:rPr>
          <w:rFonts w:eastAsia="MS Mincho"/>
          <w:sz w:val="20"/>
          <w:szCs w:val="20"/>
          <w:lang w:val="es-ES" w:bidi="en-US"/>
        </w:rPr>
        <w:t xml:space="preserve">el Estado </w:t>
      </w:r>
      <w:r w:rsidR="009D661E" w:rsidRPr="00975C02">
        <w:rPr>
          <w:rFonts w:eastAsia="MS Mincho"/>
          <w:sz w:val="20"/>
          <w:szCs w:val="20"/>
          <w:lang w:val="es-ES" w:bidi="en-US"/>
        </w:rPr>
        <w:t>está enfocada en la prevención, combate y erradicación de la violencia de género de forma general</w:t>
      </w:r>
      <w:r w:rsidR="00D6695E" w:rsidRPr="00975C02">
        <w:rPr>
          <w:rFonts w:eastAsia="MS Mincho"/>
          <w:sz w:val="20"/>
          <w:szCs w:val="20"/>
          <w:lang w:val="es-ES" w:bidi="en-US"/>
        </w:rPr>
        <w:t xml:space="preserve">. </w:t>
      </w:r>
      <w:r w:rsidR="009D661E" w:rsidRPr="00975C02">
        <w:rPr>
          <w:rFonts w:eastAsia="MS Mincho"/>
          <w:sz w:val="20"/>
          <w:szCs w:val="20"/>
          <w:lang w:val="es-ES" w:bidi="en-US"/>
        </w:rPr>
        <w:t xml:space="preserve">Sin perjuicio de ello, el Tribunal constata que las siguientes normas incluyen un apartado específico o lineamientos generales </w:t>
      </w:r>
      <w:r w:rsidR="00AE1EEC" w:rsidRPr="00975C02">
        <w:rPr>
          <w:rFonts w:eastAsia="MS Mincho"/>
          <w:sz w:val="20"/>
          <w:szCs w:val="20"/>
          <w:lang w:val="es-ES" w:bidi="en-US"/>
        </w:rPr>
        <w:t xml:space="preserve">para </w:t>
      </w:r>
      <w:r w:rsidR="009D661E" w:rsidRPr="00975C02">
        <w:rPr>
          <w:rFonts w:eastAsia="MS Mincho"/>
          <w:sz w:val="20"/>
          <w:szCs w:val="20"/>
          <w:lang w:val="es-ES" w:bidi="en-US"/>
        </w:rPr>
        <w:t xml:space="preserve">casos </w:t>
      </w:r>
      <w:r w:rsidR="00AE1EEC" w:rsidRPr="00975C02">
        <w:rPr>
          <w:rFonts w:eastAsia="MS Mincho"/>
          <w:sz w:val="20"/>
          <w:szCs w:val="20"/>
          <w:lang w:val="es-ES" w:bidi="en-US"/>
        </w:rPr>
        <w:t>en</w:t>
      </w:r>
      <w:r w:rsidR="009D661E" w:rsidRPr="00975C02">
        <w:rPr>
          <w:rFonts w:eastAsia="MS Mincho"/>
          <w:sz w:val="20"/>
          <w:szCs w:val="20"/>
          <w:lang w:val="es-ES" w:bidi="en-US"/>
        </w:rPr>
        <w:t xml:space="preserve"> que la víctima sea una niña, niño o adolescente:</w:t>
      </w:r>
      <w:r w:rsidR="00AE1EEC" w:rsidRPr="00975C02">
        <w:rPr>
          <w:rFonts w:eastAsia="MS Mincho"/>
          <w:sz w:val="20"/>
          <w:szCs w:val="20"/>
          <w:lang w:val="es-ES" w:bidi="en-US"/>
        </w:rPr>
        <w:t xml:space="preserve"> </w:t>
      </w:r>
      <w:r w:rsidR="00AE1EEC" w:rsidRPr="00975C02">
        <w:rPr>
          <w:sz w:val="20"/>
          <w:szCs w:val="20"/>
          <w:lang w:val="es-ES"/>
        </w:rPr>
        <w:t>a) Disposición N° 010/03 de la Policía Nacional, Ministerio de Gobernación. “Manual de procedimientos policiales de atención especializada a víctimas y sobrevinientes de violencia intrafamiliar y sexual”</w:t>
      </w:r>
      <w:r w:rsidR="00AE1EEC" w:rsidRPr="00975C02">
        <w:rPr>
          <w:rStyle w:val="FootnoteReference"/>
          <w:sz w:val="20"/>
          <w:szCs w:val="20"/>
          <w:lang w:val="es-ES"/>
        </w:rPr>
        <w:footnoteReference w:id="437"/>
      </w:r>
      <w:r w:rsidR="00AE1EEC" w:rsidRPr="00975C02">
        <w:rPr>
          <w:sz w:val="20"/>
          <w:szCs w:val="20"/>
          <w:lang w:val="es-ES"/>
        </w:rPr>
        <w:t>; b) Protocolo de actuación en atención a víctimas de violencia de género de la Unidad especializada de atención a víctimas del Ministerio Público</w:t>
      </w:r>
      <w:r w:rsidR="00AE1EEC" w:rsidRPr="00975C02">
        <w:rPr>
          <w:rStyle w:val="FootnoteReference"/>
          <w:sz w:val="20"/>
          <w:szCs w:val="20"/>
          <w:lang w:val="es-ES"/>
        </w:rPr>
        <w:footnoteReference w:id="438"/>
      </w:r>
      <w:r w:rsidR="00AE1EEC" w:rsidRPr="00975C02">
        <w:rPr>
          <w:sz w:val="20"/>
          <w:szCs w:val="20"/>
          <w:lang w:val="es-ES"/>
        </w:rPr>
        <w:t>; c) Protocolo de actuación del Ministerio Público en la atención a las víctimas del delito (2010)</w:t>
      </w:r>
      <w:r w:rsidR="00AE1EEC" w:rsidRPr="00975C02">
        <w:rPr>
          <w:rStyle w:val="FootnoteReference"/>
          <w:sz w:val="20"/>
          <w:szCs w:val="20"/>
          <w:lang w:val="es-ES"/>
        </w:rPr>
        <w:footnoteReference w:id="439"/>
      </w:r>
      <w:r w:rsidR="00AE1EEC" w:rsidRPr="00975C02">
        <w:rPr>
          <w:sz w:val="20"/>
          <w:szCs w:val="20"/>
          <w:lang w:val="es-ES"/>
        </w:rPr>
        <w:t>; d) Protocolo de Actuación de la Gestión Fiscal en materia de violencia de género de la Unidad Especializada de Delitos contra la Violencia de Género (2009)</w:t>
      </w:r>
      <w:r w:rsidR="00AE1EEC" w:rsidRPr="00975C02">
        <w:rPr>
          <w:rStyle w:val="FootnoteReference"/>
          <w:sz w:val="20"/>
          <w:szCs w:val="20"/>
          <w:lang w:val="es-ES"/>
        </w:rPr>
        <w:footnoteReference w:id="440"/>
      </w:r>
      <w:r w:rsidR="00AE1EEC" w:rsidRPr="00975C02">
        <w:rPr>
          <w:sz w:val="20"/>
          <w:szCs w:val="20"/>
          <w:lang w:val="es-ES"/>
        </w:rPr>
        <w:t>; e) Modelo de atención integral a víctimas de violencia de género en Nicaragua, del Equipo Técnico de Modelo de Atención Integral (MAI) (2012)</w:t>
      </w:r>
      <w:r w:rsidR="00AE1EEC" w:rsidRPr="00975C02">
        <w:rPr>
          <w:rStyle w:val="FootnoteReference"/>
          <w:sz w:val="20"/>
          <w:szCs w:val="20"/>
          <w:lang w:val="es-ES"/>
        </w:rPr>
        <w:footnoteReference w:id="441"/>
      </w:r>
      <w:r w:rsidR="00AE1EEC" w:rsidRPr="00975C02">
        <w:rPr>
          <w:sz w:val="20"/>
          <w:szCs w:val="20"/>
          <w:lang w:val="es-ES"/>
        </w:rPr>
        <w:t>; f) Normativa 031 de la Dirección General de Extensión y Calidad de la Atención, Ministerio de Salud. “Normas y Protocolos para la prevención, detección y atención de la violencia intrafamiliar y sexual” (2009)</w:t>
      </w:r>
      <w:r w:rsidR="00AE1EEC" w:rsidRPr="00975C02">
        <w:rPr>
          <w:rStyle w:val="FootnoteReference"/>
          <w:sz w:val="20"/>
          <w:szCs w:val="20"/>
          <w:lang w:val="es-ES"/>
        </w:rPr>
        <w:footnoteReference w:id="442"/>
      </w:r>
      <w:r w:rsidR="00AE1EEC" w:rsidRPr="00975C02">
        <w:rPr>
          <w:sz w:val="20"/>
          <w:szCs w:val="20"/>
          <w:lang w:val="es-ES"/>
        </w:rPr>
        <w:t>, y g) Protocolo de Normas y Procedimientos para la Atención Especializada a Víctimas y Sobrevivientes de Violencia de Género, Intrafamiliar y Sexual de las Comisarías de la Mujer, la Niñez y la Adolescencia de la Policía Nacional (2014)</w:t>
      </w:r>
      <w:r w:rsidR="00AE1EEC" w:rsidRPr="00975C02">
        <w:rPr>
          <w:rStyle w:val="FootnoteReference"/>
          <w:sz w:val="20"/>
          <w:szCs w:val="20"/>
          <w:lang w:val="es-ES"/>
        </w:rPr>
        <w:footnoteReference w:id="443"/>
      </w:r>
      <w:r w:rsidR="00AE1EEC" w:rsidRPr="00975C02">
        <w:rPr>
          <w:sz w:val="20"/>
          <w:szCs w:val="20"/>
          <w:lang w:val="es-ES"/>
        </w:rPr>
        <w:t>.</w:t>
      </w:r>
    </w:p>
    <w:p w14:paraId="1FFF1144" w14:textId="77777777" w:rsidR="00AA5AA4" w:rsidRPr="00975C02" w:rsidRDefault="00AA5AA4" w:rsidP="00DF3D71">
      <w:pPr>
        <w:tabs>
          <w:tab w:val="left" w:pos="567"/>
        </w:tabs>
        <w:spacing w:line="240" w:lineRule="auto"/>
        <w:textAlignment w:val="auto"/>
        <w:rPr>
          <w:b/>
          <w:sz w:val="20"/>
          <w:szCs w:val="20"/>
          <w:lang w:val="es-ES"/>
        </w:rPr>
      </w:pPr>
    </w:p>
    <w:p w14:paraId="17463021" w14:textId="042CFD80" w:rsidR="00AA5AA4" w:rsidRPr="00975C02" w:rsidRDefault="00AA5AA4" w:rsidP="00DF3D71">
      <w:pPr>
        <w:numPr>
          <w:ilvl w:val="0"/>
          <w:numId w:val="2"/>
        </w:numPr>
        <w:tabs>
          <w:tab w:val="left" w:pos="567"/>
          <w:tab w:val="num" w:pos="5057"/>
        </w:tabs>
        <w:spacing w:line="240" w:lineRule="auto"/>
        <w:ind w:left="0" w:firstLine="0"/>
        <w:textAlignment w:val="auto"/>
        <w:rPr>
          <w:b/>
          <w:sz w:val="20"/>
          <w:szCs w:val="20"/>
          <w:lang w:val="es-ES"/>
        </w:rPr>
      </w:pPr>
      <w:r w:rsidRPr="00975C02">
        <w:rPr>
          <w:rFonts w:cs="HelveticaNeue-Light"/>
          <w:sz w:val="20"/>
          <w:szCs w:val="20"/>
          <w:lang w:val="es-ES"/>
        </w:rPr>
        <w:t>Por su parte, el</w:t>
      </w:r>
      <w:r w:rsidR="00E80343" w:rsidRPr="00975C02">
        <w:rPr>
          <w:sz w:val="20"/>
          <w:szCs w:val="20"/>
          <w:lang w:val="es-ES"/>
        </w:rPr>
        <w:t xml:space="preserve"> </w:t>
      </w:r>
      <w:r w:rsidRPr="00975C02">
        <w:rPr>
          <w:rFonts w:cs="HelveticaNeue-Light"/>
          <w:sz w:val="20"/>
          <w:szCs w:val="20"/>
          <w:lang w:val="es-ES"/>
        </w:rPr>
        <w:t xml:space="preserve">Instituto de Medicina Legal cuenta con una </w:t>
      </w:r>
      <w:r w:rsidRPr="00975C02">
        <w:rPr>
          <w:rFonts w:cs="Arial"/>
          <w:sz w:val="20"/>
          <w:szCs w:val="20"/>
          <w:lang w:val="es-ES"/>
        </w:rPr>
        <w:t>Norma técnica sobre abordaje médico integral en la investigación de violencia sexual (2014)</w:t>
      </w:r>
      <w:r w:rsidR="00E80343" w:rsidRPr="00975C02">
        <w:rPr>
          <w:rStyle w:val="FootnoteReference"/>
          <w:sz w:val="20"/>
          <w:szCs w:val="20"/>
          <w:lang w:val="es-ES"/>
        </w:rPr>
        <w:footnoteReference w:id="444"/>
      </w:r>
      <w:r w:rsidRPr="00975C02">
        <w:rPr>
          <w:rFonts w:cs="Arial"/>
          <w:sz w:val="20"/>
          <w:szCs w:val="20"/>
          <w:lang w:val="es-ES"/>
        </w:rPr>
        <w:t>, la cual hace una referencia general a las posiciones recomendable</w:t>
      </w:r>
      <w:r w:rsidR="0065128E" w:rsidRPr="00975C02">
        <w:rPr>
          <w:rFonts w:cs="Arial"/>
          <w:sz w:val="20"/>
          <w:szCs w:val="20"/>
          <w:lang w:val="es-ES"/>
        </w:rPr>
        <w:t>s para la revisión ginecológica</w:t>
      </w:r>
      <w:r w:rsidRPr="00975C02">
        <w:rPr>
          <w:rFonts w:cs="Arial"/>
          <w:sz w:val="20"/>
          <w:szCs w:val="20"/>
          <w:lang w:val="es-ES"/>
        </w:rPr>
        <w:t xml:space="preserve"> de niñas, así como a ciertos criterios que el psicólogo, psiquiatra, médico forense o cualquier otro personal de salud público o privado deberá tener en cuenta al momento de entrevistar a las niñas </w:t>
      </w:r>
      <w:r w:rsidR="0065128E" w:rsidRPr="00975C02">
        <w:rPr>
          <w:rFonts w:cs="Arial"/>
          <w:sz w:val="20"/>
          <w:szCs w:val="20"/>
          <w:lang w:val="es-ES"/>
        </w:rPr>
        <w:t xml:space="preserve">y niños </w:t>
      </w:r>
      <w:r w:rsidRPr="00975C02">
        <w:rPr>
          <w:rFonts w:cs="Arial"/>
          <w:sz w:val="20"/>
          <w:szCs w:val="20"/>
          <w:lang w:val="es-ES"/>
        </w:rPr>
        <w:t xml:space="preserve">víctimas de violencia sexual. Asimismo, el Instituto de Medicina Legal cuenta con la </w:t>
      </w:r>
      <w:r w:rsidRPr="00975C02">
        <w:rPr>
          <w:bCs/>
          <w:sz w:val="20"/>
          <w:szCs w:val="20"/>
          <w:lang w:val="es-ES"/>
        </w:rPr>
        <w:t>Norma técnica para la peritación del daño psíquico en mujeres, niñas, niños y adolescentes víctimas de violencia familiar, sexual y otras formas de violencia basada en género (2015)</w:t>
      </w:r>
      <w:r w:rsidR="00E80343" w:rsidRPr="00975C02">
        <w:rPr>
          <w:rStyle w:val="FootnoteReference"/>
          <w:sz w:val="20"/>
          <w:szCs w:val="20"/>
          <w:lang w:val="es-ES"/>
        </w:rPr>
        <w:footnoteReference w:id="445"/>
      </w:r>
      <w:r w:rsidR="00E80343" w:rsidRPr="00975C02">
        <w:rPr>
          <w:sz w:val="20"/>
          <w:szCs w:val="20"/>
          <w:lang w:val="es-ES"/>
        </w:rPr>
        <w:t>,</w:t>
      </w:r>
      <w:r w:rsidRPr="00975C02">
        <w:rPr>
          <w:bCs/>
          <w:sz w:val="20"/>
          <w:szCs w:val="20"/>
          <w:lang w:val="es-ES"/>
        </w:rPr>
        <w:t xml:space="preserve"> y la </w:t>
      </w:r>
      <w:r w:rsidRPr="00975C02">
        <w:rPr>
          <w:rFonts w:cs="Arial"/>
          <w:sz w:val="20"/>
          <w:szCs w:val="20"/>
          <w:lang w:val="es-ES"/>
        </w:rPr>
        <w:t>Norma técnica para la valoración médico legal integral en la investigación de la violencia intrafamiliar (2015)</w:t>
      </w:r>
      <w:r w:rsidR="00E80343" w:rsidRPr="00975C02">
        <w:rPr>
          <w:rStyle w:val="FootnoteReference"/>
          <w:sz w:val="20"/>
          <w:szCs w:val="20"/>
          <w:lang w:val="es-ES"/>
        </w:rPr>
        <w:footnoteReference w:id="446"/>
      </w:r>
      <w:r w:rsidRPr="00975C02">
        <w:rPr>
          <w:rFonts w:cs="Arial"/>
          <w:sz w:val="20"/>
          <w:szCs w:val="20"/>
          <w:lang w:val="es-ES"/>
        </w:rPr>
        <w:t>.</w:t>
      </w:r>
      <w:r w:rsidR="00757D93" w:rsidRPr="00975C02">
        <w:rPr>
          <w:sz w:val="20"/>
          <w:szCs w:val="20"/>
          <w:lang w:val="es-ES"/>
        </w:rPr>
        <w:t xml:space="preserve"> La Corte destaca que la norma técnica de 2014 recoge ciertos criterios de abordaje médico integral en casos de niñas víctimas de </w:t>
      </w:r>
      <w:r w:rsidR="00757D93" w:rsidRPr="00975C02">
        <w:rPr>
          <w:sz w:val="20"/>
          <w:szCs w:val="20"/>
          <w:lang w:val="es-ES"/>
        </w:rPr>
        <w:lastRenderedPageBreak/>
        <w:t>violencia sexual.</w:t>
      </w:r>
    </w:p>
    <w:p w14:paraId="7AB10DF8" w14:textId="39D28829" w:rsidR="009D661E" w:rsidRPr="00975C02" w:rsidRDefault="009D661E" w:rsidP="00087D96">
      <w:pPr>
        <w:tabs>
          <w:tab w:val="left" w:pos="567"/>
        </w:tabs>
        <w:spacing w:line="240" w:lineRule="auto"/>
        <w:textAlignment w:val="auto"/>
        <w:rPr>
          <w:b/>
          <w:sz w:val="20"/>
          <w:szCs w:val="20"/>
          <w:lang w:val="es-ES"/>
        </w:rPr>
      </w:pPr>
    </w:p>
    <w:p w14:paraId="7571D4D5" w14:textId="1F547628" w:rsidR="00AA5AA4" w:rsidRPr="00975C02" w:rsidRDefault="009D661E" w:rsidP="00087D96">
      <w:pPr>
        <w:numPr>
          <w:ilvl w:val="0"/>
          <w:numId w:val="2"/>
        </w:numPr>
        <w:tabs>
          <w:tab w:val="left" w:pos="567"/>
          <w:tab w:val="num" w:pos="5057"/>
        </w:tabs>
        <w:spacing w:line="240" w:lineRule="auto"/>
        <w:ind w:left="0" w:firstLine="0"/>
        <w:textAlignment w:val="auto"/>
        <w:rPr>
          <w:b/>
          <w:sz w:val="20"/>
          <w:szCs w:val="20"/>
          <w:lang w:val="es-ES"/>
        </w:rPr>
      </w:pPr>
      <w:r w:rsidRPr="00975C02">
        <w:rPr>
          <w:rFonts w:eastAsia="MS Mincho"/>
          <w:sz w:val="20"/>
          <w:szCs w:val="20"/>
          <w:lang w:val="es-ES" w:bidi="en-US"/>
        </w:rPr>
        <w:t>Con base en la normativa citada, la Corte advierte que</w:t>
      </w:r>
      <w:r w:rsidR="00D229FA" w:rsidRPr="00975C02">
        <w:rPr>
          <w:rFonts w:eastAsia="MS Mincho"/>
          <w:sz w:val="20"/>
          <w:szCs w:val="20"/>
          <w:lang w:val="es-ES" w:bidi="en-US"/>
        </w:rPr>
        <w:t>,</w:t>
      </w:r>
      <w:r w:rsidRPr="00975C02">
        <w:rPr>
          <w:rFonts w:eastAsia="MS Mincho"/>
          <w:sz w:val="20"/>
          <w:szCs w:val="20"/>
          <w:lang w:val="es-ES" w:bidi="en-US"/>
        </w:rPr>
        <w:t xml:space="preserve"> tanto a nivel policial</w:t>
      </w:r>
      <w:r w:rsidR="00AA5AA4" w:rsidRPr="00975C02">
        <w:rPr>
          <w:rFonts w:eastAsia="MS Mincho"/>
          <w:sz w:val="20"/>
          <w:szCs w:val="20"/>
          <w:lang w:val="es-ES" w:bidi="en-US"/>
        </w:rPr>
        <w:t xml:space="preserve"> como </w:t>
      </w:r>
      <w:r w:rsidRPr="00975C02">
        <w:rPr>
          <w:rFonts w:eastAsia="MS Mincho"/>
          <w:sz w:val="20"/>
          <w:szCs w:val="20"/>
          <w:lang w:val="es-ES" w:bidi="en-US"/>
        </w:rPr>
        <w:t>fiscal</w:t>
      </w:r>
      <w:r w:rsidR="00AA5AA4" w:rsidRPr="00975C02">
        <w:rPr>
          <w:rFonts w:eastAsia="MS Mincho"/>
          <w:sz w:val="20"/>
          <w:szCs w:val="20"/>
          <w:lang w:val="es-ES" w:bidi="en-US"/>
        </w:rPr>
        <w:t xml:space="preserve">, </w:t>
      </w:r>
      <w:r w:rsidRPr="00975C02">
        <w:rPr>
          <w:rFonts w:eastAsia="MS Mincho"/>
          <w:sz w:val="20"/>
          <w:szCs w:val="20"/>
          <w:lang w:val="es-ES" w:bidi="en-US"/>
        </w:rPr>
        <w:t>existen ciertos criterios y lineamientos especiales para la atención diferenciada de niñas, niños y adolescentes víctimas de violencia intrafamiliar y sexual. Entre ellos</w:t>
      </w:r>
      <w:r w:rsidR="0065128E" w:rsidRPr="00975C02">
        <w:rPr>
          <w:rFonts w:eastAsia="MS Mincho"/>
          <w:sz w:val="20"/>
          <w:szCs w:val="20"/>
          <w:lang w:val="es-ES" w:bidi="en-US"/>
        </w:rPr>
        <w:t>,</w:t>
      </w:r>
      <w:r w:rsidRPr="00975C02">
        <w:rPr>
          <w:rFonts w:eastAsia="MS Mincho"/>
          <w:sz w:val="20"/>
          <w:szCs w:val="20"/>
          <w:lang w:val="es-ES" w:bidi="en-US"/>
        </w:rPr>
        <w:t xml:space="preserve"> se destacan la interacción especial que las autoridades deben tener con las niñas debido al impacto diferenciado que un acto de </w:t>
      </w:r>
      <w:r w:rsidR="0065128E" w:rsidRPr="00975C02">
        <w:rPr>
          <w:rFonts w:eastAsia="MS Mincho"/>
          <w:sz w:val="20"/>
          <w:szCs w:val="20"/>
          <w:lang w:val="es-ES" w:bidi="en-US"/>
        </w:rPr>
        <w:t xml:space="preserve">violencia </w:t>
      </w:r>
      <w:r w:rsidRPr="00975C02">
        <w:rPr>
          <w:rFonts w:eastAsia="MS Mincho"/>
          <w:sz w:val="20"/>
          <w:szCs w:val="20"/>
          <w:lang w:val="es-ES" w:bidi="en-US"/>
        </w:rPr>
        <w:t>sexual podría causarles y su mayor estado vulnerabilidad; la importancia de la declaración de la niña</w:t>
      </w:r>
      <w:r w:rsidR="0065128E" w:rsidRPr="00975C02">
        <w:rPr>
          <w:rFonts w:eastAsia="MS Mincho"/>
          <w:sz w:val="20"/>
          <w:szCs w:val="20"/>
          <w:lang w:val="es-ES" w:bidi="en-US"/>
        </w:rPr>
        <w:t>, niño o adolescente</w:t>
      </w:r>
      <w:r w:rsidRPr="00975C02">
        <w:rPr>
          <w:rFonts w:eastAsia="MS Mincho"/>
          <w:sz w:val="20"/>
          <w:szCs w:val="20"/>
          <w:lang w:val="es-ES" w:bidi="en-US"/>
        </w:rPr>
        <w:t xml:space="preserve">; la necesidad de que no exista </w:t>
      </w:r>
      <w:r w:rsidR="0065128E" w:rsidRPr="00975C02">
        <w:rPr>
          <w:rFonts w:eastAsia="MS Mincho"/>
          <w:sz w:val="20"/>
          <w:szCs w:val="20"/>
          <w:lang w:val="es-ES" w:bidi="en-US"/>
        </w:rPr>
        <w:t xml:space="preserve">contacto </w:t>
      </w:r>
      <w:r w:rsidRPr="00975C02">
        <w:rPr>
          <w:rFonts w:eastAsia="MS Mincho"/>
          <w:sz w:val="20"/>
          <w:szCs w:val="20"/>
          <w:lang w:val="es-ES" w:bidi="en-US"/>
        </w:rPr>
        <w:t xml:space="preserve">con el perpetrador; el tacto y sensibilidad </w:t>
      </w:r>
      <w:r w:rsidR="0065128E" w:rsidRPr="00975C02">
        <w:rPr>
          <w:rFonts w:eastAsia="MS Mincho"/>
          <w:sz w:val="20"/>
          <w:szCs w:val="20"/>
          <w:lang w:val="es-ES" w:bidi="en-US"/>
        </w:rPr>
        <w:t>en el trato</w:t>
      </w:r>
      <w:r w:rsidRPr="00975C02">
        <w:rPr>
          <w:rFonts w:eastAsia="MS Mincho"/>
          <w:sz w:val="20"/>
          <w:szCs w:val="20"/>
          <w:lang w:val="es-ES" w:bidi="en-US"/>
        </w:rPr>
        <w:t xml:space="preserve">; </w:t>
      </w:r>
      <w:r w:rsidR="0065128E" w:rsidRPr="00975C02">
        <w:rPr>
          <w:rFonts w:eastAsia="MS Mincho"/>
          <w:sz w:val="20"/>
          <w:szCs w:val="20"/>
          <w:lang w:val="es-ES" w:bidi="en-US"/>
        </w:rPr>
        <w:t>el respeto</w:t>
      </w:r>
      <w:r w:rsidRPr="00975C02">
        <w:rPr>
          <w:rFonts w:eastAsia="MS Mincho"/>
          <w:sz w:val="20"/>
          <w:szCs w:val="20"/>
          <w:lang w:val="es-ES" w:bidi="en-US"/>
        </w:rPr>
        <w:t xml:space="preserve"> con </w:t>
      </w:r>
      <w:r w:rsidR="0065128E" w:rsidRPr="00975C02">
        <w:rPr>
          <w:rFonts w:eastAsia="MS Mincho"/>
          <w:sz w:val="20"/>
          <w:szCs w:val="20"/>
          <w:lang w:val="es-ES" w:bidi="en-US"/>
        </w:rPr>
        <w:t>e</w:t>
      </w:r>
      <w:r w:rsidRPr="00975C02">
        <w:rPr>
          <w:rFonts w:eastAsia="MS Mincho"/>
          <w:sz w:val="20"/>
          <w:szCs w:val="20"/>
          <w:lang w:val="es-ES" w:bidi="en-US"/>
        </w:rPr>
        <w:t xml:space="preserve">l que las autoridades deben actuar, sin forzar la entrevista, asegurando su privacidad y un ambiente de confianza y seguridad, entre otras. Asimismo, algunos de dichos documentos destacan ciertas técnicas para facilitar el </w:t>
      </w:r>
      <w:r w:rsidR="00AA5AA4" w:rsidRPr="00975C02">
        <w:rPr>
          <w:rFonts w:eastAsia="MS Mincho"/>
          <w:sz w:val="20"/>
          <w:szCs w:val="20"/>
          <w:lang w:val="es-ES" w:bidi="en-US"/>
        </w:rPr>
        <w:t xml:space="preserve">establecimiento de un </w:t>
      </w:r>
      <w:r w:rsidRPr="00975C02">
        <w:rPr>
          <w:rFonts w:eastAsia="MS Mincho"/>
          <w:sz w:val="20"/>
          <w:szCs w:val="20"/>
          <w:lang w:val="es-ES" w:bidi="en-US"/>
        </w:rPr>
        <w:t>vínculo con la niña, niño o adolescente.</w:t>
      </w:r>
    </w:p>
    <w:p w14:paraId="2AFEE565" w14:textId="77777777" w:rsidR="009D661E" w:rsidRPr="00975C02" w:rsidRDefault="009D661E">
      <w:pPr>
        <w:pStyle w:val="ListParagraph"/>
        <w:spacing w:line="240" w:lineRule="auto"/>
        <w:rPr>
          <w:sz w:val="20"/>
          <w:szCs w:val="20"/>
          <w:lang w:val="es-ES"/>
        </w:rPr>
      </w:pPr>
    </w:p>
    <w:p w14:paraId="0FB30A78" w14:textId="6C72BAAC" w:rsidR="00757D93" w:rsidRPr="00975C02" w:rsidRDefault="009D661E" w:rsidP="00DF3D71">
      <w:pPr>
        <w:numPr>
          <w:ilvl w:val="0"/>
          <w:numId w:val="2"/>
        </w:numPr>
        <w:tabs>
          <w:tab w:val="left" w:pos="567"/>
          <w:tab w:val="num" w:pos="5057"/>
        </w:tabs>
        <w:spacing w:line="240" w:lineRule="auto"/>
        <w:ind w:left="0" w:firstLine="0"/>
        <w:textAlignment w:val="auto"/>
        <w:rPr>
          <w:b/>
          <w:sz w:val="20"/>
          <w:szCs w:val="20"/>
          <w:lang w:val="es-ES"/>
        </w:rPr>
      </w:pPr>
      <w:r w:rsidRPr="00975C02">
        <w:rPr>
          <w:sz w:val="20"/>
          <w:szCs w:val="20"/>
          <w:lang w:val="es-ES"/>
        </w:rPr>
        <w:t xml:space="preserve">La Corte considera que los criterios generales establecidos en la documentación citada </w:t>
      </w:r>
      <w:r w:rsidR="0065128E" w:rsidRPr="00975C02">
        <w:rPr>
          <w:sz w:val="20"/>
          <w:szCs w:val="20"/>
          <w:lang w:val="es-ES"/>
        </w:rPr>
        <w:t>implican</w:t>
      </w:r>
      <w:r w:rsidRPr="00975C02">
        <w:rPr>
          <w:sz w:val="20"/>
          <w:szCs w:val="20"/>
          <w:lang w:val="es-ES"/>
        </w:rPr>
        <w:t xml:space="preserve"> un avance significativo en cuanto a la adecuación de las normas y prácticas internas a la normativa internacional en materia de protección de los derechos de</w:t>
      </w:r>
      <w:r w:rsidR="00950DFA" w:rsidRPr="00975C02">
        <w:rPr>
          <w:sz w:val="20"/>
          <w:szCs w:val="20"/>
          <w:lang w:val="es-ES"/>
        </w:rPr>
        <w:t xml:space="preserve"> </w:t>
      </w:r>
      <w:r w:rsidRPr="00975C02">
        <w:rPr>
          <w:sz w:val="20"/>
          <w:szCs w:val="20"/>
          <w:lang w:val="es-ES"/>
        </w:rPr>
        <w:t>niñ</w:t>
      </w:r>
      <w:r w:rsidR="00950DFA" w:rsidRPr="00975C02">
        <w:rPr>
          <w:sz w:val="20"/>
          <w:szCs w:val="20"/>
          <w:lang w:val="es-ES"/>
        </w:rPr>
        <w:t>a</w:t>
      </w:r>
      <w:r w:rsidR="00354BD5" w:rsidRPr="00975C02">
        <w:rPr>
          <w:sz w:val="20"/>
          <w:szCs w:val="20"/>
          <w:lang w:val="es-ES"/>
        </w:rPr>
        <w:t>s</w:t>
      </w:r>
      <w:r w:rsidR="0065128E" w:rsidRPr="00975C02">
        <w:rPr>
          <w:sz w:val="20"/>
          <w:szCs w:val="20"/>
          <w:lang w:val="es-ES"/>
        </w:rPr>
        <w:t>, niño</w:t>
      </w:r>
      <w:r w:rsidR="00354BD5" w:rsidRPr="00975C02">
        <w:rPr>
          <w:sz w:val="20"/>
          <w:szCs w:val="20"/>
          <w:lang w:val="es-ES"/>
        </w:rPr>
        <w:t>s y</w:t>
      </w:r>
      <w:r w:rsidR="0065128E" w:rsidRPr="00975C02">
        <w:rPr>
          <w:sz w:val="20"/>
          <w:szCs w:val="20"/>
          <w:lang w:val="es-ES"/>
        </w:rPr>
        <w:t xml:space="preserve"> adolescente</w:t>
      </w:r>
      <w:r w:rsidR="00354BD5" w:rsidRPr="00975C02">
        <w:rPr>
          <w:sz w:val="20"/>
          <w:szCs w:val="20"/>
          <w:lang w:val="es-ES"/>
        </w:rPr>
        <w:t>s</w:t>
      </w:r>
      <w:r w:rsidRPr="00975C02">
        <w:rPr>
          <w:sz w:val="20"/>
          <w:szCs w:val="20"/>
          <w:lang w:val="es-ES"/>
        </w:rPr>
        <w:t xml:space="preserve">. Sin embargo, la Corte advierte que es preciso contar con normas más específicas que contemplen los criterios establecidos en la presente Sentencia y </w:t>
      </w:r>
      <w:r w:rsidR="00383283" w:rsidRPr="00975C02">
        <w:rPr>
          <w:sz w:val="20"/>
          <w:szCs w:val="20"/>
          <w:lang w:val="es-ES"/>
        </w:rPr>
        <w:t xml:space="preserve">en </w:t>
      </w:r>
      <w:r w:rsidRPr="00975C02">
        <w:rPr>
          <w:sz w:val="20"/>
          <w:szCs w:val="20"/>
          <w:lang w:val="es-ES"/>
        </w:rPr>
        <w:t xml:space="preserve">otros instrumentos internacionales </w:t>
      </w:r>
      <w:r w:rsidR="00383283" w:rsidRPr="00975C02">
        <w:rPr>
          <w:sz w:val="20"/>
          <w:szCs w:val="20"/>
          <w:lang w:val="es-ES"/>
        </w:rPr>
        <w:t>en la materia.</w:t>
      </w:r>
    </w:p>
    <w:p w14:paraId="62A5489A" w14:textId="77777777" w:rsidR="00757D93" w:rsidRPr="00975C02" w:rsidRDefault="00757D93" w:rsidP="00DF3D71">
      <w:pPr>
        <w:pStyle w:val="ListParagraph"/>
        <w:spacing w:line="240" w:lineRule="auto"/>
        <w:rPr>
          <w:sz w:val="20"/>
          <w:szCs w:val="20"/>
          <w:lang w:val="es-ES"/>
        </w:rPr>
      </w:pPr>
    </w:p>
    <w:p w14:paraId="79DF1FD2" w14:textId="21AE8C62" w:rsidR="00950DFA" w:rsidRPr="00975C02" w:rsidRDefault="00383283" w:rsidP="00087D96">
      <w:pPr>
        <w:numPr>
          <w:ilvl w:val="0"/>
          <w:numId w:val="2"/>
        </w:numPr>
        <w:tabs>
          <w:tab w:val="left" w:pos="567"/>
          <w:tab w:val="num" w:pos="5057"/>
        </w:tabs>
        <w:spacing w:line="240" w:lineRule="auto"/>
        <w:ind w:left="0" w:firstLine="0"/>
        <w:textAlignment w:val="auto"/>
        <w:rPr>
          <w:b/>
          <w:sz w:val="20"/>
          <w:szCs w:val="20"/>
          <w:lang w:val="es-ES"/>
        </w:rPr>
      </w:pPr>
      <w:r w:rsidRPr="00975C02">
        <w:rPr>
          <w:sz w:val="20"/>
          <w:szCs w:val="20"/>
          <w:lang w:val="es-ES"/>
        </w:rPr>
        <w:t xml:space="preserve">En este sentido, </w:t>
      </w:r>
      <w:r w:rsidR="00950DFA" w:rsidRPr="00975C02">
        <w:rPr>
          <w:sz w:val="20"/>
          <w:szCs w:val="20"/>
          <w:lang w:val="es-ES"/>
        </w:rPr>
        <w:t xml:space="preserve">la Corte estima conveniente </w:t>
      </w:r>
      <w:r w:rsidR="004F5657" w:rsidRPr="00975C02">
        <w:rPr>
          <w:sz w:val="20"/>
          <w:szCs w:val="20"/>
          <w:lang w:val="es-ES"/>
        </w:rPr>
        <w:t xml:space="preserve">ordenar </w:t>
      </w:r>
      <w:r w:rsidR="00950DFA" w:rsidRPr="00975C02">
        <w:rPr>
          <w:sz w:val="20"/>
          <w:szCs w:val="20"/>
          <w:lang w:val="es-ES"/>
        </w:rPr>
        <w:t>que el Estado adopte protocolos que establezcan medidas claras de protección y criterios a tomar en cuenta durante las investigaciones y procesos penales derivados de actos de violenc</w:t>
      </w:r>
      <w:r w:rsidR="00087D96" w:rsidRPr="00975C02">
        <w:rPr>
          <w:sz w:val="20"/>
          <w:szCs w:val="20"/>
          <w:lang w:val="es-ES"/>
        </w:rPr>
        <w:t>ia sexual en perjuicio de niñas</w:t>
      </w:r>
      <w:r w:rsidR="0065128E" w:rsidRPr="00975C02">
        <w:rPr>
          <w:sz w:val="20"/>
          <w:szCs w:val="20"/>
          <w:lang w:val="es-ES"/>
        </w:rPr>
        <w:t>, niños y adolescentes</w:t>
      </w:r>
      <w:r w:rsidR="00087D96" w:rsidRPr="00975C02">
        <w:rPr>
          <w:sz w:val="20"/>
          <w:szCs w:val="20"/>
          <w:lang w:val="es-ES"/>
        </w:rPr>
        <w:t>;</w:t>
      </w:r>
      <w:r w:rsidR="00950DFA" w:rsidRPr="00975C02">
        <w:rPr>
          <w:sz w:val="20"/>
          <w:szCs w:val="20"/>
          <w:lang w:val="es-ES"/>
        </w:rPr>
        <w:t xml:space="preserve"> </w:t>
      </w:r>
      <w:r w:rsidR="00757D93" w:rsidRPr="00975C02">
        <w:rPr>
          <w:sz w:val="20"/>
          <w:szCs w:val="20"/>
          <w:lang w:val="es-ES"/>
        </w:rPr>
        <w:t xml:space="preserve">que aseguren que </w:t>
      </w:r>
      <w:r w:rsidR="0065128E" w:rsidRPr="00975C02">
        <w:rPr>
          <w:sz w:val="20"/>
          <w:szCs w:val="20"/>
          <w:lang w:val="es-ES"/>
        </w:rPr>
        <w:t xml:space="preserve">las declaraciones y entrevistas, </w:t>
      </w:r>
      <w:r w:rsidR="00757D93" w:rsidRPr="00975C02">
        <w:rPr>
          <w:sz w:val="20"/>
          <w:szCs w:val="20"/>
          <w:lang w:val="es-ES"/>
        </w:rPr>
        <w:t>los exámenes médico-forenses, así como las pericias psicológicas y/o psiquiátricas sean llevadas a cabo de forma ajustada a las necesidades de niñas</w:t>
      </w:r>
      <w:r w:rsidR="0065128E" w:rsidRPr="00975C02">
        <w:rPr>
          <w:sz w:val="20"/>
          <w:szCs w:val="20"/>
          <w:lang w:val="es-ES"/>
        </w:rPr>
        <w:t>, niños y adolescentes</w:t>
      </w:r>
      <w:r w:rsidR="00757D93" w:rsidRPr="00975C02">
        <w:rPr>
          <w:sz w:val="20"/>
          <w:szCs w:val="20"/>
          <w:lang w:val="es-ES"/>
        </w:rPr>
        <w:t xml:space="preserve"> víctimas</w:t>
      </w:r>
      <w:r w:rsidR="0065128E" w:rsidRPr="00975C02">
        <w:rPr>
          <w:sz w:val="20"/>
          <w:szCs w:val="20"/>
          <w:lang w:val="es-ES"/>
        </w:rPr>
        <w:t>,</w:t>
      </w:r>
      <w:r w:rsidR="00087D96" w:rsidRPr="00975C02">
        <w:rPr>
          <w:sz w:val="20"/>
          <w:szCs w:val="20"/>
          <w:lang w:val="es-ES"/>
        </w:rPr>
        <w:t xml:space="preserve"> y </w:t>
      </w:r>
      <w:r w:rsidR="00950DFA" w:rsidRPr="00975C02">
        <w:rPr>
          <w:sz w:val="20"/>
          <w:szCs w:val="20"/>
          <w:lang w:val="es-ES"/>
        </w:rPr>
        <w:t xml:space="preserve">delimiten </w:t>
      </w:r>
      <w:r w:rsidR="00950DFA" w:rsidRPr="00975C02">
        <w:rPr>
          <w:bCs/>
          <w:sz w:val="20"/>
          <w:szCs w:val="20"/>
          <w:lang w:val="es-ES"/>
        </w:rPr>
        <w:t>el contenido de la atención integral especializada para niñas</w:t>
      </w:r>
      <w:r w:rsidR="0065128E" w:rsidRPr="00975C02">
        <w:rPr>
          <w:sz w:val="20"/>
          <w:szCs w:val="20"/>
          <w:lang w:val="es-ES"/>
        </w:rPr>
        <w:t>, niños y adolescentes</w:t>
      </w:r>
      <w:r w:rsidR="00950DFA" w:rsidRPr="00975C02">
        <w:rPr>
          <w:bCs/>
          <w:sz w:val="20"/>
          <w:szCs w:val="20"/>
          <w:lang w:val="es-ES"/>
        </w:rPr>
        <w:t xml:space="preserve"> víctimas de violencia sexual. Por ello, la Corte ordena al Estado la adopción</w:t>
      </w:r>
      <w:r w:rsidR="00793A87" w:rsidRPr="00975C02">
        <w:rPr>
          <w:bCs/>
          <w:sz w:val="20"/>
          <w:szCs w:val="20"/>
          <w:lang w:val="es-ES"/>
        </w:rPr>
        <w:t>,</w:t>
      </w:r>
      <w:r w:rsidR="00B26781" w:rsidRPr="00975C02">
        <w:rPr>
          <w:bCs/>
          <w:sz w:val="20"/>
          <w:szCs w:val="20"/>
          <w:lang w:val="es-ES"/>
        </w:rPr>
        <w:t xml:space="preserve"> implementación</w:t>
      </w:r>
      <w:r w:rsidR="00793A87" w:rsidRPr="00975C02">
        <w:rPr>
          <w:bCs/>
          <w:sz w:val="20"/>
          <w:szCs w:val="20"/>
          <w:lang w:val="es-ES"/>
        </w:rPr>
        <w:t xml:space="preserve">, supervisión y fiscalización apropiada </w:t>
      </w:r>
      <w:r w:rsidR="00950DFA" w:rsidRPr="00975C02">
        <w:rPr>
          <w:bCs/>
          <w:sz w:val="20"/>
          <w:szCs w:val="20"/>
          <w:lang w:val="es-ES"/>
        </w:rPr>
        <w:t xml:space="preserve">de tres protocolos estandarizados, a saber: i) protocolo de investigación </w:t>
      </w:r>
      <w:r w:rsidR="00497BF5" w:rsidRPr="00975C02">
        <w:rPr>
          <w:bCs/>
          <w:sz w:val="20"/>
          <w:szCs w:val="20"/>
          <w:lang w:val="es-ES"/>
        </w:rPr>
        <w:t xml:space="preserve">y actuación </w:t>
      </w:r>
      <w:r w:rsidR="008F6E3F" w:rsidRPr="00975C02">
        <w:rPr>
          <w:bCs/>
          <w:sz w:val="20"/>
          <w:szCs w:val="20"/>
          <w:lang w:val="es-ES"/>
        </w:rPr>
        <w:t>durante</w:t>
      </w:r>
      <w:r w:rsidR="00497BF5" w:rsidRPr="00975C02">
        <w:rPr>
          <w:bCs/>
          <w:sz w:val="20"/>
          <w:szCs w:val="20"/>
          <w:lang w:val="es-ES"/>
        </w:rPr>
        <w:t xml:space="preserve"> el proceso penal para casos de niñas, niños y adolescentes</w:t>
      </w:r>
      <w:r w:rsidR="006A5849" w:rsidRPr="00975C02">
        <w:rPr>
          <w:bCs/>
          <w:sz w:val="20"/>
          <w:szCs w:val="20"/>
          <w:lang w:val="es-ES"/>
        </w:rPr>
        <w:t xml:space="preserve"> víctimas de violencia sexual</w:t>
      </w:r>
      <w:r w:rsidR="00497BF5" w:rsidRPr="00975C02">
        <w:rPr>
          <w:bCs/>
          <w:sz w:val="20"/>
          <w:szCs w:val="20"/>
          <w:lang w:val="es-ES"/>
        </w:rPr>
        <w:t xml:space="preserve">; ii) protocolo </w:t>
      </w:r>
      <w:r w:rsidR="00087D96" w:rsidRPr="00975C02">
        <w:rPr>
          <w:bCs/>
          <w:sz w:val="20"/>
          <w:szCs w:val="20"/>
          <w:lang w:val="es-ES"/>
        </w:rPr>
        <w:t>sobre abordaje integral y valoración médico legal para casos de niñas, niños y adolescentes</w:t>
      </w:r>
      <w:r w:rsidR="006A5849" w:rsidRPr="00975C02">
        <w:rPr>
          <w:bCs/>
          <w:sz w:val="20"/>
          <w:szCs w:val="20"/>
          <w:lang w:val="es-ES"/>
        </w:rPr>
        <w:t xml:space="preserve"> víctimas de violencia sexual</w:t>
      </w:r>
      <w:r w:rsidR="00087D96" w:rsidRPr="00975C02">
        <w:rPr>
          <w:bCs/>
          <w:sz w:val="20"/>
          <w:szCs w:val="20"/>
          <w:lang w:val="es-ES"/>
        </w:rPr>
        <w:t>, y iii) protocolo de atención integral para niñas, niños y adolescentes víctimas de violencia sexual.</w:t>
      </w:r>
    </w:p>
    <w:p w14:paraId="7FD4C05C" w14:textId="77777777" w:rsidR="009D661E" w:rsidRPr="00975C02" w:rsidRDefault="009D661E" w:rsidP="00E621FE">
      <w:pPr>
        <w:spacing w:line="240" w:lineRule="auto"/>
        <w:rPr>
          <w:sz w:val="20"/>
          <w:szCs w:val="20"/>
          <w:lang w:val="es-ES"/>
        </w:rPr>
      </w:pPr>
    </w:p>
    <w:p w14:paraId="0F8D5F6B" w14:textId="5DF3EE5B" w:rsidR="00E621FE" w:rsidRPr="00975C02" w:rsidRDefault="00E621FE" w:rsidP="00E621FE">
      <w:pPr>
        <w:numPr>
          <w:ilvl w:val="0"/>
          <w:numId w:val="2"/>
        </w:numPr>
        <w:tabs>
          <w:tab w:val="left" w:pos="567"/>
          <w:tab w:val="num" w:pos="5057"/>
        </w:tabs>
        <w:spacing w:line="240" w:lineRule="auto"/>
        <w:ind w:left="0" w:firstLine="0"/>
        <w:textAlignment w:val="auto"/>
        <w:rPr>
          <w:sz w:val="20"/>
          <w:szCs w:val="20"/>
          <w:lang w:val="es-ES"/>
        </w:rPr>
      </w:pPr>
      <w:r w:rsidRPr="00975C02">
        <w:rPr>
          <w:sz w:val="20"/>
          <w:szCs w:val="20"/>
          <w:lang w:val="es-ES"/>
        </w:rPr>
        <w:t>En relación con el protocolo de investigación y actuación durante el proceso penal para casos de niñas, niños y adolescentes víctimas de violencia sexual, el Estado deberá tener en cuenta los criterios establecidos en los instrumentos internacionales en materia de protección de los derechos del niño, niña y adolescente, así como los estándares desarrollados en esta Sentencia y en la jurisprudencia de la Corte. En este sentido, dicho protocolo deberá tener en consideración que la debida diligencia</w:t>
      </w:r>
      <w:r w:rsidR="00C35CE3">
        <w:rPr>
          <w:sz w:val="20"/>
          <w:szCs w:val="20"/>
          <w:lang w:val="es-ES"/>
        </w:rPr>
        <w:t xml:space="preserve"> reforzada </w:t>
      </w:r>
      <w:r w:rsidRPr="00975C02">
        <w:rPr>
          <w:sz w:val="20"/>
          <w:szCs w:val="20"/>
          <w:lang w:val="es-ES"/>
        </w:rPr>
        <w:t xml:space="preserve">implica la adopción de medidas especiales y el desarrollo de un proceso adaptado a las niñas, niños y adolescentes con miras a evitar </w:t>
      </w:r>
      <w:r w:rsidR="00C35CE3">
        <w:rPr>
          <w:sz w:val="20"/>
          <w:szCs w:val="20"/>
          <w:lang w:val="es-ES"/>
        </w:rPr>
        <w:t>su</w:t>
      </w:r>
      <w:r w:rsidRPr="00975C02">
        <w:rPr>
          <w:sz w:val="20"/>
          <w:szCs w:val="20"/>
          <w:lang w:val="es-ES"/>
        </w:rPr>
        <w:t xml:space="preserve"> revictimización, por lo que deberá incluir, conforme con los estándares desarrollados en los párrafos </w:t>
      </w:r>
      <w:r w:rsidR="00354BD5" w:rsidRPr="00975C02">
        <w:rPr>
          <w:sz w:val="20"/>
          <w:szCs w:val="20"/>
          <w:lang w:val="es-ES"/>
        </w:rPr>
        <w:t>158</w:t>
      </w:r>
      <w:r w:rsidR="00C64B34" w:rsidRPr="00975C02">
        <w:rPr>
          <w:sz w:val="20"/>
          <w:szCs w:val="20"/>
          <w:lang w:val="es-ES"/>
        </w:rPr>
        <w:t xml:space="preserve"> </w:t>
      </w:r>
      <w:r w:rsidR="00FF05D4" w:rsidRPr="00975C02">
        <w:rPr>
          <w:sz w:val="20"/>
          <w:szCs w:val="20"/>
          <w:lang w:val="es-ES"/>
        </w:rPr>
        <w:t xml:space="preserve">a </w:t>
      </w:r>
      <w:r w:rsidR="00C64B34" w:rsidRPr="00975C02">
        <w:rPr>
          <w:sz w:val="20"/>
          <w:szCs w:val="20"/>
          <w:lang w:val="es-ES"/>
        </w:rPr>
        <w:t>168</w:t>
      </w:r>
      <w:r w:rsidRPr="00975C02">
        <w:rPr>
          <w:sz w:val="20"/>
          <w:szCs w:val="20"/>
          <w:lang w:val="es-ES"/>
        </w:rPr>
        <w:t xml:space="preserve">, </w:t>
      </w:r>
      <w:r w:rsidR="001813BF">
        <w:rPr>
          <w:sz w:val="20"/>
          <w:szCs w:val="20"/>
          <w:lang w:val="es-ES"/>
        </w:rPr>
        <w:t xml:space="preserve">al menos </w:t>
      </w:r>
      <w:r w:rsidRPr="00975C02">
        <w:rPr>
          <w:sz w:val="20"/>
          <w:szCs w:val="20"/>
          <w:lang w:val="es-ES"/>
        </w:rPr>
        <w:t>los siguientes criterios: i) el derecho a la información relativa al procedimiento</w:t>
      </w:r>
      <w:r w:rsidR="00C35CE3">
        <w:rPr>
          <w:sz w:val="20"/>
          <w:szCs w:val="20"/>
          <w:lang w:val="es-ES"/>
        </w:rPr>
        <w:t>,</w:t>
      </w:r>
      <w:r w:rsidRPr="00975C02">
        <w:rPr>
          <w:sz w:val="20"/>
          <w:szCs w:val="20"/>
          <w:lang w:val="es-ES"/>
        </w:rPr>
        <w:t xml:space="preserve"> así como los servicios de asistencia jurídica, de salud y demás medidas de protección disponibles; ii) la asistencia letrada, gratuita y proporcionada por el Estado, de un abogado especializado en niñez y adolescencia</w:t>
      </w:r>
      <w:r w:rsidR="001813BF">
        <w:rPr>
          <w:sz w:val="20"/>
          <w:szCs w:val="20"/>
          <w:lang w:val="es-ES"/>
        </w:rPr>
        <w:t xml:space="preserve">, </w:t>
      </w:r>
      <w:r w:rsidR="001813BF" w:rsidRPr="00707DC0">
        <w:rPr>
          <w:rFonts w:eastAsia="Times"/>
          <w:sz w:val="20"/>
          <w:szCs w:val="20"/>
          <w:lang w:val="es-ES"/>
        </w:rPr>
        <w:t>con facultades de constituirse en calidad de parte procesal, oponerse a medidas judiciales, interponer recursos y realizar todo otro acto procesal tendiente a defender sus derechos en el proceso</w:t>
      </w:r>
      <w:r w:rsidRPr="00975C02">
        <w:rPr>
          <w:sz w:val="20"/>
          <w:szCs w:val="20"/>
          <w:lang w:val="es-ES"/>
        </w:rPr>
        <w:t>; iii) el derecho a ser oído, con las debidas garantías y dentro de un plazo razonable</w:t>
      </w:r>
      <w:r w:rsidR="001813BF">
        <w:rPr>
          <w:sz w:val="20"/>
          <w:szCs w:val="20"/>
          <w:lang w:val="es-ES"/>
        </w:rPr>
        <w:t xml:space="preserve">, que conlleva </w:t>
      </w:r>
      <w:r w:rsidR="001813BF" w:rsidRPr="00975C02">
        <w:rPr>
          <w:rFonts w:eastAsia="Calibri" w:cs="Calibri"/>
          <w:sz w:val="20"/>
          <w:szCs w:val="20"/>
          <w:lang w:val="es-ES" w:eastAsia="en-US"/>
        </w:rPr>
        <w:t>un criterio reforzado de celeridad</w:t>
      </w:r>
      <w:r w:rsidRPr="00975C02">
        <w:rPr>
          <w:sz w:val="20"/>
          <w:szCs w:val="20"/>
          <w:lang w:val="es-ES"/>
        </w:rPr>
        <w:t xml:space="preserve">; iv) el derecho </w:t>
      </w:r>
      <w:r w:rsidR="00C35CE3">
        <w:rPr>
          <w:sz w:val="20"/>
          <w:szCs w:val="20"/>
          <w:lang w:val="es-ES"/>
        </w:rPr>
        <w:t xml:space="preserve">de la niña, niño o adolescente víctima </w:t>
      </w:r>
      <w:r w:rsidRPr="00975C02">
        <w:rPr>
          <w:sz w:val="20"/>
          <w:szCs w:val="20"/>
          <w:lang w:val="es-ES"/>
        </w:rPr>
        <w:t xml:space="preserve">a participar en el proceso penal, en función de su edad y madurez, y siempre que no implique un perjuicio en su bienestar biopsico-social. Para ello, deben realizarse las diligencias estrictamente necesarias y evitarse la presencia e interacción de las niñas, niños y adolescentes con su agresor; v) generar las condiciones adecuadas para que las niñas, niños y adolescentes puedan participar de forma </w:t>
      </w:r>
      <w:r w:rsidRPr="00975C02">
        <w:rPr>
          <w:sz w:val="20"/>
          <w:szCs w:val="20"/>
          <w:lang w:val="es-ES"/>
        </w:rPr>
        <w:lastRenderedPageBreak/>
        <w:t xml:space="preserve">efectiva en el proceso penal mediante las protecciones especiales y el acompañamiento especializado; vi) la entrevista deberá llevarse a cabo por un psicólogo especializado o un profesional de disciplinas afines debidamente capacitado en la toma de este tipo de declaraciones de niñas, niños y adolescentes; vii) </w:t>
      </w:r>
      <w:r w:rsidRPr="00975C02">
        <w:rPr>
          <w:kern w:val="2"/>
          <w:sz w:val="20"/>
          <w:szCs w:val="20"/>
          <w:lang w:val="es-ES"/>
        </w:rPr>
        <w:t>las salas de entrevistas otorgarán un entorno seguro y no intimidatorio, hostil, insensible o inadecuado, que les brinde privacidad y confianza</w:t>
      </w:r>
      <w:r w:rsidRPr="00975C02">
        <w:rPr>
          <w:sz w:val="20"/>
          <w:szCs w:val="20"/>
          <w:lang w:val="es-ES"/>
        </w:rPr>
        <w:t>; viii) el personal del servicio de justicia que intervenga deberá estar capacitado en la temática</w:t>
      </w:r>
      <w:r w:rsidR="00FF05D4" w:rsidRPr="00975C02">
        <w:rPr>
          <w:sz w:val="20"/>
          <w:szCs w:val="20"/>
          <w:lang w:val="es-ES"/>
        </w:rPr>
        <w:t>, y</w:t>
      </w:r>
      <w:r w:rsidRPr="00975C02">
        <w:rPr>
          <w:sz w:val="20"/>
          <w:szCs w:val="20"/>
          <w:lang w:val="es-ES"/>
        </w:rPr>
        <w:t xml:space="preserve"> ix) </w:t>
      </w:r>
      <w:r w:rsidR="00CE5758">
        <w:rPr>
          <w:sz w:val="20"/>
          <w:szCs w:val="20"/>
          <w:lang w:val="es-ES"/>
        </w:rPr>
        <w:t xml:space="preserve">deberá </w:t>
      </w:r>
      <w:r w:rsidRPr="00975C02">
        <w:rPr>
          <w:sz w:val="20"/>
          <w:szCs w:val="20"/>
          <w:lang w:val="es-ES"/>
        </w:rPr>
        <w:t>brindar</w:t>
      </w:r>
      <w:r w:rsidR="00CE5758">
        <w:rPr>
          <w:sz w:val="20"/>
          <w:szCs w:val="20"/>
          <w:lang w:val="es-ES"/>
        </w:rPr>
        <w:t>se</w:t>
      </w:r>
      <w:r w:rsidRPr="00975C02">
        <w:rPr>
          <w:sz w:val="20"/>
          <w:szCs w:val="20"/>
          <w:lang w:val="es-ES"/>
        </w:rPr>
        <w:t xml:space="preserve"> asistencia inmediata y profesional, tanto médica como psicológica </w:t>
      </w:r>
      <w:r w:rsidR="00C35CE3">
        <w:rPr>
          <w:sz w:val="20"/>
          <w:szCs w:val="20"/>
          <w:lang w:val="es-ES"/>
        </w:rPr>
        <w:t>y/</w:t>
      </w:r>
      <w:r w:rsidRPr="00975C02">
        <w:rPr>
          <w:sz w:val="20"/>
          <w:szCs w:val="20"/>
          <w:lang w:val="es-ES"/>
        </w:rPr>
        <w:t>o psiquiátrica, a cargo de un profesional específicamente capacitado en la atención de víctimas de este tipo de delitos y con perspectiva de género. La Corte considera que este protocolo deberá estar dirigido, especialmente, a todo el personal de la administración de justicia que intervenga en la investigación y tramitación de procesos penales en casos de niñas, niños o adolescentes víctimas de violencia sexual, sea que ésta haya ocurrido en la esfera pública o privada.</w:t>
      </w:r>
    </w:p>
    <w:p w14:paraId="78BD41AC" w14:textId="77777777" w:rsidR="00E621FE" w:rsidRPr="00975C02" w:rsidRDefault="00E621FE" w:rsidP="00681AE9">
      <w:pPr>
        <w:spacing w:line="240" w:lineRule="auto"/>
        <w:rPr>
          <w:sz w:val="20"/>
          <w:szCs w:val="20"/>
          <w:lang w:val="es-ES"/>
        </w:rPr>
      </w:pPr>
    </w:p>
    <w:p w14:paraId="5BFA1DCD" w14:textId="58EEB088" w:rsidR="002F5FF5" w:rsidRPr="00975C02" w:rsidRDefault="002F5FF5" w:rsidP="002F5FF5">
      <w:pPr>
        <w:numPr>
          <w:ilvl w:val="0"/>
          <w:numId w:val="2"/>
        </w:numPr>
        <w:tabs>
          <w:tab w:val="left" w:pos="567"/>
          <w:tab w:val="num" w:pos="5057"/>
        </w:tabs>
        <w:spacing w:line="240" w:lineRule="auto"/>
        <w:ind w:left="0" w:firstLine="0"/>
        <w:textAlignment w:val="auto"/>
        <w:rPr>
          <w:sz w:val="20"/>
          <w:szCs w:val="20"/>
          <w:lang w:val="es-ES"/>
        </w:rPr>
      </w:pPr>
      <w:r w:rsidRPr="00975C02">
        <w:rPr>
          <w:sz w:val="20"/>
          <w:szCs w:val="20"/>
          <w:lang w:val="es-ES"/>
        </w:rPr>
        <w:t xml:space="preserve">En relación con el protocolo sobre abordaje integral y valoración médico legal para casos de niñas, niños y adolescentes víctimas de violencia sexual, la Corte ordena al Estado de Nicaragua que adopte un protocolo específico estandarizado para que todo el personal de salud, ya sea público o privado y, de forma particular, el personal del Instituto de Medicina Legal, cuente con los criterios necesarios para la ejecución de los exámenes que correspondan, conforme con los criterios establecidos en </w:t>
      </w:r>
      <w:r w:rsidR="00354BD5" w:rsidRPr="00975C02">
        <w:rPr>
          <w:sz w:val="20"/>
          <w:szCs w:val="20"/>
          <w:lang w:val="es-ES"/>
        </w:rPr>
        <w:t>e</w:t>
      </w:r>
      <w:r w:rsidRPr="00975C02">
        <w:rPr>
          <w:sz w:val="20"/>
          <w:szCs w:val="20"/>
          <w:lang w:val="es-ES"/>
        </w:rPr>
        <w:t xml:space="preserve">l párrafo </w:t>
      </w:r>
      <w:r w:rsidR="00354BD5" w:rsidRPr="00975C02">
        <w:rPr>
          <w:sz w:val="20"/>
          <w:szCs w:val="20"/>
          <w:lang w:val="es-ES"/>
        </w:rPr>
        <w:t>169</w:t>
      </w:r>
      <w:r w:rsidRPr="00975C02">
        <w:rPr>
          <w:sz w:val="20"/>
          <w:szCs w:val="20"/>
          <w:lang w:val="es-ES"/>
        </w:rPr>
        <w:t xml:space="preserve"> de la presente Sentencia y la jurisprudencia de la Corte, así como los estándares internacionales en la materia. El Tribunal resalta que, de considerarse necesaria la realización de un examen médico, el Estado deberá garantizar</w:t>
      </w:r>
      <w:r w:rsidR="001813BF">
        <w:rPr>
          <w:sz w:val="20"/>
          <w:szCs w:val="20"/>
          <w:lang w:val="es-ES"/>
        </w:rPr>
        <w:t xml:space="preserve"> al menos</w:t>
      </w:r>
      <w:r w:rsidR="007136AF">
        <w:rPr>
          <w:sz w:val="20"/>
          <w:szCs w:val="20"/>
          <w:lang w:val="es-ES"/>
        </w:rPr>
        <w:t xml:space="preserve"> </w:t>
      </w:r>
      <w:r w:rsidRPr="00975C02">
        <w:rPr>
          <w:sz w:val="20"/>
          <w:szCs w:val="20"/>
          <w:lang w:val="es-ES"/>
        </w:rPr>
        <w:t xml:space="preserve">lo siguiente: i) deberá evitarse, en la medida de lo posible, más de una evaluación física; ii) debe ser realizado por un profesional con amplio conocimiento y experiencia en casos de violencia sexual de niñas, niños y adolescentes; iii) la víctima o su representante legal, según el grado de madurez de la niña, niño o adolescente, podrá elegir el sexo del profesional; iv) el examen debe estar a cargo de un profesional de salud especialista en ginecología infanto-juvenil, con formación específica para realizar los exámenes médicos forenses en casos de </w:t>
      </w:r>
      <w:r w:rsidR="00BB0086">
        <w:rPr>
          <w:sz w:val="20"/>
          <w:szCs w:val="20"/>
          <w:lang w:val="es-ES"/>
        </w:rPr>
        <w:t xml:space="preserve">abuso y </w:t>
      </w:r>
      <w:r w:rsidRPr="00975C02">
        <w:rPr>
          <w:sz w:val="20"/>
          <w:szCs w:val="20"/>
          <w:lang w:val="es-ES"/>
        </w:rPr>
        <w:t>violación sexual; v) deberá llevarse a cabo luego del consentimiento informado de la víctima o de su representante legal, según su grado de madurez, tomando en cuenta el derecho de la niña, niño o adolescente a ser oído</w:t>
      </w:r>
      <w:r w:rsidR="000669CD" w:rsidRPr="00975C02">
        <w:rPr>
          <w:sz w:val="20"/>
          <w:szCs w:val="20"/>
          <w:lang w:val="es-ES"/>
        </w:rPr>
        <w:t>, y</w:t>
      </w:r>
      <w:r w:rsidRPr="00975C02">
        <w:rPr>
          <w:sz w:val="20"/>
          <w:szCs w:val="20"/>
          <w:lang w:val="es-ES"/>
        </w:rPr>
        <w:t xml:space="preserve"> vi) se realizará en un lugar adecuado y se respetará su derecho a la intimidad y privacidad, permitiendo la presencia de un acompañante de confianza de la víctima.</w:t>
      </w:r>
    </w:p>
    <w:p w14:paraId="43C4478F" w14:textId="77777777" w:rsidR="002F5FF5" w:rsidRPr="00975C02" w:rsidRDefault="002F5FF5" w:rsidP="00DF3D71">
      <w:pPr>
        <w:pStyle w:val="Default"/>
        <w:tabs>
          <w:tab w:val="left" w:pos="567"/>
        </w:tabs>
        <w:jc w:val="both"/>
        <w:rPr>
          <w:rFonts w:ascii="Verdana" w:hAnsi="Verdana"/>
          <w:color w:val="auto"/>
          <w:sz w:val="20"/>
          <w:szCs w:val="20"/>
          <w:lang w:val="es-ES"/>
        </w:rPr>
      </w:pPr>
    </w:p>
    <w:p w14:paraId="41E55DC6" w14:textId="6DF28F72" w:rsidR="00415EF8" w:rsidRPr="00975C02" w:rsidRDefault="00172747" w:rsidP="008F6E3F">
      <w:pPr>
        <w:numPr>
          <w:ilvl w:val="0"/>
          <w:numId w:val="2"/>
        </w:numPr>
        <w:tabs>
          <w:tab w:val="left" w:pos="567"/>
          <w:tab w:val="num" w:pos="5057"/>
        </w:tabs>
        <w:spacing w:line="240" w:lineRule="auto"/>
        <w:ind w:left="0" w:firstLine="0"/>
        <w:textAlignment w:val="auto"/>
        <w:rPr>
          <w:sz w:val="20"/>
          <w:szCs w:val="20"/>
          <w:lang w:val="es-ES"/>
        </w:rPr>
      </w:pPr>
      <w:r w:rsidRPr="00975C02">
        <w:rPr>
          <w:sz w:val="20"/>
          <w:szCs w:val="20"/>
          <w:lang w:val="es-ES"/>
        </w:rPr>
        <w:t>Finalmente, en relación con el</w:t>
      </w:r>
      <w:r w:rsidR="009D661E" w:rsidRPr="00975C02">
        <w:rPr>
          <w:sz w:val="20"/>
          <w:szCs w:val="20"/>
          <w:lang w:val="es-ES"/>
        </w:rPr>
        <w:t xml:space="preserve"> </w:t>
      </w:r>
      <w:r w:rsidRPr="00975C02">
        <w:rPr>
          <w:sz w:val="20"/>
          <w:szCs w:val="20"/>
          <w:lang w:val="es-ES"/>
        </w:rPr>
        <w:t xml:space="preserve">protocolo específico estandarizado </w:t>
      </w:r>
      <w:r w:rsidRPr="00975C02">
        <w:rPr>
          <w:bCs/>
          <w:sz w:val="20"/>
          <w:szCs w:val="20"/>
          <w:lang w:val="es-ES"/>
        </w:rPr>
        <w:t>de atención integral para niñas, niños y adolescentes víctimas de violencia sexual</w:t>
      </w:r>
      <w:r w:rsidR="00904555" w:rsidRPr="00975C02">
        <w:rPr>
          <w:bCs/>
          <w:sz w:val="20"/>
          <w:szCs w:val="20"/>
          <w:lang w:val="es-ES"/>
        </w:rPr>
        <w:t xml:space="preserve">, la Corte ordena que </w:t>
      </w:r>
      <w:r w:rsidR="00A07760" w:rsidRPr="00975C02">
        <w:rPr>
          <w:bCs/>
          <w:sz w:val="20"/>
          <w:szCs w:val="20"/>
          <w:lang w:val="es-ES"/>
        </w:rPr>
        <w:t>este</w:t>
      </w:r>
      <w:r w:rsidR="00CA401A" w:rsidRPr="00975C02">
        <w:rPr>
          <w:bCs/>
          <w:sz w:val="20"/>
          <w:szCs w:val="20"/>
          <w:lang w:val="es-ES"/>
        </w:rPr>
        <w:t xml:space="preserve"> </w:t>
      </w:r>
      <w:r w:rsidR="009D661E" w:rsidRPr="00975C02">
        <w:rPr>
          <w:sz w:val="20"/>
          <w:szCs w:val="20"/>
          <w:lang w:val="es-ES"/>
        </w:rPr>
        <w:t xml:space="preserve">deberá brindar </w:t>
      </w:r>
      <w:r w:rsidR="00CA401A" w:rsidRPr="00975C02">
        <w:rPr>
          <w:sz w:val="20"/>
          <w:szCs w:val="20"/>
          <w:lang w:val="es-ES"/>
        </w:rPr>
        <w:t xml:space="preserve">medidas de protección </w:t>
      </w:r>
      <w:r w:rsidR="009D661E" w:rsidRPr="00975C02">
        <w:rPr>
          <w:sz w:val="20"/>
          <w:szCs w:val="20"/>
          <w:lang w:val="es-ES"/>
        </w:rPr>
        <w:t xml:space="preserve">desde el momento en que </w:t>
      </w:r>
      <w:r w:rsidR="00CA401A" w:rsidRPr="00975C02">
        <w:rPr>
          <w:sz w:val="20"/>
          <w:szCs w:val="20"/>
          <w:lang w:val="es-ES"/>
        </w:rPr>
        <w:t xml:space="preserve">el Estado </w:t>
      </w:r>
      <w:r w:rsidR="009D661E" w:rsidRPr="00975C02">
        <w:rPr>
          <w:sz w:val="20"/>
          <w:szCs w:val="20"/>
          <w:lang w:val="es-ES"/>
        </w:rPr>
        <w:t xml:space="preserve">conozca de </w:t>
      </w:r>
      <w:r w:rsidR="00CA401A" w:rsidRPr="00975C02">
        <w:rPr>
          <w:sz w:val="20"/>
          <w:szCs w:val="20"/>
          <w:lang w:val="es-ES"/>
        </w:rPr>
        <w:t xml:space="preserve">la violencia sexual, </w:t>
      </w:r>
      <w:r w:rsidR="009D661E" w:rsidRPr="00975C02">
        <w:rPr>
          <w:sz w:val="20"/>
          <w:szCs w:val="20"/>
          <w:lang w:val="es-ES"/>
        </w:rPr>
        <w:t xml:space="preserve">conforme </w:t>
      </w:r>
      <w:r w:rsidR="00A07760" w:rsidRPr="00975C02">
        <w:rPr>
          <w:sz w:val="20"/>
          <w:szCs w:val="20"/>
          <w:lang w:val="es-ES"/>
        </w:rPr>
        <w:t>con</w:t>
      </w:r>
      <w:r w:rsidR="009D661E" w:rsidRPr="00975C02">
        <w:rPr>
          <w:sz w:val="20"/>
          <w:szCs w:val="20"/>
          <w:lang w:val="es-ES"/>
        </w:rPr>
        <w:t xml:space="preserve"> los criterios establecidos en los párrafos </w:t>
      </w:r>
      <w:r w:rsidR="00354BD5" w:rsidRPr="00975C02">
        <w:rPr>
          <w:sz w:val="20"/>
          <w:szCs w:val="20"/>
          <w:lang w:val="es-ES"/>
        </w:rPr>
        <w:t>164, 165 y 170</w:t>
      </w:r>
      <w:r w:rsidR="00CA401A" w:rsidRPr="00975C02">
        <w:rPr>
          <w:sz w:val="20"/>
          <w:szCs w:val="20"/>
          <w:lang w:val="es-ES"/>
        </w:rPr>
        <w:t xml:space="preserve"> de la presente Sentencia</w:t>
      </w:r>
      <w:r w:rsidR="009D661E" w:rsidRPr="00975C02">
        <w:rPr>
          <w:sz w:val="20"/>
          <w:szCs w:val="20"/>
          <w:lang w:val="es-ES"/>
        </w:rPr>
        <w:t>.</w:t>
      </w:r>
      <w:r w:rsidR="00CA401A" w:rsidRPr="00975C02">
        <w:rPr>
          <w:sz w:val="20"/>
          <w:szCs w:val="20"/>
          <w:lang w:val="es-ES"/>
        </w:rPr>
        <w:t xml:space="preserve"> En particular, la Corte ordena al Estado que</w:t>
      </w:r>
      <w:r w:rsidR="009D661E" w:rsidRPr="00975C02">
        <w:rPr>
          <w:sz w:val="20"/>
          <w:szCs w:val="20"/>
          <w:lang w:val="es-ES"/>
        </w:rPr>
        <w:t xml:space="preserve"> </w:t>
      </w:r>
      <w:r w:rsidR="00CA401A" w:rsidRPr="00975C02">
        <w:rPr>
          <w:sz w:val="20"/>
          <w:szCs w:val="20"/>
          <w:lang w:val="es-ES"/>
        </w:rPr>
        <w:t>d</w:t>
      </w:r>
      <w:r w:rsidR="009D661E" w:rsidRPr="00975C02">
        <w:rPr>
          <w:sz w:val="20"/>
          <w:szCs w:val="20"/>
          <w:lang w:val="es-ES"/>
        </w:rPr>
        <w:t xml:space="preserve">icho protocolo </w:t>
      </w:r>
      <w:r w:rsidR="00CA401A" w:rsidRPr="00975C02">
        <w:rPr>
          <w:sz w:val="20"/>
          <w:szCs w:val="20"/>
          <w:lang w:val="es-ES"/>
        </w:rPr>
        <w:t>garantice el establecimiento de protecciones especiales y acompañamiento especializado, médico, psicológico y/o psiquiátrico para que las niñas, niños y adolescentes puedan participar de forma efectiva en el proceso penal, evitando la revictimización</w:t>
      </w:r>
      <w:r w:rsidR="00C76EF4" w:rsidRPr="00975C02">
        <w:rPr>
          <w:sz w:val="20"/>
          <w:szCs w:val="20"/>
          <w:lang w:val="es-ES"/>
        </w:rPr>
        <w:t xml:space="preserve"> y conforme a sus vivencias y entendimiento. El protocolo además, deberá garantizar que se brinde asistencia antes</w:t>
      </w:r>
      <w:r w:rsidR="008247AD" w:rsidRPr="00975C02">
        <w:rPr>
          <w:sz w:val="20"/>
          <w:szCs w:val="20"/>
          <w:lang w:val="es-ES"/>
        </w:rPr>
        <w:t xml:space="preserve">, durante </w:t>
      </w:r>
      <w:r w:rsidR="00C76EF4" w:rsidRPr="00975C02">
        <w:rPr>
          <w:sz w:val="20"/>
          <w:szCs w:val="20"/>
          <w:lang w:val="es-ES"/>
        </w:rPr>
        <w:t xml:space="preserve">y después </w:t>
      </w:r>
      <w:r w:rsidR="00C76EF4" w:rsidRPr="00975C02">
        <w:rPr>
          <w:bCs/>
          <w:sz w:val="20"/>
          <w:szCs w:val="20"/>
          <w:lang w:val="es-ES"/>
        </w:rPr>
        <w:t xml:space="preserve">de las investigaciones y proceso penal para lograr la reintegración y rehabilitación de las niñas, niños y adolescentes víctimas de violencia sexual. En este sentido, se </w:t>
      </w:r>
      <w:r w:rsidR="002A4337" w:rsidRPr="00975C02">
        <w:rPr>
          <w:bCs/>
          <w:sz w:val="20"/>
          <w:szCs w:val="20"/>
          <w:lang w:val="es-ES"/>
        </w:rPr>
        <w:t xml:space="preserve">brindará </w:t>
      </w:r>
      <w:r w:rsidR="00C76EF4" w:rsidRPr="00975C02">
        <w:rPr>
          <w:bCs/>
          <w:sz w:val="20"/>
          <w:szCs w:val="20"/>
          <w:lang w:val="es-ES"/>
        </w:rPr>
        <w:t>asistencia inmediata y profesional, tanto médica, psicológica como psiquiátrica a cargo de personal especializado</w:t>
      </w:r>
      <w:r w:rsidR="002A4337" w:rsidRPr="00975C02">
        <w:rPr>
          <w:bCs/>
          <w:sz w:val="20"/>
          <w:szCs w:val="20"/>
          <w:lang w:val="es-ES"/>
        </w:rPr>
        <w:t>,</w:t>
      </w:r>
      <w:r w:rsidR="00C76EF4" w:rsidRPr="00975C02">
        <w:rPr>
          <w:bCs/>
          <w:sz w:val="20"/>
          <w:szCs w:val="20"/>
          <w:lang w:val="es-ES"/>
        </w:rPr>
        <w:t xml:space="preserve"> con perspectiva de género y sin discriminación, </w:t>
      </w:r>
      <w:r w:rsidR="002A4337" w:rsidRPr="00975C02">
        <w:rPr>
          <w:bCs/>
          <w:sz w:val="20"/>
          <w:szCs w:val="20"/>
          <w:lang w:val="es-ES"/>
        </w:rPr>
        <w:t>para</w:t>
      </w:r>
      <w:r w:rsidR="00C76EF4" w:rsidRPr="00975C02">
        <w:rPr>
          <w:bCs/>
          <w:sz w:val="20"/>
          <w:szCs w:val="20"/>
          <w:lang w:val="es-ES"/>
        </w:rPr>
        <w:t xml:space="preserve"> las víctimas y sus familiares</w:t>
      </w:r>
      <w:r w:rsidR="002A4337" w:rsidRPr="00975C02">
        <w:rPr>
          <w:bCs/>
          <w:sz w:val="20"/>
          <w:szCs w:val="20"/>
          <w:lang w:val="es-ES"/>
        </w:rPr>
        <w:t>,</w:t>
      </w:r>
      <w:r w:rsidR="00BD4AF8" w:rsidRPr="00975C02">
        <w:rPr>
          <w:bCs/>
          <w:sz w:val="20"/>
          <w:szCs w:val="20"/>
          <w:lang w:val="es-ES"/>
        </w:rPr>
        <w:t xml:space="preserve"> durante el tiempo que sea necesario para lograr la rehabilitación.</w:t>
      </w:r>
      <w:r w:rsidR="00C76EF4" w:rsidRPr="00975C02">
        <w:rPr>
          <w:bCs/>
          <w:sz w:val="20"/>
          <w:szCs w:val="20"/>
          <w:lang w:val="es-ES"/>
        </w:rPr>
        <w:t xml:space="preserve"> La Cor</w:t>
      </w:r>
      <w:r w:rsidR="00F343DF" w:rsidRPr="00975C02">
        <w:rPr>
          <w:bCs/>
          <w:sz w:val="20"/>
          <w:szCs w:val="20"/>
          <w:lang w:val="es-ES"/>
        </w:rPr>
        <w:t>te estima que este protocolo deberá estar</w:t>
      </w:r>
      <w:r w:rsidR="00C76EF4" w:rsidRPr="00975C02">
        <w:rPr>
          <w:bCs/>
          <w:sz w:val="20"/>
          <w:szCs w:val="20"/>
          <w:lang w:val="es-ES"/>
        </w:rPr>
        <w:t xml:space="preserve"> dirigido no solo al personal de salud </w:t>
      </w:r>
      <w:r w:rsidR="00F343DF" w:rsidRPr="00975C02">
        <w:rPr>
          <w:bCs/>
          <w:sz w:val="20"/>
          <w:szCs w:val="20"/>
          <w:lang w:val="es-ES"/>
        </w:rPr>
        <w:t>que interviene en casos de violencia sexual</w:t>
      </w:r>
      <w:r w:rsidR="00463B80" w:rsidRPr="00975C02">
        <w:rPr>
          <w:bCs/>
          <w:sz w:val="20"/>
          <w:szCs w:val="20"/>
          <w:lang w:val="es-ES"/>
        </w:rPr>
        <w:t>,</w:t>
      </w:r>
      <w:r w:rsidR="00F343DF" w:rsidRPr="00975C02">
        <w:rPr>
          <w:bCs/>
          <w:sz w:val="20"/>
          <w:szCs w:val="20"/>
          <w:lang w:val="es-ES"/>
        </w:rPr>
        <w:t xml:space="preserve"> sino también al personal </w:t>
      </w:r>
      <w:r w:rsidR="00BD4AF8" w:rsidRPr="00975C02">
        <w:rPr>
          <w:bCs/>
          <w:sz w:val="20"/>
          <w:szCs w:val="20"/>
          <w:lang w:val="es-ES"/>
        </w:rPr>
        <w:t xml:space="preserve">de apoyo </w:t>
      </w:r>
      <w:r w:rsidR="00F343DF" w:rsidRPr="00975C02">
        <w:rPr>
          <w:bCs/>
          <w:sz w:val="20"/>
          <w:szCs w:val="20"/>
          <w:lang w:val="es-ES"/>
        </w:rPr>
        <w:t xml:space="preserve">social y familiar que de forma integral brindan atención a las víctimas, por lo que deberá incluir los </w:t>
      </w:r>
      <w:r w:rsidR="00C76EF4" w:rsidRPr="00975C02">
        <w:rPr>
          <w:bCs/>
          <w:sz w:val="20"/>
          <w:szCs w:val="20"/>
          <w:lang w:val="es-ES"/>
        </w:rPr>
        <w:t xml:space="preserve">mecanismos de apoyo </w:t>
      </w:r>
      <w:r w:rsidR="00F343DF" w:rsidRPr="00975C02">
        <w:rPr>
          <w:bCs/>
          <w:sz w:val="20"/>
          <w:szCs w:val="20"/>
          <w:lang w:val="es-ES"/>
        </w:rPr>
        <w:t xml:space="preserve">con los que </w:t>
      </w:r>
      <w:r w:rsidR="00C76EF4" w:rsidRPr="00975C02">
        <w:rPr>
          <w:bCs/>
          <w:sz w:val="20"/>
          <w:szCs w:val="20"/>
          <w:lang w:val="es-ES"/>
        </w:rPr>
        <w:t xml:space="preserve">cuentan </w:t>
      </w:r>
      <w:r w:rsidR="00BD4AF8" w:rsidRPr="00975C02">
        <w:rPr>
          <w:bCs/>
          <w:sz w:val="20"/>
          <w:szCs w:val="20"/>
          <w:lang w:val="es-ES"/>
        </w:rPr>
        <w:t>dichas</w:t>
      </w:r>
      <w:r w:rsidR="00C76EF4" w:rsidRPr="00975C02">
        <w:rPr>
          <w:bCs/>
          <w:sz w:val="20"/>
          <w:szCs w:val="20"/>
          <w:lang w:val="es-ES"/>
        </w:rPr>
        <w:t xml:space="preserve"> víctimas y sus familiares</w:t>
      </w:r>
      <w:r w:rsidR="00F343DF" w:rsidRPr="00975C02">
        <w:rPr>
          <w:bCs/>
          <w:sz w:val="20"/>
          <w:szCs w:val="20"/>
          <w:lang w:val="es-ES"/>
        </w:rPr>
        <w:t>. El protocolo deberá</w:t>
      </w:r>
      <w:r w:rsidR="00463B80" w:rsidRPr="00975C02">
        <w:rPr>
          <w:bCs/>
          <w:sz w:val="20"/>
          <w:szCs w:val="20"/>
          <w:lang w:val="es-ES"/>
        </w:rPr>
        <w:t>,</w:t>
      </w:r>
      <w:r w:rsidR="00F343DF" w:rsidRPr="00975C02">
        <w:rPr>
          <w:bCs/>
          <w:sz w:val="20"/>
          <w:szCs w:val="20"/>
          <w:lang w:val="es-ES"/>
        </w:rPr>
        <w:t xml:space="preserve"> asimismo, </w:t>
      </w:r>
      <w:r w:rsidR="009D661E" w:rsidRPr="00975C02">
        <w:rPr>
          <w:sz w:val="20"/>
          <w:szCs w:val="20"/>
          <w:lang w:val="es-ES"/>
        </w:rPr>
        <w:t>establecer claramente las acciones de coordinación entre distintas instancias estatales que brindan asistencia a las niñas, niños y adolescente</w:t>
      </w:r>
      <w:r w:rsidR="00BD4AF8" w:rsidRPr="00975C02">
        <w:rPr>
          <w:sz w:val="20"/>
          <w:szCs w:val="20"/>
          <w:lang w:val="es-ES"/>
        </w:rPr>
        <w:t>s</w:t>
      </w:r>
      <w:r w:rsidR="009D661E" w:rsidRPr="00975C02">
        <w:rPr>
          <w:sz w:val="20"/>
          <w:szCs w:val="20"/>
          <w:lang w:val="es-ES"/>
        </w:rPr>
        <w:t xml:space="preserve"> </w:t>
      </w:r>
      <w:r w:rsidR="00F343DF" w:rsidRPr="00975C02">
        <w:rPr>
          <w:sz w:val="20"/>
          <w:szCs w:val="20"/>
          <w:lang w:val="es-ES"/>
        </w:rPr>
        <w:t xml:space="preserve">víctimas de violencia sexual </w:t>
      </w:r>
      <w:r w:rsidR="009D661E" w:rsidRPr="00975C02">
        <w:rPr>
          <w:sz w:val="20"/>
          <w:szCs w:val="20"/>
          <w:lang w:val="es-ES"/>
        </w:rPr>
        <w:t xml:space="preserve">en </w:t>
      </w:r>
      <w:r w:rsidR="009D661E" w:rsidRPr="00975C02">
        <w:rPr>
          <w:sz w:val="20"/>
          <w:szCs w:val="20"/>
          <w:lang w:val="es-ES"/>
        </w:rPr>
        <w:lastRenderedPageBreak/>
        <w:t>Nicaragua</w:t>
      </w:r>
      <w:r w:rsidR="00415EF8" w:rsidRPr="00975C02">
        <w:rPr>
          <w:rStyle w:val="FootnoteReference"/>
          <w:sz w:val="20"/>
          <w:szCs w:val="20"/>
          <w:lang w:val="es-ES"/>
        </w:rPr>
        <w:footnoteReference w:id="447"/>
      </w:r>
      <w:r w:rsidR="009D661E" w:rsidRPr="00975C02">
        <w:rPr>
          <w:sz w:val="20"/>
          <w:szCs w:val="20"/>
          <w:lang w:val="es-ES"/>
        </w:rPr>
        <w:t>.</w:t>
      </w:r>
    </w:p>
    <w:p w14:paraId="174B58F6" w14:textId="77777777" w:rsidR="00415EF8" w:rsidRPr="00975C02" w:rsidRDefault="00415EF8" w:rsidP="00DF3D71">
      <w:pPr>
        <w:tabs>
          <w:tab w:val="left" w:pos="567"/>
        </w:tabs>
        <w:spacing w:line="240" w:lineRule="auto"/>
        <w:textAlignment w:val="auto"/>
        <w:rPr>
          <w:sz w:val="20"/>
          <w:szCs w:val="20"/>
          <w:lang w:val="es-ES"/>
        </w:rPr>
      </w:pPr>
    </w:p>
    <w:p w14:paraId="40A09BA6" w14:textId="3EC5D69C" w:rsidR="00415EF8" w:rsidRPr="00975C02" w:rsidRDefault="00415EF8" w:rsidP="00DF3D71">
      <w:pPr>
        <w:numPr>
          <w:ilvl w:val="0"/>
          <w:numId w:val="2"/>
        </w:numPr>
        <w:tabs>
          <w:tab w:val="left" w:pos="567"/>
          <w:tab w:val="num" w:pos="5057"/>
        </w:tabs>
        <w:spacing w:line="240" w:lineRule="auto"/>
        <w:ind w:left="0" w:firstLine="0"/>
        <w:textAlignment w:val="auto"/>
        <w:rPr>
          <w:sz w:val="20"/>
          <w:szCs w:val="20"/>
          <w:lang w:val="es-ES"/>
        </w:rPr>
      </w:pPr>
      <w:r w:rsidRPr="00975C02">
        <w:rPr>
          <w:sz w:val="20"/>
          <w:szCs w:val="20"/>
          <w:lang w:val="es-ES"/>
        </w:rPr>
        <w:t xml:space="preserve">La Corte ordena que Nicaragua deberá cumplir con </w:t>
      </w:r>
      <w:r w:rsidR="002A4337" w:rsidRPr="00975C02">
        <w:rPr>
          <w:sz w:val="20"/>
          <w:szCs w:val="20"/>
          <w:lang w:val="es-ES"/>
        </w:rPr>
        <w:t xml:space="preserve">las </w:t>
      </w:r>
      <w:r w:rsidRPr="00975C02">
        <w:rPr>
          <w:sz w:val="20"/>
          <w:szCs w:val="20"/>
          <w:lang w:val="es-ES"/>
        </w:rPr>
        <w:t>medida</w:t>
      </w:r>
      <w:r w:rsidR="002A4337" w:rsidRPr="00975C02">
        <w:rPr>
          <w:sz w:val="20"/>
          <w:szCs w:val="20"/>
          <w:lang w:val="es-ES"/>
        </w:rPr>
        <w:t>s</w:t>
      </w:r>
      <w:r w:rsidRPr="00975C02">
        <w:rPr>
          <w:sz w:val="20"/>
          <w:szCs w:val="20"/>
          <w:lang w:val="es-ES"/>
        </w:rPr>
        <w:t xml:space="preserve"> de reparación</w:t>
      </w:r>
      <w:r w:rsidR="002A4337" w:rsidRPr="00975C02">
        <w:rPr>
          <w:sz w:val="20"/>
          <w:szCs w:val="20"/>
          <w:lang w:val="es-ES"/>
        </w:rPr>
        <w:t xml:space="preserve"> dispuestas en este apartado</w:t>
      </w:r>
      <w:r w:rsidRPr="00975C02">
        <w:rPr>
          <w:sz w:val="20"/>
          <w:szCs w:val="20"/>
          <w:lang w:val="es-ES"/>
        </w:rPr>
        <w:t xml:space="preserve"> en el plazo de dos años desde la notificación de la presente Sentencia.</w:t>
      </w:r>
    </w:p>
    <w:p w14:paraId="6C8017AD" w14:textId="77777777" w:rsidR="009D661E" w:rsidRPr="00975C02" w:rsidRDefault="009D661E" w:rsidP="000744BD">
      <w:pPr>
        <w:tabs>
          <w:tab w:val="left" w:pos="567"/>
        </w:tabs>
        <w:spacing w:line="240" w:lineRule="auto"/>
        <w:textAlignment w:val="auto"/>
        <w:rPr>
          <w:sz w:val="20"/>
          <w:szCs w:val="20"/>
          <w:lang w:val="es-ES"/>
        </w:rPr>
      </w:pPr>
    </w:p>
    <w:p w14:paraId="09194907" w14:textId="77777777" w:rsidR="00132CFF" w:rsidRPr="00975C02" w:rsidRDefault="00D8602B" w:rsidP="009D661E">
      <w:pPr>
        <w:spacing w:line="240" w:lineRule="auto"/>
        <w:ind w:left="1985"/>
        <w:rPr>
          <w:i/>
          <w:iCs/>
          <w:sz w:val="20"/>
          <w:szCs w:val="20"/>
          <w:lang w:val="es-ES"/>
        </w:rPr>
      </w:pPr>
      <w:r w:rsidRPr="00975C02">
        <w:rPr>
          <w:i/>
          <w:iCs/>
          <w:sz w:val="20"/>
          <w:szCs w:val="20"/>
          <w:lang w:val="es-ES"/>
        </w:rPr>
        <w:t>a.2</w:t>
      </w:r>
      <w:r w:rsidR="009D661E" w:rsidRPr="00975C02">
        <w:rPr>
          <w:i/>
          <w:iCs/>
          <w:sz w:val="20"/>
          <w:szCs w:val="20"/>
          <w:lang w:val="es-ES"/>
        </w:rPr>
        <w:t xml:space="preserve">) Creación de </w:t>
      </w:r>
      <w:r w:rsidR="0052452C" w:rsidRPr="00975C02">
        <w:rPr>
          <w:i/>
          <w:iCs/>
          <w:sz w:val="20"/>
          <w:szCs w:val="20"/>
          <w:lang w:val="es-ES"/>
        </w:rPr>
        <w:t>la</w:t>
      </w:r>
      <w:r w:rsidR="009D661E" w:rsidRPr="00975C02">
        <w:rPr>
          <w:i/>
          <w:iCs/>
          <w:sz w:val="20"/>
          <w:szCs w:val="20"/>
          <w:lang w:val="es-ES"/>
        </w:rPr>
        <w:t xml:space="preserve"> figura de</w:t>
      </w:r>
      <w:r w:rsidR="00BC46DB" w:rsidRPr="00975C02">
        <w:rPr>
          <w:i/>
          <w:iCs/>
          <w:sz w:val="20"/>
          <w:szCs w:val="20"/>
          <w:lang w:val="es-ES"/>
        </w:rPr>
        <w:t>l abogado de niñas, niños y adolescentes que brinde</w:t>
      </w:r>
      <w:r w:rsidR="0052452C" w:rsidRPr="00975C02">
        <w:rPr>
          <w:i/>
          <w:iCs/>
          <w:sz w:val="20"/>
          <w:szCs w:val="20"/>
          <w:lang w:val="es-ES"/>
        </w:rPr>
        <w:t xml:space="preserve"> asistencia jurídica </w:t>
      </w:r>
      <w:r w:rsidR="000744BD" w:rsidRPr="00975C02">
        <w:rPr>
          <w:i/>
          <w:iCs/>
          <w:sz w:val="20"/>
          <w:szCs w:val="20"/>
          <w:lang w:val="es-ES"/>
        </w:rPr>
        <w:t xml:space="preserve">a víctimas </w:t>
      </w:r>
      <w:r w:rsidR="00D95BFD" w:rsidRPr="00975C02">
        <w:rPr>
          <w:i/>
          <w:iCs/>
          <w:sz w:val="20"/>
          <w:szCs w:val="20"/>
          <w:lang w:val="es-ES"/>
        </w:rPr>
        <w:t xml:space="preserve">de delitos </w:t>
      </w:r>
      <w:r w:rsidR="0052452C" w:rsidRPr="00975C02">
        <w:rPr>
          <w:i/>
          <w:iCs/>
          <w:sz w:val="20"/>
          <w:szCs w:val="20"/>
          <w:lang w:val="es-ES"/>
        </w:rPr>
        <w:t>en materia penal</w:t>
      </w:r>
      <w:r w:rsidR="00051F81" w:rsidRPr="00975C02">
        <w:rPr>
          <w:i/>
          <w:iCs/>
          <w:sz w:val="20"/>
          <w:szCs w:val="20"/>
          <w:lang w:val="es-ES"/>
        </w:rPr>
        <w:t xml:space="preserve"> de forma gratuita</w:t>
      </w:r>
    </w:p>
    <w:p w14:paraId="2A134AB7" w14:textId="77777777" w:rsidR="009D661E" w:rsidRPr="00975C02" w:rsidRDefault="009D661E" w:rsidP="007F115C">
      <w:pPr>
        <w:spacing w:line="240" w:lineRule="auto"/>
        <w:rPr>
          <w:i/>
          <w:iCs/>
          <w:sz w:val="20"/>
          <w:szCs w:val="20"/>
          <w:lang w:val="es-ES"/>
        </w:rPr>
      </w:pPr>
    </w:p>
    <w:p w14:paraId="412618A9" w14:textId="7BE4F82E" w:rsidR="007F7D30" w:rsidRPr="00975C02" w:rsidRDefault="007F115C" w:rsidP="007F7D30">
      <w:pPr>
        <w:pStyle w:val="Default"/>
        <w:numPr>
          <w:ilvl w:val="0"/>
          <w:numId w:val="2"/>
        </w:numPr>
        <w:tabs>
          <w:tab w:val="left" w:pos="567"/>
          <w:tab w:val="left" w:pos="1276"/>
          <w:tab w:val="left" w:pos="1560"/>
        </w:tabs>
        <w:ind w:left="32" w:hanging="32"/>
        <w:jc w:val="both"/>
        <w:rPr>
          <w:rFonts w:ascii="Verdana" w:hAnsi="Verdana"/>
          <w:sz w:val="20"/>
          <w:szCs w:val="20"/>
          <w:lang w:val="es-ES"/>
        </w:rPr>
      </w:pPr>
      <w:r w:rsidRPr="00975C02">
        <w:rPr>
          <w:rFonts w:ascii="Verdana" w:hAnsi="Verdana"/>
          <w:sz w:val="20"/>
          <w:szCs w:val="20"/>
          <w:lang w:val="es-ES"/>
        </w:rPr>
        <w:t xml:space="preserve">La Corte advierte que </w:t>
      </w:r>
      <w:r w:rsidR="008247AD" w:rsidRPr="00975C02">
        <w:rPr>
          <w:rFonts w:ascii="Verdana" w:hAnsi="Verdana"/>
          <w:sz w:val="20"/>
          <w:szCs w:val="20"/>
          <w:lang w:val="es-ES"/>
        </w:rPr>
        <w:t>V.R.P.</w:t>
      </w:r>
      <w:r w:rsidRPr="00975C02">
        <w:rPr>
          <w:rFonts w:ascii="Verdana" w:hAnsi="Verdana"/>
          <w:sz w:val="20"/>
          <w:szCs w:val="20"/>
          <w:lang w:val="es-ES"/>
        </w:rPr>
        <w:t xml:space="preserve"> no contó con asistencia letrada </w:t>
      </w:r>
      <w:r w:rsidR="000875F9" w:rsidRPr="00975C02">
        <w:rPr>
          <w:rFonts w:ascii="Verdana" w:hAnsi="Verdana"/>
          <w:sz w:val="20"/>
          <w:szCs w:val="20"/>
          <w:lang w:val="es-ES"/>
        </w:rPr>
        <w:t xml:space="preserve">propia ni con el apoyo de una entidad estatal que velara por los derechos de la niña </w:t>
      </w:r>
      <w:r w:rsidRPr="00975C02">
        <w:rPr>
          <w:rFonts w:ascii="Verdana" w:hAnsi="Verdana"/>
          <w:sz w:val="20"/>
          <w:szCs w:val="20"/>
          <w:lang w:val="es-ES"/>
        </w:rPr>
        <w:t>durante las diligencias judiciales revictimizantes, que hubiera permitido hacer valer</w:t>
      </w:r>
      <w:r w:rsidR="00051F81" w:rsidRPr="00975C02">
        <w:rPr>
          <w:rFonts w:ascii="Verdana" w:hAnsi="Verdana"/>
          <w:sz w:val="20"/>
          <w:szCs w:val="20"/>
          <w:lang w:val="es-ES"/>
        </w:rPr>
        <w:t xml:space="preserve"> procesalmente </w:t>
      </w:r>
      <w:r w:rsidRPr="00975C02">
        <w:rPr>
          <w:rFonts w:ascii="Verdana" w:hAnsi="Verdana"/>
          <w:sz w:val="20"/>
          <w:szCs w:val="20"/>
          <w:lang w:val="es-ES"/>
        </w:rPr>
        <w:t>su voz y su clara voluntad exteriorizada de no realizar dichas diligencias por el daño que le causaban. Este Tribunal nota que si la niña hubiera participado en el proceso penal con asistencia jurídica propia habría podido oponerse a las diligencias judiciales dañinas y</w:t>
      </w:r>
      <w:r w:rsidR="00BD1F51" w:rsidRPr="00975C02">
        <w:rPr>
          <w:rFonts w:ascii="Verdana" w:hAnsi="Verdana"/>
          <w:sz w:val="20"/>
          <w:szCs w:val="20"/>
          <w:lang w:val="es-ES"/>
        </w:rPr>
        <w:t>,</w:t>
      </w:r>
      <w:r w:rsidRPr="00975C02">
        <w:rPr>
          <w:rFonts w:ascii="Verdana" w:hAnsi="Verdana"/>
          <w:sz w:val="20"/>
          <w:szCs w:val="20"/>
          <w:lang w:val="es-ES"/>
        </w:rPr>
        <w:t xml:space="preserve"> así</w:t>
      </w:r>
      <w:r w:rsidR="00BD1F51" w:rsidRPr="00975C02">
        <w:rPr>
          <w:rFonts w:ascii="Verdana" w:hAnsi="Verdana"/>
          <w:sz w:val="20"/>
          <w:szCs w:val="20"/>
          <w:lang w:val="es-ES"/>
        </w:rPr>
        <w:t>,</w:t>
      </w:r>
      <w:r w:rsidRPr="00975C02">
        <w:rPr>
          <w:rFonts w:ascii="Verdana" w:hAnsi="Verdana"/>
          <w:sz w:val="20"/>
          <w:szCs w:val="20"/>
          <w:lang w:val="es-ES"/>
        </w:rPr>
        <w:t xml:space="preserve"> habría podido evitar los diversos actos de revictimización sufridos.</w:t>
      </w:r>
    </w:p>
    <w:p w14:paraId="6D8CDE7D" w14:textId="77777777" w:rsidR="007F115C" w:rsidRPr="00975C02" w:rsidRDefault="007F115C" w:rsidP="007F7D30">
      <w:pPr>
        <w:pStyle w:val="Default"/>
        <w:tabs>
          <w:tab w:val="left" w:pos="567"/>
          <w:tab w:val="left" w:pos="1276"/>
          <w:tab w:val="left" w:pos="1560"/>
        </w:tabs>
        <w:ind w:left="32"/>
        <w:jc w:val="both"/>
        <w:rPr>
          <w:rFonts w:ascii="Verdana" w:hAnsi="Verdana"/>
          <w:i/>
          <w:iCs/>
          <w:sz w:val="20"/>
          <w:szCs w:val="20"/>
          <w:lang w:val="es-ES"/>
        </w:rPr>
      </w:pPr>
    </w:p>
    <w:p w14:paraId="50404C1B" w14:textId="6D863643" w:rsidR="009D661E" w:rsidRPr="00975C02" w:rsidRDefault="009D661E" w:rsidP="000744BD">
      <w:pPr>
        <w:pStyle w:val="Default"/>
        <w:numPr>
          <w:ilvl w:val="0"/>
          <w:numId w:val="2"/>
        </w:numPr>
        <w:tabs>
          <w:tab w:val="left" w:pos="567"/>
          <w:tab w:val="left" w:pos="1276"/>
          <w:tab w:val="left" w:pos="1560"/>
        </w:tabs>
        <w:ind w:left="32" w:hanging="32"/>
        <w:jc w:val="both"/>
        <w:rPr>
          <w:rFonts w:ascii="Verdana" w:hAnsi="Verdana"/>
          <w:color w:val="auto"/>
          <w:sz w:val="20"/>
          <w:szCs w:val="20"/>
          <w:lang w:val="es-ES"/>
        </w:rPr>
      </w:pPr>
      <w:r w:rsidRPr="00975C02">
        <w:rPr>
          <w:rFonts w:ascii="Verdana" w:hAnsi="Verdana"/>
          <w:color w:val="auto"/>
          <w:sz w:val="20"/>
          <w:szCs w:val="20"/>
          <w:lang w:val="es-ES"/>
        </w:rPr>
        <w:t xml:space="preserve">La Corte considera que, como una medida de fortalecimiento de la capacidad institucional del Estado, Nicaragua debe crear e implementar una figura </w:t>
      </w:r>
      <w:r w:rsidR="00355EB2" w:rsidRPr="00975C02">
        <w:rPr>
          <w:rFonts w:ascii="Verdana" w:hAnsi="Verdana"/>
          <w:color w:val="auto"/>
          <w:sz w:val="20"/>
          <w:szCs w:val="20"/>
          <w:lang w:val="es-ES"/>
        </w:rPr>
        <w:t>especializada que brinde asistencia jurídica a las niñas, niños y adolescentes víctimas de delitos</w:t>
      </w:r>
      <w:r w:rsidR="00A91B59" w:rsidRPr="00975C02">
        <w:rPr>
          <w:rFonts w:ascii="Verdana" w:hAnsi="Verdana"/>
          <w:color w:val="auto"/>
          <w:sz w:val="20"/>
          <w:szCs w:val="20"/>
          <w:lang w:val="es-ES"/>
        </w:rPr>
        <w:t>, especialmente de violencia sexual</w:t>
      </w:r>
      <w:r w:rsidR="00355EB2" w:rsidRPr="00975C02">
        <w:rPr>
          <w:rFonts w:ascii="Verdana" w:hAnsi="Verdana"/>
          <w:color w:val="auto"/>
          <w:sz w:val="20"/>
          <w:szCs w:val="20"/>
          <w:lang w:val="es-ES"/>
        </w:rPr>
        <w:t xml:space="preserve">, </w:t>
      </w:r>
      <w:r w:rsidR="00A91B59" w:rsidRPr="00975C02">
        <w:rPr>
          <w:rFonts w:ascii="Verdana" w:hAnsi="Verdana"/>
          <w:color w:val="auto"/>
          <w:sz w:val="20"/>
          <w:szCs w:val="20"/>
          <w:lang w:val="es-ES"/>
        </w:rPr>
        <w:t>es decir un abogado de</w:t>
      </w:r>
      <w:r w:rsidR="00454141" w:rsidRPr="00975C02">
        <w:rPr>
          <w:rFonts w:ascii="Verdana" w:hAnsi="Verdana"/>
          <w:color w:val="auto"/>
          <w:sz w:val="20"/>
          <w:szCs w:val="20"/>
          <w:lang w:val="es-ES"/>
        </w:rPr>
        <w:t xml:space="preserve"> </w:t>
      </w:r>
      <w:r w:rsidR="00A91B59" w:rsidRPr="00975C02">
        <w:rPr>
          <w:rFonts w:ascii="Verdana" w:hAnsi="Verdana"/>
          <w:color w:val="auto"/>
          <w:sz w:val="20"/>
          <w:szCs w:val="20"/>
          <w:lang w:val="es-ES"/>
        </w:rPr>
        <w:t>l</w:t>
      </w:r>
      <w:r w:rsidR="00454141" w:rsidRPr="00975C02">
        <w:rPr>
          <w:rFonts w:ascii="Verdana" w:hAnsi="Verdana"/>
          <w:color w:val="auto"/>
          <w:sz w:val="20"/>
          <w:szCs w:val="20"/>
          <w:lang w:val="es-ES"/>
        </w:rPr>
        <w:t>a</w:t>
      </w:r>
      <w:r w:rsidR="00A91B59" w:rsidRPr="00975C02">
        <w:rPr>
          <w:rFonts w:ascii="Verdana" w:hAnsi="Verdana"/>
          <w:color w:val="auto"/>
          <w:sz w:val="20"/>
          <w:szCs w:val="20"/>
          <w:lang w:val="es-ES"/>
        </w:rPr>
        <w:t xml:space="preserve"> niñ</w:t>
      </w:r>
      <w:r w:rsidR="00454141" w:rsidRPr="00975C02">
        <w:rPr>
          <w:rFonts w:ascii="Verdana" w:hAnsi="Verdana"/>
          <w:color w:val="auto"/>
          <w:sz w:val="20"/>
          <w:szCs w:val="20"/>
          <w:lang w:val="es-ES"/>
        </w:rPr>
        <w:t>a, niñ</w:t>
      </w:r>
      <w:r w:rsidR="00A91B59" w:rsidRPr="00975C02">
        <w:rPr>
          <w:rFonts w:ascii="Verdana" w:hAnsi="Verdana"/>
          <w:color w:val="auto"/>
          <w:sz w:val="20"/>
          <w:szCs w:val="20"/>
          <w:lang w:val="es-ES"/>
        </w:rPr>
        <w:t>o</w:t>
      </w:r>
      <w:r w:rsidR="00454141" w:rsidRPr="00975C02">
        <w:rPr>
          <w:rFonts w:ascii="Verdana" w:hAnsi="Verdana"/>
          <w:color w:val="auto"/>
          <w:sz w:val="20"/>
          <w:szCs w:val="20"/>
          <w:lang w:val="es-ES"/>
        </w:rPr>
        <w:t xml:space="preserve"> o adolescente,</w:t>
      </w:r>
      <w:r w:rsidR="00A91B59" w:rsidRPr="00975C02">
        <w:rPr>
          <w:rFonts w:ascii="Verdana" w:hAnsi="Verdana"/>
          <w:color w:val="auto"/>
          <w:sz w:val="20"/>
          <w:szCs w:val="20"/>
          <w:lang w:val="es-ES"/>
        </w:rPr>
        <w:t xml:space="preserve"> especiali</w:t>
      </w:r>
      <w:r w:rsidR="00454141" w:rsidRPr="00975C02">
        <w:rPr>
          <w:rFonts w:ascii="Verdana" w:hAnsi="Verdana"/>
          <w:color w:val="auto"/>
          <w:sz w:val="20"/>
          <w:szCs w:val="20"/>
          <w:lang w:val="es-ES"/>
        </w:rPr>
        <w:t>zado</w:t>
      </w:r>
      <w:r w:rsidR="00A91B59" w:rsidRPr="00975C02">
        <w:rPr>
          <w:rFonts w:ascii="Verdana" w:hAnsi="Verdana"/>
          <w:color w:val="auto"/>
          <w:sz w:val="20"/>
          <w:szCs w:val="20"/>
          <w:lang w:val="es-ES"/>
        </w:rPr>
        <w:t xml:space="preserve"> en la materia, </w:t>
      </w:r>
      <w:r w:rsidR="00355EB2" w:rsidRPr="00975C02">
        <w:rPr>
          <w:rFonts w:ascii="Verdana" w:hAnsi="Verdana"/>
          <w:color w:val="auto"/>
          <w:sz w:val="20"/>
          <w:szCs w:val="20"/>
          <w:lang w:val="es-ES"/>
        </w:rPr>
        <w:t xml:space="preserve">que defienda sus intereses durante las investigaciones y </w:t>
      </w:r>
      <w:r w:rsidR="00454141" w:rsidRPr="00975C02">
        <w:rPr>
          <w:rFonts w:ascii="Verdana" w:hAnsi="Verdana"/>
          <w:color w:val="auto"/>
          <w:sz w:val="20"/>
          <w:szCs w:val="20"/>
          <w:lang w:val="es-ES"/>
        </w:rPr>
        <w:t xml:space="preserve">el </w:t>
      </w:r>
      <w:r w:rsidR="00355EB2" w:rsidRPr="00975C02">
        <w:rPr>
          <w:rFonts w:ascii="Verdana" w:hAnsi="Verdana"/>
          <w:color w:val="auto"/>
          <w:sz w:val="20"/>
          <w:szCs w:val="20"/>
          <w:lang w:val="es-ES"/>
        </w:rPr>
        <w:t>proceso penal. D</w:t>
      </w:r>
      <w:r w:rsidR="00E00B9B" w:rsidRPr="00975C02">
        <w:rPr>
          <w:rFonts w:ascii="Verdana" w:hAnsi="Verdana"/>
          <w:color w:val="auto"/>
          <w:sz w:val="20"/>
          <w:szCs w:val="20"/>
          <w:lang w:val="es-ES"/>
        </w:rPr>
        <w:t>icha</w:t>
      </w:r>
      <w:r w:rsidR="00355EB2" w:rsidRPr="00975C02">
        <w:rPr>
          <w:rFonts w:ascii="Verdana" w:hAnsi="Verdana"/>
          <w:color w:val="auto"/>
          <w:sz w:val="20"/>
          <w:szCs w:val="20"/>
          <w:lang w:val="es-ES"/>
        </w:rPr>
        <w:t xml:space="preserve"> asistencia técnica jurídica será brindada por el Esta</w:t>
      </w:r>
      <w:r w:rsidR="00E00B9B" w:rsidRPr="00975C02">
        <w:rPr>
          <w:rFonts w:ascii="Verdana" w:hAnsi="Verdana"/>
          <w:color w:val="auto"/>
          <w:sz w:val="20"/>
          <w:szCs w:val="20"/>
          <w:lang w:val="es-ES"/>
        </w:rPr>
        <w:t xml:space="preserve">do </w:t>
      </w:r>
      <w:r w:rsidR="00A91B59" w:rsidRPr="00975C02">
        <w:rPr>
          <w:rFonts w:ascii="Verdana" w:hAnsi="Verdana"/>
          <w:color w:val="auto"/>
          <w:sz w:val="20"/>
          <w:szCs w:val="20"/>
          <w:lang w:val="es-ES"/>
        </w:rPr>
        <w:t xml:space="preserve">de forma gratuita, </w:t>
      </w:r>
      <w:r w:rsidR="00E00B9B" w:rsidRPr="00975C02">
        <w:rPr>
          <w:rFonts w:ascii="Verdana" w:hAnsi="Verdana"/>
          <w:color w:val="auto"/>
          <w:sz w:val="20"/>
          <w:szCs w:val="20"/>
          <w:lang w:val="es-ES"/>
        </w:rPr>
        <w:t xml:space="preserve">en </w:t>
      </w:r>
      <w:r w:rsidR="00355EB2" w:rsidRPr="00975C02">
        <w:rPr>
          <w:rFonts w:ascii="Verdana" w:hAnsi="Verdana"/>
          <w:color w:val="auto"/>
          <w:sz w:val="20"/>
          <w:szCs w:val="20"/>
          <w:lang w:val="es-ES"/>
        </w:rPr>
        <w:t>caso</w:t>
      </w:r>
      <w:r w:rsidR="00E00B9B" w:rsidRPr="00975C02">
        <w:rPr>
          <w:rFonts w:ascii="Verdana" w:hAnsi="Verdana"/>
          <w:color w:val="auto"/>
          <w:sz w:val="20"/>
          <w:szCs w:val="20"/>
          <w:lang w:val="es-ES"/>
        </w:rPr>
        <w:t xml:space="preserve"> de</w:t>
      </w:r>
      <w:r w:rsidR="00355EB2" w:rsidRPr="00975C02">
        <w:rPr>
          <w:rFonts w:ascii="Verdana" w:hAnsi="Verdana"/>
          <w:color w:val="auto"/>
          <w:sz w:val="20"/>
          <w:szCs w:val="20"/>
          <w:lang w:val="es-ES"/>
        </w:rPr>
        <w:t xml:space="preserve"> que l</w:t>
      </w:r>
      <w:r w:rsidR="00454141" w:rsidRPr="00975C02">
        <w:rPr>
          <w:rFonts w:ascii="Verdana" w:hAnsi="Verdana"/>
          <w:color w:val="auto"/>
          <w:sz w:val="20"/>
          <w:szCs w:val="20"/>
          <w:lang w:val="es-ES"/>
        </w:rPr>
        <w:t>a persona</w:t>
      </w:r>
      <w:r w:rsidR="00355EB2" w:rsidRPr="00975C02">
        <w:rPr>
          <w:rFonts w:ascii="Verdana" w:hAnsi="Verdana"/>
          <w:color w:val="auto"/>
          <w:sz w:val="20"/>
          <w:szCs w:val="20"/>
          <w:lang w:val="es-ES"/>
        </w:rPr>
        <w:t xml:space="preserve"> menor de edad cuente con la</w:t>
      </w:r>
      <w:r w:rsidR="00E00B9B" w:rsidRPr="00975C02">
        <w:rPr>
          <w:rFonts w:ascii="Verdana" w:hAnsi="Verdana"/>
          <w:color w:val="auto"/>
          <w:sz w:val="20"/>
          <w:szCs w:val="20"/>
          <w:lang w:val="es-ES"/>
        </w:rPr>
        <w:t xml:space="preserve"> edad y madurez </w:t>
      </w:r>
      <w:r w:rsidR="00454141" w:rsidRPr="00975C02">
        <w:rPr>
          <w:rFonts w:ascii="Verdana" w:hAnsi="Verdana"/>
          <w:color w:val="auto"/>
          <w:sz w:val="20"/>
          <w:szCs w:val="20"/>
          <w:lang w:val="es-ES"/>
        </w:rPr>
        <w:t xml:space="preserve">suficiente </w:t>
      </w:r>
      <w:r w:rsidR="00355EB2" w:rsidRPr="00975C02">
        <w:rPr>
          <w:rFonts w:ascii="Verdana" w:hAnsi="Verdana"/>
          <w:color w:val="auto"/>
          <w:sz w:val="20"/>
          <w:szCs w:val="20"/>
          <w:lang w:val="es-ES"/>
        </w:rPr>
        <w:t>para</w:t>
      </w:r>
      <w:r w:rsidR="00E00B9B" w:rsidRPr="00975C02">
        <w:rPr>
          <w:rFonts w:ascii="Verdana" w:hAnsi="Verdana"/>
          <w:color w:val="auto"/>
          <w:sz w:val="20"/>
          <w:szCs w:val="20"/>
          <w:lang w:val="es-ES"/>
        </w:rPr>
        <w:t xml:space="preserve"> manifestar su intención de constituirse como parte querellante en el proceso, con el fin de defender sus derechos de manera </w:t>
      </w:r>
      <w:r w:rsidR="00454141" w:rsidRPr="00975C02">
        <w:rPr>
          <w:rFonts w:ascii="Verdana" w:hAnsi="Verdana"/>
          <w:color w:val="auto"/>
          <w:sz w:val="20"/>
          <w:szCs w:val="20"/>
          <w:lang w:val="es-ES"/>
        </w:rPr>
        <w:t xml:space="preserve">autónoma </w:t>
      </w:r>
      <w:r w:rsidR="00E00B9B" w:rsidRPr="00975C02">
        <w:rPr>
          <w:rFonts w:ascii="Verdana" w:hAnsi="Verdana"/>
          <w:color w:val="auto"/>
          <w:sz w:val="20"/>
          <w:szCs w:val="20"/>
          <w:lang w:val="es-ES"/>
        </w:rPr>
        <w:t xml:space="preserve">como sujeto de derechos, diferenciada de los adultos. La asistencia técnica será </w:t>
      </w:r>
      <w:r w:rsidR="00A91B59" w:rsidRPr="00975C02">
        <w:rPr>
          <w:rFonts w:ascii="Verdana" w:hAnsi="Verdana"/>
          <w:color w:val="auto"/>
          <w:sz w:val="20"/>
          <w:szCs w:val="20"/>
          <w:lang w:val="es-ES"/>
        </w:rPr>
        <w:t xml:space="preserve">de libre elección, por lo que será </w:t>
      </w:r>
      <w:r w:rsidR="00E00B9B" w:rsidRPr="00975C02">
        <w:rPr>
          <w:rFonts w:ascii="Verdana" w:hAnsi="Verdana"/>
          <w:color w:val="auto"/>
          <w:sz w:val="20"/>
          <w:szCs w:val="20"/>
          <w:lang w:val="es-ES"/>
        </w:rPr>
        <w:t>ofrecida y</w:t>
      </w:r>
      <w:r w:rsidR="00454141" w:rsidRPr="00975C02">
        <w:rPr>
          <w:rFonts w:ascii="Verdana" w:hAnsi="Verdana"/>
          <w:color w:val="auto"/>
          <w:sz w:val="20"/>
          <w:szCs w:val="20"/>
          <w:lang w:val="es-ES"/>
        </w:rPr>
        <w:t xml:space="preserve"> se</w:t>
      </w:r>
      <w:r w:rsidR="00E00B9B" w:rsidRPr="00975C02">
        <w:rPr>
          <w:rFonts w:ascii="Verdana" w:hAnsi="Verdana"/>
          <w:color w:val="auto"/>
          <w:sz w:val="20"/>
          <w:szCs w:val="20"/>
          <w:lang w:val="es-ES"/>
        </w:rPr>
        <w:t xml:space="preserve"> brinda</w:t>
      </w:r>
      <w:r w:rsidR="00454141" w:rsidRPr="00975C02">
        <w:rPr>
          <w:rFonts w:ascii="Verdana" w:hAnsi="Verdana"/>
          <w:color w:val="auto"/>
          <w:sz w:val="20"/>
          <w:szCs w:val="20"/>
          <w:lang w:val="es-ES"/>
        </w:rPr>
        <w:t>rá</w:t>
      </w:r>
      <w:r w:rsidR="00E00B9B" w:rsidRPr="00975C02">
        <w:rPr>
          <w:rFonts w:ascii="Verdana" w:hAnsi="Verdana"/>
          <w:color w:val="auto"/>
          <w:sz w:val="20"/>
          <w:szCs w:val="20"/>
          <w:lang w:val="es-ES"/>
        </w:rPr>
        <w:t xml:space="preserve"> </w:t>
      </w:r>
      <w:r w:rsidR="00A91B59" w:rsidRPr="00975C02">
        <w:rPr>
          <w:rFonts w:ascii="Verdana" w:hAnsi="Verdana"/>
          <w:color w:val="auto"/>
          <w:sz w:val="20"/>
          <w:szCs w:val="20"/>
          <w:lang w:val="es-ES"/>
        </w:rPr>
        <w:t xml:space="preserve">si </w:t>
      </w:r>
      <w:r w:rsidR="00DB7711" w:rsidRPr="00975C02">
        <w:rPr>
          <w:rFonts w:ascii="Verdana" w:hAnsi="Verdana"/>
          <w:color w:val="auto"/>
          <w:sz w:val="20"/>
          <w:szCs w:val="20"/>
          <w:lang w:val="es-ES"/>
        </w:rPr>
        <w:t xml:space="preserve">la </w:t>
      </w:r>
      <w:r w:rsidR="00454141" w:rsidRPr="00975C02">
        <w:rPr>
          <w:rFonts w:ascii="Verdana" w:hAnsi="Verdana"/>
          <w:color w:val="auto"/>
          <w:sz w:val="20"/>
          <w:szCs w:val="20"/>
          <w:lang w:val="es-ES"/>
        </w:rPr>
        <w:t xml:space="preserve">niña, niño o adolescente </w:t>
      </w:r>
      <w:r w:rsidR="00A91B59" w:rsidRPr="00975C02">
        <w:rPr>
          <w:rFonts w:ascii="Verdana" w:hAnsi="Verdana"/>
          <w:color w:val="auto"/>
          <w:sz w:val="20"/>
          <w:szCs w:val="20"/>
          <w:lang w:val="es-ES"/>
        </w:rPr>
        <w:t xml:space="preserve">así lo </w:t>
      </w:r>
      <w:r w:rsidR="00454141" w:rsidRPr="00975C02">
        <w:rPr>
          <w:rFonts w:ascii="Verdana" w:hAnsi="Verdana"/>
          <w:color w:val="auto"/>
          <w:sz w:val="20"/>
          <w:szCs w:val="20"/>
          <w:lang w:val="es-ES"/>
        </w:rPr>
        <w:t>requiere</w:t>
      </w:r>
      <w:r w:rsidR="00A91B59" w:rsidRPr="00975C02">
        <w:rPr>
          <w:rFonts w:ascii="Verdana" w:hAnsi="Verdana"/>
          <w:color w:val="auto"/>
          <w:sz w:val="20"/>
          <w:szCs w:val="20"/>
          <w:lang w:val="es-ES"/>
        </w:rPr>
        <w:t xml:space="preserve">, </w:t>
      </w:r>
      <w:r w:rsidR="00E00B9B" w:rsidRPr="00975C02">
        <w:rPr>
          <w:rFonts w:ascii="Verdana" w:hAnsi="Verdana"/>
          <w:color w:val="auto"/>
          <w:sz w:val="20"/>
          <w:szCs w:val="20"/>
          <w:lang w:val="es-ES"/>
        </w:rPr>
        <w:t xml:space="preserve">a menos que </w:t>
      </w:r>
      <w:r w:rsidR="00A91B59" w:rsidRPr="00975C02">
        <w:rPr>
          <w:rFonts w:ascii="Verdana" w:hAnsi="Verdana"/>
          <w:color w:val="auto"/>
          <w:sz w:val="20"/>
          <w:szCs w:val="20"/>
          <w:lang w:val="es-ES"/>
        </w:rPr>
        <w:t xml:space="preserve">cuente </w:t>
      </w:r>
      <w:r w:rsidR="00E00B9B" w:rsidRPr="00975C02">
        <w:rPr>
          <w:rFonts w:ascii="Verdana" w:hAnsi="Verdana"/>
          <w:color w:val="auto"/>
          <w:sz w:val="20"/>
          <w:szCs w:val="20"/>
          <w:lang w:val="es-ES"/>
        </w:rPr>
        <w:t xml:space="preserve">con </w:t>
      </w:r>
      <w:r w:rsidR="00454141" w:rsidRPr="00975C02">
        <w:rPr>
          <w:rFonts w:ascii="Verdana" w:hAnsi="Verdana"/>
          <w:color w:val="auto"/>
          <w:sz w:val="20"/>
          <w:szCs w:val="20"/>
          <w:lang w:val="es-ES"/>
        </w:rPr>
        <w:t>patrocinio jurídico</w:t>
      </w:r>
      <w:r w:rsidR="00E00B9B" w:rsidRPr="00975C02">
        <w:rPr>
          <w:rFonts w:ascii="Verdana" w:hAnsi="Verdana"/>
          <w:color w:val="auto"/>
          <w:sz w:val="20"/>
          <w:szCs w:val="20"/>
          <w:lang w:val="es-ES"/>
        </w:rPr>
        <w:t xml:space="preserve"> propi</w:t>
      </w:r>
      <w:r w:rsidR="00454141" w:rsidRPr="00975C02">
        <w:rPr>
          <w:rFonts w:ascii="Verdana" w:hAnsi="Verdana"/>
          <w:color w:val="auto"/>
          <w:sz w:val="20"/>
          <w:szCs w:val="20"/>
          <w:lang w:val="es-ES"/>
        </w:rPr>
        <w:t>o</w:t>
      </w:r>
      <w:r w:rsidR="00E00B9B" w:rsidRPr="00975C02">
        <w:rPr>
          <w:rFonts w:ascii="Verdana" w:hAnsi="Verdana"/>
          <w:color w:val="auto"/>
          <w:sz w:val="20"/>
          <w:szCs w:val="20"/>
          <w:lang w:val="es-ES"/>
        </w:rPr>
        <w:t>.</w:t>
      </w:r>
      <w:r w:rsidR="000744BD" w:rsidRPr="00975C02">
        <w:rPr>
          <w:rFonts w:ascii="Verdana" w:hAnsi="Verdana"/>
          <w:color w:val="auto"/>
          <w:sz w:val="20"/>
          <w:szCs w:val="20"/>
          <w:lang w:val="es-ES"/>
        </w:rPr>
        <w:t xml:space="preserve"> </w:t>
      </w:r>
      <w:r w:rsidRPr="00975C02">
        <w:rPr>
          <w:rFonts w:ascii="Verdana" w:hAnsi="Verdana"/>
          <w:color w:val="auto"/>
          <w:sz w:val="20"/>
          <w:szCs w:val="20"/>
          <w:lang w:val="es-ES"/>
        </w:rPr>
        <w:t>Nicaragua deberá cumplir con esta medida de reparación en el plazo de dos años desde la notificación de la presente Sentencia.</w:t>
      </w:r>
    </w:p>
    <w:p w14:paraId="4DB49AD3" w14:textId="77777777" w:rsidR="008F7852" w:rsidRPr="00975C02" w:rsidRDefault="008F7852" w:rsidP="00DF3D71">
      <w:pPr>
        <w:pStyle w:val="Default"/>
        <w:tabs>
          <w:tab w:val="left" w:pos="567"/>
        </w:tabs>
        <w:ind w:left="32"/>
        <w:jc w:val="both"/>
        <w:rPr>
          <w:rFonts w:ascii="Verdana" w:hAnsi="Verdana"/>
          <w:color w:val="auto"/>
          <w:sz w:val="20"/>
          <w:szCs w:val="20"/>
          <w:lang w:val="es-ES"/>
        </w:rPr>
      </w:pPr>
    </w:p>
    <w:p w14:paraId="24A46386" w14:textId="77777777" w:rsidR="008F7852" w:rsidRPr="00975C02" w:rsidRDefault="00D8602B" w:rsidP="00DF3D71">
      <w:pPr>
        <w:spacing w:line="240" w:lineRule="auto"/>
        <w:ind w:left="1276"/>
        <w:rPr>
          <w:i/>
          <w:iCs/>
          <w:sz w:val="20"/>
          <w:szCs w:val="20"/>
          <w:lang w:val="es-ES"/>
        </w:rPr>
      </w:pPr>
      <w:r w:rsidRPr="00975C02">
        <w:rPr>
          <w:i/>
          <w:iCs/>
          <w:sz w:val="20"/>
          <w:szCs w:val="20"/>
          <w:lang w:val="es-ES"/>
        </w:rPr>
        <w:t>b</w:t>
      </w:r>
      <w:r w:rsidR="008F7852" w:rsidRPr="00975C02">
        <w:rPr>
          <w:i/>
          <w:iCs/>
          <w:sz w:val="20"/>
          <w:szCs w:val="20"/>
          <w:lang w:val="es-ES"/>
        </w:rPr>
        <w:t>) Capacita</w:t>
      </w:r>
      <w:r w:rsidR="007F2D69" w:rsidRPr="00975C02">
        <w:rPr>
          <w:i/>
          <w:iCs/>
          <w:sz w:val="20"/>
          <w:szCs w:val="20"/>
          <w:lang w:val="es-ES"/>
        </w:rPr>
        <w:t>ción para funcionarios públicos</w:t>
      </w:r>
    </w:p>
    <w:p w14:paraId="518AE179" w14:textId="77777777" w:rsidR="008F7852" w:rsidRPr="00975C02" w:rsidRDefault="008F7852" w:rsidP="008F7852">
      <w:pPr>
        <w:spacing w:line="240" w:lineRule="auto"/>
        <w:rPr>
          <w:iCs/>
          <w:sz w:val="20"/>
          <w:szCs w:val="20"/>
          <w:lang w:val="es-ES"/>
        </w:rPr>
      </w:pPr>
    </w:p>
    <w:p w14:paraId="57F8B7F9" w14:textId="402E8C93" w:rsidR="008F7852" w:rsidRPr="00975C02" w:rsidRDefault="008F7852" w:rsidP="008F7852">
      <w:pPr>
        <w:numPr>
          <w:ilvl w:val="0"/>
          <w:numId w:val="2"/>
        </w:numPr>
        <w:tabs>
          <w:tab w:val="left" w:pos="567"/>
          <w:tab w:val="num" w:pos="5057"/>
        </w:tabs>
        <w:spacing w:line="240" w:lineRule="auto"/>
        <w:ind w:left="0" w:firstLine="0"/>
        <w:textAlignment w:val="auto"/>
        <w:rPr>
          <w:rFonts w:eastAsia="MS Mincho"/>
          <w:sz w:val="20"/>
          <w:szCs w:val="20"/>
          <w:lang w:val="es-ES" w:bidi="en-US"/>
        </w:rPr>
      </w:pPr>
      <w:r w:rsidRPr="00975C02">
        <w:rPr>
          <w:rFonts w:eastAsia="MS Mincho"/>
          <w:sz w:val="20"/>
          <w:szCs w:val="20"/>
          <w:lang w:val="es-ES" w:bidi="en-US"/>
        </w:rPr>
        <w:t xml:space="preserve">La </w:t>
      </w:r>
      <w:r w:rsidRPr="00975C02">
        <w:rPr>
          <w:rFonts w:eastAsia="MS Mincho" w:cs="Verdana"/>
          <w:b/>
          <w:i/>
          <w:sz w:val="20"/>
          <w:szCs w:val="20"/>
          <w:lang w:val="es-ES" w:bidi="en-US"/>
        </w:rPr>
        <w:t>Comisión</w:t>
      </w:r>
      <w:r w:rsidRPr="00975C02">
        <w:rPr>
          <w:rFonts w:eastAsia="MS Mincho"/>
          <w:sz w:val="20"/>
          <w:szCs w:val="20"/>
          <w:lang w:val="es-ES" w:bidi="en-US"/>
        </w:rPr>
        <w:t xml:space="preserve"> recomendó </w:t>
      </w:r>
      <w:r w:rsidRPr="00975C02">
        <w:rPr>
          <w:sz w:val="20"/>
          <w:szCs w:val="20"/>
          <w:lang w:val="es-ES"/>
        </w:rPr>
        <w:t>que se diseñ</w:t>
      </w:r>
      <w:r w:rsidR="00802B70" w:rsidRPr="00975C02">
        <w:rPr>
          <w:sz w:val="20"/>
          <w:szCs w:val="20"/>
          <w:lang w:val="es-ES"/>
        </w:rPr>
        <w:t>ara</w:t>
      </w:r>
      <w:r w:rsidRPr="00975C02">
        <w:rPr>
          <w:sz w:val="20"/>
          <w:szCs w:val="20"/>
          <w:lang w:val="es-ES"/>
        </w:rPr>
        <w:t>n e implement</w:t>
      </w:r>
      <w:r w:rsidR="00802B70" w:rsidRPr="00975C02">
        <w:rPr>
          <w:sz w:val="20"/>
          <w:szCs w:val="20"/>
          <w:lang w:val="es-ES"/>
        </w:rPr>
        <w:t>ara</w:t>
      </w:r>
      <w:r w:rsidRPr="00975C02">
        <w:rPr>
          <w:sz w:val="20"/>
          <w:szCs w:val="20"/>
          <w:lang w:val="es-ES"/>
        </w:rPr>
        <w:t>n programas de capacitación permanentes para funcionarios públicos del Poder Judicial, Ministerio Público y Policía Nacional, sobre estándares internacionales en materia de investigación de violación sexual y otras formas de violencia sexual en contra de mujeres, incluyendo niñas. Asimismo, solicitó</w:t>
      </w:r>
      <w:r w:rsidR="00802B70" w:rsidRPr="00975C02">
        <w:rPr>
          <w:sz w:val="20"/>
          <w:szCs w:val="20"/>
          <w:lang w:val="es-ES"/>
        </w:rPr>
        <w:t xml:space="preserve"> que</w:t>
      </w:r>
      <w:r w:rsidRPr="00975C02">
        <w:rPr>
          <w:sz w:val="20"/>
          <w:szCs w:val="20"/>
          <w:lang w:val="es-ES"/>
        </w:rPr>
        <w:t xml:space="preserve"> se capacit</w:t>
      </w:r>
      <w:r w:rsidR="00802B70" w:rsidRPr="00975C02">
        <w:rPr>
          <w:sz w:val="20"/>
          <w:szCs w:val="20"/>
          <w:lang w:val="es-ES"/>
        </w:rPr>
        <w:t>ara</w:t>
      </w:r>
      <w:r w:rsidRPr="00975C02">
        <w:rPr>
          <w:sz w:val="20"/>
          <w:szCs w:val="20"/>
          <w:lang w:val="es-ES"/>
        </w:rPr>
        <w:t xml:space="preserve"> al personal de salud, tanto médico como psicológico, que esté vinculado a dichas investigaciones, sobre los estándares internacionales en materia de trato a niñ</w:t>
      </w:r>
      <w:r w:rsidR="00821DFA" w:rsidRPr="00975C02">
        <w:rPr>
          <w:sz w:val="20"/>
          <w:szCs w:val="20"/>
          <w:lang w:val="es-ES"/>
        </w:rPr>
        <w:t>a</w:t>
      </w:r>
      <w:r w:rsidRPr="00975C02">
        <w:rPr>
          <w:sz w:val="20"/>
          <w:szCs w:val="20"/>
          <w:lang w:val="es-ES"/>
        </w:rPr>
        <w:t>s y niñ</w:t>
      </w:r>
      <w:r w:rsidR="00821DFA" w:rsidRPr="00975C02">
        <w:rPr>
          <w:sz w:val="20"/>
          <w:szCs w:val="20"/>
          <w:lang w:val="es-ES"/>
        </w:rPr>
        <w:t>o</w:t>
      </w:r>
      <w:r w:rsidRPr="00975C02">
        <w:rPr>
          <w:sz w:val="20"/>
          <w:szCs w:val="20"/>
          <w:lang w:val="es-ES"/>
        </w:rPr>
        <w:t>s víctimas de violencia sexual</w:t>
      </w:r>
      <w:r w:rsidR="001C0BD0" w:rsidRPr="00975C02">
        <w:rPr>
          <w:sz w:val="20"/>
          <w:szCs w:val="20"/>
          <w:lang w:val="es-ES"/>
        </w:rPr>
        <w:t>.</w:t>
      </w:r>
      <w:r w:rsidRPr="00975C02">
        <w:rPr>
          <w:sz w:val="20"/>
          <w:szCs w:val="20"/>
          <w:lang w:val="es-ES"/>
        </w:rPr>
        <w:t xml:space="preserve"> </w:t>
      </w:r>
    </w:p>
    <w:p w14:paraId="7BB69D33" w14:textId="77777777" w:rsidR="008F7852" w:rsidRPr="00975C02" w:rsidRDefault="008F7852" w:rsidP="008F7852">
      <w:pPr>
        <w:tabs>
          <w:tab w:val="left" w:pos="0"/>
          <w:tab w:val="num" w:pos="11028"/>
        </w:tabs>
        <w:spacing w:line="240" w:lineRule="auto"/>
        <w:ind w:right="-90"/>
        <w:rPr>
          <w:rFonts w:eastAsia="MS Mincho"/>
          <w:sz w:val="20"/>
          <w:szCs w:val="20"/>
          <w:lang w:val="es-ES" w:bidi="en-US"/>
        </w:rPr>
      </w:pPr>
    </w:p>
    <w:p w14:paraId="27B9B440" w14:textId="7CF82AE8" w:rsidR="008F7852" w:rsidRPr="00975C02" w:rsidRDefault="008F7852" w:rsidP="008F7852">
      <w:pPr>
        <w:numPr>
          <w:ilvl w:val="0"/>
          <w:numId w:val="2"/>
        </w:numPr>
        <w:tabs>
          <w:tab w:val="left" w:pos="567"/>
          <w:tab w:val="num" w:pos="5057"/>
        </w:tabs>
        <w:spacing w:line="240" w:lineRule="auto"/>
        <w:ind w:left="0" w:firstLine="0"/>
        <w:textAlignment w:val="auto"/>
        <w:rPr>
          <w:sz w:val="20"/>
          <w:szCs w:val="20"/>
          <w:lang w:val="es-ES"/>
        </w:rPr>
      </w:pPr>
      <w:r w:rsidRPr="00975C02">
        <w:rPr>
          <w:rFonts w:eastAsia="MS Mincho"/>
          <w:iCs/>
          <w:sz w:val="20"/>
          <w:szCs w:val="20"/>
          <w:lang w:val="es-ES" w:bidi="en-US"/>
        </w:rPr>
        <w:t>Las</w:t>
      </w:r>
      <w:r w:rsidRPr="00975C02">
        <w:rPr>
          <w:rFonts w:eastAsia="MS Mincho"/>
          <w:i/>
          <w:sz w:val="20"/>
          <w:szCs w:val="20"/>
          <w:lang w:val="es-ES" w:bidi="en-US"/>
        </w:rPr>
        <w:t xml:space="preserve"> </w:t>
      </w:r>
      <w:r w:rsidRPr="00975C02">
        <w:rPr>
          <w:rFonts w:eastAsia="MS Mincho"/>
          <w:b/>
          <w:i/>
          <w:sz w:val="20"/>
          <w:szCs w:val="20"/>
          <w:lang w:val="es-ES" w:bidi="en-US"/>
        </w:rPr>
        <w:t>representantes</w:t>
      </w:r>
      <w:r w:rsidRPr="00975C02">
        <w:rPr>
          <w:rFonts w:eastAsia="MS Mincho"/>
          <w:sz w:val="20"/>
          <w:szCs w:val="20"/>
          <w:lang w:val="es-ES" w:bidi="en-US"/>
        </w:rPr>
        <w:t>, por su parte, solicitaron que los servidores públicos que por su función trabajen en temas de agresiones sexuales sean capacitados en el ámbito de derechos humanos y buenas prácticas en el manejo de víctimas de tales agresiones, impidiendo de ese modo la revictimización, especialmente cuando se trata de</w:t>
      </w:r>
      <w:r w:rsidR="00821DFA" w:rsidRPr="00975C02">
        <w:rPr>
          <w:rFonts w:eastAsia="MS Mincho"/>
          <w:sz w:val="20"/>
          <w:szCs w:val="20"/>
          <w:lang w:val="es-ES" w:bidi="en-US"/>
        </w:rPr>
        <w:t xml:space="preserve"> personas</w:t>
      </w:r>
      <w:r w:rsidRPr="00975C02">
        <w:rPr>
          <w:rFonts w:eastAsia="MS Mincho"/>
          <w:sz w:val="20"/>
          <w:szCs w:val="20"/>
          <w:lang w:val="es-ES" w:bidi="en-US"/>
        </w:rPr>
        <w:t xml:space="preserve"> menores de edad.</w:t>
      </w:r>
    </w:p>
    <w:p w14:paraId="1A44C582" w14:textId="77777777" w:rsidR="008F7852" w:rsidRPr="00975C02" w:rsidRDefault="008F7852" w:rsidP="008F7852">
      <w:pPr>
        <w:pStyle w:val="ListParagraph"/>
        <w:spacing w:line="240" w:lineRule="auto"/>
        <w:ind w:left="0"/>
        <w:rPr>
          <w:rFonts w:eastAsia="MS Mincho"/>
          <w:sz w:val="20"/>
          <w:szCs w:val="20"/>
          <w:lang w:val="es-ES" w:bidi="en-US"/>
        </w:rPr>
      </w:pPr>
    </w:p>
    <w:p w14:paraId="5B59BFED" w14:textId="74961E48" w:rsidR="008F7852" w:rsidRPr="00975C02" w:rsidRDefault="008F7852" w:rsidP="008F7852">
      <w:pPr>
        <w:numPr>
          <w:ilvl w:val="0"/>
          <w:numId w:val="2"/>
        </w:numPr>
        <w:tabs>
          <w:tab w:val="left" w:pos="567"/>
          <w:tab w:val="num" w:pos="5057"/>
        </w:tabs>
        <w:spacing w:line="240" w:lineRule="auto"/>
        <w:ind w:left="0" w:firstLine="0"/>
        <w:textAlignment w:val="auto"/>
        <w:rPr>
          <w:sz w:val="20"/>
          <w:szCs w:val="20"/>
          <w:lang w:val="es-ES"/>
        </w:rPr>
      </w:pPr>
      <w:r w:rsidRPr="00975C02">
        <w:rPr>
          <w:rFonts w:eastAsia="MS Mincho"/>
          <w:sz w:val="20"/>
          <w:szCs w:val="20"/>
          <w:lang w:val="es-ES" w:bidi="en-US"/>
        </w:rPr>
        <w:t xml:space="preserve">El </w:t>
      </w:r>
      <w:r w:rsidRPr="00975C02">
        <w:rPr>
          <w:rFonts w:eastAsia="MS Mincho"/>
          <w:b/>
          <w:i/>
          <w:sz w:val="20"/>
          <w:szCs w:val="20"/>
          <w:lang w:val="es-ES" w:bidi="en-US"/>
        </w:rPr>
        <w:t>Estado</w:t>
      </w:r>
      <w:r w:rsidRPr="00975C02">
        <w:rPr>
          <w:rFonts w:eastAsia="MS Mincho"/>
          <w:sz w:val="20"/>
          <w:szCs w:val="20"/>
          <w:lang w:val="es-ES" w:bidi="en-US"/>
        </w:rPr>
        <w:t xml:space="preserve"> señaló que</w:t>
      </w:r>
      <w:r w:rsidR="00821DFA" w:rsidRPr="00975C02">
        <w:rPr>
          <w:rFonts w:eastAsia="MS Mincho"/>
          <w:sz w:val="20"/>
          <w:szCs w:val="20"/>
          <w:lang w:val="es-ES" w:bidi="en-US"/>
        </w:rPr>
        <w:t xml:space="preserve"> se encuentra trabajando</w:t>
      </w:r>
      <w:r w:rsidRPr="00975C02">
        <w:rPr>
          <w:rFonts w:eastAsia="MS Mincho"/>
          <w:sz w:val="20"/>
          <w:szCs w:val="20"/>
          <w:lang w:val="es-ES" w:bidi="en-US"/>
        </w:rPr>
        <w:t xml:space="preserve"> </w:t>
      </w:r>
      <w:r w:rsidR="00821DFA" w:rsidRPr="00975C02">
        <w:rPr>
          <w:rFonts w:eastAsia="MS Mincho"/>
          <w:sz w:val="20"/>
          <w:szCs w:val="20"/>
          <w:lang w:val="es-ES" w:bidi="en-US"/>
        </w:rPr>
        <w:t xml:space="preserve">sobre </w:t>
      </w:r>
      <w:r w:rsidRPr="00975C02">
        <w:rPr>
          <w:rFonts w:eastAsia="MS Mincho"/>
          <w:sz w:val="20"/>
          <w:szCs w:val="20"/>
          <w:lang w:val="es-ES" w:bidi="en-US"/>
        </w:rPr>
        <w:t xml:space="preserve">esta recomendación como parte intrínseca de la actualización de su legislación en materia penal con una perspectiva de género. </w:t>
      </w:r>
      <w:r w:rsidRPr="00975C02">
        <w:rPr>
          <w:rFonts w:eastAsia="MS Mincho"/>
          <w:sz w:val="20"/>
          <w:szCs w:val="20"/>
          <w:lang w:val="es-ES" w:bidi="en-US"/>
        </w:rPr>
        <w:lastRenderedPageBreak/>
        <w:t>Agregó que la Asamblea Nacional, la Corte Suprema de Justicia, la Policía Nacional y el Ministerio Público de Nicaragua han creado la Unidad y Secretarías Técnicas de Género, para incluir la temática de género en el proceso de formación de la ley y las funciones propias de cada una de esas instituciones</w:t>
      </w:r>
      <w:r w:rsidR="00F4144A" w:rsidRPr="00975C02">
        <w:rPr>
          <w:rFonts w:eastAsia="MS Mincho"/>
          <w:sz w:val="20"/>
          <w:szCs w:val="20"/>
          <w:lang w:val="es-ES" w:bidi="en-US"/>
        </w:rPr>
        <w:t>. Refirió que</w:t>
      </w:r>
      <w:r w:rsidRPr="00975C02">
        <w:rPr>
          <w:rFonts w:eastAsia="MS Mincho"/>
          <w:sz w:val="20"/>
          <w:szCs w:val="20"/>
          <w:lang w:val="es-ES" w:bidi="en-US"/>
        </w:rPr>
        <w:t xml:space="preserve"> tanto la Unidad como las Secretarías Técnicas </w:t>
      </w:r>
      <w:r w:rsidR="00F4144A" w:rsidRPr="00975C02">
        <w:rPr>
          <w:rFonts w:eastAsia="MS Mincho"/>
          <w:sz w:val="20"/>
          <w:szCs w:val="20"/>
          <w:lang w:val="es-ES" w:bidi="en-US"/>
        </w:rPr>
        <w:t>han</w:t>
      </w:r>
      <w:r w:rsidRPr="00975C02">
        <w:rPr>
          <w:rFonts w:eastAsia="MS Mincho"/>
          <w:sz w:val="20"/>
          <w:szCs w:val="20"/>
          <w:lang w:val="es-ES" w:bidi="en-US"/>
        </w:rPr>
        <w:t xml:space="preserve"> brindado capacitaci</w:t>
      </w:r>
      <w:r w:rsidR="00F4144A" w:rsidRPr="00975C02">
        <w:rPr>
          <w:rFonts w:eastAsia="MS Mincho"/>
          <w:sz w:val="20"/>
          <w:szCs w:val="20"/>
          <w:lang w:val="es-ES" w:bidi="en-US"/>
        </w:rPr>
        <w:t>o</w:t>
      </w:r>
      <w:r w:rsidRPr="00975C02">
        <w:rPr>
          <w:rFonts w:eastAsia="MS Mincho"/>
          <w:sz w:val="20"/>
          <w:szCs w:val="20"/>
          <w:lang w:val="es-ES" w:bidi="en-US"/>
        </w:rPr>
        <w:t>n</w:t>
      </w:r>
      <w:r w:rsidR="00F4144A" w:rsidRPr="00975C02">
        <w:rPr>
          <w:rFonts w:eastAsia="MS Mincho"/>
          <w:sz w:val="20"/>
          <w:szCs w:val="20"/>
          <w:lang w:val="es-ES" w:bidi="en-US"/>
        </w:rPr>
        <w:t>es</w:t>
      </w:r>
      <w:r w:rsidRPr="00975C02">
        <w:rPr>
          <w:rFonts w:eastAsia="MS Mincho"/>
          <w:sz w:val="20"/>
          <w:szCs w:val="20"/>
          <w:lang w:val="es-ES" w:bidi="en-US"/>
        </w:rPr>
        <w:t xml:space="preserve"> sobre enfoque de género a funcionarios y funcionarias. Precisó que</w:t>
      </w:r>
      <w:r w:rsidR="00F4144A" w:rsidRPr="00975C02">
        <w:rPr>
          <w:rFonts w:eastAsia="MS Mincho"/>
          <w:sz w:val="20"/>
          <w:szCs w:val="20"/>
          <w:lang w:val="es-ES" w:bidi="en-US"/>
        </w:rPr>
        <w:t>,</w:t>
      </w:r>
      <w:r w:rsidRPr="00975C02">
        <w:rPr>
          <w:rFonts w:eastAsia="MS Mincho"/>
          <w:sz w:val="20"/>
          <w:szCs w:val="20"/>
          <w:lang w:val="es-ES" w:bidi="en-US"/>
        </w:rPr>
        <w:t xml:space="preserve"> en el ámbito de la salud, se encuentran funcionando</w:t>
      </w:r>
      <w:r w:rsidR="00F4144A" w:rsidRPr="00975C02">
        <w:rPr>
          <w:rFonts w:eastAsia="MS Mincho"/>
          <w:sz w:val="20"/>
          <w:szCs w:val="20"/>
          <w:lang w:val="es-ES" w:bidi="en-US"/>
        </w:rPr>
        <w:t xml:space="preserve"> desde el año 2009</w:t>
      </w:r>
      <w:r w:rsidRPr="00975C02">
        <w:rPr>
          <w:rFonts w:eastAsia="MS Mincho"/>
          <w:sz w:val="20"/>
          <w:szCs w:val="20"/>
          <w:lang w:val="es-ES" w:bidi="en-US"/>
        </w:rPr>
        <w:t xml:space="preserve"> las Normas y Protocolos para la prevención, detección y atención de la violencia intrafamiliar y sexual.</w:t>
      </w:r>
    </w:p>
    <w:p w14:paraId="1D24CDAD" w14:textId="77777777" w:rsidR="008F7852" w:rsidRPr="00975C02" w:rsidRDefault="008F7852" w:rsidP="008F7852">
      <w:pPr>
        <w:pStyle w:val="ListParagraph"/>
        <w:spacing w:line="240" w:lineRule="auto"/>
        <w:rPr>
          <w:sz w:val="20"/>
          <w:szCs w:val="20"/>
          <w:lang w:val="es-ES"/>
        </w:rPr>
      </w:pPr>
    </w:p>
    <w:p w14:paraId="27F332E0" w14:textId="212CCFEE" w:rsidR="008F7852" w:rsidRPr="00975C02" w:rsidRDefault="008F7852" w:rsidP="008F7852">
      <w:pPr>
        <w:pStyle w:val="Default"/>
        <w:numPr>
          <w:ilvl w:val="0"/>
          <w:numId w:val="2"/>
        </w:numPr>
        <w:tabs>
          <w:tab w:val="left" w:pos="567"/>
        </w:tabs>
        <w:ind w:left="32" w:hanging="32"/>
        <w:jc w:val="both"/>
        <w:rPr>
          <w:rFonts w:ascii="Verdana" w:hAnsi="Verdana"/>
          <w:color w:val="auto"/>
          <w:sz w:val="20"/>
          <w:szCs w:val="20"/>
          <w:lang w:val="es-ES"/>
        </w:rPr>
      </w:pPr>
      <w:r w:rsidRPr="00975C02">
        <w:rPr>
          <w:rFonts w:ascii="Verdana" w:hAnsi="Verdana"/>
          <w:color w:val="auto"/>
          <w:sz w:val="20"/>
          <w:szCs w:val="20"/>
          <w:lang w:val="es-ES"/>
        </w:rPr>
        <w:t xml:space="preserve">La Corte nota que el artículo 33 de la </w:t>
      </w:r>
      <w:r w:rsidR="00CB5403">
        <w:rPr>
          <w:rFonts w:ascii="Verdana" w:hAnsi="Verdana"/>
          <w:color w:val="auto"/>
          <w:sz w:val="20"/>
          <w:szCs w:val="20"/>
          <w:lang w:val="es-ES"/>
        </w:rPr>
        <w:t>Ley N°</w:t>
      </w:r>
      <w:r w:rsidRPr="00975C02">
        <w:rPr>
          <w:rFonts w:ascii="Verdana" w:hAnsi="Verdana"/>
          <w:color w:val="auto"/>
          <w:sz w:val="20"/>
          <w:szCs w:val="20"/>
          <w:lang w:val="es-ES"/>
        </w:rPr>
        <w:t xml:space="preserve"> 779 se refiere a que el personal que atiende la investigación y tramitación de los procesos relativos a la violencia </w:t>
      </w:r>
      <w:r w:rsidR="004F1424" w:rsidRPr="00975C02">
        <w:rPr>
          <w:rFonts w:ascii="Verdana" w:hAnsi="Verdana"/>
          <w:color w:val="auto"/>
          <w:sz w:val="20"/>
          <w:szCs w:val="20"/>
          <w:lang w:val="es-ES"/>
        </w:rPr>
        <w:t xml:space="preserve">contra </w:t>
      </w:r>
      <w:r w:rsidRPr="00975C02">
        <w:rPr>
          <w:rFonts w:ascii="Verdana" w:hAnsi="Verdana"/>
          <w:color w:val="auto"/>
          <w:sz w:val="20"/>
          <w:szCs w:val="20"/>
          <w:lang w:val="es-ES"/>
        </w:rPr>
        <w:t xml:space="preserve">la mujer debe ser capacitado en la materia a través de programas de formación inicial, continua y especializada. Por otro lado, la Corte advierte que si bien dicha capacitación abarca a todas las instituciones que integran el sistema de justicia penal, </w:t>
      </w:r>
      <w:r w:rsidR="004F1424" w:rsidRPr="00975C02">
        <w:rPr>
          <w:rFonts w:ascii="Verdana" w:hAnsi="Verdana"/>
          <w:color w:val="auto"/>
          <w:sz w:val="20"/>
          <w:szCs w:val="20"/>
          <w:lang w:val="es-ES"/>
        </w:rPr>
        <w:t xml:space="preserve">ésta se refiere </w:t>
      </w:r>
      <w:r w:rsidRPr="00975C02">
        <w:rPr>
          <w:rFonts w:ascii="Verdana" w:hAnsi="Verdana"/>
          <w:color w:val="auto"/>
          <w:sz w:val="20"/>
          <w:szCs w:val="20"/>
          <w:lang w:val="es-ES"/>
        </w:rPr>
        <w:t>a la violencia contra la mujer</w:t>
      </w:r>
      <w:r w:rsidR="004F1424" w:rsidRPr="00975C02">
        <w:rPr>
          <w:rFonts w:ascii="Verdana" w:hAnsi="Verdana"/>
          <w:color w:val="auto"/>
          <w:sz w:val="20"/>
          <w:szCs w:val="20"/>
          <w:lang w:val="es-ES"/>
        </w:rPr>
        <w:t>, sin especificar las situaciones de violencia contra niñas, niños y adolescentes</w:t>
      </w:r>
      <w:r w:rsidRPr="00975C02">
        <w:rPr>
          <w:rFonts w:ascii="Verdana" w:hAnsi="Verdana"/>
          <w:color w:val="auto"/>
          <w:sz w:val="20"/>
          <w:szCs w:val="20"/>
          <w:lang w:val="es-ES"/>
        </w:rPr>
        <w:t>. Asimismo, el Estado no proveyó información concreta sobre la idoneidad, implementación y permanencia de los pr</w:t>
      </w:r>
      <w:r w:rsidR="00C6782D">
        <w:rPr>
          <w:rFonts w:ascii="Verdana" w:hAnsi="Verdana"/>
          <w:color w:val="auto"/>
          <w:sz w:val="20"/>
          <w:szCs w:val="20"/>
          <w:lang w:val="es-ES"/>
        </w:rPr>
        <w:t>ogramas de formación referidos.</w:t>
      </w:r>
    </w:p>
    <w:p w14:paraId="37F38ABA" w14:textId="77777777" w:rsidR="008F7852" w:rsidRPr="00975C02" w:rsidRDefault="008F7852" w:rsidP="008F7852">
      <w:pPr>
        <w:pStyle w:val="ListParagraph"/>
        <w:spacing w:line="240" w:lineRule="auto"/>
        <w:rPr>
          <w:sz w:val="20"/>
          <w:szCs w:val="20"/>
          <w:lang w:val="es-ES"/>
        </w:rPr>
      </w:pPr>
    </w:p>
    <w:p w14:paraId="151DC2C3" w14:textId="244E1982" w:rsidR="00DD5247" w:rsidRPr="00975C02" w:rsidRDefault="008F7852" w:rsidP="00DD5247">
      <w:pPr>
        <w:pStyle w:val="Default"/>
        <w:numPr>
          <w:ilvl w:val="0"/>
          <w:numId w:val="2"/>
        </w:numPr>
        <w:tabs>
          <w:tab w:val="left" w:pos="567"/>
        </w:tabs>
        <w:ind w:left="32" w:hanging="32"/>
        <w:jc w:val="both"/>
        <w:rPr>
          <w:rFonts w:ascii="Verdana" w:hAnsi="Verdana"/>
          <w:color w:val="auto"/>
          <w:sz w:val="20"/>
          <w:szCs w:val="20"/>
          <w:lang w:val="es-ES"/>
        </w:rPr>
      </w:pPr>
      <w:r w:rsidRPr="00975C02">
        <w:rPr>
          <w:rFonts w:ascii="Verdana" w:hAnsi="Verdana"/>
          <w:color w:val="auto"/>
          <w:sz w:val="20"/>
          <w:szCs w:val="20"/>
          <w:lang w:val="es-ES"/>
        </w:rPr>
        <w:t xml:space="preserve">En consecuencia, este Tribunal estima que el Estado debe </w:t>
      </w:r>
      <w:r w:rsidR="00955C70" w:rsidRPr="00975C02">
        <w:rPr>
          <w:rFonts w:ascii="Verdana" w:hAnsi="Verdana"/>
          <w:color w:val="auto"/>
          <w:sz w:val="20"/>
          <w:szCs w:val="20"/>
          <w:lang w:val="es-ES"/>
        </w:rPr>
        <w:t xml:space="preserve">adoptar e implementar </w:t>
      </w:r>
      <w:r w:rsidRPr="00975C02">
        <w:rPr>
          <w:rFonts w:ascii="Verdana" w:hAnsi="Verdana"/>
          <w:color w:val="auto"/>
          <w:sz w:val="20"/>
          <w:szCs w:val="20"/>
          <w:lang w:val="es-ES"/>
        </w:rPr>
        <w:t>capacitaciones y cursos</w:t>
      </w:r>
      <w:r w:rsidR="00945FBA" w:rsidRPr="00975C02">
        <w:rPr>
          <w:rFonts w:ascii="Verdana" w:hAnsi="Verdana"/>
          <w:color w:val="auto"/>
          <w:sz w:val="20"/>
          <w:szCs w:val="20"/>
          <w:lang w:val="es-ES"/>
        </w:rPr>
        <w:t>,</w:t>
      </w:r>
      <w:r w:rsidRPr="00975C02">
        <w:rPr>
          <w:rFonts w:ascii="Verdana" w:hAnsi="Verdana"/>
          <w:color w:val="auto"/>
          <w:sz w:val="20"/>
          <w:szCs w:val="20"/>
          <w:lang w:val="es-ES"/>
        </w:rPr>
        <w:t xml:space="preserve"> </w:t>
      </w:r>
      <w:r w:rsidR="004110D8" w:rsidRPr="00975C02">
        <w:rPr>
          <w:rFonts w:ascii="Verdana" w:hAnsi="Verdana"/>
          <w:color w:val="auto"/>
          <w:sz w:val="20"/>
          <w:szCs w:val="20"/>
          <w:lang w:val="es-ES"/>
        </w:rPr>
        <w:t xml:space="preserve">de carácter </w:t>
      </w:r>
      <w:r w:rsidRPr="00975C02">
        <w:rPr>
          <w:rFonts w:ascii="Verdana" w:hAnsi="Verdana"/>
          <w:color w:val="auto"/>
          <w:sz w:val="20"/>
          <w:szCs w:val="20"/>
          <w:lang w:val="es-ES"/>
        </w:rPr>
        <w:t>permanente</w:t>
      </w:r>
      <w:r w:rsidR="00945FBA" w:rsidRPr="00975C02">
        <w:rPr>
          <w:rFonts w:ascii="Verdana" w:hAnsi="Verdana"/>
          <w:color w:val="auto"/>
          <w:sz w:val="20"/>
          <w:szCs w:val="20"/>
          <w:lang w:val="es-ES"/>
        </w:rPr>
        <w:t>,</w:t>
      </w:r>
      <w:r w:rsidRPr="00975C02">
        <w:rPr>
          <w:rFonts w:ascii="Verdana" w:hAnsi="Verdana"/>
          <w:color w:val="auto"/>
          <w:sz w:val="20"/>
          <w:szCs w:val="20"/>
          <w:lang w:val="es-ES"/>
        </w:rPr>
        <w:t xml:space="preserve"> para funcionarios públicos </w:t>
      </w:r>
      <w:r w:rsidR="00DD5247" w:rsidRPr="00975C02">
        <w:rPr>
          <w:rFonts w:ascii="Verdana" w:hAnsi="Verdana"/>
          <w:color w:val="auto"/>
          <w:sz w:val="20"/>
          <w:szCs w:val="20"/>
          <w:lang w:val="es-ES"/>
        </w:rPr>
        <w:t xml:space="preserve">que por su función </w:t>
      </w:r>
      <w:r w:rsidR="000659BC" w:rsidRPr="00975C02">
        <w:rPr>
          <w:rFonts w:ascii="Verdana" w:hAnsi="Verdana"/>
          <w:color w:val="auto"/>
          <w:sz w:val="20"/>
          <w:szCs w:val="20"/>
          <w:lang w:val="es-ES"/>
        </w:rPr>
        <w:t>en el sistema de administración de justicia</w:t>
      </w:r>
      <w:r w:rsidR="00DD5247" w:rsidRPr="00975C02">
        <w:rPr>
          <w:rFonts w:ascii="Verdana" w:hAnsi="Verdana"/>
          <w:color w:val="auto"/>
          <w:sz w:val="20"/>
          <w:szCs w:val="20"/>
          <w:lang w:val="es-ES"/>
        </w:rPr>
        <w:t xml:space="preserve"> trabajen con tem</w:t>
      </w:r>
      <w:r w:rsidR="00945FBA" w:rsidRPr="00975C02">
        <w:rPr>
          <w:rFonts w:ascii="Verdana" w:hAnsi="Verdana"/>
          <w:color w:val="auto"/>
          <w:sz w:val="20"/>
          <w:szCs w:val="20"/>
          <w:lang w:val="es-ES"/>
        </w:rPr>
        <w:t>átic</w:t>
      </w:r>
      <w:r w:rsidR="00DD5247" w:rsidRPr="00975C02">
        <w:rPr>
          <w:rFonts w:ascii="Verdana" w:hAnsi="Verdana"/>
          <w:color w:val="auto"/>
          <w:sz w:val="20"/>
          <w:szCs w:val="20"/>
          <w:lang w:val="es-ES"/>
        </w:rPr>
        <w:t>as de violencia sexual</w:t>
      </w:r>
      <w:r w:rsidR="00945FBA" w:rsidRPr="00975C02">
        <w:rPr>
          <w:rFonts w:ascii="Verdana" w:hAnsi="Verdana"/>
          <w:color w:val="auto"/>
          <w:sz w:val="20"/>
          <w:szCs w:val="20"/>
          <w:lang w:val="es-ES"/>
        </w:rPr>
        <w:t>;</w:t>
      </w:r>
      <w:r w:rsidR="00DD5247" w:rsidRPr="00975C02">
        <w:rPr>
          <w:rFonts w:ascii="Verdana" w:hAnsi="Verdana"/>
          <w:color w:val="auto"/>
          <w:sz w:val="20"/>
          <w:szCs w:val="20"/>
          <w:lang w:val="es-ES"/>
        </w:rPr>
        <w:t xml:space="preserve"> en particular</w:t>
      </w:r>
      <w:r w:rsidR="00945FBA" w:rsidRPr="00975C02">
        <w:rPr>
          <w:rFonts w:ascii="Verdana" w:hAnsi="Verdana"/>
          <w:color w:val="auto"/>
          <w:sz w:val="20"/>
          <w:szCs w:val="20"/>
          <w:lang w:val="es-ES"/>
        </w:rPr>
        <w:t>,</w:t>
      </w:r>
      <w:r w:rsidR="00DD5247" w:rsidRPr="00975C02">
        <w:rPr>
          <w:rFonts w:ascii="Verdana" w:hAnsi="Verdana"/>
          <w:color w:val="auto"/>
          <w:sz w:val="20"/>
          <w:szCs w:val="20"/>
          <w:lang w:val="es-ES"/>
        </w:rPr>
        <w:t xml:space="preserve"> los funcionarios </w:t>
      </w:r>
      <w:r w:rsidRPr="00975C02">
        <w:rPr>
          <w:rFonts w:ascii="Verdana" w:hAnsi="Verdana"/>
          <w:color w:val="auto"/>
          <w:sz w:val="20"/>
          <w:szCs w:val="20"/>
          <w:lang w:val="es-ES"/>
        </w:rPr>
        <w:t>pertenecientes al Poder Judicial, Ministerio Público y Policía Nacional</w:t>
      </w:r>
      <w:r w:rsidR="00945FBA" w:rsidRPr="00975C02">
        <w:rPr>
          <w:rFonts w:ascii="Verdana" w:hAnsi="Verdana"/>
          <w:color w:val="auto"/>
          <w:sz w:val="20"/>
          <w:szCs w:val="20"/>
          <w:lang w:val="es-ES"/>
        </w:rPr>
        <w:t>. Dichas capacitaciones</w:t>
      </w:r>
      <w:r w:rsidR="00B73244" w:rsidRPr="00975C02">
        <w:rPr>
          <w:rFonts w:ascii="Verdana" w:hAnsi="Verdana"/>
          <w:color w:val="auto"/>
          <w:sz w:val="20"/>
          <w:szCs w:val="20"/>
          <w:lang w:val="es-ES"/>
        </w:rPr>
        <w:t xml:space="preserve"> y cursos</w:t>
      </w:r>
      <w:r w:rsidR="00945FBA" w:rsidRPr="00975C02">
        <w:rPr>
          <w:rFonts w:ascii="Verdana" w:hAnsi="Verdana"/>
          <w:color w:val="auto"/>
          <w:sz w:val="20"/>
          <w:szCs w:val="20"/>
          <w:lang w:val="es-ES"/>
        </w:rPr>
        <w:t xml:space="preserve"> deben versar</w:t>
      </w:r>
      <w:r w:rsidRPr="00975C02">
        <w:rPr>
          <w:rFonts w:ascii="Verdana" w:hAnsi="Verdana"/>
          <w:color w:val="auto"/>
          <w:sz w:val="20"/>
          <w:szCs w:val="20"/>
          <w:lang w:val="es-ES"/>
        </w:rPr>
        <w:t xml:space="preserve"> </w:t>
      </w:r>
      <w:r w:rsidR="00DD5247" w:rsidRPr="00975C02">
        <w:rPr>
          <w:rFonts w:ascii="Verdana" w:hAnsi="Verdana"/>
          <w:color w:val="auto"/>
          <w:sz w:val="20"/>
          <w:szCs w:val="20"/>
          <w:lang w:val="es-ES"/>
        </w:rPr>
        <w:t xml:space="preserve">sobre estándares de debida diligencia en la </w:t>
      </w:r>
      <w:r w:rsidRPr="00975C02">
        <w:rPr>
          <w:rFonts w:ascii="Verdana" w:hAnsi="Verdana"/>
          <w:color w:val="auto"/>
          <w:sz w:val="20"/>
          <w:szCs w:val="20"/>
          <w:lang w:val="es-ES"/>
        </w:rPr>
        <w:t>investigación</w:t>
      </w:r>
      <w:r w:rsidR="00DD5247" w:rsidRPr="00975C02">
        <w:rPr>
          <w:rFonts w:ascii="Verdana" w:hAnsi="Verdana"/>
          <w:color w:val="auto"/>
          <w:sz w:val="20"/>
          <w:szCs w:val="20"/>
          <w:lang w:val="es-ES"/>
        </w:rPr>
        <w:t xml:space="preserve"> de casos de violencia sexual contra niñas, niños y adolescentes, así como su erradicación y </w:t>
      </w:r>
      <w:r w:rsidR="006C398C" w:rsidRPr="00975C02">
        <w:rPr>
          <w:rFonts w:ascii="Verdana" w:hAnsi="Verdana"/>
          <w:color w:val="auto"/>
          <w:sz w:val="20"/>
          <w:szCs w:val="20"/>
          <w:lang w:val="es-ES"/>
        </w:rPr>
        <w:t xml:space="preserve">las </w:t>
      </w:r>
      <w:r w:rsidR="00DD5247" w:rsidRPr="00975C02">
        <w:rPr>
          <w:rFonts w:ascii="Verdana" w:hAnsi="Verdana"/>
          <w:color w:val="auto"/>
          <w:sz w:val="20"/>
          <w:szCs w:val="20"/>
          <w:lang w:val="es-ES"/>
        </w:rPr>
        <w:t>medidas de protección a adoptar. Además, las capacitaciones deberán basarse en los criterios establecidos en la presente Sentencia, los cuales se corresponden con el contenido de los protocolos estandarizados ordenados por esta Corte (</w:t>
      </w:r>
      <w:r w:rsidR="00DD5247" w:rsidRPr="00975C02">
        <w:rPr>
          <w:rFonts w:ascii="Verdana" w:hAnsi="Verdana"/>
          <w:i/>
          <w:color w:val="auto"/>
          <w:sz w:val="20"/>
          <w:szCs w:val="20"/>
          <w:lang w:val="es-ES"/>
        </w:rPr>
        <w:t>supra</w:t>
      </w:r>
      <w:r w:rsidR="00DD5247" w:rsidRPr="00975C02">
        <w:rPr>
          <w:rFonts w:ascii="Verdana" w:hAnsi="Verdana"/>
          <w:color w:val="auto"/>
          <w:sz w:val="20"/>
          <w:szCs w:val="20"/>
          <w:lang w:val="es-ES"/>
        </w:rPr>
        <w:t xml:space="preserve"> párrs. </w:t>
      </w:r>
      <w:r w:rsidR="00D229FA" w:rsidRPr="00975C02">
        <w:rPr>
          <w:rFonts w:ascii="Verdana" w:hAnsi="Verdana"/>
          <w:color w:val="auto"/>
          <w:sz w:val="20"/>
          <w:szCs w:val="20"/>
          <w:lang w:val="es-ES"/>
        </w:rPr>
        <w:t>381 a 384</w:t>
      </w:r>
      <w:r w:rsidR="00DD5247" w:rsidRPr="00975C02">
        <w:rPr>
          <w:rFonts w:ascii="Verdana" w:hAnsi="Verdana"/>
          <w:color w:val="auto"/>
          <w:sz w:val="20"/>
          <w:szCs w:val="20"/>
          <w:lang w:val="es-ES"/>
        </w:rPr>
        <w:t xml:space="preserve">), en la jurisprudencia de la Corte en relación con la violencia de género y protección de los derechos del niño, así como en los estándares internacionales en la materia. Las capacitaciones deberán impartirse desde una perspectiva de género y de protección de la </w:t>
      </w:r>
      <w:r w:rsidR="00522B60" w:rsidRPr="00975C02">
        <w:rPr>
          <w:rFonts w:ascii="Verdana" w:hAnsi="Verdana"/>
          <w:color w:val="auto"/>
          <w:sz w:val="20"/>
          <w:szCs w:val="20"/>
          <w:lang w:val="es-ES"/>
        </w:rPr>
        <w:t>niñez</w:t>
      </w:r>
      <w:r w:rsidR="00DD5247" w:rsidRPr="00975C02">
        <w:rPr>
          <w:rFonts w:ascii="Verdana" w:hAnsi="Verdana"/>
          <w:color w:val="auto"/>
          <w:sz w:val="20"/>
          <w:szCs w:val="20"/>
          <w:lang w:val="es-ES"/>
        </w:rPr>
        <w:t>, tendente a la deconstrucción de estereotipos de género y falsas creencias en torno a la violencia sexual</w:t>
      </w:r>
      <w:r w:rsidR="004312BA" w:rsidRPr="00975C02">
        <w:rPr>
          <w:rFonts w:ascii="Verdana" w:hAnsi="Verdana"/>
          <w:color w:val="auto"/>
          <w:sz w:val="20"/>
          <w:szCs w:val="20"/>
          <w:lang w:val="es-ES"/>
        </w:rPr>
        <w:t>, para asegurar que las investigaciones y enjuiciamientos de estos hechos se realicen de acuerdo a los más estrictos estándares de debida diligencia</w:t>
      </w:r>
      <w:r w:rsidR="00DD5247" w:rsidRPr="00975C02">
        <w:rPr>
          <w:rFonts w:ascii="Verdana" w:hAnsi="Verdana"/>
          <w:color w:val="auto"/>
          <w:sz w:val="20"/>
          <w:szCs w:val="20"/>
          <w:lang w:val="es-ES"/>
        </w:rPr>
        <w:t>.</w:t>
      </w:r>
    </w:p>
    <w:p w14:paraId="31C5675E" w14:textId="77777777" w:rsidR="00DD5247" w:rsidRPr="00975C02" w:rsidRDefault="00DD5247" w:rsidP="00DF3D71">
      <w:pPr>
        <w:pStyle w:val="Default"/>
        <w:tabs>
          <w:tab w:val="left" w:pos="567"/>
        </w:tabs>
        <w:ind w:left="32"/>
        <w:jc w:val="both"/>
        <w:rPr>
          <w:rFonts w:ascii="Verdana" w:hAnsi="Verdana"/>
          <w:color w:val="auto"/>
          <w:sz w:val="20"/>
          <w:szCs w:val="20"/>
          <w:lang w:val="es-ES"/>
        </w:rPr>
      </w:pPr>
    </w:p>
    <w:p w14:paraId="7D1B4149" w14:textId="0BC53AAB" w:rsidR="004110D8" w:rsidRPr="00975C02" w:rsidRDefault="00DD5247" w:rsidP="00DF3D71">
      <w:pPr>
        <w:pStyle w:val="Default"/>
        <w:numPr>
          <w:ilvl w:val="0"/>
          <w:numId w:val="2"/>
        </w:numPr>
        <w:tabs>
          <w:tab w:val="left" w:pos="567"/>
        </w:tabs>
        <w:ind w:left="32" w:hanging="32"/>
        <w:jc w:val="both"/>
        <w:rPr>
          <w:rFonts w:ascii="Verdana" w:hAnsi="Verdana"/>
          <w:color w:val="auto"/>
          <w:sz w:val="20"/>
          <w:szCs w:val="20"/>
          <w:lang w:val="es-ES"/>
        </w:rPr>
      </w:pPr>
      <w:r w:rsidRPr="00975C02">
        <w:rPr>
          <w:rFonts w:ascii="Verdana" w:hAnsi="Verdana"/>
          <w:color w:val="auto"/>
          <w:sz w:val="20"/>
          <w:szCs w:val="20"/>
          <w:lang w:val="es-ES"/>
        </w:rPr>
        <w:t xml:space="preserve">Asimismo, </w:t>
      </w:r>
      <w:r w:rsidR="003F482F" w:rsidRPr="00975C02">
        <w:rPr>
          <w:rFonts w:ascii="Verdana" w:hAnsi="Verdana"/>
          <w:color w:val="auto"/>
          <w:sz w:val="20"/>
          <w:szCs w:val="20"/>
          <w:lang w:val="es-ES"/>
        </w:rPr>
        <w:t xml:space="preserve">la Corte ordena al Estado que </w:t>
      </w:r>
      <w:r w:rsidR="00955C70" w:rsidRPr="00975C02">
        <w:rPr>
          <w:rFonts w:ascii="Verdana" w:hAnsi="Verdana"/>
          <w:color w:val="auto"/>
          <w:sz w:val="20"/>
          <w:szCs w:val="20"/>
          <w:lang w:val="es-ES"/>
        </w:rPr>
        <w:t>adopte e implemente</w:t>
      </w:r>
      <w:r w:rsidR="00DF51E0" w:rsidRPr="00975C02">
        <w:rPr>
          <w:rFonts w:ascii="Verdana" w:hAnsi="Verdana"/>
          <w:color w:val="auto"/>
          <w:sz w:val="20"/>
          <w:szCs w:val="20"/>
          <w:lang w:val="es-ES"/>
        </w:rPr>
        <w:t xml:space="preserve"> capacitaciones </w:t>
      </w:r>
      <w:r w:rsidR="004110D8" w:rsidRPr="00975C02">
        <w:rPr>
          <w:rFonts w:ascii="Verdana" w:hAnsi="Verdana"/>
          <w:color w:val="auto"/>
          <w:sz w:val="20"/>
          <w:szCs w:val="20"/>
          <w:lang w:val="es-ES"/>
        </w:rPr>
        <w:t>y cursos</w:t>
      </w:r>
      <w:r w:rsidR="00222E0D" w:rsidRPr="00975C02">
        <w:rPr>
          <w:rFonts w:ascii="Verdana" w:hAnsi="Verdana"/>
          <w:color w:val="auto"/>
          <w:sz w:val="20"/>
          <w:szCs w:val="20"/>
          <w:lang w:val="es-ES"/>
        </w:rPr>
        <w:t>,</w:t>
      </w:r>
      <w:r w:rsidR="004110D8" w:rsidRPr="00975C02">
        <w:rPr>
          <w:rFonts w:ascii="Verdana" w:hAnsi="Verdana"/>
          <w:color w:val="auto"/>
          <w:sz w:val="20"/>
          <w:szCs w:val="20"/>
          <w:lang w:val="es-ES"/>
        </w:rPr>
        <w:t xml:space="preserve"> </w:t>
      </w:r>
      <w:r w:rsidR="00C92A43" w:rsidRPr="00975C02">
        <w:rPr>
          <w:rFonts w:ascii="Verdana" w:hAnsi="Verdana"/>
          <w:color w:val="auto"/>
          <w:sz w:val="20"/>
          <w:szCs w:val="20"/>
          <w:lang w:val="es-ES"/>
        </w:rPr>
        <w:t xml:space="preserve">de carácter </w:t>
      </w:r>
      <w:r w:rsidR="00DF51E0" w:rsidRPr="00975C02">
        <w:rPr>
          <w:rFonts w:ascii="Verdana" w:hAnsi="Verdana"/>
          <w:sz w:val="20"/>
          <w:szCs w:val="20"/>
          <w:lang w:val="es-ES"/>
        </w:rPr>
        <w:t>permanente</w:t>
      </w:r>
      <w:r w:rsidR="00C92A43" w:rsidRPr="00975C02">
        <w:rPr>
          <w:rFonts w:ascii="Verdana" w:hAnsi="Verdana"/>
          <w:sz w:val="20"/>
          <w:szCs w:val="20"/>
          <w:lang w:val="es-ES"/>
        </w:rPr>
        <w:t>,</w:t>
      </w:r>
      <w:r w:rsidR="00DF51E0" w:rsidRPr="00975C02">
        <w:rPr>
          <w:rFonts w:ascii="Verdana" w:hAnsi="Verdana"/>
          <w:sz w:val="20"/>
          <w:szCs w:val="20"/>
          <w:lang w:val="es-ES"/>
        </w:rPr>
        <w:t xml:space="preserve"> dirigidas a profesionales médicos y</w:t>
      </w:r>
      <w:r w:rsidR="00DF51E0" w:rsidRPr="00975C02">
        <w:rPr>
          <w:rFonts w:ascii="Verdana" w:hAnsi="Verdana"/>
          <w:color w:val="auto"/>
          <w:sz w:val="20"/>
          <w:szCs w:val="20"/>
          <w:lang w:val="es-ES"/>
        </w:rPr>
        <w:t xml:space="preserve"> </w:t>
      </w:r>
      <w:r w:rsidR="00DF51E0" w:rsidRPr="00975C02">
        <w:rPr>
          <w:rFonts w:ascii="Verdana" w:hAnsi="Verdana"/>
          <w:sz w:val="20"/>
          <w:szCs w:val="20"/>
          <w:lang w:val="es-ES"/>
        </w:rPr>
        <w:t xml:space="preserve">al personal que conforma el sistema </w:t>
      </w:r>
      <w:r w:rsidR="00BC7574" w:rsidRPr="00975C02">
        <w:rPr>
          <w:rFonts w:ascii="Verdana" w:hAnsi="Verdana"/>
          <w:color w:val="auto"/>
          <w:sz w:val="20"/>
          <w:szCs w:val="20"/>
          <w:lang w:val="es-ES"/>
        </w:rPr>
        <w:t xml:space="preserve">público </w:t>
      </w:r>
      <w:r w:rsidR="00DF51E0" w:rsidRPr="00975C02">
        <w:rPr>
          <w:rFonts w:ascii="Verdana" w:hAnsi="Verdana"/>
          <w:sz w:val="20"/>
          <w:szCs w:val="20"/>
          <w:lang w:val="es-ES"/>
        </w:rPr>
        <w:t>de salud</w:t>
      </w:r>
      <w:r w:rsidR="00BC7574" w:rsidRPr="00975C02">
        <w:rPr>
          <w:rFonts w:ascii="Verdana" w:hAnsi="Verdana"/>
          <w:sz w:val="20"/>
          <w:szCs w:val="20"/>
          <w:lang w:val="es-ES"/>
        </w:rPr>
        <w:t xml:space="preserve"> que intervienen en </w:t>
      </w:r>
      <w:r w:rsidR="00C92A43" w:rsidRPr="00975C02">
        <w:rPr>
          <w:rFonts w:ascii="Verdana" w:hAnsi="Verdana"/>
          <w:sz w:val="20"/>
          <w:szCs w:val="20"/>
          <w:lang w:val="es-ES"/>
        </w:rPr>
        <w:t xml:space="preserve">la detección, </w:t>
      </w:r>
      <w:r w:rsidR="00BC7574" w:rsidRPr="00975C02">
        <w:rPr>
          <w:rFonts w:ascii="Verdana" w:hAnsi="Verdana"/>
          <w:sz w:val="20"/>
          <w:szCs w:val="20"/>
          <w:lang w:val="es-ES"/>
        </w:rPr>
        <w:t>el diagnóstico y tratamiento de niñas</w:t>
      </w:r>
      <w:r w:rsidR="008247AD" w:rsidRPr="00975C02">
        <w:rPr>
          <w:rFonts w:ascii="Verdana" w:hAnsi="Verdana"/>
          <w:sz w:val="20"/>
          <w:szCs w:val="20"/>
          <w:lang w:val="es-ES"/>
        </w:rPr>
        <w:t xml:space="preserve">, </w:t>
      </w:r>
      <w:r w:rsidR="00BC7574" w:rsidRPr="00975C02">
        <w:rPr>
          <w:rFonts w:ascii="Verdana" w:hAnsi="Verdana"/>
          <w:sz w:val="20"/>
          <w:szCs w:val="20"/>
          <w:lang w:val="es-ES"/>
        </w:rPr>
        <w:t xml:space="preserve">niños </w:t>
      </w:r>
      <w:r w:rsidR="008247AD" w:rsidRPr="00975C02">
        <w:rPr>
          <w:rFonts w:ascii="Verdana" w:hAnsi="Verdana"/>
          <w:color w:val="auto"/>
          <w:sz w:val="20"/>
          <w:szCs w:val="20"/>
          <w:lang w:val="es-ES"/>
        </w:rPr>
        <w:t xml:space="preserve">y adolescentes </w:t>
      </w:r>
      <w:r w:rsidR="00BC7574" w:rsidRPr="00975C02">
        <w:rPr>
          <w:rFonts w:ascii="Verdana" w:hAnsi="Verdana"/>
          <w:sz w:val="20"/>
          <w:szCs w:val="20"/>
          <w:lang w:val="es-ES"/>
        </w:rPr>
        <w:t>víctimas de violencia sexual,</w:t>
      </w:r>
      <w:r w:rsidR="00DF51E0" w:rsidRPr="00975C02">
        <w:rPr>
          <w:rFonts w:ascii="Verdana" w:hAnsi="Verdana"/>
          <w:sz w:val="20"/>
          <w:szCs w:val="20"/>
          <w:lang w:val="es-ES"/>
        </w:rPr>
        <w:t xml:space="preserve"> </w:t>
      </w:r>
      <w:r w:rsidR="00E01D91" w:rsidRPr="00975C02">
        <w:rPr>
          <w:rFonts w:ascii="Verdana" w:hAnsi="Verdana"/>
          <w:sz w:val="20"/>
          <w:szCs w:val="20"/>
          <w:lang w:val="es-ES"/>
        </w:rPr>
        <w:t>así como a los médicos forenses y demás personal del Instituto de Medicina Legal</w:t>
      </w:r>
      <w:r w:rsidR="00DF51E0" w:rsidRPr="00975C02">
        <w:rPr>
          <w:rFonts w:ascii="Verdana" w:hAnsi="Verdana"/>
          <w:color w:val="auto"/>
          <w:sz w:val="20"/>
          <w:szCs w:val="20"/>
          <w:lang w:val="es-ES"/>
        </w:rPr>
        <w:t>, con el objetivo de brindar</w:t>
      </w:r>
      <w:r w:rsidR="00E01D91" w:rsidRPr="00975C02">
        <w:rPr>
          <w:rFonts w:ascii="Verdana" w:hAnsi="Verdana"/>
          <w:color w:val="auto"/>
          <w:sz w:val="20"/>
          <w:szCs w:val="20"/>
          <w:lang w:val="es-ES"/>
        </w:rPr>
        <w:t xml:space="preserve"> formación sobre</w:t>
      </w:r>
      <w:r w:rsidR="0006181A" w:rsidRPr="00975C02">
        <w:rPr>
          <w:rFonts w:ascii="Verdana" w:hAnsi="Verdana"/>
          <w:color w:val="auto"/>
          <w:sz w:val="20"/>
          <w:szCs w:val="20"/>
          <w:lang w:val="es-ES"/>
        </w:rPr>
        <w:t xml:space="preserve"> </w:t>
      </w:r>
      <w:r w:rsidR="00E01D91" w:rsidRPr="00975C02">
        <w:rPr>
          <w:rFonts w:ascii="Verdana" w:hAnsi="Verdana"/>
          <w:color w:val="auto"/>
          <w:sz w:val="20"/>
          <w:szCs w:val="20"/>
          <w:lang w:val="es-ES"/>
        </w:rPr>
        <w:t>el</w:t>
      </w:r>
      <w:r w:rsidR="00DF51E0" w:rsidRPr="00975C02">
        <w:rPr>
          <w:rFonts w:ascii="Verdana" w:hAnsi="Verdana"/>
          <w:color w:val="auto"/>
          <w:sz w:val="20"/>
          <w:szCs w:val="20"/>
          <w:lang w:val="es-ES"/>
        </w:rPr>
        <w:t xml:space="preserve"> trato adecuado a las niñas, niños y adolescentes </w:t>
      </w:r>
      <w:r w:rsidR="0006181A" w:rsidRPr="00975C02">
        <w:rPr>
          <w:rFonts w:ascii="Verdana" w:hAnsi="Verdana"/>
          <w:sz w:val="20"/>
          <w:szCs w:val="20"/>
          <w:lang w:val="es-ES"/>
        </w:rPr>
        <w:t xml:space="preserve">víctimas de violencia y violación sexual </w:t>
      </w:r>
      <w:r w:rsidR="00DF51E0" w:rsidRPr="00975C02">
        <w:rPr>
          <w:rFonts w:ascii="Verdana" w:hAnsi="Verdana"/>
          <w:color w:val="auto"/>
          <w:sz w:val="20"/>
          <w:szCs w:val="20"/>
          <w:lang w:val="es-ES"/>
        </w:rPr>
        <w:t>durante los exámenes médicos, y con miras a que dicho</w:t>
      </w:r>
      <w:r w:rsidR="0006181A" w:rsidRPr="00975C02">
        <w:rPr>
          <w:rFonts w:ascii="Verdana" w:hAnsi="Verdana"/>
          <w:color w:val="auto"/>
          <w:sz w:val="20"/>
          <w:szCs w:val="20"/>
          <w:lang w:val="es-ES"/>
        </w:rPr>
        <w:t>s</w:t>
      </w:r>
      <w:r w:rsidR="00DF51E0" w:rsidRPr="00975C02">
        <w:rPr>
          <w:rFonts w:ascii="Verdana" w:hAnsi="Verdana"/>
          <w:color w:val="auto"/>
          <w:sz w:val="20"/>
          <w:szCs w:val="20"/>
          <w:lang w:val="es-ES"/>
        </w:rPr>
        <w:t xml:space="preserve"> ex</w:t>
      </w:r>
      <w:r w:rsidR="0006181A" w:rsidRPr="00975C02">
        <w:rPr>
          <w:rFonts w:ascii="Verdana" w:hAnsi="Verdana"/>
          <w:color w:val="auto"/>
          <w:sz w:val="20"/>
          <w:szCs w:val="20"/>
          <w:lang w:val="es-ES"/>
        </w:rPr>
        <w:t>á</w:t>
      </w:r>
      <w:r w:rsidR="00DF51E0" w:rsidRPr="00975C02">
        <w:rPr>
          <w:rFonts w:ascii="Verdana" w:hAnsi="Verdana"/>
          <w:color w:val="auto"/>
          <w:sz w:val="20"/>
          <w:szCs w:val="20"/>
          <w:lang w:val="es-ES"/>
        </w:rPr>
        <w:t>men</w:t>
      </w:r>
      <w:r w:rsidR="0006181A" w:rsidRPr="00975C02">
        <w:rPr>
          <w:rFonts w:ascii="Verdana" w:hAnsi="Verdana"/>
          <w:color w:val="auto"/>
          <w:sz w:val="20"/>
          <w:szCs w:val="20"/>
          <w:lang w:val="es-ES"/>
        </w:rPr>
        <w:t>es</w:t>
      </w:r>
      <w:r w:rsidR="00DF51E0" w:rsidRPr="00975C02">
        <w:rPr>
          <w:rFonts w:ascii="Verdana" w:hAnsi="Verdana"/>
          <w:color w:val="auto"/>
          <w:sz w:val="20"/>
          <w:szCs w:val="20"/>
          <w:lang w:val="es-ES"/>
        </w:rPr>
        <w:t xml:space="preserve"> sea</w:t>
      </w:r>
      <w:r w:rsidR="0006181A" w:rsidRPr="00975C02">
        <w:rPr>
          <w:rFonts w:ascii="Verdana" w:hAnsi="Verdana"/>
          <w:color w:val="auto"/>
          <w:sz w:val="20"/>
          <w:szCs w:val="20"/>
          <w:lang w:val="es-ES"/>
        </w:rPr>
        <w:t>n</w:t>
      </w:r>
      <w:r w:rsidR="00DF51E0" w:rsidRPr="00975C02">
        <w:rPr>
          <w:rFonts w:ascii="Verdana" w:hAnsi="Verdana"/>
          <w:color w:val="auto"/>
          <w:sz w:val="20"/>
          <w:szCs w:val="20"/>
          <w:lang w:val="es-ES"/>
        </w:rPr>
        <w:t xml:space="preserve"> llevado</w:t>
      </w:r>
      <w:r w:rsidR="0006181A" w:rsidRPr="00975C02">
        <w:rPr>
          <w:rFonts w:ascii="Verdana" w:hAnsi="Verdana"/>
          <w:color w:val="auto"/>
          <w:sz w:val="20"/>
          <w:szCs w:val="20"/>
          <w:lang w:val="es-ES"/>
        </w:rPr>
        <w:t>s</w:t>
      </w:r>
      <w:r w:rsidR="00DF51E0" w:rsidRPr="00975C02">
        <w:rPr>
          <w:rFonts w:ascii="Verdana" w:hAnsi="Verdana"/>
          <w:color w:val="auto"/>
          <w:sz w:val="20"/>
          <w:szCs w:val="20"/>
          <w:lang w:val="es-ES"/>
        </w:rPr>
        <w:t xml:space="preserve"> a cabo conforme a los criterios establecidos en la presente Sentencia y a los estándares internacionales en la materia.</w:t>
      </w:r>
    </w:p>
    <w:p w14:paraId="19A479F2" w14:textId="77777777" w:rsidR="004110D8" w:rsidRPr="00975C02" w:rsidRDefault="004110D8" w:rsidP="004110D8">
      <w:pPr>
        <w:pStyle w:val="Default"/>
        <w:tabs>
          <w:tab w:val="left" w:pos="567"/>
        </w:tabs>
        <w:ind w:left="32"/>
        <w:jc w:val="both"/>
        <w:rPr>
          <w:rFonts w:ascii="Verdana" w:hAnsi="Verdana"/>
          <w:color w:val="auto"/>
          <w:sz w:val="20"/>
          <w:szCs w:val="20"/>
          <w:lang w:val="es-ES"/>
        </w:rPr>
      </w:pPr>
    </w:p>
    <w:p w14:paraId="55E6E618" w14:textId="1E2720F4" w:rsidR="00DF51E0" w:rsidRPr="00975C02" w:rsidRDefault="00DF51E0" w:rsidP="00DF3D71">
      <w:pPr>
        <w:pStyle w:val="Default"/>
        <w:numPr>
          <w:ilvl w:val="0"/>
          <w:numId w:val="2"/>
        </w:numPr>
        <w:tabs>
          <w:tab w:val="left" w:pos="567"/>
        </w:tabs>
        <w:ind w:left="32" w:hanging="32"/>
        <w:jc w:val="both"/>
        <w:rPr>
          <w:rFonts w:ascii="Verdana" w:hAnsi="Verdana"/>
          <w:color w:val="auto"/>
          <w:sz w:val="20"/>
          <w:szCs w:val="20"/>
          <w:lang w:val="es-ES"/>
        </w:rPr>
      </w:pPr>
      <w:r w:rsidRPr="00975C02">
        <w:rPr>
          <w:rFonts w:ascii="Verdana" w:hAnsi="Verdana"/>
          <w:color w:val="auto"/>
          <w:sz w:val="20"/>
          <w:szCs w:val="20"/>
          <w:lang w:val="es-ES"/>
        </w:rPr>
        <w:t xml:space="preserve">De igual manera, la Corte ordena al Estado que </w:t>
      </w:r>
      <w:r w:rsidR="00955C70" w:rsidRPr="00975C02">
        <w:rPr>
          <w:rFonts w:ascii="Verdana" w:hAnsi="Verdana"/>
          <w:color w:val="auto"/>
          <w:sz w:val="20"/>
          <w:szCs w:val="20"/>
          <w:lang w:val="es-ES"/>
        </w:rPr>
        <w:t xml:space="preserve">adopte e implemente </w:t>
      </w:r>
      <w:r w:rsidR="004110D8" w:rsidRPr="00975C02">
        <w:rPr>
          <w:rFonts w:ascii="Verdana" w:hAnsi="Verdana"/>
          <w:color w:val="auto"/>
          <w:sz w:val="20"/>
          <w:szCs w:val="20"/>
          <w:lang w:val="es-ES"/>
        </w:rPr>
        <w:t>capacitaciones y cursos</w:t>
      </w:r>
      <w:r w:rsidR="00C42967" w:rsidRPr="00975C02">
        <w:rPr>
          <w:rFonts w:ascii="Verdana" w:hAnsi="Verdana"/>
          <w:color w:val="auto"/>
          <w:sz w:val="20"/>
          <w:szCs w:val="20"/>
          <w:lang w:val="es-ES"/>
        </w:rPr>
        <w:t>,</w:t>
      </w:r>
      <w:r w:rsidR="004110D8" w:rsidRPr="00975C02">
        <w:rPr>
          <w:rFonts w:ascii="Verdana" w:hAnsi="Verdana"/>
          <w:color w:val="auto"/>
          <w:sz w:val="20"/>
          <w:szCs w:val="20"/>
          <w:lang w:val="es-ES"/>
        </w:rPr>
        <w:t xml:space="preserve"> de carácter </w:t>
      </w:r>
      <w:r w:rsidR="004110D8" w:rsidRPr="00975C02">
        <w:rPr>
          <w:rFonts w:ascii="Verdana" w:hAnsi="Verdana"/>
          <w:sz w:val="20"/>
          <w:szCs w:val="20"/>
          <w:lang w:val="es-ES"/>
        </w:rPr>
        <w:t>permanente</w:t>
      </w:r>
      <w:r w:rsidR="00C42967" w:rsidRPr="00975C02">
        <w:rPr>
          <w:rFonts w:ascii="Verdana" w:hAnsi="Verdana"/>
          <w:sz w:val="20"/>
          <w:szCs w:val="20"/>
          <w:lang w:val="es-ES"/>
        </w:rPr>
        <w:t>,</w:t>
      </w:r>
      <w:r w:rsidR="003F482F" w:rsidRPr="00975C02">
        <w:rPr>
          <w:rFonts w:ascii="Verdana" w:hAnsi="Verdana"/>
          <w:sz w:val="20"/>
          <w:szCs w:val="20"/>
          <w:lang w:val="es-ES"/>
        </w:rPr>
        <w:t xml:space="preserve"> dirigidos a</w:t>
      </w:r>
      <w:r w:rsidR="004110D8" w:rsidRPr="00975C02">
        <w:rPr>
          <w:rFonts w:ascii="Verdana" w:hAnsi="Verdana"/>
          <w:bCs/>
          <w:sz w:val="20"/>
          <w:szCs w:val="20"/>
          <w:lang w:val="es-ES"/>
        </w:rPr>
        <w:t xml:space="preserve">l personal de salud que interviene en casos de violencia </w:t>
      </w:r>
      <w:r w:rsidR="00C42967" w:rsidRPr="00975C02">
        <w:rPr>
          <w:rFonts w:ascii="Verdana" w:hAnsi="Verdana"/>
          <w:bCs/>
          <w:sz w:val="20"/>
          <w:szCs w:val="20"/>
          <w:lang w:val="es-ES"/>
        </w:rPr>
        <w:t xml:space="preserve">y violación </w:t>
      </w:r>
      <w:r w:rsidR="004110D8" w:rsidRPr="00975C02">
        <w:rPr>
          <w:rFonts w:ascii="Verdana" w:hAnsi="Verdana"/>
          <w:bCs/>
          <w:sz w:val="20"/>
          <w:szCs w:val="20"/>
          <w:lang w:val="es-ES"/>
        </w:rPr>
        <w:t>sexual</w:t>
      </w:r>
      <w:r w:rsidR="00C42967" w:rsidRPr="00975C02">
        <w:rPr>
          <w:rFonts w:ascii="Verdana" w:hAnsi="Verdana"/>
          <w:bCs/>
          <w:sz w:val="20"/>
          <w:szCs w:val="20"/>
          <w:lang w:val="es-ES"/>
        </w:rPr>
        <w:t>, así como</w:t>
      </w:r>
      <w:r w:rsidR="004110D8" w:rsidRPr="00975C02">
        <w:rPr>
          <w:rFonts w:ascii="Verdana" w:hAnsi="Verdana"/>
          <w:bCs/>
          <w:sz w:val="20"/>
          <w:szCs w:val="20"/>
          <w:lang w:val="es-ES"/>
        </w:rPr>
        <w:t xml:space="preserve"> al personal de apoyo social y familiar que</w:t>
      </w:r>
      <w:r w:rsidR="00C42967" w:rsidRPr="00975C02">
        <w:rPr>
          <w:rFonts w:ascii="Verdana" w:hAnsi="Verdana"/>
          <w:bCs/>
          <w:sz w:val="20"/>
          <w:szCs w:val="20"/>
          <w:lang w:val="es-ES"/>
        </w:rPr>
        <w:t>,</w:t>
      </w:r>
      <w:r w:rsidR="004110D8" w:rsidRPr="00975C02">
        <w:rPr>
          <w:rFonts w:ascii="Verdana" w:hAnsi="Verdana"/>
          <w:bCs/>
          <w:sz w:val="20"/>
          <w:szCs w:val="20"/>
          <w:lang w:val="es-ES"/>
        </w:rPr>
        <w:t xml:space="preserve"> de forma integral</w:t>
      </w:r>
      <w:r w:rsidR="00C42967" w:rsidRPr="00975C02">
        <w:rPr>
          <w:rFonts w:ascii="Verdana" w:hAnsi="Verdana"/>
          <w:bCs/>
          <w:sz w:val="20"/>
          <w:szCs w:val="20"/>
          <w:lang w:val="es-ES"/>
        </w:rPr>
        <w:t>,</w:t>
      </w:r>
      <w:r w:rsidR="004110D8" w:rsidRPr="00975C02">
        <w:rPr>
          <w:rFonts w:ascii="Verdana" w:hAnsi="Verdana"/>
          <w:bCs/>
          <w:sz w:val="20"/>
          <w:szCs w:val="20"/>
          <w:lang w:val="es-ES"/>
        </w:rPr>
        <w:t xml:space="preserve"> brinda atención a las víctimas</w:t>
      </w:r>
      <w:r w:rsidR="003F482F" w:rsidRPr="00975C02">
        <w:rPr>
          <w:rFonts w:ascii="Verdana" w:hAnsi="Verdana"/>
          <w:sz w:val="20"/>
          <w:szCs w:val="20"/>
          <w:lang w:val="es-ES"/>
        </w:rPr>
        <w:t xml:space="preserve"> de violencia </w:t>
      </w:r>
      <w:r w:rsidR="00C42967" w:rsidRPr="00975C02">
        <w:rPr>
          <w:rFonts w:ascii="Verdana" w:hAnsi="Verdana"/>
          <w:sz w:val="20"/>
          <w:szCs w:val="20"/>
          <w:lang w:val="es-ES"/>
        </w:rPr>
        <w:t xml:space="preserve">y violación </w:t>
      </w:r>
      <w:r w:rsidR="003F482F" w:rsidRPr="00975C02">
        <w:rPr>
          <w:rFonts w:ascii="Verdana" w:hAnsi="Verdana"/>
          <w:sz w:val="20"/>
          <w:szCs w:val="20"/>
          <w:lang w:val="es-ES"/>
        </w:rPr>
        <w:t>sexual</w:t>
      </w:r>
      <w:r w:rsidR="00C42967" w:rsidRPr="00975C02">
        <w:rPr>
          <w:rFonts w:ascii="Verdana" w:hAnsi="Verdana"/>
          <w:sz w:val="20"/>
          <w:szCs w:val="20"/>
          <w:lang w:val="es-ES"/>
        </w:rPr>
        <w:t>. Las capacitaciones</w:t>
      </w:r>
      <w:r w:rsidR="00B73244" w:rsidRPr="00975C02">
        <w:rPr>
          <w:rFonts w:ascii="Verdana" w:hAnsi="Verdana"/>
          <w:sz w:val="20"/>
          <w:szCs w:val="20"/>
          <w:lang w:val="es-ES"/>
        </w:rPr>
        <w:t xml:space="preserve"> y cursos</w:t>
      </w:r>
      <w:r w:rsidR="00C42967" w:rsidRPr="00975C02">
        <w:rPr>
          <w:rFonts w:ascii="Verdana" w:hAnsi="Verdana"/>
          <w:sz w:val="20"/>
          <w:szCs w:val="20"/>
          <w:lang w:val="es-ES"/>
        </w:rPr>
        <w:t xml:space="preserve"> deben versar </w:t>
      </w:r>
      <w:r w:rsidR="003F482F" w:rsidRPr="00975C02">
        <w:rPr>
          <w:rFonts w:ascii="Verdana" w:hAnsi="Verdana"/>
          <w:sz w:val="20"/>
          <w:szCs w:val="20"/>
          <w:lang w:val="es-ES"/>
        </w:rPr>
        <w:t xml:space="preserve">sobre </w:t>
      </w:r>
      <w:r w:rsidR="00AF3761" w:rsidRPr="00975C02">
        <w:rPr>
          <w:rFonts w:ascii="Verdana" w:hAnsi="Verdana"/>
          <w:sz w:val="20"/>
          <w:szCs w:val="20"/>
          <w:lang w:val="es-ES"/>
        </w:rPr>
        <w:t>los criterios</w:t>
      </w:r>
      <w:r w:rsidR="003F482F" w:rsidRPr="00975C02">
        <w:rPr>
          <w:rFonts w:ascii="Verdana" w:hAnsi="Verdana"/>
          <w:sz w:val="20"/>
          <w:szCs w:val="20"/>
          <w:lang w:val="es-ES"/>
        </w:rPr>
        <w:t xml:space="preserve"> de</w:t>
      </w:r>
      <w:r w:rsidRPr="00975C02">
        <w:rPr>
          <w:rFonts w:ascii="Verdana" w:hAnsi="Verdana"/>
          <w:sz w:val="20"/>
          <w:szCs w:val="20"/>
          <w:lang w:val="es-ES"/>
        </w:rPr>
        <w:t>sarrollados en la presente Sentencia</w:t>
      </w:r>
      <w:r w:rsidR="00C42967" w:rsidRPr="00975C02">
        <w:rPr>
          <w:rFonts w:ascii="Verdana" w:hAnsi="Verdana"/>
          <w:sz w:val="20"/>
          <w:szCs w:val="20"/>
          <w:lang w:val="es-ES"/>
        </w:rPr>
        <w:t>; e</w:t>
      </w:r>
      <w:r w:rsidRPr="00975C02">
        <w:rPr>
          <w:rFonts w:ascii="Verdana" w:hAnsi="Verdana"/>
          <w:sz w:val="20"/>
          <w:szCs w:val="20"/>
          <w:lang w:val="es-ES"/>
        </w:rPr>
        <w:t>n particular, sobre</w:t>
      </w:r>
      <w:r w:rsidR="003F482F" w:rsidRPr="00975C02">
        <w:rPr>
          <w:rFonts w:ascii="Verdana" w:hAnsi="Verdana"/>
          <w:sz w:val="20"/>
          <w:szCs w:val="20"/>
          <w:lang w:val="es-ES"/>
        </w:rPr>
        <w:t xml:space="preserve"> el acompañamiento</w:t>
      </w:r>
      <w:r w:rsidR="00C42967" w:rsidRPr="00975C02">
        <w:rPr>
          <w:rFonts w:ascii="Verdana" w:hAnsi="Verdana"/>
          <w:sz w:val="20"/>
          <w:szCs w:val="20"/>
          <w:lang w:val="es-ES"/>
        </w:rPr>
        <w:t xml:space="preserve"> y</w:t>
      </w:r>
      <w:r w:rsidR="003F482F" w:rsidRPr="00975C02">
        <w:rPr>
          <w:rFonts w:ascii="Verdana" w:hAnsi="Verdana"/>
          <w:sz w:val="20"/>
          <w:szCs w:val="20"/>
          <w:lang w:val="es-ES"/>
        </w:rPr>
        <w:t xml:space="preserve"> la atención </w:t>
      </w:r>
      <w:r w:rsidR="00C42967" w:rsidRPr="00975C02">
        <w:rPr>
          <w:rFonts w:ascii="Verdana" w:hAnsi="Verdana"/>
          <w:sz w:val="20"/>
          <w:szCs w:val="20"/>
          <w:lang w:val="es-ES"/>
        </w:rPr>
        <w:t>adecuada</w:t>
      </w:r>
      <w:r w:rsidR="003F482F" w:rsidRPr="00975C02">
        <w:rPr>
          <w:rFonts w:ascii="Verdana" w:hAnsi="Verdana"/>
          <w:sz w:val="20"/>
          <w:szCs w:val="20"/>
          <w:lang w:val="es-ES"/>
        </w:rPr>
        <w:t xml:space="preserve">, integral, especializada y coordinada que debe brindarse a dichas víctimas para lograr </w:t>
      </w:r>
      <w:r w:rsidR="00C42967" w:rsidRPr="00975C02">
        <w:rPr>
          <w:rFonts w:ascii="Verdana" w:hAnsi="Verdana"/>
          <w:sz w:val="20"/>
          <w:szCs w:val="20"/>
          <w:lang w:val="es-ES"/>
        </w:rPr>
        <w:t xml:space="preserve">su </w:t>
      </w:r>
      <w:r w:rsidR="003F482F" w:rsidRPr="00975C02">
        <w:rPr>
          <w:rFonts w:ascii="Verdana" w:hAnsi="Verdana"/>
          <w:sz w:val="20"/>
          <w:szCs w:val="20"/>
          <w:lang w:val="es-ES"/>
        </w:rPr>
        <w:t>reintegración y rehabilitación.</w:t>
      </w:r>
    </w:p>
    <w:p w14:paraId="161614DE" w14:textId="77777777" w:rsidR="00DD5247" w:rsidRPr="00975C02" w:rsidRDefault="00DD5247" w:rsidP="00DF3D71">
      <w:pPr>
        <w:pStyle w:val="Default"/>
        <w:tabs>
          <w:tab w:val="left" w:pos="567"/>
        </w:tabs>
        <w:ind w:left="32"/>
        <w:jc w:val="both"/>
        <w:rPr>
          <w:rFonts w:ascii="Verdana" w:hAnsi="Verdana"/>
          <w:color w:val="auto"/>
          <w:sz w:val="20"/>
          <w:szCs w:val="20"/>
          <w:lang w:val="es-ES"/>
        </w:rPr>
      </w:pPr>
    </w:p>
    <w:p w14:paraId="682B3C92" w14:textId="5E27F0C7" w:rsidR="008F7852" w:rsidRPr="00975C02" w:rsidRDefault="008F7852" w:rsidP="008F7852">
      <w:pPr>
        <w:pStyle w:val="Default"/>
        <w:numPr>
          <w:ilvl w:val="0"/>
          <w:numId w:val="2"/>
        </w:numPr>
        <w:tabs>
          <w:tab w:val="left" w:pos="567"/>
        </w:tabs>
        <w:ind w:left="32" w:hanging="32"/>
        <w:jc w:val="both"/>
        <w:rPr>
          <w:rFonts w:ascii="Verdana" w:hAnsi="Verdana"/>
          <w:color w:val="auto"/>
          <w:sz w:val="20"/>
          <w:szCs w:val="20"/>
          <w:lang w:val="es-ES"/>
        </w:rPr>
      </w:pPr>
      <w:r w:rsidRPr="00975C02">
        <w:rPr>
          <w:rFonts w:ascii="Verdana" w:hAnsi="Verdana"/>
          <w:color w:val="auto"/>
          <w:sz w:val="20"/>
          <w:szCs w:val="20"/>
          <w:lang w:val="es-ES"/>
        </w:rPr>
        <w:t>El Estado debe cumplir con la</w:t>
      </w:r>
      <w:r w:rsidR="000E1CAA" w:rsidRPr="00975C02">
        <w:rPr>
          <w:rFonts w:ascii="Verdana" w:hAnsi="Verdana"/>
          <w:color w:val="auto"/>
          <w:sz w:val="20"/>
          <w:szCs w:val="20"/>
          <w:lang w:val="es-ES"/>
        </w:rPr>
        <w:t>s</w:t>
      </w:r>
      <w:r w:rsidRPr="00975C02">
        <w:rPr>
          <w:rFonts w:ascii="Verdana" w:hAnsi="Verdana"/>
          <w:color w:val="auto"/>
          <w:sz w:val="20"/>
          <w:szCs w:val="20"/>
          <w:lang w:val="es-ES"/>
        </w:rPr>
        <w:t xml:space="preserve"> medida</w:t>
      </w:r>
      <w:r w:rsidR="000E1CAA" w:rsidRPr="00975C02">
        <w:rPr>
          <w:rFonts w:ascii="Verdana" w:hAnsi="Verdana"/>
          <w:color w:val="auto"/>
          <w:sz w:val="20"/>
          <w:szCs w:val="20"/>
          <w:lang w:val="es-ES"/>
        </w:rPr>
        <w:t>s</w:t>
      </w:r>
      <w:r w:rsidRPr="00975C02">
        <w:rPr>
          <w:rFonts w:ascii="Verdana" w:hAnsi="Verdana"/>
          <w:color w:val="auto"/>
          <w:sz w:val="20"/>
          <w:szCs w:val="20"/>
          <w:lang w:val="es-ES"/>
        </w:rPr>
        <w:t xml:space="preserve"> </w:t>
      </w:r>
      <w:r w:rsidR="00225EF6" w:rsidRPr="00975C02">
        <w:rPr>
          <w:rFonts w:ascii="Verdana" w:hAnsi="Verdana"/>
          <w:color w:val="auto"/>
          <w:sz w:val="20"/>
          <w:szCs w:val="20"/>
          <w:lang w:val="es-ES"/>
        </w:rPr>
        <w:t xml:space="preserve">de reparación </w:t>
      </w:r>
      <w:r w:rsidR="00F534A9" w:rsidRPr="00975C02">
        <w:rPr>
          <w:rFonts w:ascii="Verdana" w:hAnsi="Verdana"/>
          <w:color w:val="auto"/>
          <w:sz w:val="20"/>
          <w:szCs w:val="20"/>
          <w:lang w:val="es-ES"/>
        </w:rPr>
        <w:t xml:space="preserve">dispuestas en este apartado </w:t>
      </w:r>
      <w:r w:rsidRPr="00975C02">
        <w:rPr>
          <w:rFonts w:ascii="Verdana" w:hAnsi="Verdana"/>
          <w:color w:val="auto"/>
          <w:sz w:val="20"/>
          <w:szCs w:val="20"/>
          <w:lang w:val="es-ES"/>
        </w:rPr>
        <w:t>en el plazo de un año a partir de la notificación de la presente Sentencia.</w:t>
      </w:r>
    </w:p>
    <w:p w14:paraId="5DBFA885" w14:textId="77777777" w:rsidR="009D661E" w:rsidRPr="00975C02" w:rsidRDefault="009D661E" w:rsidP="009D661E">
      <w:pPr>
        <w:autoSpaceDE w:val="0"/>
        <w:autoSpaceDN w:val="0"/>
        <w:spacing w:line="240" w:lineRule="auto"/>
        <w:ind w:right="49"/>
        <w:rPr>
          <w:sz w:val="20"/>
          <w:szCs w:val="20"/>
          <w:lang w:val="es-ES"/>
        </w:rPr>
      </w:pPr>
    </w:p>
    <w:p w14:paraId="1CB0DD58" w14:textId="77777777" w:rsidR="009D661E" w:rsidRPr="00975C02" w:rsidRDefault="009D661E" w:rsidP="00721D19">
      <w:pPr>
        <w:pStyle w:val="Heading2"/>
        <w:tabs>
          <w:tab w:val="left" w:pos="1843"/>
        </w:tabs>
        <w:spacing w:before="0" w:line="240" w:lineRule="auto"/>
        <w:ind w:left="1134"/>
        <w:rPr>
          <w:rFonts w:ascii="Verdana" w:hAnsi="Verdana"/>
          <w:b w:val="0"/>
          <w:i/>
          <w:color w:val="auto"/>
          <w:sz w:val="20"/>
          <w:szCs w:val="20"/>
          <w:lang w:val="es-ES"/>
        </w:rPr>
      </w:pPr>
      <w:bookmarkStart w:id="182" w:name="_Toc514172668"/>
      <w:r w:rsidRPr="00975C02">
        <w:rPr>
          <w:rFonts w:ascii="Verdana" w:hAnsi="Verdana"/>
          <w:b w:val="0"/>
          <w:i/>
          <w:color w:val="auto"/>
          <w:sz w:val="20"/>
          <w:szCs w:val="20"/>
          <w:lang w:val="es-ES"/>
        </w:rPr>
        <w:lastRenderedPageBreak/>
        <w:t xml:space="preserve">C.4 </w:t>
      </w:r>
      <w:r w:rsidRPr="00975C02">
        <w:rPr>
          <w:rFonts w:ascii="Verdana" w:hAnsi="Verdana"/>
          <w:b w:val="0"/>
          <w:i/>
          <w:color w:val="auto"/>
          <w:sz w:val="20"/>
          <w:szCs w:val="20"/>
          <w:lang w:val="es-ES"/>
        </w:rPr>
        <w:tab/>
        <w:t>Otras medidas solicitadas</w:t>
      </w:r>
      <w:bookmarkEnd w:id="182"/>
    </w:p>
    <w:p w14:paraId="48284971" w14:textId="77777777" w:rsidR="00DE5B12" w:rsidRPr="00975C02" w:rsidRDefault="00DE5B12" w:rsidP="009D661E">
      <w:pPr>
        <w:autoSpaceDE w:val="0"/>
        <w:autoSpaceDN w:val="0"/>
        <w:spacing w:line="240" w:lineRule="auto"/>
        <w:ind w:left="720" w:right="49" w:firstLine="720"/>
        <w:rPr>
          <w:sz w:val="20"/>
          <w:szCs w:val="20"/>
          <w:lang w:val="es-ES"/>
        </w:rPr>
      </w:pPr>
    </w:p>
    <w:p w14:paraId="4C965109" w14:textId="77777777" w:rsidR="00DE5B12" w:rsidRPr="00975C02" w:rsidRDefault="00DE5B12" w:rsidP="002C415B">
      <w:pPr>
        <w:numPr>
          <w:ilvl w:val="0"/>
          <w:numId w:val="13"/>
        </w:numPr>
        <w:spacing w:line="240" w:lineRule="auto"/>
        <w:rPr>
          <w:i/>
          <w:iCs/>
          <w:sz w:val="20"/>
          <w:szCs w:val="20"/>
          <w:lang w:val="es-ES"/>
        </w:rPr>
      </w:pPr>
      <w:r w:rsidRPr="00975C02">
        <w:rPr>
          <w:i/>
          <w:iCs/>
          <w:sz w:val="20"/>
          <w:szCs w:val="20"/>
          <w:lang w:val="es-ES"/>
        </w:rPr>
        <w:t>Adecuación de la legislación interna a los estándares mínimos de la Convención Americana sobre Derechos Humanos en materia de juicios por jurado</w:t>
      </w:r>
    </w:p>
    <w:p w14:paraId="3DAFB012" w14:textId="77777777" w:rsidR="00DE5B12" w:rsidRPr="00975C02" w:rsidRDefault="00DE5B12" w:rsidP="00DE5B12">
      <w:pPr>
        <w:spacing w:line="240" w:lineRule="auto"/>
        <w:rPr>
          <w:iCs/>
          <w:sz w:val="20"/>
          <w:szCs w:val="20"/>
          <w:lang w:val="es-ES"/>
        </w:rPr>
      </w:pPr>
    </w:p>
    <w:p w14:paraId="1802684D" w14:textId="4CF44DDF" w:rsidR="00DE5B12" w:rsidRPr="00975C02" w:rsidRDefault="00DE5B12" w:rsidP="00DE5B12">
      <w:pPr>
        <w:numPr>
          <w:ilvl w:val="0"/>
          <w:numId w:val="2"/>
        </w:numPr>
        <w:tabs>
          <w:tab w:val="left" w:pos="567"/>
          <w:tab w:val="num" w:pos="5057"/>
        </w:tabs>
        <w:spacing w:line="240" w:lineRule="auto"/>
        <w:ind w:left="0" w:firstLine="0"/>
        <w:textAlignment w:val="auto"/>
        <w:rPr>
          <w:rFonts w:eastAsia="MS Mincho"/>
          <w:sz w:val="20"/>
          <w:szCs w:val="20"/>
          <w:lang w:val="es-ES" w:bidi="en-US"/>
        </w:rPr>
      </w:pPr>
      <w:r w:rsidRPr="00975C02">
        <w:rPr>
          <w:rFonts w:eastAsia="MS Mincho"/>
          <w:iCs/>
          <w:sz w:val="20"/>
          <w:szCs w:val="20"/>
          <w:lang w:val="es-ES" w:bidi="en-US"/>
        </w:rPr>
        <w:t>Las</w:t>
      </w:r>
      <w:r w:rsidRPr="00975C02">
        <w:rPr>
          <w:rFonts w:eastAsia="MS Mincho"/>
          <w:i/>
          <w:sz w:val="20"/>
          <w:szCs w:val="20"/>
          <w:lang w:val="es-ES" w:bidi="en-US"/>
        </w:rPr>
        <w:t xml:space="preserve"> </w:t>
      </w:r>
      <w:r w:rsidRPr="00975C02">
        <w:rPr>
          <w:rFonts w:eastAsia="MS Mincho"/>
          <w:b/>
          <w:i/>
          <w:sz w:val="20"/>
          <w:szCs w:val="20"/>
          <w:lang w:val="es-ES" w:bidi="en-US"/>
        </w:rPr>
        <w:t>representantes</w:t>
      </w:r>
      <w:r w:rsidRPr="00975C02">
        <w:rPr>
          <w:rFonts w:eastAsia="MS Mincho"/>
          <w:sz w:val="20"/>
          <w:szCs w:val="20"/>
          <w:lang w:val="es-ES" w:bidi="en-US"/>
        </w:rPr>
        <w:t xml:space="preserve"> solicitaron a la Corte que ordenara al Estado adecuar su legislación interna a los estándares mínimos de la Convención Americana sobre Derechos Humanos, en procura de un debido proceso en los conflictos judiciales, especialmente </w:t>
      </w:r>
      <w:r w:rsidR="00863676" w:rsidRPr="00975C02">
        <w:rPr>
          <w:rFonts w:eastAsia="MS Mincho"/>
          <w:sz w:val="20"/>
          <w:szCs w:val="20"/>
          <w:lang w:val="es-ES" w:bidi="en-US"/>
        </w:rPr>
        <w:t xml:space="preserve">en </w:t>
      </w:r>
      <w:r w:rsidRPr="00975C02">
        <w:rPr>
          <w:rFonts w:eastAsia="MS Mincho"/>
          <w:sz w:val="20"/>
          <w:szCs w:val="20"/>
          <w:lang w:val="es-ES" w:bidi="en-US"/>
        </w:rPr>
        <w:t xml:space="preserve">casos que involucren a </w:t>
      </w:r>
      <w:r w:rsidR="00863676" w:rsidRPr="00975C02">
        <w:rPr>
          <w:rFonts w:eastAsia="MS Mincho"/>
          <w:sz w:val="20"/>
          <w:szCs w:val="20"/>
          <w:lang w:val="es-ES" w:bidi="en-US"/>
        </w:rPr>
        <w:t xml:space="preserve">personas </w:t>
      </w:r>
      <w:r w:rsidRPr="00975C02">
        <w:rPr>
          <w:rFonts w:eastAsia="MS Mincho"/>
          <w:sz w:val="20"/>
          <w:szCs w:val="20"/>
          <w:lang w:val="es-ES" w:bidi="en-US"/>
        </w:rPr>
        <w:t>menores de edad. Pidieron que estos procesos fueran administrados por personas capacitadas, erradicándose el Tribunal de Jurados para casos de violación sexual o de cualquier hecho donde haya vinculación con un</w:t>
      </w:r>
      <w:r w:rsidR="00863676" w:rsidRPr="00975C02">
        <w:rPr>
          <w:rFonts w:eastAsia="MS Mincho"/>
          <w:sz w:val="20"/>
          <w:szCs w:val="20"/>
          <w:lang w:val="es-ES" w:bidi="en-US"/>
        </w:rPr>
        <w:t>a persona</w:t>
      </w:r>
      <w:r w:rsidRPr="00975C02">
        <w:rPr>
          <w:rFonts w:eastAsia="MS Mincho"/>
          <w:sz w:val="20"/>
          <w:szCs w:val="20"/>
          <w:lang w:val="es-ES" w:bidi="en-US"/>
        </w:rPr>
        <w:t xml:space="preserve"> menor de edad, y que la responsabilidad de la administración de </w:t>
      </w:r>
      <w:r w:rsidR="00863676" w:rsidRPr="00975C02">
        <w:rPr>
          <w:rFonts w:eastAsia="MS Mincho"/>
          <w:sz w:val="20"/>
          <w:szCs w:val="20"/>
          <w:lang w:val="es-ES" w:bidi="en-US"/>
        </w:rPr>
        <w:t>justicia</w:t>
      </w:r>
      <w:r w:rsidRPr="00975C02">
        <w:rPr>
          <w:rFonts w:eastAsia="MS Mincho"/>
          <w:sz w:val="20"/>
          <w:szCs w:val="20"/>
          <w:lang w:val="es-ES" w:bidi="en-US"/>
        </w:rPr>
        <w:t xml:space="preserve"> recayera sobre jueces, quienes deb</w:t>
      </w:r>
      <w:r w:rsidR="00863676" w:rsidRPr="00975C02">
        <w:rPr>
          <w:rFonts w:eastAsia="MS Mincho"/>
          <w:sz w:val="20"/>
          <w:szCs w:val="20"/>
          <w:lang w:val="es-ES" w:bidi="en-US"/>
        </w:rPr>
        <w:t>e</w:t>
      </w:r>
      <w:r w:rsidRPr="00975C02">
        <w:rPr>
          <w:rFonts w:eastAsia="MS Mincho"/>
          <w:sz w:val="20"/>
          <w:szCs w:val="20"/>
          <w:lang w:val="es-ES" w:bidi="en-US"/>
        </w:rPr>
        <w:t xml:space="preserve">n resolver de acuerdo a las pruebas presentadas y la sana crítica. Finalmente, solicitaron que se estableciera el </w:t>
      </w:r>
      <w:r w:rsidR="00863676" w:rsidRPr="00975C02">
        <w:rPr>
          <w:rFonts w:eastAsia="MS Mincho"/>
          <w:sz w:val="20"/>
          <w:szCs w:val="20"/>
          <w:lang w:val="es-ES" w:bidi="en-US"/>
        </w:rPr>
        <w:t xml:space="preserve">derecho al </w:t>
      </w:r>
      <w:r w:rsidRPr="00975C02">
        <w:rPr>
          <w:rFonts w:eastAsia="MS Mincho"/>
          <w:sz w:val="20"/>
          <w:szCs w:val="20"/>
          <w:lang w:val="es-ES" w:bidi="en-US"/>
        </w:rPr>
        <w:t>recurso de apelación en todos los procesos</w:t>
      </w:r>
      <w:r w:rsidR="00863676" w:rsidRPr="00975C02">
        <w:rPr>
          <w:rFonts w:eastAsia="MS Mincho"/>
          <w:sz w:val="20"/>
          <w:szCs w:val="20"/>
          <w:lang w:val="es-ES" w:bidi="en-US"/>
        </w:rPr>
        <w:t>,</w:t>
      </w:r>
      <w:r w:rsidRPr="00975C02">
        <w:rPr>
          <w:rFonts w:eastAsia="MS Mincho"/>
          <w:sz w:val="20"/>
          <w:szCs w:val="20"/>
          <w:lang w:val="es-ES" w:bidi="en-US"/>
        </w:rPr>
        <w:t xml:space="preserve"> de manera indistinta, incluyendo los conocidos por el jurado</w:t>
      </w:r>
      <w:r w:rsidR="001C0BD0" w:rsidRPr="00975C02">
        <w:rPr>
          <w:rFonts w:eastAsia="MS Mincho"/>
          <w:sz w:val="20"/>
          <w:szCs w:val="20"/>
          <w:lang w:val="es-ES" w:bidi="en-US"/>
        </w:rPr>
        <w:t>.</w:t>
      </w:r>
    </w:p>
    <w:p w14:paraId="2F680992" w14:textId="77777777" w:rsidR="00DE5B12" w:rsidRPr="00975C02" w:rsidRDefault="00DE5B12" w:rsidP="00DF3D71">
      <w:pPr>
        <w:pStyle w:val="ListParagraph"/>
        <w:tabs>
          <w:tab w:val="left" w:pos="1985"/>
        </w:tabs>
        <w:spacing w:line="240" w:lineRule="auto"/>
        <w:rPr>
          <w:rFonts w:eastAsia="MS Mincho"/>
          <w:sz w:val="20"/>
          <w:szCs w:val="20"/>
          <w:lang w:val="es-ES" w:bidi="en-US"/>
        </w:rPr>
      </w:pPr>
    </w:p>
    <w:p w14:paraId="4543F756" w14:textId="71C3835D" w:rsidR="00DE5B12" w:rsidRPr="00975C02" w:rsidRDefault="00DE5B12" w:rsidP="00DE5B12">
      <w:pPr>
        <w:numPr>
          <w:ilvl w:val="0"/>
          <w:numId w:val="2"/>
        </w:numPr>
        <w:tabs>
          <w:tab w:val="left" w:pos="567"/>
          <w:tab w:val="num" w:pos="5057"/>
        </w:tabs>
        <w:spacing w:line="240" w:lineRule="auto"/>
        <w:ind w:left="0" w:firstLine="0"/>
        <w:textAlignment w:val="auto"/>
        <w:rPr>
          <w:rFonts w:eastAsia="MS Mincho"/>
          <w:sz w:val="20"/>
          <w:szCs w:val="20"/>
          <w:lang w:val="es-ES" w:bidi="en-US"/>
        </w:rPr>
      </w:pPr>
      <w:r w:rsidRPr="00975C02">
        <w:rPr>
          <w:rFonts w:eastAsia="MS Mincho"/>
          <w:sz w:val="20"/>
          <w:szCs w:val="20"/>
          <w:lang w:val="es-ES" w:bidi="en-US"/>
        </w:rPr>
        <w:t xml:space="preserve">El </w:t>
      </w:r>
      <w:r w:rsidRPr="00975C02">
        <w:rPr>
          <w:rFonts w:eastAsia="MS Mincho"/>
          <w:b/>
          <w:i/>
          <w:sz w:val="20"/>
          <w:szCs w:val="20"/>
          <w:lang w:val="es-ES" w:bidi="en-US"/>
        </w:rPr>
        <w:t>Estado</w:t>
      </w:r>
      <w:r w:rsidRPr="00975C02">
        <w:rPr>
          <w:rFonts w:eastAsia="MS Mincho"/>
          <w:sz w:val="20"/>
          <w:szCs w:val="20"/>
          <w:lang w:val="es-ES" w:bidi="en-US"/>
        </w:rPr>
        <w:t xml:space="preserve"> sostuvo que</w:t>
      </w:r>
      <w:r w:rsidR="00863676" w:rsidRPr="00975C02">
        <w:rPr>
          <w:rFonts w:eastAsia="MS Mincho"/>
          <w:sz w:val="20"/>
          <w:szCs w:val="20"/>
          <w:lang w:val="es-ES" w:bidi="en-US"/>
        </w:rPr>
        <w:t>,</w:t>
      </w:r>
      <w:r w:rsidRPr="00975C02">
        <w:rPr>
          <w:rFonts w:eastAsia="MS Mincho"/>
          <w:sz w:val="20"/>
          <w:szCs w:val="20"/>
          <w:lang w:val="es-ES" w:bidi="en-US"/>
        </w:rPr>
        <w:t xml:space="preserve"> desde </w:t>
      </w:r>
      <w:r w:rsidR="00863676" w:rsidRPr="00975C02">
        <w:rPr>
          <w:rFonts w:eastAsia="MS Mincho"/>
          <w:sz w:val="20"/>
          <w:szCs w:val="20"/>
          <w:lang w:val="es-ES" w:bidi="en-US"/>
        </w:rPr>
        <w:t xml:space="preserve">hace </w:t>
      </w:r>
      <w:r w:rsidRPr="00975C02">
        <w:rPr>
          <w:rFonts w:eastAsia="MS Mincho"/>
          <w:sz w:val="20"/>
          <w:szCs w:val="20"/>
          <w:lang w:val="es-ES" w:bidi="en-US"/>
        </w:rPr>
        <w:t>más de 10 años</w:t>
      </w:r>
      <w:r w:rsidR="00863676" w:rsidRPr="00975C02">
        <w:rPr>
          <w:rFonts w:eastAsia="MS Mincho"/>
          <w:sz w:val="20"/>
          <w:szCs w:val="20"/>
          <w:lang w:val="es-ES" w:bidi="en-US"/>
        </w:rPr>
        <w:t>,</w:t>
      </w:r>
      <w:r w:rsidRPr="00975C02">
        <w:rPr>
          <w:rFonts w:eastAsia="MS Mincho"/>
          <w:sz w:val="20"/>
          <w:szCs w:val="20"/>
          <w:lang w:val="es-ES" w:bidi="en-US"/>
        </w:rPr>
        <w:t xml:space="preserve"> </w:t>
      </w:r>
      <w:r w:rsidR="00863676" w:rsidRPr="00975C02">
        <w:rPr>
          <w:rFonts w:eastAsia="MS Mincho"/>
          <w:sz w:val="20"/>
          <w:szCs w:val="20"/>
          <w:lang w:val="es-ES" w:bidi="en-US"/>
        </w:rPr>
        <w:t xml:space="preserve">ha </w:t>
      </w:r>
      <w:r w:rsidRPr="00975C02">
        <w:rPr>
          <w:rFonts w:eastAsia="MS Mincho"/>
          <w:sz w:val="20"/>
          <w:szCs w:val="20"/>
          <w:lang w:val="es-ES" w:bidi="en-US"/>
        </w:rPr>
        <w:t>efectuado cambios importantes en materia penal y de derechos humanos</w:t>
      </w:r>
      <w:r w:rsidR="00863676" w:rsidRPr="00975C02">
        <w:rPr>
          <w:rFonts w:eastAsia="MS Mincho"/>
          <w:sz w:val="20"/>
          <w:szCs w:val="20"/>
          <w:lang w:val="es-ES" w:bidi="en-US"/>
        </w:rPr>
        <w:t>. Agregó que</w:t>
      </w:r>
      <w:r w:rsidRPr="00975C02">
        <w:rPr>
          <w:rFonts w:eastAsia="MS Mincho"/>
          <w:sz w:val="20"/>
          <w:szCs w:val="20"/>
          <w:lang w:val="es-ES" w:bidi="en-US"/>
        </w:rPr>
        <w:t>, uno de los elementos más importantes</w:t>
      </w:r>
      <w:r w:rsidR="00863676" w:rsidRPr="00975C02">
        <w:rPr>
          <w:rFonts w:eastAsia="MS Mincho"/>
          <w:sz w:val="20"/>
          <w:szCs w:val="20"/>
          <w:lang w:val="es-ES" w:bidi="en-US"/>
        </w:rPr>
        <w:t>,</w:t>
      </w:r>
      <w:r w:rsidRPr="00975C02">
        <w:rPr>
          <w:rFonts w:eastAsia="MS Mincho"/>
          <w:sz w:val="20"/>
          <w:szCs w:val="20"/>
          <w:lang w:val="es-ES" w:bidi="en-US"/>
        </w:rPr>
        <w:t xml:space="preserve"> e</w:t>
      </w:r>
      <w:r w:rsidR="00863676" w:rsidRPr="00975C02">
        <w:rPr>
          <w:rFonts w:eastAsia="MS Mincho"/>
          <w:sz w:val="20"/>
          <w:szCs w:val="20"/>
          <w:lang w:val="es-ES" w:bidi="en-US"/>
        </w:rPr>
        <w:t>s</w:t>
      </w:r>
      <w:r w:rsidRPr="00975C02">
        <w:rPr>
          <w:rFonts w:eastAsia="MS Mincho"/>
          <w:sz w:val="20"/>
          <w:szCs w:val="20"/>
          <w:lang w:val="es-ES" w:bidi="en-US"/>
        </w:rPr>
        <w:t xml:space="preserve"> el rol protagónico que </w:t>
      </w:r>
      <w:r w:rsidR="00863676" w:rsidRPr="00975C02">
        <w:rPr>
          <w:rFonts w:eastAsia="MS Mincho"/>
          <w:sz w:val="20"/>
          <w:szCs w:val="20"/>
          <w:lang w:val="es-ES" w:bidi="en-US"/>
        </w:rPr>
        <w:t>tiene</w:t>
      </w:r>
      <w:r w:rsidRPr="00975C02">
        <w:rPr>
          <w:rFonts w:eastAsia="MS Mincho"/>
          <w:sz w:val="20"/>
          <w:szCs w:val="20"/>
          <w:lang w:val="es-ES" w:bidi="en-US"/>
        </w:rPr>
        <w:t xml:space="preserve"> la víctima en todas y cada una de las etapas del proceso, con un modelo de compensación inmediato</w:t>
      </w:r>
      <w:r w:rsidR="001C0BD0" w:rsidRPr="00975C02">
        <w:rPr>
          <w:rFonts w:eastAsia="MS Mincho"/>
          <w:sz w:val="20"/>
          <w:szCs w:val="20"/>
          <w:lang w:val="es-ES" w:bidi="en-US"/>
        </w:rPr>
        <w:t>.</w:t>
      </w:r>
      <w:r w:rsidRPr="00975C02">
        <w:rPr>
          <w:rFonts w:eastAsia="MS Mincho"/>
          <w:sz w:val="20"/>
          <w:szCs w:val="20"/>
          <w:lang w:val="es-ES" w:bidi="en-US"/>
        </w:rPr>
        <w:t xml:space="preserve"> </w:t>
      </w:r>
      <w:r w:rsidR="00863676" w:rsidRPr="00975C02">
        <w:rPr>
          <w:rFonts w:eastAsia="MS Mincho"/>
          <w:sz w:val="20"/>
          <w:szCs w:val="20"/>
          <w:lang w:val="es-ES" w:bidi="en-US"/>
        </w:rPr>
        <w:t xml:space="preserve">Con </w:t>
      </w:r>
      <w:r w:rsidRPr="00975C02">
        <w:rPr>
          <w:rFonts w:eastAsia="MS Mincho"/>
          <w:sz w:val="20"/>
          <w:szCs w:val="20"/>
          <w:lang w:val="es-ES" w:bidi="en-US"/>
        </w:rPr>
        <w:t>relación al sistema de enjuiciamiento penal, alegó que</w:t>
      </w:r>
      <w:r w:rsidR="00863676" w:rsidRPr="00975C02">
        <w:rPr>
          <w:rFonts w:eastAsia="MS Mincho"/>
          <w:sz w:val="20"/>
          <w:szCs w:val="20"/>
          <w:lang w:val="es-ES" w:bidi="en-US"/>
        </w:rPr>
        <w:t>,</w:t>
      </w:r>
      <w:r w:rsidRPr="00975C02">
        <w:rPr>
          <w:rFonts w:eastAsia="MS Mincho"/>
          <w:sz w:val="20"/>
          <w:szCs w:val="20"/>
          <w:lang w:val="es-ES" w:bidi="en-US"/>
        </w:rPr>
        <w:t xml:space="preserve"> desde el año 2008</w:t>
      </w:r>
      <w:r w:rsidR="00863676" w:rsidRPr="00975C02">
        <w:rPr>
          <w:rFonts w:eastAsia="MS Mincho"/>
          <w:sz w:val="20"/>
          <w:szCs w:val="20"/>
          <w:lang w:val="es-ES" w:bidi="en-US"/>
        </w:rPr>
        <w:t>,</w:t>
      </w:r>
      <w:r w:rsidRPr="00975C02">
        <w:rPr>
          <w:rFonts w:eastAsia="MS Mincho"/>
          <w:sz w:val="20"/>
          <w:szCs w:val="20"/>
          <w:lang w:val="es-ES" w:bidi="en-US"/>
        </w:rPr>
        <w:t xml:space="preserve"> los delitos contra la libertad e integridad sexual s</w:t>
      </w:r>
      <w:r w:rsidR="00863676" w:rsidRPr="00975C02">
        <w:rPr>
          <w:rFonts w:eastAsia="MS Mincho"/>
          <w:sz w:val="20"/>
          <w:szCs w:val="20"/>
          <w:lang w:val="es-ES" w:bidi="en-US"/>
        </w:rPr>
        <w:t>on</w:t>
      </w:r>
      <w:r w:rsidRPr="00975C02">
        <w:rPr>
          <w:rFonts w:eastAsia="MS Mincho"/>
          <w:sz w:val="20"/>
          <w:szCs w:val="20"/>
          <w:lang w:val="es-ES" w:bidi="en-US"/>
        </w:rPr>
        <w:t xml:space="preserve"> juzga</w:t>
      </w:r>
      <w:r w:rsidR="00863676" w:rsidRPr="00975C02">
        <w:rPr>
          <w:rFonts w:eastAsia="MS Mincho"/>
          <w:sz w:val="20"/>
          <w:szCs w:val="20"/>
          <w:lang w:val="es-ES" w:bidi="en-US"/>
        </w:rPr>
        <w:t>dos</w:t>
      </w:r>
      <w:r w:rsidRPr="00975C02">
        <w:rPr>
          <w:rFonts w:eastAsia="MS Mincho"/>
          <w:sz w:val="20"/>
          <w:szCs w:val="20"/>
          <w:lang w:val="es-ES" w:bidi="en-US"/>
        </w:rPr>
        <w:t xml:space="preserve"> por jueces técnicos y que</w:t>
      </w:r>
      <w:r w:rsidR="00863676" w:rsidRPr="00975C02">
        <w:rPr>
          <w:rFonts w:eastAsia="MS Mincho"/>
          <w:sz w:val="20"/>
          <w:szCs w:val="20"/>
          <w:lang w:val="es-ES" w:bidi="en-US"/>
        </w:rPr>
        <w:t>,</w:t>
      </w:r>
      <w:r w:rsidRPr="00975C02">
        <w:rPr>
          <w:rFonts w:eastAsia="MS Mincho"/>
          <w:sz w:val="20"/>
          <w:szCs w:val="20"/>
          <w:lang w:val="es-ES" w:bidi="en-US"/>
        </w:rPr>
        <w:t xml:space="preserve"> a través de la </w:t>
      </w:r>
      <w:r w:rsidR="00CB5403">
        <w:rPr>
          <w:rFonts w:eastAsia="MS Mincho"/>
          <w:sz w:val="20"/>
          <w:szCs w:val="20"/>
          <w:lang w:val="es-ES" w:bidi="en-US"/>
        </w:rPr>
        <w:t>Ley N°</w:t>
      </w:r>
      <w:r w:rsidRPr="00975C02">
        <w:rPr>
          <w:rFonts w:eastAsia="MS Mincho"/>
          <w:sz w:val="20"/>
          <w:szCs w:val="20"/>
          <w:lang w:val="es-ES" w:bidi="en-US"/>
        </w:rPr>
        <w:t xml:space="preserve"> 779 </w:t>
      </w:r>
      <w:r w:rsidR="006854BF" w:rsidRPr="00975C02">
        <w:rPr>
          <w:rFonts w:eastAsia="MS Mincho"/>
          <w:sz w:val="20"/>
          <w:szCs w:val="20"/>
          <w:lang w:val="es-ES" w:bidi="en-US"/>
        </w:rPr>
        <w:t xml:space="preserve">fueron </w:t>
      </w:r>
      <w:r w:rsidRPr="00975C02">
        <w:rPr>
          <w:rFonts w:eastAsia="MS Mincho"/>
          <w:sz w:val="20"/>
          <w:szCs w:val="20"/>
          <w:lang w:val="es-ES" w:bidi="en-US"/>
        </w:rPr>
        <w:t>crea</w:t>
      </w:r>
      <w:r w:rsidR="006854BF" w:rsidRPr="00975C02">
        <w:rPr>
          <w:rFonts w:eastAsia="MS Mincho"/>
          <w:sz w:val="20"/>
          <w:szCs w:val="20"/>
          <w:lang w:val="es-ES" w:bidi="en-US"/>
        </w:rPr>
        <w:t>dos</w:t>
      </w:r>
      <w:r w:rsidRPr="00975C02">
        <w:rPr>
          <w:rFonts w:eastAsia="MS Mincho"/>
          <w:sz w:val="20"/>
          <w:szCs w:val="20"/>
          <w:lang w:val="es-ES" w:bidi="en-US"/>
        </w:rPr>
        <w:t xml:space="preserve"> juzgados especializados en violencia de género, por lo que dichos delitos ya no serían </w:t>
      </w:r>
      <w:r w:rsidR="006854BF" w:rsidRPr="00975C02">
        <w:rPr>
          <w:rFonts w:eastAsia="MS Mincho"/>
          <w:sz w:val="20"/>
          <w:szCs w:val="20"/>
          <w:lang w:val="es-ES" w:bidi="en-US"/>
        </w:rPr>
        <w:t>resueltos por</w:t>
      </w:r>
      <w:r w:rsidRPr="00975C02">
        <w:rPr>
          <w:rFonts w:eastAsia="MS Mincho"/>
          <w:sz w:val="20"/>
          <w:szCs w:val="20"/>
          <w:lang w:val="es-ES" w:bidi="en-US"/>
        </w:rPr>
        <w:t xml:space="preserve"> jurados.</w:t>
      </w:r>
    </w:p>
    <w:p w14:paraId="5B747B27" w14:textId="77777777" w:rsidR="00DE5B12" w:rsidRPr="00975C02" w:rsidRDefault="00DE5B12" w:rsidP="00DE5B12">
      <w:pPr>
        <w:tabs>
          <w:tab w:val="left" w:pos="567"/>
        </w:tabs>
        <w:spacing w:line="240" w:lineRule="auto"/>
        <w:textAlignment w:val="auto"/>
        <w:rPr>
          <w:rFonts w:eastAsia="MS Mincho"/>
          <w:sz w:val="20"/>
          <w:szCs w:val="20"/>
          <w:lang w:val="es-ES" w:bidi="en-US"/>
        </w:rPr>
      </w:pPr>
    </w:p>
    <w:p w14:paraId="1EA56A00" w14:textId="6CA0BC0F" w:rsidR="00DE5B12" w:rsidRPr="00975C02" w:rsidRDefault="00DE5B12" w:rsidP="00DE5B12">
      <w:pPr>
        <w:numPr>
          <w:ilvl w:val="0"/>
          <w:numId w:val="2"/>
        </w:numPr>
        <w:tabs>
          <w:tab w:val="left" w:pos="567"/>
          <w:tab w:val="num" w:pos="5057"/>
        </w:tabs>
        <w:spacing w:line="240" w:lineRule="auto"/>
        <w:ind w:left="0" w:firstLine="0"/>
        <w:textAlignment w:val="auto"/>
        <w:rPr>
          <w:rFonts w:eastAsia="MS Mincho"/>
          <w:sz w:val="20"/>
          <w:szCs w:val="20"/>
          <w:lang w:val="es-ES" w:bidi="en-US"/>
        </w:rPr>
      </w:pPr>
      <w:r w:rsidRPr="00975C02">
        <w:rPr>
          <w:rFonts w:eastAsia="MS Mincho"/>
          <w:sz w:val="20"/>
          <w:szCs w:val="20"/>
          <w:lang w:val="es-ES" w:bidi="en-US"/>
        </w:rPr>
        <w:t xml:space="preserve">La </w:t>
      </w:r>
      <w:r w:rsidRPr="00975C02">
        <w:rPr>
          <w:rFonts w:eastAsia="MS Mincho" w:cs="Verdana"/>
          <w:b/>
          <w:i/>
          <w:sz w:val="20"/>
          <w:szCs w:val="20"/>
          <w:lang w:val="es-ES" w:bidi="en-US"/>
        </w:rPr>
        <w:t>Comisión</w:t>
      </w:r>
      <w:r w:rsidRPr="00975C02">
        <w:rPr>
          <w:rFonts w:eastAsia="MS Mincho"/>
          <w:sz w:val="20"/>
          <w:szCs w:val="20"/>
          <w:lang w:val="es-ES" w:bidi="en-US"/>
        </w:rPr>
        <w:t xml:space="preserve"> no formuló alegato específico respecto a este punto.</w:t>
      </w:r>
    </w:p>
    <w:p w14:paraId="4AE04BE1" w14:textId="77777777" w:rsidR="00DE5B12" w:rsidRPr="00975C02" w:rsidRDefault="00DE5B12" w:rsidP="00DE5B12">
      <w:pPr>
        <w:tabs>
          <w:tab w:val="left" w:pos="0"/>
        </w:tabs>
        <w:spacing w:line="240" w:lineRule="auto"/>
        <w:textAlignment w:val="auto"/>
        <w:rPr>
          <w:rFonts w:eastAsia="MS Mincho"/>
          <w:sz w:val="20"/>
          <w:szCs w:val="20"/>
          <w:lang w:val="es-ES" w:bidi="en-US"/>
        </w:rPr>
      </w:pPr>
    </w:p>
    <w:p w14:paraId="19CBD454" w14:textId="3BB85A44" w:rsidR="009D661E" w:rsidRPr="00975C02" w:rsidRDefault="00DE5B12" w:rsidP="008E78EB">
      <w:pPr>
        <w:pStyle w:val="Default"/>
        <w:numPr>
          <w:ilvl w:val="0"/>
          <w:numId w:val="2"/>
        </w:numPr>
        <w:tabs>
          <w:tab w:val="left" w:pos="567"/>
        </w:tabs>
        <w:ind w:left="0" w:firstLine="0"/>
        <w:jc w:val="both"/>
        <w:rPr>
          <w:iCs/>
          <w:sz w:val="20"/>
          <w:szCs w:val="20"/>
          <w:lang w:val="es-ES"/>
        </w:rPr>
      </w:pPr>
      <w:r w:rsidRPr="00975C02">
        <w:rPr>
          <w:rFonts w:ascii="Verdana" w:hAnsi="Verdana"/>
          <w:color w:val="auto"/>
          <w:sz w:val="20"/>
          <w:szCs w:val="20"/>
          <w:lang w:val="es-ES"/>
        </w:rPr>
        <w:t xml:space="preserve">La Corte comprueba que la </w:t>
      </w:r>
      <w:r w:rsidR="00CB5403">
        <w:rPr>
          <w:rFonts w:ascii="Verdana" w:hAnsi="Verdana"/>
          <w:color w:val="auto"/>
          <w:sz w:val="20"/>
          <w:szCs w:val="20"/>
          <w:lang w:val="es-ES"/>
        </w:rPr>
        <w:t>Ley N°</w:t>
      </w:r>
      <w:r w:rsidRPr="00975C02">
        <w:rPr>
          <w:rFonts w:ascii="Verdana" w:hAnsi="Verdana"/>
          <w:color w:val="auto"/>
          <w:sz w:val="20"/>
          <w:szCs w:val="20"/>
          <w:lang w:val="es-ES"/>
        </w:rPr>
        <w:t xml:space="preserve"> 779, “Ley </w:t>
      </w:r>
      <w:r w:rsidR="00551EEF" w:rsidRPr="00975C02">
        <w:rPr>
          <w:rFonts w:ascii="Verdana" w:hAnsi="Verdana"/>
          <w:color w:val="auto"/>
          <w:sz w:val="20"/>
          <w:szCs w:val="20"/>
          <w:lang w:val="es-ES"/>
        </w:rPr>
        <w:t>I</w:t>
      </w:r>
      <w:r w:rsidRPr="00975C02">
        <w:rPr>
          <w:rFonts w:ascii="Verdana" w:hAnsi="Verdana"/>
          <w:color w:val="auto"/>
          <w:sz w:val="20"/>
          <w:szCs w:val="20"/>
          <w:lang w:val="es-ES"/>
        </w:rPr>
        <w:t xml:space="preserve">ntegral </w:t>
      </w:r>
      <w:r w:rsidR="00551EEF" w:rsidRPr="00975C02">
        <w:rPr>
          <w:rFonts w:ascii="Verdana" w:hAnsi="Verdana"/>
          <w:color w:val="auto"/>
          <w:sz w:val="20"/>
          <w:szCs w:val="20"/>
          <w:lang w:val="es-ES"/>
        </w:rPr>
        <w:t>C</w:t>
      </w:r>
      <w:r w:rsidRPr="00975C02">
        <w:rPr>
          <w:rFonts w:ascii="Verdana" w:hAnsi="Verdana"/>
          <w:color w:val="auto"/>
          <w:sz w:val="20"/>
          <w:szCs w:val="20"/>
          <w:lang w:val="es-ES"/>
        </w:rPr>
        <w:t xml:space="preserve">ontra la </w:t>
      </w:r>
      <w:r w:rsidR="00551EEF" w:rsidRPr="00975C02">
        <w:rPr>
          <w:rFonts w:ascii="Verdana" w:hAnsi="Verdana"/>
          <w:color w:val="auto"/>
          <w:sz w:val="20"/>
          <w:szCs w:val="20"/>
          <w:lang w:val="es-ES"/>
        </w:rPr>
        <w:t>V</w:t>
      </w:r>
      <w:r w:rsidRPr="00975C02">
        <w:rPr>
          <w:rFonts w:ascii="Verdana" w:hAnsi="Verdana"/>
          <w:color w:val="auto"/>
          <w:sz w:val="20"/>
          <w:szCs w:val="20"/>
          <w:lang w:val="es-ES"/>
        </w:rPr>
        <w:t xml:space="preserve">iolencia hacia las </w:t>
      </w:r>
      <w:r w:rsidR="00551EEF" w:rsidRPr="00975C02">
        <w:rPr>
          <w:rFonts w:ascii="Verdana" w:hAnsi="Verdana"/>
          <w:color w:val="auto"/>
          <w:sz w:val="20"/>
          <w:szCs w:val="20"/>
          <w:lang w:val="es-ES"/>
        </w:rPr>
        <w:t>M</w:t>
      </w:r>
      <w:r w:rsidRPr="00975C02">
        <w:rPr>
          <w:rFonts w:ascii="Verdana" w:hAnsi="Verdana"/>
          <w:color w:val="auto"/>
          <w:sz w:val="20"/>
          <w:szCs w:val="20"/>
          <w:lang w:val="es-ES"/>
        </w:rPr>
        <w:t>ujeres</w:t>
      </w:r>
      <w:r w:rsidR="00551EEF" w:rsidRPr="00975C02">
        <w:rPr>
          <w:rFonts w:ascii="Verdana" w:hAnsi="Verdana"/>
          <w:color w:val="auto"/>
          <w:sz w:val="20"/>
          <w:szCs w:val="20"/>
          <w:lang w:val="es-ES"/>
        </w:rPr>
        <w:t xml:space="preserve"> y de Reformas a la </w:t>
      </w:r>
      <w:r w:rsidR="00CB5403">
        <w:rPr>
          <w:rFonts w:ascii="Verdana" w:hAnsi="Verdana"/>
          <w:color w:val="auto"/>
          <w:sz w:val="20"/>
          <w:szCs w:val="20"/>
          <w:lang w:val="es-ES"/>
        </w:rPr>
        <w:t>Ley N°</w:t>
      </w:r>
      <w:r w:rsidR="00551EEF" w:rsidRPr="00975C02">
        <w:rPr>
          <w:rFonts w:ascii="Verdana" w:hAnsi="Verdana"/>
          <w:color w:val="auto"/>
          <w:sz w:val="20"/>
          <w:szCs w:val="20"/>
          <w:lang w:val="es-ES"/>
        </w:rPr>
        <w:t xml:space="preserve"> 641, ‘Código Penal’</w:t>
      </w:r>
      <w:r w:rsidRPr="00975C02">
        <w:rPr>
          <w:rFonts w:ascii="Verdana" w:hAnsi="Verdana"/>
          <w:color w:val="auto"/>
          <w:sz w:val="20"/>
          <w:szCs w:val="20"/>
          <w:lang w:val="es-ES"/>
        </w:rPr>
        <w:t>”, aprobada en el mes de enero del año 201</w:t>
      </w:r>
      <w:r w:rsidR="00551EEF" w:rsidRPr="00975C02">
        <w:rPr>
          <w:rFonts w:ascii="Verdana" w:hAnsi="Verdana"/>
          <w:color w:val="auto"/>
          <w:sz w:val="20"/>
          <w:szCs w:val="20"/>
          <w:lang w:val="es-ES"/>
        </w:rPr>
        <w:t>2</w:t>
      </w:r>
      <w:r w:rsidR="00ED61E1" w:rsidRPr="00975C02">
        <w:rPr>
          <w:rFonts w:ascii="Verdana" w:hAnsi="Verdana"/>
          <w:color w:val="auto"/>
          <w:sz w:val="20"/>
          <w:szCs w:val="20"/>
          <w:lang w:val="es-ES"/>
        </w:rPr>
        <w:t xml:space="preserve"> y publicada el 22 de febrero de 2012</w:t>
      </w:r>
      <w:r w:rsidRPr="00975C02">
        <w:rPr>
          <w:rFonts w:ascii="Verdana" w:hAnsi="Verdana"/>
          <w:color w:val="auto"/>
          <w:sz w:val="20"/>
          <w:szCs w:val="20"/>
          <w:lang w:val="es-ES"/>
        </w:rPr>
        <w:t>, implementa un sistema de enjuiciamiento de casos de violencia de género y</w:t>
      </w:r>
      <w:r w:rsidR="006854BF" w:rsidRPr="00975C02">
        <w:rPr>
          <w:rFonts w:ascii="Verdana" w:hAnsi="Verdana"/>
          <w:color w:val="auto"/>
          <w:sz w:val="20"/>
          <w:szCs w:val="20"/>
          <w:lang w:val="es-ES"/>
        </w:rPr>
        <w:t>, en particular,</w:t>
      </w:r>
      <w:r w:rsidRPr="00975C02">
        <w:rPr>
          <w:rFonts w:ascii="Verdana" w:hAnsi="Verdana"/>
          <w:color w:val="auto"/>
          <w:sz w:val="20"/>
          <w:szCs w:val="20"/>
          <w:lang w:val="es-ES"/>
        </w:rPr>
        <w:t xml:space="preserve"> casos de violencia sexual, distinto al vigente en la época de los hechos del presente caso</w:t>
      </w:r>
      <w:r w:rsidR="006854BF" w:rsidRPr="00975C02">
        <w:rPr>
          <w:rFonts w:ascii="Verdana" w:hAnsi="Verdana"/>
          <w:color w:val="auto"/>
          <w:sz w:val="20"/>
          <w:szCs w:val="20"/>
          <w:lang w:val="es-ES"/>
        </w:rPr>
        <w:t>. Dicha</w:t>
      </w:r>
      <w:r w:rsidRPr="00975C02">
        <w:rPr>
          <w:rFonts w:ascii="Verdana" w:hAnsi="Verdana"/>
          <w:color w:val="auto"/>
          <w:sz w:val="20"/>
          <w:szCs w:val="20"/>
          <w:lang w:val="es-ES"/>
        </w:rPr>
        <w:t xml:space="preserve"> ley dispone la creación de tribunales de primera y segunda instancia especializados en la materia</w:t>
      </w:r>
      <w:r w:rsidR="0033396D" w:rsidRPr="00975C02">
        <w:rPr>
          <w:rFonts w:ascii="Verdana" w:hAnsi="Verdana"/>
          <w:color w:val="auto"/>
          <w:sz w:val="20"/>
          <w:szCs w:val="20"/>
          <w:lang w:val="es-ES"/>
        </w:rPr>
        <w:t>,</w:t>
      </w:r>
      <w:r w:rsidRPr="00975C02">
        <w:rPr>
          <w:rFonts w:ascii="Verdana" w:hAnsi="Verdana"/>
          <w:color w:val="auto"/>
          <w:sz w:val="20"/>
          <w:szCs w:val="20"/>
          <w:lang w:val="es-ES"/>
        </w:rPr>
        <w:t xml:space="preserve"> integrados por una jueza o un juez técnico. Se excluye así la posibilidad de que un caso de violencia sexual contra mujeres,</w:t>
      </w:r>
      <w:r w:rsidR="0033396D" w:rsidRPr="00975C02">
        <w:rPr>
          <w:rFonts w:ascii="Verdana" w:hAnsi="Verdana"/>
          <w:color w:val="auto"/>
          <w:sz w:val="20"/>
          <w:szCs w:val="20"/>
          <w:lang w:val="es-ES"/>
        </w:rPr>
        <w:t xml:space="preserve"> niñas,</w:t>
      </w:r>
      <w:r w:rsidRPr="00975C02">
        <w:rPr>
          <w:rFonts w:ascii="Verdana" w:hAnsi="Verdana"/>
          <w:color w:val="auto"/>
          <w:sz w:val="20"/>
          <w:szCs w:val="20"/>
          <w:lang w:val="es-ES"/>
        </w:rPr>
        <w:t xml:space="preserve"> niños y </w:t>
      </w:r>
      <w:r w:rsidR="0033396D" w:rsidRPr="00975C02">
        <w:rPr>
          <w:rFonts w:ascii="Verdana" w:hAnsi="Verdana"/>
          <w:color w:val="auto"/>
          <w:sz w:val="20"/>
          <w:szCs w:val="20"/>
          <w:lang w:val="es-ES"/>
        </w:rPr>
        <w:t>adolescentes</w:t>
      </w:r>
      <w:r w:rsidRPr="00975C02">
        <w:rPr>
          <w:rFonts w:ascii="Verdana" w:hAnsi="Verdana"/>
          <w:color w:val="auto"/>
          <w:sz w:val="20"/>
          <w:szCs w:val="20"/>
          <w:lang w:val="es-ES"/>
        </w:rPr>
        <w:t xml:space="preserve"> sea juzgado por un jurado popular.</w:t>
      </w:r>
      <w:r w:rsidR="008E78EB" w:rsidRPr="00975C02">
        <w:rPr>
          <w:rFonts w:ascii="Verdana" w:hAnsi="Verdana"/>
          <w:color w:val="auto"/>
          <w:sz w:val="20"/>
          <w:szCs w:val="20"/>
          <w:lang w:val="es-ES"/>
        </w:rPr>
        <w:t xml:space="preserve"> </w:t>
      </w:r>
      <w:r w:rsidRPr="00975C02">
        <w:rPr>
          <w:rFonts w:ascii="Verdana" w:hAnsi="Verdana"/>
          <w:bCs/>
          <w:color w:val="auto"/>
          <w:sz w:val="20"/>
          <w:szCs w:val="20"/>
          <w:lang w:val="es-ES"/>
        </w:rPr>
        <w:t xml:space="preserve">De este modo, la Corte considera que no es necesario ordenar una medida de reparación adicional a este respecto, ya que con base en el cambio legislativo indicado, los delitos de violencia sexual, incluidos los de violación sexual </w:t>
      </w:r>
      <w:r w:rsidR="0033396D" w:rsidRPr="00975C02">
        <w:rPr>
          <w:rFonts w:ascii="Verdana" w:hAnsi="Verdana"/>
          <w:bCs/>
          <w:color w:val="auto"/>
          <w:sz w:val="20"/>
          <w:szCs w:val="20"/>
          <w:lang w:val="es-ES"/>
        </w:rPr>
        <w:t xml:space="preserve">cometidos </w:t>
      </w:r>
      <w:r w:rsidRPr="00975C02">
        <w:rPr>
          <w:rFonts w:ascii="Verdana" w:hAnsi="Verdana"/>
          <w:bCs/>
          <w:color w:val="auto"/>
          <w:sz w:val="20"/>
          <w:szCs w:val="20"/>
          <w:lang w:val="es-ES"/>
        </w:rPr>
        <w:t>en contra de mujeres, niñas</w:t>
      </w:r>
      <w:r w:rsidR="0033396D" w:rsidRPr="00975C02">
        <w:rPr>
          <w:rFonts w:ascii="Verdana" w:hAnsi="Verdana"/>
          <w:bCs/>
          <w:color w:val="auto"/>
          <w:sz w:val="20"/>
          <w:szCs w:val="20"/>
          <w:lang w:val="es-ES"/>
        </w:rPr>
        <w:t>, niños</w:t>
      </w:r>
      <w:r w:rsidRPr="00975C02">
        <w:rPr>
          <w:rFonts w:ascii="Verdana" w:hAnsi="Verdana"/>
          <w:bCs/>
          <w:color w:val="auto"/>
          <w:sz w:val="20"/>
          <w:szCs w:val="20"/>
          <w:lang w:val="es-ES"/>
        </w:rPr>
        <w:t xml:space="preserve"> y adolescentes, ya no son juzgados por un jurado popular, </w:t>
      </w:r>
      <w:r w:rsidR="008E78EB" w:rsidRPr="00975C02">
        <w:rPr>
          <w:rFonts w:ascii="Verdana" w:hAnsi="Verdana"/>
          <w:bCs/>
          <w:color w:val="auto"/>
          <w:sz w:val="20"/>
          <w:szCs w:val="20"/>
          <w:lang w:val="es-ES"/>
        </w:rPr>
        <w:t>sino por un juez especializado.</w:t>
      </w:r>
    </w:p>
    <w:p w14:paraId="3B9D48F9" w14:textId="77777777" w:rsidR="008E78EB" w:rsidRPr="00975C02" w:rsidRDefault="008E78EB" w:rsidP="008E78EB">
      <w:pPr>
        <w:pStyle w:val="Default"/>
        <w:tabs>
          <w:tab w:val="left" w:pos="567"/>
        </w:tabs>
        <w:jc w:val="both"/>
        <w:rPr>
          <w:rFonts w:ascii="Verdana" w:hAnsi="Verdana"/>
          <w:iCs/>
          <w:sz w:val="20"/>
          <w:szCs w:val="20"/>
          <w:lang w:val="es-ES"/>
        </w:rPr>
      </w:pPr>
    </w:p>
    <w:p w14:paraId="1C05439D" w14:textId="77777777" w:rsidR="00DE5B12" w:rsidRPr="00975C02" w:rsidRDefault="00DE5B12" w:rsidP="002C415B">
      <w:pPr>
        <w:numPr>
          <w:ilvl w:val="0"/>
          <w:numId w:val="13"/>
        </w:numPr>
        <w:spacing w:line="240" w:lineRule="auto"/>
        <w:rPr>
          <w:i/>
          <w:iCs/>
          <w:sz w:val="20"/>
          <w:szCs w:val="20"/>
          <w:lang w:val="es-ES"/>
        </w:rPr>
      </w:pPr>
      <w:r w:rsidRPr="00975C02">
        <w:rPr>
          <w:i/>
          <w:iCs/>
          <w:sz w:val="20"/>
          <w:szCs w:val="20"/>
          <w:lang w:val="es-ES"/>
        </w:rPr>
        <w:t>Otras medidas</w:t>
      </w:r>
    </w:p>
    <w:p w14:paraId="10FF98A2" w14:textId="77777777" w:rsidR="00DE5B12" w:rsidRPr="00975C02" w:rsidRDefault="00DE5B12" w:rsidP="009D661E">
      <w:pPr>
        <w:spacing w:line="240" w:lineRule="auto"/>
        <w:rPr>
          <w:iCs/>
          <w:sz w:val="20"/>
          <w:szCs w:val="20"/>
          <w:lang w:val="es-ES"/>
        </w:rPr>
      </w:pPr>
    </w:p>
    <w:p w14:paraId="388F33FA" w14:textId="13C3FAD2" w:rsidR="009D661E" w:rsidRPr="00975C02" w:rsidRDefault="009D661E" w:rsidP="009D661E">
      <w:pPr>
        <w:numPr>
          <w:ilvl w:val="0"/>
          <w:numId w:val="2"/>
        </w:numPr>
        <w:tabs>
          <w:tab w:val="left" w:pos="567"/>
          <w:tab w:val="num" w:pos="5057"/>
        </w:tabs>
        <w:spacing w:line="240" w:lineRule="auto"/>
        <w:ind w:left="0" w:firstLine="0"/>
        <w:textAlignment w:val="auto"/>
        <w:rPr>
          <w:sz w:val="20"/>
          <w:szCs w:val="20"/>
          <w:lang w:val="es-ES"/>
        </w:rPr>
      </w:pPr>
      <w:r w:rsidRPr="00975C02">
        <w:rPr>
          <w:rFonts w:eastAsia="MS Mincho"/>
          <w:iCs/>
          <w:sz w:val="20"/>
          <w:szCs w:val="20"/>
          <w:lang w:val="es-ES" w:bidi="en-US"/>
        </w:rPr>
        <w:t>Las</w:t>
      </w:r>
      <w:r w:rsidRPr="00975C02">
        <w:rPr>
          <w:rFonts w:eastAsia="MS Mincho"/>
          <w:i/>
          <w:sz w:val="20"/>
          <w:szCs w:val="20"/>
          <w:lang w:val="es-ES" w:bidi="en-US"/>
        </w:rPr>
        <w:t xml:space="preserve"> </w:t>
      </w:r>
      <w:r w:rsidRPr="00975C02">
        <w:rPr>
          <w:rFonts w:eastAsia="MS Mincho"/>
          <w:b/>
          <w:i/>
          <w:sz w:val="20"/>
          <w:szCs w:val="20"/>
          <w:lang w:val="es-ES" w:bidi="en-US"/>
        </w:rPr>
        <w:t>representantes</w:t>
      </w:r>
      <w:r w:rsidRPr="00975C02">
        <w:rPr>
          <w:rFonts w:eastAsia="MS Mincho"/>
          <w:sz w:val="20"/>
          <w:szCs w:val="20"/>
          <w:lang w:val="es-ES" w:bidi="en-US"/>
        </w:rPr>
        <w:t xml:space="preserve"> solicitaron adicionalmente a la Corte que ordenara al Estado de Nicaragua: i) proveer una vivienda adecuada, sin gastos adicionales y de manera gratuita, para que V.R.P., V.P.C. y N.R.P. pudieran vivir con dignidad en los Estados Unidos, ya que las víctimas se vieron </w:t>
      </w:r>
      <w:r w:rsidR="00120FF3" w:rsidRPr="00975C02">
        <w:rPr>
          <w:rFonts w:eastAsia="MS Mincho"/>
          <w:sz w:val="20"/>
          <w:szCs w:val="20"/>
          <w:lang w:val="es-ES" w:bidi="en-US"/>
        </w:rPr>
        <w:t xml:space="preserve">obligadas </w:t>
      </w:r>
      <w:r w:rsidRPr="00975C02">
        <w:rPr>
          <w:rFonts w:eastAsia="MS Mincho"/>
          <w:sz w:val="20"/>
          <w:szCs w:val="20"/>
          <w:lang w:val="es-ES" w:bidi="en-US"/>
        </w:rPr>
        <w:t>a salir de Nicaragua y dejar abandonada su casa, quedándose sin un lugar donde vivir. Por ello, solicitaron que el Estado les asigne un monto prudencial de US$</w:t>
      </w:r>
      <w:r w:rsidR="00120FF3" w:rsidRPr="00975C02">
        <w:rPr>
          <w:rFonts w:eastAsia="MS Mincho"/>
          <w:sz w:val="20"/>
          <w:szCs w:val="20"/>
          <w:lang w:val="es-ES" w:bidi="en-US"/>
        </w:rPr>
        <w:t xml:space="preserve"> </w:t>
      </w:r>
      <w:r w:rsidRPr="00975C02">
        <w:rPr>
          <w:rFonts w:eastAsia="MS Mincho"/>
          <w:sz w:val="20"/>
          <w:szCs w:val="20"/>
          <w:lang w:val="es-ES" w:bidi="en-US"/>
        </w:rPr>
        <w:t>200</w:t>
      </w:r>
      <w:r w:rsidR="00120FF3" w:rsidRPr="00975C02">
        <w:rPr>
          <w:rFonts w:eastAsia="MS Mincho"/>
          <w:sz w:val="20"/>
          <w:szCs w:val="20"/>
          <w:lang w:val="es-ES" w:bidi="en-US"/>
        </w:rPr>
        <w:t>.</w:t>
      </w:r>
      <w:r w:rsidRPr="00975C02">
        <w:rPr>
          <w:rFonts w:eastAsia="MS Mincho"/>
          <w:sz w:val="20"/>
          <w:szCs w:val="20"/>
          <w:lang w:val="es-ES" w:bidi="en-US"/>
        </w:rPr>
        <w:t>000</w:t>
      </w:r>
      <w:r w:rsidR="00120FF3" w:rsidRPr="00975C02">
        <w:rPr>
          <w:sz w:val="20"/>
          <w:szCs w:val="20"/>
          <w:lang w:val="es-ES"/>
        </w:rPr>
        <w:t>,</w:t>
      </w:r>
      <w:r w:rsidRPr="00975C02">
        <w:rPr>
          <w:sz w:val="20"/>
          <w:szCs w:val="20"/>
          <w:lang w:val="es-ES"/>
        </w:rPr>
        <w:t xml:space="preserve">00 </w:t>
      </w:r>
      <w:r w:rsidRPr="00975C02">
        <w:rPr>
          <w:rFonts w:eastAsia="MS Mincho"/>
          <w:sz w:val="20"/>
          <w:szCs w:val="20"/>
          <w:lang w:val="es-ES" w:bidi="en-US"/>
        </w:rPr>
        <w:t>a los fines de adquirir dicha vivienda; ii) emitir una comunicación a la Embajada de Estados Unidos solicitando la aprobación de visado de paseo en beneficio de H.J.R.P. y V.A.R.P., para que puedan viajar y reencontrarse con la familia</w:t>
      </w:r>
      <w:r w:rsidR="00120FF3" w:rsidRPr="00975C02">
        <w:rPr>
          <w:rFonts w:eastAsia="MS Mincho"/>
          <w:sz w:val="20"/>
          <w:szCs w:val="20"/>
          <w:lang w:val="es-ES" w:bidi="en-US"/>
        </w:rPr>
        <w:t>;</w:t>
      </w:r>
      <w:r w:rsidRPr="00975C02">
        <w:rPr>
          <w:rFonts w:eastAsia="MS Mincho"/>
          <w:sz w:val="20"/>
          <w:szCs w:val="20"/>
          <w:lang w:val="es-ES" w:bidi="en-US"/>
        </w:rPr>
        <w:t xml:space="preserve"> ello en razón de la desintegración familiar que se produjo por la salida de Nicaragua de V.P.C., V.R.P. y N.R.P y las consecuencias que esto acarreó pues las dos últimas no volvieron a ver a sus hermanos; iii) </w:t>
      </w:r>
      <w:r w:rsidRPr="00975C02">
        <w:rPr>
          <w:iCs/>
          <w:sz w:val="20"/>
          <w:szCs w:val="20"/>
          <w:lang w:val="es-ES"/>
        </w:rPr>
        <w:t xml:space="preserve">aprobar un proyecto de soporte para las víctimas de abusos sexuales, el cual debe ser puesto en funcionamiento en la ciudad de Jinotega, incluyendo la manutención del proyecto en cuanto a infraestructura, “transportación” y mantenimiento del </w:t>
      </w:r>
      <w:r w:rsidRPr="00975C02">
        <w:rPr>
          <w:iCs/>
          <w:sz w:val="20"/>
          <w:szCs w:val="20"/>
          <w:lang w:val="es-ES"/>
        </w:rPr>
        <w:lastRenderedPageBreak/>
        <w:t>mismo, y iv)</w:t>
      </w:r>
      <w:r w:rsidRPr="00975C02">
        <w:rPr>
          <w:sz w:val="20"/>
          <w:szCs w:val="20"/>
          <w:lang w:val="es-ES"/>
        </w:rPr>
        <w:t xml:space="preserve"> no interponer ninguna acción criminal, civil o de cualquier índole en contra de la “exponente” y sus familiares por haber recurrido ante la Comisión Interamericana de Derechos Humanos</w:t>
      </w:r>
      <w:r w:rsidR="001C0BD0" w:rsidRPr="00975C02">
        <w:rPr>
          <w:sz w:val="20"/>
          <w:szCs w:val="20"/>
          <w:lang w:val="es-ES"/>
        </w:rPr>
        <w:t>.</w:t>
      </w:r>
    </w:p>
    <w:p w14:paraId="68C9CF57" w14:textId="77777777" w:rsidR="009D661E" w:rsidRPr="00975C02" w:rsidRDefault="009D661E" w:rsidP="009D661E">
      <w:pPr>
        <w:tabs>
          <w:tab w:val="left" w:pos="567"/>
        </w:tabs>
        <w:spacing w:line="240" w:lineRule="auto"/>
        <w:textAlignment w:val="auto"/>
        <w:rPr>
          <w:rFonts w:eastAsia="MS Mincho"/>
          <w:sz w:val="20"/>
          <w:szCs w:val="20"/>
          <w:lang w:val="es-ES" w:bidi="en-US"/>
        </w:rPr>
      </w:pPr>
    </w:p>
    <w:p w14:paraId="21242E6C" w14:textId="63BB8D48" w:rsidR="009D661E" w:rsidRPr="00975C02" w:rsidRDefault="009D661E" w:rsidP="009D661E">
      <w:pPr>
        <w:numPr>
          <w:ilvl w:val="0"/>
          <w:numId w:val="2"/>
        </w:numPr>
        <w:tabs>
          <w:tab w:val="left" w:pos="567"/>
          <w:tab w:val="num" w:pos="5057"/>
        </w:tabs>
        <w:spacing w:line="240" w:lineRule="auto"/>
        <w:ind w:left="0" w:firstLine="0"/>
        <w:textAlignment w:val="auto"/>
        <w:rPr>
          <w:rFonts w:eastAsia="MS Mincho"/>
          <w:sz w:val="20"/>
          <w:szCs w:val="20"/>
          <w:lang w:val="es-ES" w:bidi="en-US"/>
        </w:rPr>
      </w:pPr>
      <w:r w:rsidRPr="00975C02">
        <w:rPr>
          <w:rFonts w:eastAsia="MS Mincho"/>
          <w:sz w:val="20"/>
          <w:szCs w:val="20"/>
          <w:lang w:val="es-ES" w:bidi="en-US"/>
        </w:rPr>
        <w:t xml:space="preserve">El </w:t>
      </w:r>
      <w:r w:rsidRPr="00975C02">
        <w:rPr>
          <w:rFonts w:eastAsia="MS Mincho"/>
          <w:b/>
          <w:i/>
          <w:sz w:val="20"/>
          <w:szCs w:val="20"/>
          <w:lang w:val="es-ES" w:bidi="en-US"/>
        </w:rPr>
        <w:t>Estado</w:t>
      </w:r>
      <w:r w:rsidRPr="00975C02">
        <w:rPr>
          <w:rFonts w:eastAsia="MS Mincho"/>
          <w:sz w:val="20"/>
          <w:szCs w:val="20"/>
          <w:lang w:val="es-ES" w:bidi="en-US"/>
        </w:rPr>
        <w:t xml:space="preserve"> alegó lo siguiente: i) en cuanto a la solicitud de una vivienda, se opuso a la petición aduciendo que no se encontraba debidamente fundamentada y que V.P.C. seguía siendo propietaria de la casa habitación que poseía en Jinotega, la que se encontraba libre de gravámenes y podía ser vendida para adquirir otra vivienda; ii) el otorgamiento de la visa para H.J.R.P. y V.A.R.P., o de cualquier otra, era una potestad soberana de cada país y que cualquier ciudadano podía solicitarla ante el consulado de manera individual, cumpliendo con los requisitos que establece cada país. Agregó que el Estado no podía involucrarse en esta decisión soberana de los Estados Unidos, más aun cuando no existía impedimento para que V.A.R.P. y H.J.R.P. vean a sus hermanas V.R.P. y N.R.P. pues ellas podían entrar y salir libremente de Nicaragua, con plena garantía de no persecución, iii) en Nicaragua existían más de 6,000 ONGs legalmente constituidas e inscritas mediante regulaciones sencillas que no requerían establecer una medida de garantía especial, y cada una de ellas creaba y trabajaba con sus propias fuentes de financiamiento. Por esa razón, no le correspondía al Estado asumir los costos de infraestructura, transporte y mantenimiento del referido proyecto de soporte para las víctimas de abusos sexuales, pues ello implicaría la existencia de un centro de ayuda de víctimas con presupuesto del Estado y sujeto a fiscalización. Finalmente, precisó que sí podría trabajar de forma coordinada con otras ONGs de la misma naturaleza que la pretendida y que funcionan con sus propios medios de financiamiento, y iv) no existe indicio de persecución contra V.P.C. ni contra sus hijos que habitan en Nicaragua, tan es así que ella ha viajado y circulado libremente por territorio nicaragüense. El Estado agregó que se reafirmaba en su vocación de respeto irrestricto a los Derechos Humanos, en especial el de petición, vida, integridad física, moral, psicológica y seguridad jurídica.</w:t>
      </w:r>
    </w:p>
    <w:p w14:paraId="0415BBB5" w14:textId="77777777" w:rsidR="009D661E" w:rsidRPr="00975C02" w:rsidRDefault="009D661E" w:rsidP="009D661E">
      <w:pPr>
        <w:tabs>
          <w:tab w:val="left" w:pos="567"/>
        </w:tabs>
        <w:spacing w:line="240" w:lineRule="auto"/>
        <w:textAlignment w:val="auto"/>
        <w:rPr>
          <w:rFonts w:eastAsia="MS Mincho"/>
          <w:sz w:val="20"/>
          <w:szCs w:val="20"/>
          <w:lang w:val="es-ES" w:bidi="en-US"/>
        </w:rPr>
      </w:pPr>
    </w:p>
    <w:p w14:paraId="50CEB365" w14:textId="02DF64F5" w:rsidR="009D661E" w:rsidRPr="00975C02" w:rsidRDefault="009D661E" w:rsidP="009D661E">
      <w:pPr>
        <w:numPr>
          <w:ilvl w:val="0"/>
          <w:numId w:val="2"/>
        </w:numPr>
        <w:tabs>
          <w:tab w:val="left" w:pos="567"/>
          <w:tab w:val="num" w:pos="5057"/>
        </w:tabs>
        <w:spacing w:line="240" w:lineRule="auto"/>
        <w:ind w:left="0" w:firstLine="0"/>
        <w:textAlignment w:val="auto"/>
        <w:rPr>
          <w:rFonts w:eastAsia="MS Mincho"/>
          <w:sz w:val="20"/>
          <w:szCs w:val="20"/>
          <w:lang w:val="es-ES" w:bidi="en-US"/>
        </w:rPr>
      </w:pPr>
      <w:r w:rsidRPr="00975C02">
        <w:rPr>
          <w:sz w:val="20"/>
          <w:szCs w:val="20"/>
          <w:lang w:val="es-ES" w:bidi="en-US"/>
        </w:rPr>
        <w:t xml:space="preserve">En relación con la solicitud de otorgamiento de vivienda, la Corte considera que, conforme </w:t>
      </w:r>
      <w:r w:rsidR="001B1AD5" w:rsidRPr="00975C02">
        <w:rPr>
          <w:sz w:val="20"/>
          <w:szCs w:val="20"/>
          <w:lang w:val="es-ES" w:bidi="en-US"/>
        </w:rPr>
        <w:t>con</w:t>
      </w:r>
      <w:r w:rsidRPr="00975C02">
        <w:rPr>
          <w:sz w:val="20"/>
          <w:szCs w:val="20"/>
          <w:lang w:val="es-ES" w:bidi="en-US"/>
        </w:rPr>
        <w:t xml:space="preserve"> lo señalado por el Estado, lo cual no ha sido controvertido por las representantes, la señora V.P.C. aun sería propietaria de un inmueble en Nicaragua, el que estaría libre de gravámenes. En este sentido, este Tribunal no considera procedente ordenar una medida a este respecto. En cuanto a la solicitud de reintegración familiar, el Tribunal advierte que la emisión de visas es</w:t>
      </w:r>
      <w:r w:rsidR="001B1AD5" w:rsidRPr="00975C02">
        <w:rPr>
          <w:sz w:val="20"/>
          <w:szCs w:val="20"/>
          <w:lang w:val="es-ES" w:bidi="en-US"/>
        </w:rPr>
        <w:t>,</w:t>
      </w:r>
      <w:r w:rsidRPr="00975C02">
        <w:rPr>
          <w:sz w:val="20"/>
          <w:szCs w:val="20"/>
          <w:lang w:val="es-ES" w:bidi="en-US"/>
        </w:rPr>
        <w:t xml:space="preserve"> efectivamente</w:t>
      </w:r>
      <w:r w:rsidR="001B1AD5" w:rsidRPr="00975C02">
        <w:rPr>
          <w:sz w:val="20"/>
          <w:szCs w:val="20"/>
          <w:lang w:val="es-ES" w:bidi="en-US"/>
        </w:rPr>
        <w:t>,</w:t>
      </w:r>
      <w:r w:rsidRPr="00975C02">
        <w:rPr>
          <w:sz w:val="20"/>
          <w:szCs w:val="20"/>
          <w:lang w:val="es-ES" w:bidi="en-US"/>
        </w:rPr>
        <w:t xml:space="preserve"> una potestad de cada país, </w:t>
      </w:r>
      <w:r w:rsidR="001B1AD5" w:rsidRPr="00975C02">
        <w:rPr>
          <w:sz w:val="20"/>
          <w:szCs w:val="20"/>
          <w:lang w:val="es-ES" w:bidi="en-US"/>
        </w:rPr>
        <w:t>y que el acceso a las mismas por parte de</w:t>
      </w:r>
      <w:r w:rsidRPr="00975C02">
        <w:rPr>
          <w:sz w:val="20"/>
          <w:szCs w:val="20"/>
          <w:lang w:val="es-ES" w:bidi="en-US"/>
        </w:rPr>
        <w:t xml:space="preserve"> los hijos de la señora V.P.C. no se encuentra impedido. Por otro lado, </w:t>
      </w:r>
      <w:r w:rsidR="004033BB" w:rsidRPr="00975C02">
        <w:rPr>
          <w:sz w:val="20"/>
          <w:szCs w:val="20"/>
          <w:lang w:val="es-ES" w:bidi="en-US"/>
        </w:rPr>
        <w:t xml:space="preserve">no se deduce </w:t>
      </w:r>
      <w:r w:rsidRPr="00975C02">
        <w:rPr>
          <w:sz w:val="20"/>
          <w:szCs w:val="20"/>
          <w:lang w:val="es-ES" w:bidi="en-US"/>
        </w:rPr>
        <w:t xml:space="preserve">de los alegatos en el presente caso </w:t>
      </w:r>
      <w:r w:rsidR="004033BB" w:rsidRPr="00975C02">
        <w:rPr>
          <w:sz w:val="20"/>
          <w:szCs w:val="20"/>
          <w:lang w:val="es-ES" w:bidi="en-US"/>
        </w:rPr>
        <w:t>ni</w:t>
      </w:r>
      <w:r w:rsidRPr="00975C02">
        <w:rPr>
          <w:sz w:val="20"/>
          <w:szCs w:val="20"/>
          <w:lang w:val="es-ES" w:bidi="en-US"/>
        </w:rPr>
        <w:t xml:space="preserve"> de la prueba aportada, que la señora V.P.C. </w:t>
      </w:r>
      <w:r w:rsidR="004033BB" w:rsidRPr="00975C02">
        <w:rPr>
          <w:sz w:val="20"/>
          <w:szCs w:val="20"/>
          <w:lang w:val="es-ES" w:bidi="en-US"/>
        </w:rPr>
        <w:t xml:space="preserve">y </w:t>
      </w:r>
      <w:r w:rsidRPr="00975C02">
        <w:rPr>
          <w:sz w:val="20"/>
          <w:szCs w:val="20"/>
          <w:lang w:val="es-ES" w:bidi="en-US"/>
        </w:rPr>
        <w:t>sus hijas se encuentr</w:t>
      </w:r>
      <w:r w:rsidR="004033BB" w:rsidRPr="00975C02">
        <w:rPr>
          <w:sz w:val="20"/>
          <w:szCs w:val="20"/>
          <w:lang w:val="es-ES" w:bidi="en-US"/>
        </w:rPr>
        <w:t>en</w:t>
      </w:r>
      <w:r w:rsidRPr="00975C02">
        <w:rPr>
          <w:sz w:val="20"/>
          <w:szCs w:val="20"/>
          <w:lang w:val="es-ES" w:bidi="en-US"/>
        </w:rPr>
        <w:t xml:space="preserve"> imposibilitadas de viajar a Nicaragua para reencontrase con sus seres queridos. Por ello, la Corte no considera procedente ordenar una medida </w:t>
      </w:r>
      <w:r w:rsidR="004033BB" w:rsidRPr="00975C02">
        <w:rPr>
          <w:sz w:val="20"/>
          <w:szCs w:val="20"/>
          <w:lang w:val="es-ES" w:bidi="en-US"/>
        </w:rPr>
        <w:t>en este sentido</w:t>
      </w:r>
      <w:r w:rsidRPr="00975C02">
        <w:rPr>
          <w:sz w:val="20"/>
          <w:szCs w:val="20"/>
          <w:lang w:val="es-ES" w:bidi="en-US"/>
        </w:rPr>
        <w:t>.</w:t>
      </w:r>
    </w:p>
    <w:p w14:paraId="24C4FCB7" w14:textId="77777777" w:rsidR="009D661E" w:rsidRPr="00975C02" w:rsidRDefault="009D661E" w:rsidP="009D661E">
      <w:pPr>
        <w:pStyle w:val="ListParagraph"/>
        <w:spacing w:line="240" w:lineRule="auto"/>
        <w:rPr>
          <w:sz w:val="20"/>
          <w:szCs w:val="20"/>
          <w:lang w:val="es-ES" w:bidi="en-US"/>
        </w:rPr>
      </w:pPr>
    </w:p>
    <w:p w14:paraId="341FB5D9" w14:textId="76A7A316" w:rsidR="009D661E" w:rsidRPr="00975C02" w:rsidRDefault="009D661E" w:rsidP="009D661E">
      <w:pPr>
        <w:numPr>
          <w:ilvl w:val="0"/>
          <w:numId w:val="2"/>
        </w:numPr>
        <w:tabs>
          <w:tab w:val="left" w:pos="567"/>
          <w:tab w:val="num" w:pos="5057"/>
        </w:tabs>
        <w:spacing w:line="240" w:lineRule="auto"/>
        <w:ind w:left="0" w:firstLine="0"/>
        <w:textAlignment w:val="auto"/>
        <w:rPr>
          <w:rFonts w:eastAsia="MS Mincho"/>
          <w:sz w:val="20"/>
          <w:szCs w:val="20"/>
          <w:lang w:val="es-ES" w:bidi="en-US"/>
        </w:rPr>
      </w:pPr>
      <w:r w:rsidRPr="00975C02">
        <w:rPr>
          <w:sz w:val="20"/>
          <w:szCs w:val="20"/>
          <w:lang w:val="es-ES" w:bidi="en-US"/>
        </w:rPr>
        <w:t xml:space="preserve">En suma, la Corte estima que </w:t>
      </w:r>
      <w:r w:rsidR="001F2FE7" w:rsidRPr="00975C02">
        <w:rPr>
          <w:sz w:val="20"/>
          <w:szCs w:val="20"/>
          <w:lang w:val="es-ES" w:bidi="en-US"/>
        </w:rPr>
        <w:t xml:space="preserve">el dictado </w:t>
      </w:r>
      <w:r w:rsidRPr="00975C02">
        <w:rPr>
          <w:sz w:val="20"/>
          <w:szCs w:val="20"/>
          <w:lang w:val="es-ES" w:bidi="en-US"/>
        </w:rPr>
        <w:t xml:space="preserve">de la presente Sentencia y las reparaciones ordenadas en este capítulo resultan suficientes y adecuadas para </w:t>
      </w:r>
      <w:r w:rsidR="001F2FE7" w:rsidRPr="00975C02">
        <w:rPr>
          <w:sz w:val="20"/>
          <w:szCs w:val="20"/>
          <w:lang w:val="es-ES" w:bidi="en-US"/>
        </w:rPr>
        <w:t xml:space="preserve">compensar </w:t>
      </w:r>
      <w:r w:rsidRPr="00975C02">
        <w:rPr>
          <w:sz w:val="20"/>
          <w:szCs w:val="20"/>
          <w:lang w:val="es-ES" w:bidi="en-US"/>
        </w:rPr>
        <w:t>las violaciones sufridas por las víctimas y no estima necesario ordenar las demás medidas solicitadas.</w:t>
      </w:r>
      <w:r w:rsidRPr="00975C02">
        <w:rPr>
          <w:rFonts w:eastAsia="MS Mincho"/>
          <w:sz w:val="20"/>
          <w:szCs w:val="20"/>
          <w:lang w:val="es-ES" w:bidi="en-US"/>
        </w:rPr>
        <w:t xml:space="preserve"> Sin perjuicio de ello, la Corte reitera al Estado de Nicaragua que</w:t>
      </w:r>
      <w:r w:rsidR="001F2FE7" w:rsidRPr="00975C02">
        <w:rPr>
          <w:rFonts w:eastAsia="MS Mincho"/>
          <w:sz w:val="20"/>
          <w:szCs w:val="20"/>
          <w:lang w:val="es-ES" w:bidi="en-US"/>
        </w:rPr>
        <w:t>,</w:t>
      </w:r>
      <w:r w:rsidRPr="00975C02">
        <w:rPr>
          <w:rFonts w:eastAsia="MS Mincho"/>
          <w:sz w:val="20"/>
          <w:szCs w:val="20"/>
          <w:lang w:val="es-ES" w:bidi="en-US"/>
        </w:rPr>
        <w:t xml:space="preserve"> conforme a la Convención Americana, las víctimas tienen el derecho de presentar peticiones ante la Comisión Interamericana si así lo estiman pertinente y que</w:t>
      </w:r>
      <w:r w:rsidR="001F2FE7" w:rsidRPr="00975C02">
        <w:rPr>
          <w:rFonts w:eastAsia="MS Mincho"/>
          <w:sz w:val="20"/>
          <w:szCs w:val="20"/>
          <w:lang w:val="es-ES" w:bidi="en-US"/>
        </w:rPr>
        <w:t>,</w:t>
      </w:r>
      <w:r w:rsidRPr="00975C02">
        <w:rPr>
          <w:rFonts w:eastAsia="MS Mincho"/>
          <w:sz w:val="20"/>
          <w:szCs w:val="20"/>
          <w:lang w:val="es-ES" w:bidi="en-US"/>
        </w:rPr>
        <w:t xml:space="preserve"> de conformidad con el artículo 53 del Reglamento de la Corte, los Estados no podrán enjuiciar a las presuntas víctimas o a sus representantes o asesores legales ni ejercer represalias contra ellos a causa de sus declaraciones o su defensa legal ante la Corte.</w:t>
      </w:r>
    </w:p>
    <w:p w14:paraId="3F90169B" w14:textId="77777777" w:rsidR="009D661E" w:rsidRPr="00975C02" w:rsidRDefault="009D661E" w:rsidP="009D661E">
      <w:pPr>
        <w:autoSpaceDE w:val="0"/>
        <w:autoSpaceDN w:val="0"/>
        <w:spacing w:line="240" w:lineRule="auto"/>
        <w:rPr>
          <w:rFonts w:cs="Verdana"/>
          <w:sz w:val="20"/>
          <w:szCs w:val="20"/>
          <w:lang w:val="es-ES"/>
        </w:rPr>
      </w:pPr>
    </w:p>
    <w:p w14:paraId="15C00ACF" w14:textId="77777777" w:rsidR="009D661E" w:rsidRPr="00975C02" w:rsidRDefault="009D661E" w:rsidP="002C415B">
      <w:pPr>
        <w:keepNext/>
        <w:keepLines/>
        <w:numPr>
          <w:ilvl w:val="0"/>
          <w:numId w:val="11"/>
        </w:numPr>
        <w:tabs>
          <w:tab w:val="left" w:pos="567"/>
          <w:tab w:val="left" w:pos="1134"/>
        </w:tabs>
        <w:spacing w:line="240" w:lineRule="auto"/>
        <w:ind w:left="567" w:firstLine="0"/>
        <w:textAlignment w:val="auto"/>
        <w:outlineLvl w:val="1"/>
        <w:rPr>
          <w:rFonts w:eastAsia="MS Mincho"/>
          <w:b/>
          <w:bCs/>
          <w:i/>
          <w:sz w:val="20"/>
          <w:szCs w:val="20"/>
          <w:lang w:val="es-ES"/>
        </w:rPr>
      </w:pPr>
      <w:bookmarkStart w:id="183" w:name="_Toc495658701"/>
      <w:bookmarkStart w:id="184" w:name="_Toc476390741"/>
      <w:bookmarkStart w:id="185" w:name="_Toc514172669"/>
      <w:r w:rsidRPr="00975C02">
        <w:rPr>
          <w:rFonts w:eastAsia="MS Mincho"/>
          <w:b/>
          <w:bCs/>
          <w:i/>
          <w:sz w:val="20"/>
          <w:szCs w:val="20"/>
          <w:lang w:val="es-ES"/>
        </w:rPr>
        <w:t>Indemnizaciones compensatorias</w:t>
      </w:r>
      <w:bookmarkEnd w:id="183"/>
      <w:bookmarkEnd w:id="184"/>
      <w:bookmarkEnd w:id="185"/>
    </w:p>
    <w:p w14:paraId="036B5A28" w14:textId="77777777" w:rsidR="009D661E" w:rsidRPr="00975C02" w:rsidRDefault="009D661E" w:rsidP="009D661E">
      <w:pPr>
        <w:spacing w:line="240" w:lineRule="auto"/>
        <w:ind w:left="142"/>
        <w:rPr>
          <w:sz w:val="20"/>
          <w:szCs w:val="20"/>
          <w:lang w:val="es-ES"/>
        </w:rPr>
      </w:pPr>
    </w:p>
    <w:p w14:paraId="486E516D" w14:textId="30509ED1" w:rsidR="009D661E" w:rsidRPr="00975C02" w:rsidRDefault="009D661E" w:rsidP="009D661E">
      <w:pPr>
        <w:numPr>
          <w:ilvl w:val="0"/>
          <w:numId w:val="2"/>
        </w:numPr>
        <w:tabs>
          <w:tab w:val="left" w:pos="567"/>
          <w:tab w:val="num" w:pos="5057"/>
        </w:tabs>
        <w:spacing w:line="240" w:lineRule="auto"/>
        <w:ind w:left="0" w:firstLine="0"/>
        <w:textAlignment w:val="auto"/>
        <w:rPr>
          <w:rFonts w:eastAsia="Calibri"/>
          <w:b/>
          <w:i/>
          <w:sz w:val="20"/>
          <w:szCs w:val="20"/>
          <w:lang w:val="es-ES"/>
        </w:rPr>
      </w:pPr>
      <w:r w:rsidRPr="00975C02">
        <w:rPr>
          <w:sz w:val="20"/>
          <w:szCs w:val="20"/>
          <w:lang w:val="es-ES"/>
        </w:rPr>
        <w:t xml:space="preserve">La </w:t>
      </w:r>
      <w:r w:rsidRPr="00975C02">
        <w:rPr>
          <w:b/>
          <w:i/>
          <w:sz w:val="20"/>
          <w:szCs w:val="20"/>
          <w:lang w:val="es-ES"/>
        </w:rPr>
        <w:t>Comisión</w:t>
      </w:r>
      <w:r w:rsidRPr="00975C02">
        <w:rPr>
          <w:sz w:val="20"/>
          <w:szCs w:val="20"/>
          <w:lang w:val="es-ES"/>
        </w:rPr>
        <w:t xml:space="preserve"> solicitó a la Corte, en términos generales, que ordenara al Estado reparar integralmente las violaciones de derechos humanos declaradas en su Informe de Fondo, tanto en el aspecto material como en el moral</w:t>
      </w:r>
      <w:r w:rsidR="001C0BD0" w:rsidRPr="00975C02">
        <w:rPr>
          <w:sz w:val="20"/>
          <w:szCs w:val="20"/>
          <w:lang w:val="es-ES"/>
        </w:rPr>
        <w:t>.</w:t>
      </w:r>
    </w:p>
    <w:p w14:paraId="4B369279" w14:textId="77777777" w:rsidR="009D661E" w:rsidRPr="00975C02" w:rsidRDefault="009D661E" w:rsidP="009D661E">
      <w:pPr>
        <w:tabs>
          <w:tab w:val="left" w:pos="567"/>
        </w:tabs>
        <w:spacing w:line="240" w:lineRule="auto"/>
        <w:rPr>
          <w:rFonts w:eastAsia="Calibri"/>
          <w:b/>
          <w:i/>
          <w:sz w:val="20"/>
          <w:szCs w:val="20"/>
          <w:lang w:val="es-ES"/>
        </w:rPr>
      </w:pPr>
    </w:p>
    <w:p w14:paraId="079DF790" w14:textId="2AEB17C0" w:rsidR="009D661E" w:rsidRPr="00975C02" w:rsidRDefault="009D661E" w:rsidP="009D661E">
      <w:pPr>
        <w:numPr>
          <w:ilvl w:val="0"/>
          <w:numId w:val="2"/>
        </w:numPr>
        <w:tabs>
          <w:tab w:val="left" w:pos="567"/>
          <w:tab w:val="num" w:pos="5057"/>
        </w:tabs>
        <w:spacing w:line="240" w:lineRule="auto"/>
        <w:ind w:left="0" w:firstLine="0"/>
        <w:textAlignment w:val="auto"/>
        <w:rPr>
          <w:rFonts w:eastAsia="Calibri"/>
          <w:b/>
          <w:i/>
          <w:sz w:val="20"/>
          <w:szCs w:val="20"/>
          <w:lang w:val="es-ES"/>
        </w:rPr>
      </w:pPr>
      <w:r w:rsidRPr="00975C02">
        <w:rPr>
          <w:rFonts w:eastAsia="MS Mincho"/>
          <w:sz w:val="20"/>
          <w:szCs w:val="20"/>
          <w:lang w:val="es-ES" w:bidi="en-US"/>
        </w:rPr>
        <w:t xml:space="preserve">El </w:t>
      </w:r>
      <w:r w:rsidRPr="00975C02">
        <w:rPr>
          <w:rFonts w:eastAsia="MS Mincho"/>
          <w:b/>
          <w:i/>
          <w:sz w:val="20"/>
          <w:szCs w:val="20"/>
          <w:lang w:val="es-ES" w:bidi="en-US"/>
        </w:rPr>
        <w:t>Estado</w:t>
      </w:r>
      <w:r w:rsidRPr="00975C02">
        <w:rPr>
          <w:rFonts w:eastAsia="Verdana" w:cs="Verdana"/>
          <w:sz w:val="20"/>
          <w:szCs w:val="20"/>
          <w:lang w:val="es-ES"/>
        </w:rPr>
        <w:t xml:space="preserve"> alegó</w:t>
      </w:r>
      <w:r w:rsidR="002E2199" w:rsidRPr="00975C02">
        <w:rPr>
          <w:rFonts w:eastAsia="Verdana" w:cs="Verdana"/>
          <w:sz w:val="20"/>
          <w:szCs w:val="20"/>
          <w:lang w:val="es-ES"/>
        </w:rPr>
        <w:t>, en términos generales,</w:t>
      </w:r>
      <w:r w:rsidRPr="00975C02">
        <w:rPr>
          <w:rFonts w:eastAsia="Verdana" w:cs="Verdana"/>
          <w:sz w:val="20"/>
          <w:szCs w:val="20"/>
          <w:lang w:val="es-ES"/>
        </w:rPr>
        <w:t xml:space="preserve"> que las reparaciones solicitadas por las </w:t>
      </w:r>
      <w:r w:rsidRPr="00975C02">
        <w:rPr>
          <w:rFonts w:eastAsia="Verdana" w:cs="Verdana"/>
          <w:sz w:val="20"/>
          <w:szCs w:val="20"/>
          <w:lang w:val="es-ES"/>
        </w:rPr>
        <w:lastRenderedPageBreak/>
        <w:t>representantes eran muy elevadas y pretendían únicamente un enriquecimiento, más que una indemnización. En ese sentido, solicitó que la Corte</w:t>
      </w:r>
      <w:r w:rsidR="002E2199" w:rsidRPr="00975C02">
        <w:rPr>
          <w:rFonts w:eastAsia="Verdana" w:cs="Verdana"/>
          <w:sz w:val="20"/>
          <w:szCs w:val="20"/>
          <w:lang w:val="es-ES"/>
        </w:rPr>
        <w:t xml:space="preserve"> tomara</w:t>
      </w:r>
      <w:r w:rsidRPr="00975C02">
        <w:rPr>
          <w:rFonts w:eastAsia="Verdana" w:cs="Verdana"/>
          <w:sz w:val="20"/>
          <w:szCs w:val="20"/>
          <w:lang w:val="es-ES"/>
        </w:rPr>
        <w:t xml:space="preserve"> en cuenta la situación económica de Nicaragua</w:t>
      </w:r>
      <w:r w:rsidR="002E2199" w:rsidRPr="00975C02">
        <w:rPr>
          <w:rFonts w:eastAsia="Verdana" w:cs="Verdana"/>
          <w:sz w:val="20"/>
          <w:szCs w:val="20"/>
          <w:lang w:val="es-ES"/>
        </w:rPr>
        <w:t xml:space="preserve">. </w:t>
      </w:r>
      <w:r w:rsidRPr="00975C02">
        <w:rPr>
          <w:rFonts w:eastAsia="Verdana" w:cs="Verdana"/>
          <w:bCs/>
          <w:sz w:val="20"/>
          <w:szCs w:val="20"/>
          <w:lang w:val="es-ES"/>
        </w:rPr>
        <w:t>Agregó que el monto solicitado por las representantes no se cond</w:t>
      </w:r>
      <w:r w:rsidR="002E2199" w:rsidRPr="00975C02">
        <w:rPr>
          <w:rFonts w:eastAsia="Verdana" w:cs="Verdana"/>
          <w:bCs/>
          <w:sz w:val="20"/>
          <w:szCs w:val="20"/>
          <w:lang w:val="es-ES"/>
        </w:rPr>
        <w:t>ecía</w:t>
      </w:r>
      <w:r w:rsidRPr="00975C02">
        <w:rPr>
          <w:rFonts w:eastAsia="Verdana" w:cs="Verdana"/>
          <w:bCs/>
          <w:sz w:val="20"/>
          <w:szCs w:val="20"/>
          <w:lang w:val="es-ES"/>
        </w:rPr>
        <w:t xml:space="preserve"> con los montos fijados por la Corte en otros casos que </w:t>
      </w:r>
      <w:r w:rsidR="002E2199" w:rsidRPr="00975C02">
        <w:rPr>
          <w:rFonts w:eastAsia="Verdana" w:cs="Verdana"/>
          <w:bCs/>
          <w:sz w:val="20"/>
          <w:szCs w:val="20"/>
          <w:lang w:val="es-ES"/>
        </w:rPr>
        <w:t xml:space="preserve">revestían </w:t>
      </w:r>
      <w:r w:rsidRPr="00975C02">
        <w:rPr>
          <w:rFonts w:eastAsia="Verdana" w:cs="Verdana"/>
          <w:bCs/>
          <w:sz w:val="20"/>
          <w:szCs w:val="20"/>
          <w:lang w:val="es-ES"/>
        </w:rPr>
        <w:t>mayor gravedad</w:t>
      </w:r>
      <w:r w:rsidR="001C0BD0" w:rsidRPr="00975C02">
        <w:rPr>
          <w:rFonts w:eastAsia="Verdana" w:cs="Verdana"/>
          <w:bCs/>
          <w:sz w:val="20"/>
          <w:szCs w:val="20"/>
          <w:lang w:val="es-ES"/>
        </w:rPr>
        <w:t>.</w:t>
      </w:r>
    </w:p>
    <w:p w14:paraId="522F0D5A" w14:textId="77777777" w:rsidR="009D661E" w:rsidRPr="00975C02" w:rsidRDefault="009D661E" w:rsidP="009D661E">
      <w:pPr>
        <w:tabs>
          <w:tab w:val="left" w:pos="1200"/>
        </w:tabs>
        <w:spacing w:line="240" w:lineRule="auto"/>
        <w:ind w:left="142"/>
        <w:rPr>
          <w:sz w:val="20"/>
          <w:szCs w:val="20"/>
          <w:lang w:val="es-ES"/>
        </w:rPr>
      </w:pPr>
      <w:r w:rsidRPr="00975C02">
        <w:rPr>
          <w:sz w:val="20"/>
          <w:szCs w:val="20"/>
          <w:lang w:val="es-ES"/>
        </w:rPr>
        <w:tab/>
      </w:r>
    </w:p>
    <w:p w14:paraId="72201ED1" w14:textId="77777777" w:rsidR="009D661E" w:rsidRPr="00975C02" w:rsidRDefault="009D661E" w:rsidP="009D661E">
      <w:pPr>
        <w:pStyle w:val="Heading2"/>
        <w:tabs>
          <w:tab w:val="left" w:pos="1843"/>
        </w:tabs>
        <w:spacing w:before="0" w:line="240" w:lineRule="auto"/>
        <w:ind w:left="1134"/>
        <w:rPr>
          <w:rFonts w:ascii="Verdana" w:hAnsi="Verdana"/>
          <w:b w:val="0"/>
          <w:i/>
          <w:color w:val="auto"/>
          <w:sz w:val="20"/>
          <w:szCs w:val="20"/>
          <w:lang w:val="es-ES"/>
        </w:rPr>
      </w:pPr>
      <w:bookmarkStart w:id="186" w:name="_Toc495658702"/>
      <w:bookmarkStart w:id="187" w:name="_Toc476390742"/>
      <w:bookmarkStart w:id="188" w:name="_Toc514172670"/>
      <w:r w:rsidRPr="00975C02">
        <w:rPr>
          <w:rFonts w:ascii="Verdana" w:hAnsi="Verdana"/>
          <w:b w:val="0"/>
          <w:i/>
          <w:color w:val="auto"/>
          <w:sz w:val="20"/>
          <w:szCs w:val="20"/>
          <w:lang w:val="es-ES"/>
        </w:rPr>
        <w:t>D.1</w:t>
      </w:r>
      <w:r w:rsidRPr="00975C02">
        <w:rPr>
          <w:rFonts w:ascii="Verdana" w:hAnsi="Verdana"/>
          <w:b w:val="0"/>
          <w:i/>
          <w:color w:val="auto"/>
          <w:sz w:val="20"/>
          <w:szCs w:val="20"/>
          <w:lang w:val="es-ES"/>
        </w:rPr>
        <w:tab/>
        <w:t>Daño material</w:t>
      </w:r>
      <w:bookmarkEnd w:id="186"/>
      <w:bookmarkEnd w:id="187"/>
      <w:bookmarkEnd w:id="188"/>
    </w:p>
    <w:p w14:paraId="554B320F" w14:textId="77777777" w:rsidR="009D661E" w:rsidRPr="00975C02" w:rsidRDefault="009D661E" w:rsidP="009D661E">
      <w:pPr>
        <w:tabs>
          <w:tab w:val="left" w:pos="2330"/>
        </w:tabs>
        <w:autoSpaceDE w:val="0"/>
        <w:autoSpaceDN w:val="0"/>
        <w:spacing w:line="240" w:lineRule="auto"/>
        <w:outlineLvl w:val="2"/>
        <w:rPr>
          <w:rFonts w:eastAsia="Calibri"/>
          <w:b/>
          <w:i/>
          <w:sz w:val="20"/>
          <w:szCs w:val="20"/>
          <w:lang w:val="es-ES"/>
        </w:rPr>
      </w:pPr>
      <w:r w:rsidRPr="00975C02">
        <w:rPr>
          <w:rFonts w:eastAsia="Calibri"/>
          <w:b/>
          <w:i/>
          <w:sz w:val="20"/>
          <w:szCs w:val="20"/>
          <w:lang w:val="es-ES"/>
        </w:rPr>
        <w:tab/>
      </w:r>
    </w:p>
    <w:p w14:paraId="40CC4649" w14:textId="77777777" w:rsidR="009D661E" w:rsidRPr="00975C02" w:rsidRDefault="009D661E" w:rsidP="009D661E">
      <w:pPr>
        <w:numPr>
          <w:ilvl w:val="0"/>
          <w:numId w:val="2"/>
        </w:numPr>
        <w:tabs>
          <w:tab w:val="left" w:pos="567"/>
          <w:tab w:val="num" w:pos="5057"/>
        </w:tabs>
        <w:spacing w:line="240" w:lineRule="auto"/>
        <w:ind w:left="0" w:firstLine="0"/>
        <w:textAlignment w:val="auto"/>
        <w:rPr>
          <w:rFonts w:eastAsia="MS Mincho"/>
          <w:bCs/>
          <w:sz w:val="20"/>
          <w:szCs w:val="20"/>
          <w:lang w:val="es-ES" w:bidi="en-US"/>
        </w:rPr>
      </w:pPr>
      <w:r w:rsidRPr="00975C02">
        <w:rPr>
          <w:rFonts w:cs="Verdana"/>
          <w:bCs/>
          <w:iCs/>
          <w:sz w:val="20"/>
          <w:szCs w:val="20"/>
          <w:lang w:val="es-ES"/>
        </w:rPr>
        <w:t xml:space="preserve">La </w:t>
      </w:r>
      <w:r w:rsidRPr="00975C02">
        <w:rPr>
          <w:rFonts w:eastAsia="Batang" w:cs="Verdana"/>
          <w:bCs/>
          <w:iCs/>
          <w:sz w:val="20"/>
          <w:szCs w:val="20"/>
          <w:lang w:val="es-ES"/>
        </w:rPr>
        <w:t>Corte</w:t>
      </w:r>
      <w:r w:rsidRPr="00975C02">
        <w:rPr>
          <w:rFonts w:cs="Verdana"/>
          <w:bCs/>
          <w:i/>
          <w:iCs/>
          <w:sz w:val="20"/>
          <w:szCs w:val="20"/>
          <w:lang w:val="es-ES"/>
        </w:rPr>
        <w:t xml:space="preserve"> </w:t>
      </w:r>
      <w:r w:rsidRPr="00975C02">
        <w:rPr>
          <w:rFonts w:cs="Verdana"/>
          <w:bCs/>
          <w:iCs/>
          <w:sz w:val="20"/>
          <w:szCs w:val="20"/>
          <w:lang w:val="es-ES"/>
        </w:rPr>
        <w:t>ha desarrollado en su jurisprudencia el concepto de daño material y ha establecido que éste supone la pérdida o detrimento de los ingresos de las víctimas, los gastos efectuados con motivo de los hechos y las consecuencias de carácter pecuniario que tengan un nexo causal con los hechos del caso</w:t>
      </w:r>
      <w:r w:rsidRPr="00975C02">
        <w:rPr>
          <w:rFonts w:eastAsia="MS Mincho"/>
          <w:bCs/>
          <w:sz w:val="20"/>
          <w:szCs w:val="20"/>
          <w:vertAlign w:val="superscript"/>
          <w:lang w:val="es-ES" w:bidi="en-US"/>
        </w:rPr>
        <w:footnoteReference w:id="448"/>
      </w:r>
      <w:r w:rsidRPr="00975C02">
        <w:rPr>
          <w:rFonts w:cs="Verdana"/>
          <w:bCs/>
          <w:iCs/>
          <w:sz w:val="20"/>
          <w:szCs w:val="20"/>
          <w:lang w:val="es-ES"/>
        </w:rPr>
        <w:t>.</w:t>
      </w:r>
    </w:p>
    <w:p w14:paraId="77B13A61" w14:textId="77777777" w:rsidR="009D661E" w:rsidRPr="00975C02" w:rsidRDefault="009D661E" w:rsidP="009D661E">
      <w:pPr>
        <w:tabs>
          <w:tab w:val="left" w:pos="567"/>
        </w:tabs>
        <w:autoSpaceDE w:val="0"/>
        <w:autoSpaceDN w:val="0"/>
        <w:spacing w:line="240" w:lineRule="auto"/>
        <w:outlineLvl w:val="2"/>
        <w:rPr>
          <w:rFonts w:eastAsia="Calibri"/>
          <w:b/>
          <w:i/>
          <w:sz w:val="20"/>
          <w:szCs w:val="20"/>
          <w:lang w:val="es-ES"/>
        </w:rPr>
      </w:pPr>
    </w:p>
    <w:p w14:paraId="65198F9A" w14:textId="77777777" w:rsidR="009D661E" w:rsidRPr="00975C02" w:rsidRDefault="009D661E" w:rsidP="009D661E">
      <w:pPr>
        <w:spacing w:line="240" w:lineRule="auto"/>
        <w:ind w:left="1985"/>
        <w:rPr>
          <w:i/>
          <w:iCs/>
          <w:sz w:val="20"/>
          <w:szCs w:val="20"/>
          <w:lang w:val="es-ES"/>
        </w:rPr>
      </w:pPr>
      <w:r w:rsidRPr="00975C02">
        <w:rPr>
          <w:i/>
          <w:iCs/>
          <w:sz w:val="20"/>
          <w:szCs w:val="20"/>
          <w:lang w:val="es-ES"/>
        </w:rPr>
        <w:t>a) Daño emergente</w:t>
      </w:r>
    </w:p>
    <w:p w14:paraId="20A6E43C" w14:textId="7FC91A5A" w:rsidR="009D661E" w:rsidRPr="00975C02" w:rsidRDefault="009D661E" w:rsidP="00252E46">
      <w:pPr>
        <w:spacing w:line="240" w:lineRule="auto"/>
        <w:rPr>
          <w:i/>
          <w:iCs/>
          <w:sz w:val="20"/>
          <w:szCs w:val="20"/>
          <w:lang w:val="es-ES"/>
        </w:rPr>
      </w:pPr>
    </w:p>
    <w:p w14:paraId="3D8E8ABE" w14:textId="6104DFD6" w:rsidR="009D661E" w:rsidRPr="00975C02" w:rsidRDefault="009D661E" w:rsidP="009D661E">
      <w:pPr>
        <w:numPr>
          <w:ilvl w:val="0"/>
          <w:numId w:val="2"/>
        </w:numPr>
        <w:tabs>
          <w:tab w:val="left" w:pos="567"/>
          <w:tab w:val="num" w:pos="5057"/>
        </w:tabs>
        <w:spacing w:line="240" w:lineRule="auto"/>
        <w:ind w:left="0" w:firstLine="0"/>
        <w:textAlignment w:val="auto"/>
        <w:rPr>
          <w:rFonts w:eastAsia="MS Mincho" w:cs="Tahoma"/>
          <w:b/>
          <w:sz w:val="20"/>
          <w:szCs w:val="20"/>
          <w:lang w:val="es-ES"/>
        </w:rPr>
      </w:pPr>
      <w:r w:rsidRPr="00975C02">
        <w:rPr>
          <w:rFonts w:eastAsia="Verdana" w:cs="Verdana"/>
          <w:sz w:val="20"/>
          <w:szCs w:val="20"/>
          <w:lang w:val="es-ES"/>
        </w:rPr>
        <w:t xml:space="preserve">Las </w:t>
      </w:r>
      <w:r w:rsidRPr="00975C02">
        <w:rPr>
          <w:rFonts w:eastAsia="Verdana" w:cs="Verdana"/>
          <w:b/>
          <w:i/>
          <w:sz w:val="20"/>
          <w:szCs w:val="20"/>
          <w:lang w:val="es-ES"/>
        </w:rPr>
        <w:t>representantes</w:t>
      </w:r>
      <w:r w:rsidRPr="00975C02">
        <w:rPr>
          <w:rFonts w:eastAsia="Verdana" w:cs="Verdana"/>
          <w:sz w:val="20"/>
          <w:szCs w:val="20"/>
          <w:lang w:val="es-ES"/>
        </w:rPr>
        <w:t xml:space="preserve"> solicitaron que la Corte orden</w:t>
      </w:r>
      <w:r w:rsidR="002E2199" w:rsidRPr="00975C02">
        <w:rPr>
          <w:rFonts w:eastAsia="Verdana" w:cs="Verdana"/>
          <w:sz w:val="20"/>
          <w:szCs w:val="20"/>
          <w:lang w:val="es-ES"/>
        </w:rPr>
        <w:t>ara</w:t>
      </w:r>
      <w:r w:rsidRPr="00975C02">
        <w:rPr>
          <w:rFonts w:eastAsia="Verdana" w:cs="Verdana"/>
          <w:sz w:val="20"/>
          <w:szCs w:val="20"/>
          <w:lang w:val="es-ES"/>
        </w:rPr>
        <w:t xml:space="preserve"> al Estado pagar a la víctima o </w:t>
      </w:r>
      <w:r w:rsidR="002E2199" w:rsidRPr="00975C02">
        <w:rPr>
          <w:rFonts w:eastAsia="Verdana" w:cs="Verdana"/>
          <w:sz w:val="20"/>
          <w:szCs w:val="20"/>
          <w:lang w:val="es-ES"/>
        </w:rPr>
        <w:t xml:space="preserve">a </w:t>
      </w:r>
      <w:r w:rsidRPr="00975C02">
        <w:rPr>
          <w:rFonts w:eastAsia="Verdana" w:cs="Verdana"/>
          <w:sz w:val="20"/>
          <w:szCs w:val="20"/>
          <w:lang w:val="es-ES"/>
        </w:rPr>
        <w:t xml:space="preserve">sus representantes, por </w:t>
      </w:r>
      <w:r w:rsidRPr="00975C02">
        <w:rPr>
          <w:rFonts w:eastAsia="Calibri"/>
          <w:sz w:val="20"/>
          <w:szCs w:val="20"/>
          <w:lang w:val="es-ES"/>
        </w:rPr>
        <w:t>concepto</w:t>
      </w:r>
      <w:r w:rsidRPr="00975C02">
        <w:rPr>
          <w:rFonts w:eastAsia="Verdana" w:cs="Verdana"/>
          <w:sz w:val="20"/>
          <w:szCs w:val="20"/>
          <w:lang w:val="es-ES"/>
        </w:rPr>
        <w:t xml:space="preserve"> de daño emergente, todos los gastos directos e inmediatos que tuvieron que efectuar con ocasión del ilícito cometido, esto es, los gastos que realizó V.P.C., tanto en Nicaragua como en Estados Unidos, </w:t>
      </w:r>
      <w:r w:rsidR="002E2199" w:rsidRPr="00975C02">
        <w:rPr>
          <w:rFonts w:eastAsia="Verdana" w:cs="Verdana"/>
          <w:sz w:val="20"/>
          <w:szCs w:val="20"/>
          <w:lang w:val="es-ES"/>
        </w:rPr>
        <w:t xml:space="preserve">por </w:t>
      </w:r>
      <w:r w:rsidR="00B3107A" w:rsidRPr="00975C02">
        <w:rPr>
          <w:rFonts w:eastAsia="Verdana" w:cs="Verdana"/>
          <w:sz w:val="20"/>
          <w:szCs w:val="20"/>
          <w:lang w:val="es-ES"/>
        </w:rPr>
        <w:t xml:space="preserve">las </w:t>
      </w:r>
      <w:r w:rsidRPr="00975C02">
        <w:rPr>
          <w:rFonts w:eastAsia="Verdana" w:cs="Verdana"/>
          <w:sz w:val="20"/>
          <w:szCs w:val="20"/>
          <w:lang w:val="es-ES"/>
        </w:rPr>
        <w:t>atenciones médicas (gastos quirúrgicos, terapéuticos y farmacias)</w:t>
      </w:r>
      <w:r w:rsidR="002E2199" w:rsidRPr="00975C02">
        <w:rPr>
          <w:rFonts w:eastAsia="Verdana" w:cs="Verdana"/>
          <w:sz w:val="20"/>
          <w:szCs w:val="20"/>
          <w:lang w:val="es-ES"/>
        </w:rPr>
        <w:t>,</w:t>
      </w:r>
      <w:r w:rsidRPr="00975C02">
        <w:rPr>
          <w:rFonts w:eastAsia="Verdana" w:cs="Verdana"/>
          <w:sz w:val="20"/>
          <w:szCs w:val="20"/>
          <w:lang w:val="es-ES"/>
        </w:rPr>
        <w:t xml:space="preserve"> el daño físico y la enfermedad </w:t>
      </w:r>
      <w:r w:rsidR="002E2199" w:rsidRPr="00975C02">
        <w:rPr>
          <w:rFonts w:eastAsia="Verdana" w:cs="Verdana"/>
          <w:sz w:val="20"/>
          <w:szCs w:val="20"/>
          <w:lang w:val="es-ES"/>
        </w:rPr>
        <w:t>sufridos</w:t>
      </w:r>
      <w:r w:rsidRPr="00975C02">
        <w:rPr>
          <w:rFonts w:eastAsia="Verdana" w:cs="Verdana"/>
          <w:sz w:val="20"/>
          <w:szCs w:val="20"/>
          <w:lang w:val="es-ES"/>
        </w:rPr>
        <w:t xml:space="preserve"> </w:t>
      </w:r>
      <w:r w:rsidR="002E2199" w:rsidRPr="00975C02">
        <w:rPr>
          <w:rFonts w:eastAsia="Verdana" w:cs="Verdana"/>
          <w:sz w:val="20"/>
          <w:szCs w:val="20"/>
          <w:lang w:val="es-ES"/>
        </w:rPr>
        <w:t xml:space="preserve">por </w:t>
      </w:r>
      <w:r w:rsidRPr="00975C02">
        <w:rPr>
          <w:rFonts w:eastAsia="Verdana" w:cs="Verdana"/>
          <w:sz w:val="20"/>
          <w:szCs w:val="20"/>
          <w:lang w:val="es-ES"/>
        </w:rPr>
        <w:t xml:space="preserve">V.R.P., así como la afectación psíquica. </w:t>
      </w:r>
      <w:r w:rsidR="002E2199" w:rsidRPr="00975C02">
        <w:rPr>
          <w:rFonts w:eastAsia="Verdana" w:cs="Verdana"/>
          <w:sz w:val="20"/>
          <w:szCs w:val="20"/>
          <w:lang w:val="es-ES"/>
        </w:rPr>
        <w:t xml:space="preserve">Asimismo, incluyeron dentro de </w:t>
      </w:r>
      <w:r w:rsidRPr="00975C02">
        <w:rPr>
          <w:rFonts w:eastAsia="Verdana" w:cs="Verdana"/>
          <w:sz w:val="20"/>
          <w:szCs w:val="20"/>
          <w:lang w:val="es-ES"/>
        </w:rPr>
        <w:t xml:space="preserve">este rubro, los gastos judiciales efectuados en razón de la denuncia interpuesta contra la persona señalada por V.R.P. como su agresor, </w:t>
      </w:r>
      <w:r w:rsidR="002E2199" w:rsidRPr="00975C02">
        <w:rPr>
          <w:rFonts w:eastAsia="Verdana" w:cs="Verdana"/>
          <w:sz w:val="20"/>
          <w:szCs w:val="20"/>
          <w:lang w:val="es-ES"/>
        </w:rPr>
        <w:t xml:space="preserve">los cuales comprenden gastos por </w:t>
      </w:r>
      <w:r w:rsidRPr="00975C02">
        <w:rPr>
          <w:rFonts w:eastAsia="Verdana" w:cs="Verdana"/>
          <w:sz w:val="20"/>
          <w:szCs w:val="20"/>
          <w:lang w:val="es-ES"/>
        </w:rPr>
        <w:t>traslados, copias de documentos, pagos de impuestos judiciales y honorarios a nivel interno</w:t>
      </w:r>
      <w:r w:rsidR="002E2199" w:rsidRPr="00975C02">
        <w:rPr>
          <w:rFonts w:eastAsia="Verdana" w:cs="Verdana"/>
          <w:sz w:val="20"/>
          <w:szCs w:val="20"/>
          <w:lang w:val="es-ES"/>
        </w:rPr>
        <w:t>.</w:t>
      </w:r>
      <w:r w:rsidRPr="00975C02">
        <w:rPr>
          <w:rFonts w:eastAsia="Verdana" w:cs="Verdana"/>
          <w:sz w:val="20"/>
          <w:szCs w:val="20"/>
          <w:lang w:val="es-ES"/>
        </w:rPr>
        <w:t xml:space="preserve"> </w:t>
      </w:r>
      <w:r w:rsidR="002E2199" w:rsidRPr="00975C02">
        <w:rPr>
          <w:rFonts w:eastAsia="Verdana" w:cs="Verdana"/>
          <w:sz w:val="20"/>
          <w:szCs w:val="20"/>
          <w:lang w:val="es-ES"/>
        </w:rPr>
        <w:t>E</w:t>
      </w:r>
      <w:r w:rsidRPr="00975C02">
        <w:rPr>
          <w:rFonts w:eastAsia="Verdana" w:cs="Verdana"/>
          <w:sz w:val="20"/>
          <w:szCs w:val="20"/>
          <w:lang w:val="es-ES"/>
        </w:rPr>
        <w:t>s</w:t>
      </w:r>
      <w:r w:rsidR="002E2199" w:rsidRPr="00975C02">
        <w:rPr>
          <w:rFonts w:eastAsia="Verdana" w:cs="Verdana"/>
          <w:sz w:val="20"/>
          <w:szCs w:val="20"/>
          <w:lang w:val="es-ES"/>
        </w:rPr>
        <w:t>t</w:t>
      </w:r>
      <w:r w:rsidRPr="00975C02">
        <w:rPr>
          <w:rFonts w:eastAsia="Verdana" w:cs="Verdana"/>
          <w:sz w:val="20"/>
          <w:szCs w:val="20"/>
          <w:lang w:val="es-ES"/>
        </w:rPr>
        <w:t xml:space="preserve">os gastos se vieron incrementados por la necesidad de interponer acciones debido a las irregularidades del proceso, teniendo incluso que recurrir al sistema interamericano. Asimismo, </w:t>
      </w:r>
      <w:r w:rsidR="002E2199" w:rsidRPr="00975C02">
        <w:rPr>
          <w:rFonts w:eastAsia="Verdana" w:cs="Verdana"/>
          <w:sz w:val="20"/>
          <w:szCs w:val="20"/>
          <w:lang w:val="es-ES"/>
        </w:rPr>
        <w:t xml:space="preserve">las representantes </w:t>
      </w:r>
      <w:r w:rsidRPr="00975C02">
        <w:rPr>
          <w:rFonts w:eastAsia="Verdana" w:cs="Verdana"/>
          <w:sz w:val="20"/>
          <w:szCs w:val="20"/>
          <w:lang w:val="es-ES"/>
        </w:rPr>
        <w:t>señala</w:t>
      </w:r>
      <w:r w:rsidR="002E2199" w:rsidRPr="00975C02">
        <w:rPr>
          <w:rFonts w:eastAsia="Verdana" w:cs="Verdana"/>
          <w:sz w:val="20"/>
          <w:szCs w:val="20"/>
          <w:lang w:val="es-ES"/>
        </w:rPr>
        <w:t>ron que</w:t>
      </w:r>
      <w:r w:rsidRPr="00975C02">
        <w:rPr>
          <w:rFonts w:eastAsia="Verdana" w:cs="Verdana"/>
          <w:sz w:val="20"/>
          <w:szCs w:val="20"/>
          <w:lang w:val="es-ES"/>
        </w:rPr>
        <w:t xml:space="preserve"> V.P.C. </w:t>
      </w:r>
      <w:r w:rsidR="002E2199" w:rsidRPr="00975C02">
        <w:rPr>
          <w:rFonts w:eastAsia="Verdana" w:cs="Verdana"/>
          <w:sz w:val="20"/>
          <w:szCs w:val="20"/>
          <w:lang w:val="es-ES"/>
        </w:rPr>
        <w:t xml:space="preserve">debió </w:t>
      </w:r>
      <w:r w:rsidRPr="00975C02">
        <w:rPr>
          <w:rFonts w:eastAsia="Verdana" w:cs="Verdana"/>
          <w:sz w:val="20"/>
          <w:szCs w:val="20"/>
          <w:lang w:val="es-ES"/>
        </w:rPr>
        <w:t>cubrir los gastos de traslado a los Estados Unidos y los del proceso de exilio en ese país para sus dos hijas</w:t>
      </w:r>
      <w:r w:rsidR="00E90088" w:rsidRPr="00975C02">
        <w:rPr>
          <w:rFonts w:eastAsia="Verdana" w:cs="Verdana"/>
          <w:sz w:val="20"/>
          <w:szCs w:val="20"/>
          <w:lang w:val="es-ES"/>
        </w:rPr>
        <w:t xml:space="preserve"> y ella</w:t>
      </w:r>
      <w:r w:rsidRPr="00975C02">
        <w:rPr>
          <w:rFonts w:eastAsia="Verdana" w:cs="Verdana"/>
          <w:sz w:val="20"/>
          <w:szCs w:val="20"/>
          <w:lang w:val="es-ES"/>
        </w:rPr>
        <w:t xml:space="preserve">. </w:t>
      </w:r>
      <w:r w:rsidR="002E2199" w:rsidRPr="00975C02">
        <w:rPr>
          <w:rFonts w:eastAsia="Verdana" w:cs="Verdana"/>
          <w:sz w:val="20"/>
          <w:szCs w:val="20"/>
          <w:lang w:val="es-ES"/>
        </w:rPr>
        <w:t>Las representantes indicaron</w:t>
      </w:r>
      <w:r w:rsidRPr="00975C02">
        <w:rPr>
          <w:rFonts w:eastAsia="Verdana" w:cs="Verdana"/>
          <w:sz w:val="20"/>
          <w:szCs w:val="20"/>
          <w:lang w:val="es-ES"/>
        </w:rPr>
        <w:t xml:space="preserve"> que </w:t>
      </w:r>
      <w:r w:rsidR="002E2199" w:rsidRPr="00975C02">
        <w:rPr>
          <w:rFonts w:eastAsia="Verdana" w:cs="Verdana"/>
          <w:sz w:val="20"/>
          <w:szCs w:val="20"/>
          <w:lang w:val="es-ES"/>
        </w:rPr>
        <w:t>varios de los</w:t>
      </w:r>
      <w:r w:rsidRPr="00975C02">
        <w:rPr>
          <w:rFonts w:eastAsia="Verdana" w:cs="Verdana"/>
          <w:sz w:val="20"/>
          <w:szCs w:val="20"/>
          <w:lang w:val="es-ES"/>
        </w:rPr>
        <w:t xml:space="preserve"> gastos </w:t>
      </w:r>
      <w:r w:rsidR="002E2199" w:rsidRPr="00975C02">
        <w:rPr>
          <w:rFonts w:eastAsia="Verdana" w:cs="Verdana"/>
          <w:sz w:val="20"/>
          <w:szCs w:val="20"/>
          <w:lang w:val="es-ES"/>
        </w:rPr>
        <w:t xml:space="preserve">señalados </w:t>
      </w:r>
      <w:r w:rsidRPr="00975C02">
        <w:rPr>
          <w:rFonts w:eastAsia="Verdana" w:cs="Verdana"/>
          <w:sz w:val="20"/>
          <w:szCs w:val="20"/>
          <w:lang w:val="es-ES"/>
        </w:rPr>
        <w:t>se enc</w:t>
      </w:r>
      <w:r w:rsidR="002E2199" w:rsidRPr="00975C02">
        <w:rPr>
          <w:rFonts w:eastAsia="Verdana" w:cs="Verdana"/>
          <w:sz w:val="20"/>
          <w:szCs w:val="20"/>
          <w:lang w:val="es-ES"/>
        </w:rPr>
        <w:t>ontraban</w:t>
      </w:r>
      <w:r w:rsidRPr="00975C02">
        <w:rPr>
          <w:rFonts w:eastAsia="Verdana" w:cs="Verdana"/>
          <w:sz w:val="20"/>
          <w:szCs w:val="20"/>
          <w:lang w:val="es-ES"/>
        </w:rPr>
        <w:t xml:space="preserve"> sustentados en diversos documentos y facturas</w:t>
      </w:r>
      <w:r w:rsidR="002E2199" w:rsidRPr="00975C02">
        <w:rPr>
          <w:rFonts w:eastAsia="Verdana" w:cs="Verdana"/>
          <w:sz w:val="20"/>
          <w:szCs w:val="20"/>
          <w:lang w:val="es-ES"/>
        </w:rPr>
        <w:t>. En este sentido, aportaron documentación respecto a</w:t>
      </w:r>
      <w:r w:rsidRPr="00975C02">
        <w:rPr>
          <w:rFonts w:eastAsia="Verdana" w:cs="Verdana"/>
          <w:sz w:val="20"/>
          <w:szCs w:val="20"/>
          <w:lang w:val="es-ES"/>
        </w:rPr>
        <w:t xml:space="preserve"> </w:t>
      </w:r>
      <w:r w:rsidR="00E90088" w:rsidRPr="00975C02">
        <w:rPr>
          <w:rFonts w:eastAsia="Verdana" w:cs="Verdana"/>
          <w:sz w:val="20"/>
          <w:szCs w:val="20"/>
          <w:lang w:val="es-ES"/>
        </w:rPr>
        <w:t xml:space="preserve">los </w:t>
      </w:r>
      <w:r w:rsidRPr="00975C02">
        <w:rPr>
          <w:rFonts w:eastAsia="Verdana" w:cs="Verdana"/>
          <w:sz w:val="20"/>
          <w:szCs w:val="20"/>
          <w:lang w:val="es-ES"/>
        </w:rPr>
        <w:t>gastos hospitalario</w:t>
      </w:r>
      <w:r w:rsidR="002E2199" w:rsidRPr="00975C02">
        <w:rPr>
          <w:rFonts w:eastAsia="Verdana" w:cs="Verdana"/>
          <w:sz w:val="20"/>
          <w:szCs w:val="20"/>
          <w:lang w:val="es-ES"/>
        </w:rPr>
        <w:t>s por la suma</w:t>
      </w:r>
      <w:r w:rsidRPr="00975C02">
        <w:rPr>
          <w:rFonts w:eastAsia="Verdana" w:cs="Verdana"/>
          <w:sz w:val="20"/>
          <w:szCs w:val="20"/>
          <w:lang w:val="es-ES"/>
        </w:rPr>
        <w:t xml:space="preserve"> </w:t>
      </w:r>
      <w:r w:rsidR="002E2199" w:rsidRPr="00975C02">
        <w:rPr>
          <w:rFonts w:eastAsia="Verdana" w:cs="Verdana"/>
          <w:sz w:val="20"/>
          <w:szCs w:val="20"/>
          <w:lang w:val="es-ES"/>
        </w:rPr>
        <w:t>de</w:t>
      </w:r>
      <w:r w:rsidRPr="00975C02">
        <w:rPr>
          <w:rFonts w:eastAsia="Verdana" w:cs="Verdana"/>
          <w:sz w:val="20"/>
          <w:szCs w:val="20"/>
          <w:lang w:val="es-ES"/>
        </w:rPr>
        <w:t xml:space="preserve"> US$</w:t>
      </w:r>
      <w:r w:rsidR="00E90088" w:rsidRPr="00975C02">
        <w:rPr>
          <w:rFonts w:eastAsia="Verdana" w:cs="Verdana"/>
          <w:sz w:val="20"/>
          <w:szCs w:val="20"/>
          <w:lang w:val="es-ES"/>
        </w:rPr>
        <w:t xml:space="preserve"> </w:t>
      </w:r>
      <w:r w:rsidRPr="00975C02">
        <w:rPr>
          <w:rFonts w:eastAsia="Verdana" w:cs="Verdana"/>
          <w:sz w:val="20"/>
          <w:szCs w:val="20"/>
          <w:lang w:val="es-ES"/>
        </w:rPr>
        <w:t>2</w:t>
      </w:r>
      <w:r w:rsidR="00E90088" w:rsidRPr="00975C02">
        <w:rPr>
          <w:rFonts w:eastAsia="Verdana" w:cs="Verdana"/>
          <w:sz w:val="20"/>
          <w:szCs w:val="20"/>
          <w:lang w:val="es-ES"/>
        </w:rPr>
        <w:t>.</w:t>
      </w:r>
      <w:r w:rsidRPr="00975C02">
        <w:rPr>
          <w:rFonts w:eastAsia="Verdana" w:cs="Verdana"/>
          <w:sz w:val="20"/>
          <w:szCs w:val="20"/>
          <w:lang w:val="es-ES"/>
        </w:rPr>
        <w:t>023</w:t>
      </w:r>
      <w:r w:rsidR="00E90088" w:rsidRPr="00975C02">
        <w:rPr>
          <w:rFonts w:eastAsia="Verdana" w:cs="Verdana"/>
          <w:sz w:val="20"/>
          <w:szCs w:val="20"/>
          <w:lang w:val="es-ES"/>
        </w:rPr>
        <w:t>,</w:t>
      </w:r>
      <w:r w:rsidRPr="00975C02">
        <w:rPr>
          <w:rFonts w:eastAsia="Verdana" w:cs="Verdana"/>
          <w:sz w:val="20"/>
          <w:szCs w:val="20"/>
          <w:lang w:val="es-ES"/>
        </w:rPr>
        <w:t xml:space="preserve">94 y </w:t>
      </w:r>
      <w:r w:rsidR="00E90088" w:rsidRPr="00975C02">
        <w:rPr>
          <w:rFonts w:eastAsia="Verdana" w:cs="Verdana"/>
          <w:sz w:val="20"/>
          <w:szCs w:val="20"/>
          <w:lang w:val="es-ES"/>
        </w:rPr>
        <w:t xml:space="preserve">los </w:t>
      </w:r>
      <w:r w:rsidR="002E2199" w:rsidRPr="00975C02">
        <w:rPr>
          <w:rFonts w:eastAsia="Verdana" w:cs="Verdana"/>
          <w:sz w:val="20"/>
          <w:szCs w:val="20"/>
          <w:lang w:val="es-ES"/>
        </w:rPr>
        <w:t xml:space="preserve">gastos </w:t>
      </w:r>
      <w:r w:rsidRPr="00975C02">
        <w:rPr>
          <w:rFonts w:eastAsia="Verdana" w:cs="Verdana"/>
          <w:sz w:val="20"/>
          <w:szCs w:val="20"/>
          <w:lang w:val="es-ES"/>
        </w:rPr>
        <w:t xml:space="preserve">farmacéuticos </w:t>
      </w:r>
      <w:r w:rsidR="002E2199" w:rsidRPr="00975C02">
        <w:rPr>
          <w:rFonts w:eastAsia="Verdana" w:cs="Verdana"/>
          <w:sz w:val="20"/>
          <w:szCs w:val="20"/>
          <w:lang w:val="es-ES"/>
        </w:rPr>
        <w:t>por</w:t>
      </w:r>
      <w:r w:rsidR="00E90088" w:rsidRPr="00975C02">
        <w:rPr>
          <w:rFonts w:eastAsia="Verdana" w:cs="Verdana"/>
          <w:sz w:val="20"/>
          <w:szCs w:val="20"/>
          <w:lang w:val="es-ES"/>
        </w:rPr>
        <w:t xml:space="preserve"> la suma de</w:t>
      </w:r>
      <w:r w:rsidRPr="00975C02">
        <w:rPr>
          <w:rFonts w:eastAsia="Verdana" w:cs="Verdana"/>
          <w:sz w:val="20"/>
          <w:szCs w:val="20"/>
          <w:lang w:val="es-ES"/>
        </w:rPr>
        <w:t xml:space="preserve"> US$</w:t>
      </w:r>
      <w:r w:rsidR="00E90088" w:rsidRPr="00975C02">
        <w:rPr>
          <w:rFonts w:eastAsia="Verdana" w:cs="Verdana"/>
          <w:sz w:val="20"/>
          <w:szCs w:val="20"/>
          <w:lang w:val="es-ES"/>
        </w:rPr>
        <w:t xml:space="preserve"> </w:t>
      </w:r>
      <w:r w:rsidRPr="00975C02">
        <w:rPr>
          <w:rFonts w:eastAsia="Verdana" w:cs="Verdana"/>
          <w:sz w:val="20"/>
          <w:szCs w:val="20"/>
          <w:lang w:val="es-ES"/>
        </w:rPr>
        <w:t>281</w:t>
      </w:r>
      <w:r w:rsidR="00E90088" w:rsidRPr="00975C02">
        <w:rPr>
          <w:rFonts w:eastAsia="Verdana" w:cs="Verdana"/>
          <w:sz w:val="20"/>
          <w:szCs w:val="20"/>
          <w:lang w:val="es-ES"/>
        </w:rPr>
        <w:t>,</w:t>
      </w:r>
      <w:r w:rsidRPr="00975C02">
        <w:rPr>
          <w:rFonts w:eastAsia="Verdana" w:cs="Verdana"/>
          <w:sz w:val="20"/>
          <w:szCs w:val="20"/>
          <w:lang w:val="es-ES"/>
        </w:rPr>
        <w:t xml:space="preserve">50, </w:t>
      </w:r>
      <w:r w:rsidR="00E90088" w:rsidRPr="00975C02">
        <w:rPr>
          <w:rFonts w:eastAsia="Verdana" w:cs="Verdana"/>
          <w:sz w:val="20"/>
          <w:szCs w:val="20"/>
          <w:lang w:val="es-ES"/>
        </w:rPr>
        <w:t xml:space="preserve">lo que da </w:t>
      </w:r>
      <w:r w:rsidRPr="00975C02">
        <w:rPr>
          <w:rFonts w:eastAsia="Verdana" w:cs="Verdana"/>
          <w:sz w:val="20"/>
          <w:szCs w:val="20"/>
          <w:lang w:val="es-ES"/>
        </w:rPr>
        <w:t>un total de US$</w:t>
      </w:r>
      <w:r w:rsidR="00E90088" w:rsidRPr="00975C02">
        <w:rPr>
          <w:rFonts w:eastAsia="Verdana" w:cs="Verdana"/>
          <w:sz w:val="20"/>
          <w:szCs w:val="20"/>
          <w:lang w:val="es-ES"/>
        </w:rPr>
        <w:t xml:space="preserve"> </w:t>
      </w:r>
      <w:r w:rsidRPr="00975C02">
        <w:rPr>
          <w:rFonts w:eastAsia="Verdana" w:cs="Verdana"/>
          <w:sz w:val="20"/>
          <w:szCs w:val="20"/>
          <w:lang w:val="es-ES"/>
        </w:rPr>
        <w:t>2</w:t>
      </w:r>
      <w:r w:rsidR="00E90088" w:rsidRPr="00975C02">
        <w:rPr>
          <w:rFonts w:eastAsia="Verdana" w:cs="Verdana"/>
          <w:sz w:val="20"/>
          <w:szCs w:val="20"/>
          <w:lang w:val="es-ES"/>
        </w:rPr>
        <w:t>.</w:t>
      </w:r>
      <w:r w:rsidRPr="00975C02">
        <w:rPr>
          <w:rFonts w:eastAsia="Verdana" w:cs="Verdana"/>
          <w:sz w:val="20"/>
          <w:szCs w:val="20"/>
          <w:lang w:val="es-ES"/>
        </w:rPr>
        <w:t>305</w:t>
      </w:r>
      <w:r w:rsidR="00E90088" w:rsidRPr="00975C02">
        <w:rPr>
          <w:rFonts w:eastAsia="MS Mincho" w:cs="Tahoma"/>
          <w:sz w:val="20"/>
          <w:szCs w:val="20"/>
          <w:lang w:val="es-ES"/>
        </w:rPr>
        <w:t>,</w:t>
      </w:r>
      <w:r w:rsidRPr="00975C02">
        <w:rPr>
          <w:rFonts w:eastAsia="MS Mincho" w:cs="Tahoma"/>
          <w:sz w:val="20"/>
          <w:szCs w:val="20"/>
          <w:lang w:val="es-ES"/>
        </w:rPr>
        <w:t>44</w:t>
      </w:r>
      <w:r w:rsidR="001C0BD0" w:rsidRPr="00975C02">
        <w:rPr>
          <w:rFonts w:eastAsia="MS Mincho" w:cs="Tahoma"/>
          <w:sz w:val="20"/>
          <w:szCs w:val="20"/>
          <w:lang w:val="es-ES"/>
        </w:rPr>
        <w:t>.</w:t>
      </w:r>
    </w:p>
    <w:p w14:paraId="206D76AA" w14:textId="77777777" w:rsidR="009D661E" w:rsidRPr="00975C02" w:rsidRDefault="009D661E" w:rsidP="009D661E">
      <w:pPr>
        <w:tabs>
          <w:tab w:val="left" w:pos="567"/>
        </w:tabs>
        <w:spacing w:line="240" w:lineRule="auto"/>
        <w:textAlignment w:val="auto"/>
        <w:rPr>
          <w:rFonts w:eastAsia="MS Mincho" w:cs="Tahoma"/>
          <w:b/>
          <w:sz w:val="20"/>
          <w:szCs w:val="20"/>
          <w:lang w:val="es-ES"/>
        </w:rPr>
      </w:pPr>
    </w:p>
    <w:p w14:paraId="226E10DB" w14:textId="23289D5E" w:rsidR="009D661E" w:rsidRPr="00975C02" w:rsidRDefault="002E2199" w:rsidP="002E2199">
      <w:pPr>
        <w:numPr>
          <w:ilvl w:val="0"/>
          <w:numId w:val="2"/>
        </w:numPr>
        <w:tabs>
          <w:tab w:val="left" w:pos="567"/>
          <w:tab w:val="num" w:pos="5057"/>
        </w:tabs>
        <w:spacing w:line="240" w:lineRule="auto"/>
        <w:ind w:left="0" w:firstLine="0"/>
        <w:textAlignment w:val="auto"/>
        <w:rPr>
          <w:rFonts w:eastAsia="MS Mincho" w:cs="Tahoma"/>
          <w:b/>
          <w:sz w:val="20"/>
          <w:szCs w:val="20"/>
          <w:lang w:val="es-ES"/>
        </w:rPr>
      </w:pPr>
      <w:r w:rsidRPr="00975C02">
        <w:rPr>
          <w:rFonts w:eastAsia="Verdana" w:cs="Verdana"/>
          <w:sz w:val="20"/>
          <w:szCs w:val="20"/>
          <w:lang w:val="es-ES"/>
        </w:rPr>
        <w:t>Las representantes a</w:t>
      </w:r>
      <w:r w:rsidR="009D661E" w:rsidRPr="00975C02">
        <w:rPr>
          <w:rFonts w:eastAsia="Verdana" w:cs="Verdana"/>
          <w:sz w:val="20"/>
          <w:szCs w:val="20"/>
          <w:lang w:val="es-ES"/>
        </w:rPr>
        <w:t>gregaron que al monto señalado debía adicionarse aquellos gastos cuya cuantificación detallada resultaba imposible por el transcurso del tiempo y la informalidad</w:t>
      </w:r>
      <w:r w:rsidRPr="00975C02">
        <w:rPr>
          <w:rFonts w:eastAsia="Verdana" w:cs="Verdana"/>
          <w:sz w:val="20"/>
          <w:szCs w:val="20"/>
          <w:lang w:val="es-ES"/>
        </w:rPr>
        <w:t xml:space="preserve">. </w:t>
      </w:r>
      <w:r w:rsidR="009D661E" w:rsidRPr="00975C02">
        <w:rPr>
          <w:rFonts w:eastAsia="Verdana" w:cs="Verdana"/>
          <w:sz w:val="20"/>
          <w:szCs w:val="20"/>
          <w:lang w:val="es-ES"/>
        </w:rPr>
        <w:t>En ese sentido, las representantes adujeron que se efectuaron los siguientes desembolsos: a) US$</w:t>
      </w:r>
      <w:r w:rsidR="00670348" w:rsidRPr="00975C02">
        <w:rPr>
          <w:rFonts w:eastAsia="Verdana" w:cs="Verdana"/>
          <w:sz w:val="20"/>
          <w:szCs w:val="20"/>
          <w:lang w:val="es-ES"/>
        </w:rPr>
        <w:t xml:space="preserve"> </w:t>
      </w:r>
      <w:r w:rsidR="009D661E" w:rsidRPr="00975C02">
        <w:rPr>
          <w:rFonts w:eastAsia="Verdana" w:cs="Verdana"/>
          <w:sz w:val="20"/>
          <w:szCs w:val="20"/>
          <w:lang w:val="es-ES"/>
        </w:rPr>
        <w:t>7</w:t>
      </w:r>
      <w:r w:rsidR="00670348" w:rsidRPr="00975C02">
        <w:rPr>
          <w:rFonts w:eastAsia="Verdana" w:cs="Verdana"/>
          <w:sz w:val="20"/>
          <w:szCs w:val="20"/>
          <w:lang w:val="es-ES"/>
        </w:rPr>
        <w:t>.</w:t>
      </w:r>
      <w:r w:rsidR="009D661E" w:rsidRPr="00975C02">
        <w:rPr>
          <w:rFonts w:eastAsia="Verdana" w:cs="Verdana"/>
          <w:sz w:val="20"/>
          <w:szCs w:val="20"/>
          <w:lang w:val="es-ES"/>
        </w:rPr>
        <w:t>000</w:t>
      </w:r>
      <w:r w:rsidR="00670348" w:rsidRPr="00975C02">
        <w:rPr>
          <w:rFonts w:eastAsia="Verdana" w:cs="Verdana"/>
          <w:sz w:val="20"/>
          <w:szCs w:val="20"/>
          <w:lang w:val="es-ES"/>
        </w:rPr>
        <w:t>,</w:t>
      </w:r>
      <w:r w:rsidR="009D661E" w:rsidRPr="00975C02">
        <w:rPr>
          <w:rFonts w:eastAsia="Verdana" w:cs="Verdana"/>
          <w:sz w:val="20"/>
          <w:szCs w:val="20"/>
          <w:lang w:val="es-ES"/>
        </w:rPr>
        <w:t xml:space="preserve">00 por gastos médicos producto del estado físico y psicológico de la niña, que comprende su ingreso al Hospital Victoria de Jinotega, intervención quirúrgica, exámenes-biopsia, pago al ginecólogo y al pediatra, medicinas, consultas por </w:t>
      </w:r>
      <w:r w:rsidR="00D33DA4" w:rsidRPr="00975C02">
        <w:rPr>
          <w:rFonts w:eastAsia="Verdana" w:cs="Verdana"/>
          <w:sz w:val="20"/>
          <w:szCs w:val="20"/>
          <w:lang w:val="es-ES"/>
        </w:rPr>
        <w:t>cuidados</w:t>
      </w:r>
      <w:r w:rsidR="009D661E" w:rsidRPr="00975C02">
        <w:rPr>
          <w:rFonts w:eastAsia="Verdana" w:cs="Verdana"/>
          <w:sz w:val="20"/>
          <w:szCs w:val="20"/>
          <w:lang w:val="es-ES"/>
        </w:rPr>
        <w:t xml:space="preserve"> posteriores, gastos de psiquiatría, gastos de terapeuta, gastos de transportes, gastos de estadía, gastos médicos en los Estados Unidos, todos ellos sin soporte probatorio</w:t>
      </w:r>
      <w:r w:rsidRPr="00975C02">
        <w:rPr>
          <w:rFonts w:eastAsia="Verdana" w:cs="Verdana"/>
          <w:sz w:val="20"/>
          <w:szCs w:val="20"/>
          <w:lang w:val="es-ES"/>
        </w:rPr>
        <w:t>;</w:t>
      </w:r>
      <w:r w:rsidR="009D661E" w:rsidRPr="00975C02">
        <w:rPr>
          <w:rFonts w:eastAsia="Verdana" w:cs="Verdana"/>
          <w:sz w:val="20"/>
          <w:szCs w:val="20"/>
          <w:lang w:val="es-ES"/>
        </w:rPr>
        <w:t xml:space="preserve"> b) US$</w:t>
      </w:r>
      <w:r w:rsidR="00670348" w:rsidRPr="00975C02">
        <w:rPr>
          <w:rFonts w:eastAsia="Verdana" w:cs="Verdana"/>
          <w:sz w:val="20"/>
          <w:szCs w:val="20"/>
          <w:lang w:val="es-ES"/>
        </w:rPr>
        <w:t xml:space="preserve"> </w:t>
      </w:r>
      <w:r w:rsidR="009D661E" w:rsidRPr="00975C02">
        <w:rPr>
          <w:rFonts w:eastAsia="Verdana" w:cs="Verdana"/>
          <w:sz w:val="20"/>
          <w:szCs w:val="20"/>
          <w:lang w:val="es-ES"/>
        </w:rPr>
        <w:t>39</w:t>
      </w:r>
      <w:r w:rsidR="00670348" w:rsidRPr="00975C02">
        <w:rPr>
          <w:rFonts w:eastAsia="Verdana" w:cs="Verdana"/>
          <w:sz w:val="20"/>
          <w:szCs w:val="20"/>
          <w:lang w:val="es-ES"/>
        </w:rPr>
        <w:t>.</w:t>
      </w:r>
      <w:r w:rsidR="009D661E" w:rsidRPr="00975C02">
        <w:rPr>
          <w:rFonts w:eastAsia="Verdana" w:cs="Verdana"/>
          <w:sz w:val="20"/>
          <w:szCs w:val="20"/>
          <w:lang w:val="es-ES"/>
        </w:rPr>
        <w:t>024</w:t>
      </w:r>
      <w:r w:rsidR="00670348" w:rsidRPr="00975C02">
        <w:rPr>
          <w:rFonts w:eastAsia="Verdana" w:cs="Verdana"/>
          <w:sz w:val="20"/>
          <w:szCs w:val="20"/>
          <w:lang w:val="es-ES"/>
        </w:rPr>
        <w:t>,</w:t>
      </w:r>
      <w:r w:rsidR="009D661E" w:rsidRPr="00975C02">
        <w:rPr>
          <w:rFonts w:eastAsia="Verdana" w:cs="Verdana"/>
          <w:sz w:val="20"/>
          <w:szCs w:val="20"/>
          <w:lang w:val="es-ES"/>
        </w:rPr>
        <w:t>00 por gastos legales en Nicaragua, que comprende la formulación de la denuncia, el traslado de los testigos, gastos de copias,</w:t>
      </w:r>
      <w:r w:rsidR="00743301" w:rsidRPr="00975C02">
        <w:rPr>
          <w:rFonts w:eastAsia="Verdana" w:cs="Verdana"/>
          <w:sz w:val="20"/>
          <w:szCs w:val="20"/>
          <w:lang w:val="es-ES"/>
        </w:rPr>
        <w:t xml:space="preserve"> gastos por acusación criminal,</w:t>
      </w:r>
      <w:r w:rsidR="009D661E" w:rsidRPr="00975C02">
        <w:rPr>
          <w:rFonts w:eastAsia="Verdana" w:cs="Verdana"/>
          <w:sz w:val="20"/>
          <w:szCs w:val="20"/>
          <w:lang w:val="es-ES"/>
        </w:rPr>
        <w:t xml:space="preserve"> traslado a la inspección ocular, traslado de los médicos forenses, traslado a Matagalpa por apelación de auto de prisión, presentación de pruebas, traslado a programación del jurado, apelación de nulidad del veredicto, presentación de testificales, traslados por apertura a prueba del incidente, inspección, video, certificaciones, pagos de honorarios</w:t>
      </w:r>
      <w:r w:rsidRPr="00975C02">
        <w:rPr>
          <w:rFonts w:eastAsia="Verdana" w:cs="Verdana"/>
          <w:sz w:val="20"/>
          <w:szCs w:val="20"/>
          <w:lang w:val="es-ES"/>
        </w:rPr>
        <w:t>;</w:t>
      </w:r>
      <w:r w:rsidR="009D661E" w:rsidRPr="00975C02">
        <w:rPr>
          <w:rFonts w:eastAsia="Verdana" w:cs="Verdana"/>
          <w:sz w:val="20"/>
          <w:szCs w:val="20"/>
          <w:lang w:val="es-ES"/>
        </w:rPr>
        <w:t xml:space="preserve"> c) US$</w:t>
      </w:r>
      <w:r w:rsidR="00670348" w:rsidRPr="00975C02">
        <w:rPr>
          <w:rFonts w:eastAsia="Verdana" w:cs="Verdana"/>
          <w:sz w:val="20"/>
          <w:szCs w:val="20"/>
          <w:lang w:val="es-ES"/>
        </w:rPr>
        <w:t xml:space="preserve"> </w:t>
      </w:r>
      <w:r w:rsidR="007F63EB" w:rsidRPr="00975C02">
        <w:rPr>
          <w:rFonts w:eastAsia="Verdana" w:cs="Verdana"/>
          <w:sz w:val="20"/>
          <w:szCs w:val="20"/>
          <w:lang w:val="es-ES"/>
        </w:rPr>
        <w:t>5.</w:t>
      </w:r>
      <w:r w:rsidR="009D661E" w:rsidRPr="00975C02">
        <w:rPr>
          <w:rFonts w:eastAsia="Verdana" w:cs="Verdana"/>
          <w:sz w:val="20"/>
          <w:szCs w:val="20"/>
          <w:lang w:val="es-ES"/>
        </w:rPr>
        <w:t>700</w:t>
      </w:r>
      <w:r w:rsidR="00670348" w:rsidRPr="00975C02">
        <w:rPr>
          <w:rFonts w:eastAsia="Verdana" w:cs="Verdana"/>
          <w:sz w:val="20"/>
          <w:szCs w:val="20"/>
          <w:lang w:val="es-ES"/>
        </w:rPr>
        <w:t>,</w:t>
      </w:r>
      <w:r w:rsidR="009D661E" w:rsidRPr="00975C02">
        <w:rPr>
          <w:rFonts w:eastAsia="Verdana" w:cs="Verdana"/>
          <w:sz w:val="20"/>
          <w:szCs w:val="20"/>
          <w:lang w:val="es-ES"/>
        </w:rPr>
        <w:t xml:space="preserve">00 por gastos de diversas denuncias por irregularidades en el proceso, que comprende gastos </w:t>
      </w:r>
      <w:r w:rsidRPr="00975C02">
        <w:rPr>
          <w:rFonts w:eastAsia="Verdana" w:cs="Verdana"/>
          <w:sz w:val="20"/>
          <w:szCs w:val="20"/>
          <w:lang w:val="es-ES"/>
        </w:rPr>
        <w:t xml:space="preserve">por </w:t>
      </w:r>
      <w:r w:rsidR="009D661E" w:rsidRPr="00975C02">
        <w:rPr>
          <w:rFonts w:eastAsia="Verdana" w:cs="Verdana"/>
          <w:sz w:val="20"/>
          <w:szCs w:val="20"/>
          <w:lang w:val="es-ES"/>
        </w:rPr>
        <w:t>traslados y viajes de seguimiento por denuncia ante la Suprema Corte de Justicia</w:t>
      </w:r>
      <w:r w:rsidR="00586435" w:rsidRPr="00975C02">
        <w:rPr>
          <w:rFonts w:eastAsia="Verdana" w:cs="Verdana"/>
          <w:sz w:val="20"/>
          <w:szCs w:val="20"/>
          <w:lang w:val="es-ES"/>
        </w:rPr>
        <w:t>, la Procuraduría General de la República, la Fiscalía General de la República y</w:t>
      </w:r>
      <w:r w:rsidR="009D661E" w:rsidRPr="00975C02">
        <w:rPr>
          <w:rFonts w:eastAsia="Verdana" w:cs="Verdana"/>
          <w:sz w:val="20"/>
          <w:szCs w:val="20"/>
          <w:lang w:val="es-ES"/>
        </w:rPr>
        <w:t xml:space="preserve"> la Procuraduría Especial de la República para la Niñez y Adolescencia; d) US$</w:t>
      </w:r>
      <w:r w:rsidR="00670348" w:rsidRPr="00975C02">
        <w:rPr>
          <w:rFonts w:eastAsia="Verdana" w:cs="Verdana"/>
          <w:sz w:val="20"/>
          <w:szCs w:val="20"/>
          <w:lang w:val="es-ES"/>
        </w:rPr>
        <w:t xml:space="preserve"> </w:t>
      </w:r>
      <w:r w:rsidR="009D661E" w:rsidRPr="00975C02">
        <w:rPr>
          <w:rFonts w:eastAsia="Verdana" w:cs="Verdana"/>
          <w:sz w:val="20"/>
          <w:szCs w:val="20"/>
          <w:lang w:val="es-ES"/>
        </w:rPr>
        <w:t>15</w:t>
      </w:r>
      <w:r w:rsidR="00670348" w:rsidRPr="00975C02">
        <w:rPr>
          <w:rFonts w:eastAsia="Verdana" w:cs="Verdana"/>
          <w:sz w:val="20"/>
          <w:szCs w:val="20"/>
          <w:lang w:val="es-ES"/>
        </w:rPr>
        <w:t>.</w:t>
      </w:r>
      <w:r w:rsidR="00B913BA" w:rsidRPr="00975C02">
        <w:rPr>
          <w:rFonts w:eastAsia="Verdana" w:cs="Verdana"/>
          <w:sz w:val="20"/>
          <w:szCs w:val="20"/>
          <w:lang w:val="es-ES"/>
        </w:rPr>
        <w:t>25</w:t>
      </w:r>
      <w:r w:rsidR="009D661E" w:rsidRPr="00975C02">
        <w:rPr>
          <w:rFonts w:eastAsia="Verdana" w:cs="Verdana"/>
          <w:sz w:val="20"/>
          <w:szCs w:val="20"/>
          <w:lang w:val="es-ES"/>
        </w:rPr>
        <w:t>0</w:t>
      </w:r>
      <w:r w:rsidR="00670348" w:rsidRPr="00975C02">
        <w:rPr>
          <w:rFonts w:eastAsia="Verdana" w:cs="Verdana"/>
          <w:sz w:val="20"/>
          <w:szCs w:val="20"/>
          <w:lang w:val="es-ES"/>
        </w:rPr>
        <w:t>,</w:t>
      </w:r>
      <w:r w:rsidR="009D661E" w:rsidRPr="00975C02">
        <w:rPr>
          <w:rFonts w:eastAsia="Verdana" w:cs="Verdana"/>
          <w:sz w:val="20"/>
          <w:szCs w:val="20"/>
          <w:lang w:val="es-ES"/>
        </w:rPr>
        <w:t>00 por gastos relativos a la denuncia y seguimiento al caso ante la C</w:t>
      </w:r>
      <w:r w:rsidRPr="00975C02">
        <w:rPr>
          <w:rFonts w:eastAsia="Verdana" w:cs="Verdana"/>
          <w:sz w:val="20"/>
          <w:szCs w:val="20"/>
          <w:lang w:val="es-ES"/>
        </w:rPr>
        <w:t>omisión</w:t>
      </w:r>
      <w:r w:rsidR="009D661E" w:rsidRPr="00975C02">
        <w:rPr>
          <w:rFonts w:eastAsia="Verdana" w:cs="Verdana"/>
          <w:sz w:val="20"/>
          <w:szCs w:val="20"/>
          <w:lang w:val="es-ES"/>
        </w:rPr>
        <w:t>, lo cual abarca la localización, solicitud, copiado y remisión de expediente, gastos de abogado, FedEx-postal office; e) US$</w:t>
      </w:r>
      <w:r w:rsidR="00670348" w:rsidRPr="00975C02">
        <w:rPr>
          <w:rFonts w:eastAsia="Verdana" w:cs="Verdana"/>
          <w:sz w:val="20"/>
          <w:szCs w:val="20"/>
          <w:lang w:val="es-ES"/>
        </w:rPr>
        <w:t xml:space="preserve"> </w:t>
      </w:r>
      <w:r w:rsidR="009D661E" w:rsidRPr="00975C02">
        <w:rPr>
          <w:rFonts w:eastAsia="Verdana" w:cs="Verdana"/>
          <w:sz w:val="20"/>
          <w:szCs w:val="20"/>
          <w:lang w:val="es-ES"/>
        </w:rPr>
        <w:t>2</w:t>
      </w:r>
      <w:r w:rsidR="00670348" w:rsidRPr="00975C02">
        <w:rPr>
          <w:rFonts w:eastAsia="Verdana" w:cs="Verdana"/>
          <w:sz w:val="20"/>
          <w:szCs w:val="20"/>
          <w:lang w:val="es-ES"/>
        </w:rPr>
        <w:t>.</w:t>
      </w:r>
      <w:r w:rsidR="009D661E" w:rsidRPr="00975C02">
        <w:rPr>
          <w:rFonts w:eastAsia="Verdana" w:cs="Verdana"/>
          <w:sz w:val="20"/>
          <w:szCs w:val="20"/>
          <w:lang w:val="es-ES"/>
        </w:rPr>
        <w:t>500</w:t>
      </w:r>
      <w:r w:rsidR="00670348" w:rsidRPr="00975C02">
        <w:rPr>
          <w:rFonts w:eastAsia="Verdana" w:cs="Verdana"/>
          <w:sz w:val="20"/>
          <w:szCs w:val="20"/>
          <w:lang w:val="es-ES"/>
        </w:rPr>
        <w:t>,</w:t>
      </w:r>
      <w:r w:rsidR="009D661E" w:rsidRPr="00975C02">
        <w:rPr>
          <w:rFonts w:eastAsia="Verdana" w:cs="Verdana"/>
          <w:sz w:val="20"/>
          <w:szCs w:val="20"/>
          <w:lang w:val="es-ES"/>
        </w:rPr>
        <w:t xml:space="preserve">00 por gastos de salida de </w:t>
      </w:r>
      <w:r w:rsidR="009D661E" w:rsidRPr="00975C02">
        <w:rPr>
          <w:rFonts w:eastAsia="Verdana" w:cs="Verdana"/>
          <w:sz w:val="20"/>
          <w:szCs w:val="20"/>
          <w:lang w:val="es-ES"/>
        </w:rPr>
        <w:lastRenderedPageBreak/>
        <w:t>Nicaragua a Miami, que incluye tres pasajes, pasaporte, viaje a Managua y traslado en Miami; f) US$</w:t>
      </w:r>
      <w:r w:rsidR="00670348" w:rsidRPr="00975C02">
        <w:rPr>
          <w:rFonts w:eastAsia="Verdana" w:cs="Verdana"/>
          <w:sz w:val="20"/>
          <w:szCs w:val="20"/>
          <w:lang w:val="es-ES"/>
        </w:rPr>
        <w:t xml:space="preserve"> </w:t>
      </w:r>
      <w:r w:rsidR="009D661E" w:rsidRPr="00975C02">
        <w:rPr>
          <w:rFonts w:eastAsia="Verdana" w:cs="Verdana"/>
          <w:sz w:val="20"/>
          <w:szCs w:val="20"/>
          <w:lang w:val="es-ES"/>
        </w:rPr>
        <w:t>20</w:t>
      </w:r>
      <w:r w:rsidR="00670348" w:rsidRPr="00975C02">
        <w:rPr>
          <w:rFonts w:eastAsia="Verdana" w:cs="Verdana"/>
          <w:sz w:val="20"/>
          <w:szCs w:val="20"/>
          <w:lang w:val="es-ES"/>
        </w:rPr>
        <w:t>.</w:t>
      </w:r>
      <w:r w:rsidR="009D661E" w:rsidRPr="00975C02">
        <w:rPr>
          <w:rFonts w:eastAsia="Verdana" w:cs="Verdana"/>
          <w:sz w:val="20"/>
          <w:szCs w:val="20"/>
          <w:lang w:val="es-ES"/>
        </w:rPr>
        <w:t>100</w:t>
      </w:r>
      <w:r w:rsidR="00670348" w:rsidRPr="00975C02">
        <w:rPr>
          <w:rFonts w:eastAsia="Verdana" w:cs="Verdana"/>
          <w:sz w:val="20"/>
          <w:szCs w:val="20"/>
          <w:lang w:val="es-ES"/>
        </w:rPr>
        <w:t>,</w:t>
      </w:r>
      <w:r w:rsidR="009D661E" w:rsidRPr="00975C02">
        <w:rPr>
          <w:rFonts w:eastAsia="Verdana" w:cs="Verdana"/>
          <w:sz w:val="20"/>
          <w:szCs w:val="20"/>
          <w:lang w:val="es-ES"/>
        </w:rPr>
        <w:t>00 por gastos legales del proceso de exilio de V.P.C., V.R.P. y N.R.P., que comprende la “presentación de copias, FedEx y traslación de documentos para tres personas”</w:t>
      </w:r>
      <w:r w:rsidRPr="00975C02">
        <w:rPr>
          <w:rFonts w:eastAsia="Verdana" w:cs="Verdana"/>
          <w:sz w:val="20"/>
          <w:szCs w:val="20"/>
          <w:lang w:val="es-ES"/>
        </w:rPr>
        <w:t>,</w:t>
      </w:r>
      <w:r w:rsidR="009D661E" w:rsidRPr="00975C02">
        <w:rPr>
          <w:rFonts w:eastAsia="Verdana" w:cs="Verdana"/>
          <w:sz w:val="20"/>
          <w:szCs w:val="20"/>
          <w:lang w:val="es-ES"/>
        </w:rPr>
        <w:t xml:space="preserve"> y g) US$ 500</w:t>
      </w:r>
      <w:r w:rsidR="00670348" w:rsidRPr="00975C02">
        <w:rPr>
          <w:rFonts w:eastAsia="Verdana" w:cs="Verdana"/>
          <w:sz w:val="20"/>
          <w:szCs w:val="20"/>
          <w:lang w:val="es-ES"/>
        </w:rPr>
        <w:t>,</w:t>
      </w:r>
      <w:r w:rsidR="009D661E" w:rsidRPr="00975C02">
        <w:rPr>
          <w:rFonts w:eastAsia="Verdana" w:cs="Verdana"/>
          <w:sz w:val="20"/>
          <w:szCs w:val="20"/>
          <w:lang w:val="es-ES"/>
        </w:rPr>
        <w:t xml:space="preserve">00 por gastos del proceso ante la Corte Interamericana, que comprende la realización de declaración jurada, copias y envíos de documentos. </w:t>
      </w:r>
      <w:r w:rsidRPr="00975C02">
        <w:rPr>
          <w:rFonts w:eastAsia="Verdana" w:cs="Verdana"/>
          <w:sz w:val="20"/>
          <w:szCs w:val="20"/>
          <w:lang w:val="es-ES"/>
        </w:rPr>
        <w:t>Con</w:t>
      </w:r>
      <w:r w:rsidR="009D661E" w:rsidRPr="00975C02">
        <w:rPr>
          <w:rFonts w:eastAsia="Verdana" w:cs="Verdana"/>
          <w:sz w:val="20"/>
          <w:szCs w:val="20"/>
          <w:lang w:val="es-ES"/>
        </w:rPr>
        <w:t xml:space="preserve"> base </w:t>
      </w:r>
      <w:r w:rsidRPr="00975C02">
        <w:rPr>
          <w:rFonts w:eastAsia="Verdana" w:cs="Verdana"/>
          <w:sz w:val="20"/>
          <w:szCs w:val="20"/>
          <w:lang w:val="es-ES"/>
        </w:rPr>
        <w:t xml:space="preserve">en </w:t>
      </w:r>
      <w:r w:rsidR="009D661E" w:rsidRPr="00975C02">
        <w:rPr>
          <w:rFonts w:eastAsia="Verdana" w:cs="Verdana"/>
          <w:sz w:val="20"/>
          <w:szCs w:val="20"/>
          <w:lang w:val="es-ES"/>
        </w:rPr>
        <w:t>lo señalado, las representantes cuantificaron el daño emergente en la suma de US$</w:t>
      </w:r>
      <w:r w:rsidR="00670348" w:rsidRPr="00975C02">
        <w:rPr>
          <w:rFonts w:eastAsia="Verdana" w:cs="Verdana"/>
          <w:sz w:val="20"/>
          <w:szCs w:val="20"/>
          <w:lang w:val="es-ES"/>
        </w:rPr>
        <w:t xml:space="preserve"> </w:t>
      </w:r>
      <w:r w:rsidR="009D661E" w:rsidRPr="00975C02">
        <w:rPr>
          <w:rFonts w:eastAsia="Verdana" w:cs="Verdana"/>
          <w:sz w:val="20"/>
          <w:szCs w:val="20"/>
          <w:lang w:val="es-ES"/>
        </w:rPr>
        <w:t>92</w:t>
      </w:r>
      <w:r w:rsidR="00670348" w:rsidRPr="00975C02">
        <w:rPr>
          <w:rFonts w:eastAsia="Verdana" w:cs="Verdana"/>
          <w:sz w:val="20"/>
          <w:szCs w:val="20"/>
          <w:lang w:val="es-ES"/>
        </w:rPr>
        <w:t>.</w:t>
      </w:r>
      <w:r w:rsidR="009D661E" w:rsidRPr="00975C02">
        <w:rPr>
          <w:rFonts w:eastAsia="Verdana" w:cs="Verdana"/>
          <w:sz w:val="20"/>
          <w:szCs w:val="20"/>
          <w:lang w:val="es-ES"/>
        </w:rPr>
        <w:t>379</w:t>
      </w:r>
      <w:r w:rsidR="00670348" w:rsidRPr="00975C02">
        <w:rPr>
          <w:rFonts w:eastAsia="Verdana" w:cs="Verdana"/>
          <w:sz w:val="20"/>
          <w:szCs w:val="20"/>
          <w:lang w:val="es-ES"/>
        </w:rPr>
        <w:t>,</w:t>
      </w:r>
      <w:r w:rsidR="009D661E" w:rsidRPr="00975C02">
        <w:rPr>
          <w:rFonts w:eastAsia="Verdana" w:cs="Verdana"/>
          <w:sz w:val="20"/>
          <w:szCs w:val="20"/>
          <w:lang w:val="es-ES"/>
        </w:rPr>
        <w:t xml:space="preserve">44, </w:t>
      </w:r>
      <w:r w:rsidR="00237A68" w:rsidRPr="00975C02">
        <w:rPr>
          <w:rFonts w:eastAsia="Verdana" w:cs="Verdana"/>
          <w:sz w:val="20"/>
          <w:szCs w:val="20"/>
          <w:lang w:val="es-ES"/>
        </w:rPr>
        <w:t xml:space="preserve">y destacaron </w:t>
      </w:r>
      <w:r w:rsidR="009D661E" w:rsidRPr="00975C02">
        <w:rPr>
          <w:rFonts w:eastAsia="Verdana" w:cs="Verdana"/>
          <w:sz w:val="20"/>
          <w:szCs w:val="20"/>
          <w:lang w:val="es-ES"/>
        </w:rPr>
        <w:t>que tales gastos fueron solventados por V.P.C., quien era la responsable de proveer a la familia</w:t>
      </w:r>
      <w:r w:rsidR="001C0BD0" w:rsidRPr="00975C02">
        <w:rPr>
          <w:rFonts w:eastAsia="Verdana" w:cs="Verdana"/>
          <w:sz w:val="20"/>
          <w:szCs w:val="20"/>
          <w:lang w:val="es-ES"/>
        </w:rPr>
        <w:t>.</w:t>
      </w:r>
    </w:p>
    <w:p w14:paraId="738964C4" w14:textId="77777777" w:rsidR="002E2199" w:rsidRPr="00975C02" w:rsidRDefault="002E2199" w:rsidP="00DF3D71">
      <w:pPr>
        <w:tabs>
          <w:tab w:val="left" w:pos="567"/>
        </w:tabs>
        <w:spacing w:line="240" w:lineRule="auto"/>
        <w:textAlignment w:val="auto"/>
        <w:rPr>
          <w:rFonts w:eastAsia="MS Mincho" w:cs="Tahoma"/>
          <w:b/>
          <w:sz w:val="20"/>
          <w:szCs w:val="20"/>
          <w:lang w:val="es-ES"/>
        </w:rPr>
      </w:pPr>
    </w:p>
    <w:p w14:paraId="78EBB0C8" w14:textId="4D64C970" w:rsidR="009D661E" w:rsidRPr="00975C02" w:rsidRDefault="009D661E" w:rsidP="009D661E">
      <w:pPr>
        <w:numPr>
          <w:ilvl w:val="0"/>
          <w:numId w:val="2"/>
        </w:numPr>
        <w:tabs>
          <w:tab w:val="left" w:pos="567"/>
          <w:tab w:val="num" w:pos="5057"/>
        </w:tabs>
        <w:spacing w:line="240" w:lineRule="auto"/>
        <w:ind w:left="0" w:firstLine="0"/>
        <w:textAlignment w:val="auto"/>
        <w:rPr>
          <w:rFonts w:eastAsia="MS Mincho"/>
          <w:sz w:val="20"/>
          <w:szCs w:val="20"/>
          <w:lang w:val="es-ES" w:bidi="en-US"/>
        </w:rPr>
      </w:pPr>
      <w:r w:rsidRPr="00975C02">
        <w:rPr>
          <w:rFonts w:eastAsia="MS Mincho"/>
          <w:sz w:val="20"/>
          <w:szCs w:val="20"/>
          <w:lang w:val="es-ES" w:bidi="en-US"/>
        </w:rPr>
        <w:t xml:space="preserve">El </w:t>
      </w:r>
      <w:r w:rsidRPr="00975C02">
        <w:rPr>
          <w:rFonts w:eastAsia="MS Mincho"/>
          <w:b/>
          <w:i/>
          <w:sz w:val="20"/>
          <w:szCs w:val="20"/>
          <w:lang w:val="es-ES" w:bidi="en-US"/>
        </w:rPr>
        <w:t xml:space="preserve">Estado </w:t>
      </w:r>
      <w:r w:rsidRPr="00975C02">
        <w:rPr>
          <w:rFonts w:eastAsia="MS Mincho"/>
          <w:sz w:val="20"/>
          <w:szCs w:val="20"/>
          <w:lang w:val="es-ES" w:bidi="en-US"/>
        </w:rPr>
        <w:t xml:space="preserve">solicitó que la Corte fijara el daño emergente </w:t>
      </w:r>
      <w:r w:rsidR="002E2199" w:rsidRPr="00975C02">
        <w:rPr>
          <w:rFonts w:eastAsia="MS Mincho"/>
          <w:sz w:val="20"/>
          <w:szCs w:val="20"/>
          <w:lang w:val="es-ES" w:bidi="en-US"/>
        </w:rPr>
        <w:t xml:space="preserve">siempre que </w:t>
      </w:r>
      <w:r w:rsidRPr="00975C02">
        <w:rPr>
          <w:rFonts w:eastAsia="MS Mincho"/>
          <w:sz w:val="20"/>
          <w:szCs w:val="20"/>
          <w:lang w:val="es-ES" w:bidi="en-US"/>
        </w:rPr>
        <w:t>comprenda los gastos directos e inmediatos que debió cubrir la víctima</w:t>
      </w:r>
      <w:r w:rsidR="002E2199" w:rsidRPr="00975C02">
        <w:rPr>
          <w:rFonts w:eastAsia="MS Mincho"/>
          <w:sz w:val="20"/>
          <w:szCs w:val="20"/>
          <w:lang w:val="es-ES" w:bidi="en-US"/>
        </w:rPr>
        <w:t>.</w:t>
      </w:r>
      <w:r w:rsidRPr="00975C02">
        <w:rPr>
          <w:rFonts w:eastAsia="MS Mincho"/>
          <w:sz w:val="20"/>
          <w:szCs w:val="20"/>
          <w:lang w:val="es-ES" w:bidi="en-US"/>
        </w:rPr>
        <w:t xml:space="preserve"> </w:t>
      </w:r>
      <w:r w:rsidR="002E2199" w:rsidRPr="00975C02">
        <w:rPr>
          <w:rFonts w:eastAsia="MS Mincho"/>
          <w:sz w:val="20"/>
          <w:szCs w:val="20"/>
          <w:lang w:val="es-ES" w:bidi="en-US"/>
        </w:rPr>
        <w:t>A</w:t>
      </w:r>
      <w:r w:rsidRPr="00975C02">
        <w:rPr>
          <w:rFonts w:eastAsia="MS Mincho"/>
          <w:sz w:val="20"/>
          <w:szCs w:val="20"/>
          <w:lang w:val="es-ES" w:bidi="en-US"/>
        </w:rPr>
        <w:t xml:space="preserve">demás, </w:t>
      </w:r>
      <w:r w:rsidR="002E2199" w:rsidRPr="00975C02">
        <w:rPr>
          <w:rFonts w:eastAsia="MS Mincho"/>
          <w:sz w:val="20"/>
          <w:szCs w:val="20"/>
          <w:lang w:val="es-ES" w:bidi="en-US"/>
        </w:rPr>
        <w:t xml:space="preserve">requirió </w:t>
      </w:r>
      <w:r w:rsidRPr="00975C02">
        <w:rPr>
          <w:rFonts w:eastAsia="MS Mincho"/>
          <w:sz w:val="20"/>
          <w:szCs w:val="20"/>
          <w:lang w:val="es-ES" w:bidi="en-US"/>
        </w:rPr>
        <w:t xml:space="preserve">que los desembolsos alegados sean corroborados mediante documentos o facturas, rechazando los gastos médicos argüidos sin soporte probatorio. </w:t>
      </w:r>
      <w:r w:rsidR="002E2199" w:rsidRPr="00975C02">
        <w:rPr>
          <w:rFonts w:eastAsia="MS Mincho"/>
          <w:sz w:val="20"/>
          <w:szCs w:val="20"/>
          <w:lang w:val="es-ES" w:bidi="en-US"/>
        </w:rPr>
        <w:t>El Estado a</w:t>
      </w:r>
      <w:r w:rsidRPr="00975C02">
        <w:rPr>
          <w:rFonts w:eastAsia="MS Mincho"/>
          <w:sz w:val="20"/>
          <w:szCs w:val="20"/>
          <w:lang w:val="es-ES" w:bidi="en-US"/>
        </w:rPr>
        <w:t>dujo que si bien exist</w:t>
      </w:r>
      <w:r w:rsidR="002E2199" w:rsidRPr="00975C02">
        <w:rPr>
          <w:rFonts w:eastAsia="MS Mincho"/>
          <w:sz w:val="20"/>
          <w:szCs w:val="20"/>
          <w:lang w:val="es-ES" w:bidi="en-US"/>
        </w:rPr>
        <w:t>ía</w:t>
      </w:r>
      <w:r w:rsidRPr="00975C02">
        <w:rPr>
          <w:rFonts w:eastAsia="MS Mincho"/>
          <w:sz w:val="20"/>
          <w:szCs w:val="20"/>
          <w:lang w:val="es-ES" w:bidi="en-US"/>
        </w:rPr>
        <w:t xml:space="preserve"> jurisprudencia en la que se señaló que la falta de comprobante no p</w:t>
      </w:r>
      <w:r w:rsidR="002E2199" w:rsidRPr="00975C02">
        <w:rPr>
          <w:rFonts w:eastAsia="MS Mincho"/>
          <w:sz w:val="20"/>
          <w:szCs w:val="20"/>
          <w:lang w:val="es-ES" w:bidi="en-US"/>
        </w:rPr>
        <w:t>odía</w:t>
      </w:r>
      <w:r w:rsidRPr="00975C02">
        <w:rPr>
          <w:rFonts w:eastAsia="MS Mincho"/>
          <w:sz w:val="20"/>
          <w:szCs w:val="20"/>
          <w:lang w:val="es-ES" w:bidi="en-US"/>
        </w:rPr>
        <w:t xml:space="preserve"> ser causal de rechazo de un justo resarcimiento, ello se dio por razones excepcionales, por lo que pidió que esa excepción no se convierta en regla dado que la naturaleza de la Corte no es fijar indemnizaciones que sean impagables. Además, no consideró lógico que existan comprobantes o recibos de algunos gastos y de otros no, o que existan recibos de gastos realizados con mucho tiempo de anticipa</w:t>
      </w:r>
      <w:r w:rsidR="00252E46" w:rsidRPr="00975C02">
        <w:rPr>
          <w:rFonts w:eastAsia="MS Mincho"/>
          <w:sz w:val="20"/>
          <w:szCs w:val="20"/>
          <w:lang w:val="es-ES" w:bidi="en-US"/>
        </w:rPr>
        <w:t>ción y no de los más recientes.</w:t>
      </w:r>
    </w:p>
    <w:p w14:paraId="04E9D2FC" w14:textId="77777777" w:rsidR="009D661E" w:rsidRPr="00975C02" w:rsidRDefault="009D661E" w:rsidP="009D661E">
      <w:pPr>
        <w:pStyle w:val="ListParagraph"/>
        <w:spacing w:line="240" w:lineRule="auto"/>
        <w:rPr>
          <w:rFonts w:eastAsia="MS Mincho"/>
          <w:sz w:val="20"/>
          <w:szCs w:val="20"/>
          <w:lang w:val="es-ES" w:bidi="en-US"/>
        </w:rPr>
      </w:pPr>
    </w:p>
    <w:p w14:paraId="194FB76F" w14:textId="49C054FF" w:rsidR="002E2199" w:rsidRPr="00975C02" w:rsidRDefault="002E2199" w:rsidP="002E2199">
      <w:pPr>
        <w:numPr>
          <w:ilvl w:val="0"/>
          <w:numId w:val="2"/>
        </w:numPr>
        <w:tabs>
          <w:tab w:val="left" w:pos="567"/>
          <w:tab w:val="num" w:pos="5057"/>
        </w:tabs>
        <w:spacing w:line="240" w:lineRule="auto"/>
        <w:ind w:left="0" w:firstLine="0"/>
        <w:rPr>
          <w:rFonts w:eastAsia="MS Mincho" w:cs="Verdana"/>
          <w:sz w:val="20"/>
          <w:szCs w:val="20"/>
          <w:lang w:val="es-ES" w:bidi="en-US"/>
        </w:rPr>
      </w:pPr>
      <w:r w:rsidRPr="00975C02">
        <w:rPr>
          <w:rFonts w:eastAsia="Verdana" w:cs="Verdana"/>
          <w:sz w:val="20"/>
          <w:szCs w:val="20"/>
          <w:lang w:val="es-ES"/>
        </w:rPr>
        <w:t>En</w:t>
      </w:r>
      <w:r w:rsidRPr="00975C02">
        <w:rPr>
          <w:sz w:val="20"/>
          <w:lang w:val="es-ES"/>
        </w:rPr>
        <w:t xml:space="preserve"> </w:t>
      </w:r>
      <w:r w:rsidRPr="00975C02">
        <w:rPr>
          <w:rFonts w:eastAsia="Calibri"/>
          <w:spacing w:val="-2"/>
          <w:sz w:val="20"/>
          <w:szCs w:val="20"/>
          <w:lang w:val="es-ES"/>
        </w:rPr>
        <w:t>relación</w:t>
      </w:r>
      <w:r w:rsidRPr="00975C02">
        <w:rPr>
          <w:rFonts w:eastAsia="MS Mincho" w:cs="Arial"/>
          <w:sz w:val="20"/>
          <w:szCs w:val="20"/>
          <w:lang w:val="es-ES" w:bidi="en-US"/>
        </w:rPr>
        <w:t xml:space="preserve"> con el daño emergente, la Corte advierte que las representantes basaron el monto solicitado en</w:t>
      </w:r>
      <w:r w:rsidRPr="00975C02">
        <w:rPr>
          <w:rFonts w:eastAsia="MS Mincho" w:cs="Verdana"/>
          <w:sz w:val="20"/>
          <w:szCs w:val="20"/>
          <w:lang w:val="es-ES" w:bidi="en-US"/>
        </w:rPr>
        <w:t xml:space="preserve"> una serie de gastos desembolsados por la señora V.P.C., derivados de las violaciones de derechos humanos declaradas en la presente Sentencia. Entre estos se encuentran: </w:t>
      </w:r>
      <w:r w:rsidR="009D661E" w:rsidRPr="00975C02">
        <w:rPr>
          <w:rFonts w:eastAsia="MS Mincho"/>
          <w:sz w:val="20"/>
          <w:szCs w:val="20"/>
          <w:lang w:val="es-ES" w:bidi="en-US"/>
        </w:rPr>
        <w:t>a) gastos de atención médica por los daños físicos</w:t>
      </w:r>
      <w:r w:rsidRPr="00975C02">
        <w:rPr>
          <w:rFonts w:eastAsia="MS Mincho"/>
          <w:sz w:val="20"/>
          <w:szCs w:val="20"/>
          <w:lang w:val="es-ES" w:bidi="en-US"/>
        </w:rPr>
        <w:t xml:space="preserve"> y psicológicos, así como por las </w:t>
      </w:r>
      <w:r w:rsidR="009D661E" w:rsidRPr="00975C02">
        <w:rPr>
          <w:rFonts w:eastAsia="MS Mincho"/>
          <w:sz w:val="20"/>
          <w:szCs w:val="20"/>
          <w:lang w:val="es-ES" w:bidi="en-US"/>
        </w:rPr>
        <w:t>enfermedades sufridas por su hija V.R.P.; b) gastos derivados del proceso penal por violación sexual; c) gastos por las quejas y denuncias interpuestas contra los funcionarios y servidores públicos intervinientes que provocaron las diferentes irregularidades en el proceso penal</w:t>
      </w:r>
      <w:r w:rsidRPr="00975C02">
        <w:rPr>
          <w:rFonts w:eastAsia="MS Mincho"/>
          <w:sz w:val="20"/>
          <w:szCs w:val="20"/>
          <w:lang w:val="es-ES" w:bidi="en-US"/>
        </w:rPr>
        <w:t>;</w:t>
      </w:r>
      <w:r w:rsidR="009D661E" w:rsidRPr="00975C02">
        <w:rPr>
          <w:rFonts w:eastAsia="MS Mincho"/>
          <w:sz w:val="20"/>
          <w:szCs w:val="20"/>
          <w:lang w:val="es-ES" w:bidi="en-US"/>
        </w:rPr>
        <w:t xml:space="preserve"> d) gastos por la salida de Nicaragua y el establecimiento de su residencia y la de sus dos hijas en Estados Unidos</w:t>
      </w:r>
      <w:r w:rsidR="00237A68" w:rsidRPr="00975C02">
        <w:rPr>
          <w:rFonts w:eastAsia="MS Mincho"/>
          <w:sz w:val="20"/>
          <w:szCs w:val="20"/>
          <w:lang w:val="es-ES" w:bidi="en-US"/>
        </w:rPr>
        <w:t>, y</w:t>
      </w:r>
      <w:r w:rsidR="009D661E" w:rsidRPr="00975C02">
        <w:rPr>
          <w:rFonts w:eastAsia="MS Mincho"/>
          <w:sz w:val="20"/>
          <w:szCs w:val="20"/>
          <w:lang w:val="es-ES" w:bidi="en-US"/>
        </w:rPr>
        <w:t xml:space="preserve"> e) gastos derivados de la denuncia y el desarrollo del caso ante el sistema interamericano.</w:t>
      </w:r>
      <w:r w:rsidRPr="00975C02">
        <w:rPr>
          <w:rFonts w:eastAsia="MS Mincho" w:cs="Arial"/>
          <w:sz w:val="20"/>
          <w:szCs w:val="20"/>
          <w:lang w:val="es-ES" w:bidi="en-US"/>
        </w:rPr>
        <w:t xml:space="preserve"> La Corte considerará bajo el rubro de daño emergente los gastos </w:t>
      </w:r>
      <w:r w:rsidR="00CA0DA6" w:rsidRPr="00975C02">
        <w:rPr>
          <w:rFonts w:eastAsia="MS Mincho" w:cs="Arial"/>
          <w:sz w:val="20"/>
          <w:szCs w:val="20"/>
          <w:lang w:val="es-ES" w:bidi="en-US"/>
        </w:rPr>
        <w:t xml:space="preserve">incurridos por la señora V.P.C. que </w:t>
      </w:r>
      <w:r w:rsidR="00853A92" w:rsidRPr="00975C02">
        <w:rPr>
          <w:rFonts w:eastAsia="MS Mincho" w:cs="Arial"/>
          <w:sz w:val="20"/>
          <w:szCs w:val="20"/>
          <w:lang w:val="es-ES" w:bidi="en-US"/>
        </w:rPr>
        <w:t xml:space="preserve">no </w:t>
      </w:r>
      <w:r w:rsidR="00CA0DA6" w:rsidRPr="00975C02">
        <w:rPr>
          <w:rFonts w:eastAsia="MS Mincho" w:cs="Arial"/>
          <w:sz w:val="20"/>
          <w:szCs w:val="20"/>
          <w:lang w:val="es-ES" w:bidi="en-US"/>
        </w:rPr>
        <w:t xml:space="preserve">estén relacionados con </w:t>
      </w:r>
      <w:r w:rsidRPr="00975C02">
        <w:rPr>
          <w:rFonts w:eastAsia="MS Mincho" w:cs="Arial"/>
          <w:sz w:val="20"/>
          <w:szCs w:val="20"/>
          <w:lang w:val="es-ES" w:bidi="en-US"/>
        </w:rPr>
        <w:t>los gastos relativos a la tramitación del caso</w:t>
      </w:r>
      <w:r w:rsidR="00CA0DA6" w:rsidRPr="00975C02">
        <w:rPr>
          <w:rFonts w:eastAsia="MS Mincho" w:cs="Arial"/>
          <w:sz w:val="20"/>
          <w:szCs w:val="20"/>
          <w:lang w:val="es-ES" w:bidi="en-US"/>
        </w:rPr>
        <w:t>, los cuales</w:t>
      </w:r>
      <w:r w:rsidRPr="00975C02">
        <w:rPr>
          <w:rFonts w:eastAsia="MS Mincho" w:cs="Arial"/>
          <w:sz w:val="20"/>
          <w:szCs w:val="20"/>
          <w:lang w:val="es-ES" w:bidi="en-US"/>
        </w:rPr>
        <w:t xml:space="preserve"> serán analizados bajo el concepto de costas y gastos (</w:t>
      </w:r>
      <w:r w:rsidRPr="00975C02">
        <w:rPr>
          <w:rFonts w:eastAsia="MS Mincho" w:cs="Arial"/>
          <w:i/>
          <w:sz w:val="20"/>
          <w:szCs w:val="20"/>
          <w:lang w:val="es-ES" w:bidi="en-US"/>
        </w:rPr>
        <w:t>infra</w:t>
      </w:r>
      <w:r w:rsidR="00CA0DA6" w:rsidRPr="00975C02">
        <w:rPr>
          <w:rFonts w:eastAsia="MS Mincho" w:cs="Arial"/>
          <w:sz w:val="20"/>
          <w:szCs w:val="20"/>
          <w:lang w:val="es-ES" w:bidi="en-US"/>
        </w:rPr>
        <w:t xml:space="preserve"> párr. </w:t>
      </w:r>
      <w:r w:rsidR="00FC7260" w:rsidRPr="00975C02">
        <w:rPr>
          <w:rFonts w:eastAsia="MS Mincho" w:cs="Arial"/>
          <w:sz w:val="20"/>
          <w:szCs w:val="20"/>
          <w:lang w:val="es-ES" w:bidi="en-US"/>
        </w:rPr>
        <w:t>432</w:t>
      </w:r>
      <w:r w:rsidRPr="00975C02">
        <w:rPr>
          <w:rFonts w:eastAsia="MS Mincho" w:cs="Arial"/>
          <w:sz w:val="20"/>
          <w:szCs w:val="20"/>
          <w:lang w:val="es-ES" w:bidi="en-US"/>
        </w:rPr>
        <w:t>).</w:t>
      </w:r>
    </w:p>
    <w:p w14:paraId="223CE568" w14:textId="77777777" w:rsidR="00CA0DA6" w:rsidRPr="00975C02" w:rsidRDefault="00CA0DA6" w:rsidP="00DF3D71">
      <w:pPr>
        <w:tabs>
          <w:tab w:val="left" w:pos="567"/>
        </w:tabs>
        <w:spacing w:line="240" w:lineRule="auto"/>
        <w:rPr>
          <w:rFonts w:eastAsia="MS Mincho" w:cs="Verdana"/>
          <w:sz w:val="20"/>
          <w:szCs w:val="20"/>
          <w:lang w:val="es-ES" w:bidi="en-US"/>
        </w:rPr>
      </w:pPr>
    </w:p>
    <w:p w14:paraId="15399695" w14:textId="3C652732" w:rsidR="009D661E" w:rsidRPr="00975C02" w:rsidRDefault="009D661E" w:rsidP="00DF3D71">
      <w:pPr>
        <w:numPr>
          <w:ilvl w:val="0"/>
          <w:numId w:val="2"/>
        </w:numPr>
        <w:tabs>
          <w:tab w:val="left" w:pos="567"/>
          <w:tab w:val="num" w:pos="5057"/>
        </w:tabs>
        <w:spacing w:line="240" w:lineRule="auto"/>
        <w:ind w:left="0" w:firstLine="0"/>
        <w:textAlignment w:val="auto"/>
        <w:rPr>
          <w:b/>
          <w:bCs/>
          <w:sz w:val="20"/>
          <w:szCs w:val="20"/>
          <w:lang w:val="es-ES"/>
        </w:rPr>
      </w:pPr>
      <w:r w:rsidRPr="00975C02">
        <w:rPr>
          <w:rFonts w:eastAsia="MS Mincho"/>
          <w:sz w:val="20"/>
          <w:szCs w:val="20"/>
          <w:lang w:val="es-ES" w:bidi="en-US"/>
        </w:rPr>
        <w:t xml:space="preserve">En consecuencia, </w:t>
      </w:r>
      <w:r w:rsidR="00CA0DA6" w:rsidRPr="00975C02">
        <w:rPr>
          <w:rFonts w:eastAsia="MS Mincho"/>
          <w:sz w:val="20"/>
          <w:szCs w:val="20"/>
          <w:lang w:val="es-ES" w:bidi="en-US"/>
        </w:rPr>
        <w:t xml:space="preserve">si bien el monto comprobado </w:t>
      </w:r>
      <w:r w:rsidR="00CA0DA6" w:rsidRPr="00975C02">
        <w:rPr>
          <w:rFonts w:eastAsia="MS Mincho" w:cs="Verdana"/>
          <w:sz w:val="20"/>
          <w:szCs w:val="20"/>
          <w:lang w:val="es-ES" w:bidi="en-US"/>
        </w:rPr>
        <w:t>en el expediente ante esta Corte</w:t>
      </w:r>
      <w:r w:rsidR="00CA0DA6" w:rsidRPr="00975C02">
        <w:rPr>
          <w:rFonts w:eastAsia="Calibri"/>
          <w:sz w:val="20"/>
          <w:szCs w:val="20"/>
          <w:lang w:val="es-ES"/>
        </w:rPr>
        <w:t xml:space="preserve"> asciende a la suma de US$ 2</w:t>
      </w:r>
      <w:r w:rsidR="00237A68" w:rsidRPr="00975C02">
        <w:rPr>
          <w:rFonts w:eastAsia="Calibri"/>
          <w:sz w:val="20"/>
          <w:szCs w:val="20"/>
          <w:lang w:val="es-ES"/>
        </w:rPr>
        <w:t>.</w:t>
      </w:r>
      <w:r w:rsidR="005E0BD0" w:rsidRPr="00975C02">
        <w:rPr>
          <w:rFonts w:eastAsia="Calibri"/>
          <w:sz w:val="20"/>
          <w:szCs w:val="20"/>
          <w:lang w:val="es-ES"/>
        </w:rPr>
        <w:t>13</w:t>
      </w:r>
      <w:r w:rsidR="00C742FD" w:rsidRPr="00975C02">
        <w:rPr>
          <w:rFonts w:eastAsia="Calibri"/>
          <w:sz w:val="20"/>
          <w:szCs w:val="20"/>
          <w:lang w:val="es-ES"/>
        </w:rPr>
        <w:t>1</w:t>
      </w:r>
      <w:r w:rsidR="00237A68" w:rsidRPr="00975C02">
        <w:rPr>
          <w:rFonts w:eastAsia="Calibri"/>
          <w:sz w:val="20"/>
          <w:szCs w:val="20"/>
          <w:lang w:val="es-ES"/>
        </w:rPr>
        <w:t>,</w:t>
      </w:r>
      <w:r w:rsidR="005E0BD0" w:rsidRPr="00975C02">
        <w:rPr>
          <w:rFonts w:eastAsia="Calibri"/>
          <w:sz w:val="20"/>
          <w:szCs w:val="20"/>
          <w:lang w:val="es-ES"/>
        </w:rPr>
        <w:t>26</w:t>
      </w:r>
      <w:r w:rsidR="00C742FD" w:rsidRPr="00975C02">
        <w:rPr>
          <w:rFonts w:eastAsia="Calibri"/>
          <w:sz w:val="20"/>
          <w:szCs w:val="20"/>
          <w:lang w:val="es-ES"/>
        </w:rPr>
        <w:t xml:space="preserve"> (dos mil ciento treinta y uno con 26/100 dólares de los Estados Unidos de América)</w:t>
      </w:r>
      <w:r w:rsidR="00CA0DA6" w:rsidRPr="00975C02">
        <w:rPr>
          <w:rFonts w:eastAsia="Calibri"/>
          <w:sz w:val="20"/>
          <w:szCs w:val="20"/>
          <w:lang w:val="es-ES"/>
        </w:rPr>
        <w:t xml:space="preserve">, </w:t>
      </w:r>
      <w:r w:rsidRPr="00975C02">
        <w:rPr>
          <w:rFonts w:eastAsia="Calibri"/>
          <w:sz w:val="20"/>
          <w:szCs w:val="20"/>
          <w:lang w:val="es-ES"/>
        </w:rPr>
        <w:t>la Corte</w:t>
      </w:r>
      <w:r w:rsidR="00CA0DA6" w:rsidRPr="00975C02">
        <w:rPr>
          <w:rFonts w:eastAsia="Calibri"/>
          <w:sz w:val="20"/>
          <w:szCs w:val="20"/>
          <w:lang w:val="es-ES"/>
        </w:rPr>
        <w:t xml:space="preserve"> estima razonable presumir que la señora V.P.C. incurrió en gastos adicionales derivados de las violaciones de derechos humanos cometidas por el Estado en el presente caso. En este sentido, la Corte considera razonable ordenar el pago de la suma de </w:t>
      </w:r>
      <w:r w:rsidRPr="00975C02">
        <w:rPr>
          <w:rFonts w:eastAsia="Calibri"/>
          <w:sz w:val="20"/>
          <w:szCs w:val="20"/>
          <w:lang w:val="es-ES"/>
        </w:rPr>
        <w:t>US$</w:t>
      </w:r>
      <w:r w:rsidR="00237A68" w:rsidRPr="00975C02">
        <w:rPr>
          <w:rFonts w:eastAsia="Calibri"/>
          <w:sz w:val="20"/>
          <w:szCs w:val="20"/>
          <w:lang w:val="es-ES"/>
        </w:rPr>
        <w:t xml:space="preserve"> </w:t>
      </w:r>
      <w:r w:rsidR="00C56643" w:rsidRPr="00975C02">
        <w:rPr>
          <w:rFonts w:eastAsia="Calibri"/>
          <w:sz w:val="20"/>
          <w:szCs w:val="20"/>
          <w:lang w:val="es-ES"/>
        </w:rPr>
        <w:t>7</w:t>
      </w:r>
      <w:r w:rsidR="00237A68" w:rsidRPr="00975C02">
        <w:rPr>
          <w:rFonts w:eastAsia="Calibri"/>
          <w:sz w:val="20"/>
          <w:szCs w:val="20"/>
          <w:lang w:val="es-ES"/>
        </w:rPr>
        <w:t>.</w:t>
      </w:r>
      <w:r w:rsidR="00CA0DA6" w:rsidRPr="00975C02">
        <w:rPr>
          <w:rFonts w:eastAsia="Calibri"/>
          <w:sz w:val="20"/>
          <w:szCs w:val="20"/>
          <w:lang w:val="es-ES"/>
        </w:rPr>
        <w:t>000</w:t>
      </w:r>
      <w:r w:rsidR="00237A68" w:rsidRPr="00975C02">
        <w:rPr>
          <w:rFonts w:eastAsia="Calibri"/>
          <w:sz w:val="20"/>
          <w:szCs w:val="20"/>
          <w:lang w:val="es-ES"/>
        </w:rPr>
        <w:t>,00</w:t>
      </w:r>
      <w:r w:rsidRPr="00975C02">
        <w:rPr>
          <w:rFonts w:eastAsia="Calibri"/>
          <w:sz w:val="20"/>
          <w:szCs w:val="20"/>
          <w:lang w:val="es-ES"/>
        </w:rPr>
        <w:t xml:space="preserve"> (</w:t>
      </w:r>
      <w:r w:rsidR="00C56643" w:rsidRPr="00975C02">
        <w:rPr>
          <w:rFonts w:eastAsia="Calibri"/>
          <w:sz w:val="20"/>
          <w:szCs w:val="20"/>
          <w:lang w:val="es-ES"/>
        </w:rPr>
        <w:t>siete</w:t>
      </w:r>
      <w:r w:rsidR="00CA0DA6" w:rsidRPr="00975C02">
        <w:rPr>
          <w:rFonts w:eastAsia="Calibri"/>
          <w:sz w:val="20"/>
          <w:szCs w:val="20"/>
          <w:lang w:val="es-ES"/>
        </w:rPr>
        <w:t xml:space="preserve"> mil</w:t>
      </w:r>
      <w:r w:rsidRPr="00975C02">
        <w:rPr>
          <w:rFonts w:eastAsia="Calibri"/>
          <w:sz w:val="20"/>
          <w:szCs w:val="20"/>
          <w:lang w:val="es-ES"/>
        </w:rPr>
        <w:t xml:space="preserve"> dólares de los Estados Unidos de América)</w:t>
      </w:r>
      <w:r w:rsidR="00CA0DA6" w:rsidRPr="00975C02">
        <w:rPr>
          <w:bCs/>
          <w:sz w:val="20"/>
          <w:szCs w:val="20"/>
          <w:lang w:val="es-ES"/>
        </w:rPr>
        <w:t xml:space="preserve">, por </w:t>
      </w:r>
      <w:r w:rsidR="00CA0DA6" w:rsidRPr="00975C02">
        <w:rPr>
          <w:rFonts w:eastAsia="MS Mincho"/>
          <w:bCs/>
          <w:sz w:val="20"/>
          <w:szCs w:val="20"/>
          <w:lang w:val="es-ES" w:eastAsia="en-US" w:bidi="en-US"/>
        </w:rPr>
        <w:t xml:space="preserve">concepto de daño emergente, </w:t>
      </w:r>
      <w:r w:rsidR="00FB3DFF" w:rsidRPr="00975C02">
        <w:rPr>
          <w:sz w:val="20"/>
          <w:lang w:val="es-ES"/>
        </w:rPr>
        <w:t>el</w:t>
      </w:r>
      <w:r w:rsidR="00CA0DA6" w:rsidRPr="00975C02">
        <w:rPr>
          <w:sz w:val="20"/>
          <w:lang w:val="es-ES"/>
        </w:rPr>
        <w:t xml:space="preserve"> que deberá ser </w:t>
      </w:r>
      <w:r w:rsidR="00FB3DFF" w:rsidRPr="00975C02">
        <w:rPr>
          <w:sz w:val="20"/>
          <w:lang w:val="es-ES"/>
        </w:rPr>
        <w:t>pagado</w:t>
      </w:r>
      <w:r w:rsidR="00CA0DA6" w:rsidRPr="00975C02">
        <w:rPr>
          <w:sz w:val="20"/>
          <w:lang w:val="es-ES"/>
        </w:rPr>
        <w:t xml:space="preserve"> a </w:t>
      </w:r>
      <w:r w:rsidR="00C56643" w:rsidRPr="00975C02">
        <w:rPr>
          <w:sz w:val="20"/>
          <w:lang w:val="es-ES"/>
        </w:rPr>
        <w:t xml:space="preserve">favor de </w:t>
      </w:r>
      <w:r w:rsidR="00CA0DA6" w:rsidRPr="00975C02">
        <w:rPr>
          <w:sz w:val="20"/>
          <w:lang w:val="es-ES"/>
        </w:rPr>
        <w:t xml:space="preserve">la señora V.P.C. </w:t>
      </w:r>
    </w:p>
    <w:p w14:paraId="5D5296C3" w14:textId="77777777" w:rsidR="009D661E" w:rsidRPr="00975C02" w:rsidRDefault="009D661E" w:rsidP="009D661E">
      <w:pPr>
        <w:tabs>
          <w:tab w:val="left" w:pos="567"/>
        </w:tabs>
        <w:autoSpaceDE w:val="0"/>
        <w:autoSpaceDN w:val="0"/>
        <w:spacing w:line="240" w:lineRule="auto"/>
        <w:outlineLvl w:val="2"/>
        <w:rPr>
          <w:rFonts w:eastAsia="Calibri"/>
          <w:b/>
          <w:i/>
          <w:sz w:val="20"/>
          <w:szCs w:val="20"/>
          <w:lang w:val="es-ES"/>
        </w:rPr>
      </w:pPr>
    </w:p>
    <w:p w14:paraId="446E9F5D" w14:textId="77777777" w:rsidR="009D661E" w:rsidRPr="00975C02" w:rsidRDefault="009D661E" w:rsidP="002C415B">
      <w:pPr>
        <w:numPr>
          <w:ilvl w:val="0"/>
          <w:numId w:val="12"/>
        </w:numPr>
        <w:spacing w:line="240" w:lineRule="auto"/>
        <w:rPr>
          <w:i/>
          <w:iCs/>
          <w:sz w:val="20"/>
          <w:szCs w:val="20"/>
          <w:lang w:val="es-ES"/>
        </w:rPr>
      </w:pPr>
      <w:r w:rsidRPr="00975C02">
        <w:rPr>
          <w:i/>
          <w:iCs/>
          <w:sz w:val="20"/>
          <w:szCs w:val="20"/>
          <w:lang w:val="es-ES"/>
        </w:rPr>
        <w:t>Pérdida de ingresos</w:t>
      </w:r>
    </w:p>
    <w:p w14:paraId="62E49B88" w14:textId="77777777" w:rsidR="009D661E" w:rsidRPr="00975C02" w:rsidRDefault="009D661E" w:rsidP="009D661E">
      <w:pPr>
        <w:tabs>
          <w:tab w:val="left" w:pos="0"/>
          <w:tab w:val="num" w:pos="12305"/>
        </w:tabs>
        <w:spacing w:line="240" w:lineRule="auto"/>
        <w:ind w:right="-90"/>
        <w:rPr>
          <w:rFonts w:eastAsia="Calibri"/>
          <w:b/>
          <w:i/>
          <w:sz w:val="20"/>
          <w:szCs w:val="20"/>
          <w:lang w:val="es-ES"/>
        </w:rPr>
      </w:pPr>
    </w:p>
    <w:p w14:paraId="772FAE0F" w14:textId="15BF9B28" w:rsidR="009D661E" w:rsidRPr="00975C02" w:rsidRDefault="009D661E" w:rsidP="009D661E">
      <w:pPr>
        <w:numPr>
          <w:ilvl w:val="0"/>
          <w:numId w:val="2"/>
        </w:numPr>
        <w:tabs>
          <w:tab w:val="left" w:pos="567"/>
          <w:tab w:val="num" w:pos="5057"/>
        </w:tabs>
        <w:spacing w:line="240" w:lineRule="auto"/>
        <w:ind w:left="0" w:firstLine="0"/>
        <w:textAlignment w:val="auto"/>
        <w:rPr>
          <w:rFonts w:eastAsia="Calibri"/>
          <w:b/>
          <w:i/>
          <w:sz w:val="20"/>
          <w:szCs w:val="20"/>
          <w:lang w:val="es-ES"/>
        </w:rPr>
      </w:pPr>
      <w:r w:rsidRPr="00975C02">
        <w:rPr>
          <w:rFonts w:eastAsia="Verdana" w:cs="Verdana"/>
          <w:sz w:val="20"/>
          <w:szCs w:val="20"/>
          <w:lang w:val="es-ES"/>
        </w:rPr>
        <w:t xml:space="preserve">Las </w:t>
      </w:r>
      <w:r w:rsidRPr="00975C02">
        <w:rPr>
          <w:rFonts w:eastAsia="Verdana" w:cs="Verdana"/>
          <w:b/>
          <w:i/>
          <w:sz w:val="20"/>
          <w:szCs w:val="20"/>
          <w:lang w:val="es-ES"/>
        </w:rPr>
        <w:t>representantes</w:t>
      </w:r>
      <w:r w:rsidRPr="00975C02">
        <w:rPr>
          <w:rFonts w:eastAsia="Verdana" w:cs="Verdana"/>
          <w:sz w:val="20"/>
          <w:szCs w:val="20"/>
          <w:lang w:val="es-ES"/>
        </w:rPr>
        <w:t xml:space="preserve"> solicitaron a la Corte que orden</w:t>
      </w:r>
      <w:r w:rsidR="000155F6" w:rsidRPr="00975C02">
        <w:rPr>
          <w:rFonts w:eastAsia="Verdana" w:cs="Verdana"/>
          <w:sz w:val="20"/>
          <w:szCs w:val="20"/>
          <w:lang w:val="es-ES"/>
        </w:rPr>
        <w:t>ara</w:t>
      </w:r>
      <w:r w:rsidRPr="00975C02">
        <w:rPr>
          <w:rFonts w:eastAsia="Verdana" w:cs="Verdana"/>
          <w:sz w:val="20"/>
          <w:szCs w:val="20"/>
          <w:lang w:val="es-ES"/>
        </w:rPr>
        <w:t xml:space="preserve"> al Estado pagar a la peticionaria V.P.C., en un plazo </w:t>
      </w:r>
      <w:r w:rsidR="000155F6" w:rsidRPr="00975C02">
        <w:rPr>
          <w:rFonts w:eastAsia="Verdana" w:cs="Verdana"/>
          <w:sz w:val="20"/>
          <w:szCs w:val="20"/>
          <w:lang w:val="es-ES"/>
        </w:rPr>
        <w:t xml:space="preserve">de </w:t>
      </w:r>
      <w:r w:rsidRPr="00975C02">
        <w:rPr>
          <w:rFonts w:eastAsia="Verdana" w:cs="Verdana"/>
          <w:sz w:val="20"/>
          <w:szCs w:val="20"/>
          <w:lang w:val="es-ES"/>
        </w:rPr>
        <w:t>seis meses a partir de la notificación de la sentencia, la suma de US$ 34</w:t>
      </w:r>
      <w:r w:rsidR="000155F6" w:rsidRPr="00975C02">
        <w:rPr>
          <w:rFonts w:eastAsia="Verdana" w:cs="Verdana"/>
          <w:sz w:val="20"/>
          <w:szCs w:val="20"/>
          <w:lang w:val="es-ES"/>
        </w:rPr>
        <w:t>.</w:t>
      </w:r>
      <w:r w:rsidRPr="00975C02">
        <w:rPr>
          <w:rFonts w:eastAsia="Verdana" w:cs="Verdana"/>
          <w:sz w:val="20"/>
          <w:szCs w:val="20"/>
          <w:lang w:val="es-ES"/>
        </w:rPr>
        <w:t>183</w:t>
      </w:r>
      <w:r w:rsidR="000155F6" w:rsidRPr="00975C02">
        <w:rPr>
          <w:rFonts w:eastAsia="Verdana" w:cs="Verdana"/>
          <w:sz w:val="20"/>
          <w:szCs w:val="20"/>
          <w:lang w:val="es-ES"/>
        </w:rPr>
        <w:t>,</w:t>
      </w:r>
      <w:r w:rsidRPr="00975C02">
        <w:rPr>
          <w:rFonts w:eastAsia="Verdana" w:cs="Verdana"/>
          <w:sz w:val="20"/>
          <w:szCs w:val="20"/>
          <w:lang w:val="es-ES"/>
        </w:rPr>
        <w:t>09 por “concepto de daño material por lucro cesante”</w:t>
      </w:r>
      <w:r w:rsidR="001C0BD0" w:rsidRPr="00975C02">
        <w:rPr>
          <w:rFonts w:eastAsia="Verdana" w:cs="Verdana"/>
          <w:sz w:val="20"/>
          <w:szCs w:val="20"/>
          <w:lang w:val="es-ES"/>
        </w:rPr>
        <w:t>.</w:t>
      </w:r>
      <w:r w:rsidRPr="00975C02">
        <w:rPr>
          <w:rFonts w:eastAsia="Verdana" w:cs="Verdana"/>
          <w:sz w:val="20"/>
          <w:szCs w:val="20"/>
          <w:lang w:val="es-ES"/>
        </w:rPr>
        <w:t xml:space="preserve"> Adujeron que V.P.C. percibía una renta mensual ascendente a US$</w:t>
      </w:r>
      <w:r w:rsidR="000155F6" w:rsidRPr="00975C02">
        <w:rPr>
          <w:rFonts w:eastAsia="Verdana" w:cs="Verdana"/>
          <w:sz w:val="20"/>
          <w:szCs w:val="20"/>
          <w:lang w:val="es-ES"/>
        </w:rPr>
        <w:t xml:space="preserve"> </w:t>
      </w:r>
      <w:r w:rsidRPr="00975C02">
        <w:rPr>
          <w:rFonts w:eastAsia="Verdana" w:cs="Verdana"/>
          <w:sz w:val="20"/>
          <w:szCs w:val="20"/>
          <w:lang w:val="es-ES"/>
        </w:rPr>
        <w:t>600</w:t>
      </w:r>
      <w:r w:rsidR="000155F6" w:rsidRPr="00975C02">
        <w:rPr>
          <w:rFonts w:eastAsia="Verdana" w:cs="Verdana"/>
          <w:sz w:val="20"/>
          <w:szCs w:val="20"/>
          <w:lang w:val="es-ES"/>
        </w:rPr>
        <w:t>,</w:t>
      </w:r>
      <w:r w:rsidRPr="00975C02">
        <w:rPr>
          <w:rFonts w:eastAsia="Verdana" w:cs="Verdana"/>
          <w:sz w:val="20"/>
          <w:szCs w:val="20"/>
          <w:lang w:val="es-ES"/>
        </w:rPr>
        <w:t>00, más un salario por vacaciones y uno por aguinaldo, a lo que deb</w:t>
      </w:r>
      <w:r w:rsidR="00DD2713" w:rsidRPr="00975C02">
        <w:rPr>
          <w:rFonts w:eastAsia="Verdana" w:cs="Verdana"/>
          <w:sz w:val="20"/>
          <w:szCs w:val="20"/>
          <w:lang w:val="es-ES"/>
        </w:rPr>
        <w:t>i</w:t>
      </w:r>
      <w:r w:rsidRPr="00975C02">
        <w:rPr>
          <w:rFonts w:eastAsia="Verdana" w:cs="Verdana"/>
          <w:sz w:val="20"/>
          <w:szCs w:val="20"/>
          <w:lang w:val="es-ES"/>
        </w:rPr>
        <w:t>e</w:t>
      </w:r>
      <w:r w:rsidR="00DD2713" w:rsidRPr="00975C02">
        <w:rPr>
          <w:rFonts w:eastAsia="Verdana" w:cs="Verdana"/>
          <w:sz w:val="20"/>
          <w:szCs w:val="20"/>
          <w:lang w:val="es-ES"/>
        </w:rPr>
        <w:t>ra</w:t>
      </w:r>
      <w:r w:rsidRPr="00975C02">
        <w:rPr>
          <w:rFonts w:eastAsia="Verdana" w:cs="Verdana"/>
          <w:sz w:val="20"/>
          <w:szCs w:val="20"/>
          <w:lang w:val="es-ES"/>
        </w:rPr>
        <w:t xml:space="preserve"> agregarse un aproximado de US$</w:t>
      </w:r>
      <w:r w:rsidR="000155F6" w:rsidRPr="00975C02">
        <w:rPr>
          <w:rFonts w:eastAsia="Verdana" w:cs="Verdana"/>
          <w:sz w:val="20"/>
          <w:szCs w:val="20"/>
          <w:lang w:val="es-ES"/>
        </w:rPr>
        <w:t xml:space="preserve"> </w:t>
      </w:r>
      <w:r w:rsidRPr="00975C02">
        <w:rPr>
          <w:rFonts w:eastAsia="Verdana" w:cs="Verdana"/>
          <w:sz w:val="20"/>
          <w:szCs w:val="20"/>
          <w:lang w:val="es-ES"/>
        </w:rPr>
        <w:t>200</w:t>
      </w:r>
      <w:r w:rsidR="000155F6" w:rsidRPr="00975C02">
        <w:rPr>
          <w:rFonts w:eastAsia="Verdana" w:cs="Verdana"/>
          <w:sz w:val="20"/>
          <w:szCs w:val="20"/>
          <w:lang w:val="es-ES"/>
        </w:rPr>
        <w:t>,</w:t>
      </w:r>
      <w:r w:rsidRPr="00975C02">
        <w:rPr>
          <w:rFonts w:eastAsia="Verdana" w:cs="Verdana"/>
          <w:sz w:val="20"/>
          <w:szCs w:val="20"/>
          <w:lang w:val="es-ES"/>
        </w:rPr>
        <w:t>00 que recibía de manera informal de clientes para hacer diligencias judiciales; por ello pidieron que se tome como referencia para el cálculo del lucro cesante la suma de US$</w:t>
      </w:r>
      <w:r w:rsidR="000155F6" w:rsidRPr="00975C02">
        <w:rPr>
          <w:rFonts w:eastAsia="Verdana" w:cs="Verdana"/>
          <w:sz w:val="20"/>
          <w:szCs w:val="20"/>
          <w:lang w:val="es-ES"/>
        </w:rPr>
        <w:t xml:space="preserve"> </w:t>
      </w:r>
      <w:r w:rsidRPr="00975C02">
        <w:rPr>
          <w:rFonts w:eastAsia="Verdana" w:cs="Verdana"/>
          <w:sz w:val="20"/>
          <w:szCs w:val="20"/>
          <w:lang w:val="es-ES"/>
        </w:rPr>
        <w:t>800</w:t>
      </w:r>
      <w:r w:rsidR="000155F6" w:rsidRPr="00975C02">
        <w:rPr>
          <w:rFonts w:eastAsia="Verdana" w:cs="Verdana"/>
          <w:sz w:val="20"/>
          <w:szCs w:val="20"/>
          <w:lang w:val="es-ES"/>
        </w:rPr>
        <w:t>,</w:t>
      </w:r>
      <w:r w:rsidRPr="00975C02">
        <w:rPr>
          <w:rFonts w:eastAsia="Verdana" w:cs="Verdana"/>
          <w:sz w:val="20"/>
          <w:szCs w:val="20"/>
          <w:lang w:val="es-ES"/>
        </w:rPr>
        <w:t>00. Agregaron que la peticionaria se vio obligada a dejar su trabajo</w:t>
      </w:r>
      <w:r w:rsidR="00DD2713" w:rsidRPr="00975C02">
        <w:rPr>
          <w:rFonts w:eastAsia="Verdana" w:cs="Verdana"/>
          <w:sz w:val="20"/>
          <w:szCs w:val="20"/>
          <w:lang w:val="es-ES"/>
        </w:rPr>
        <w:t xml:space="preserve"> en</w:t>
      </w:r>
      <w:r w:rsidRPr="00975C02">
        <w:rPr>
          <w:rFonts w:eastAsia="Verdana" w:cs="Verdana"/>
          <w:sz w:val="20"/>
          <w:szCs w:val="20"/>
          <w:lang w:val="es-ES"/>
        </w:rPr>
        <w:t xml:space="preserve"> el mes de octubre de 2001, cuando se agravó la salud de V.R.P.</w:t>
      </w:r>
      <w:r w:rsidR="00DD2713" w:rsidRPr="00975C02">
        <w:rPr>
          <w:rFonts w:eastAsia="Verdana" w:cs="Verdana"/>
          <w:sz w:val="20"/>
          <w:szCs w:val="20"/>
          <w:lang w:val="es-ES"/>
        </w:rPr>
        <w:t xml:space="preserve"> Dicha</w:t>
      </w:r>
      <w:r w:rsidRPr="00975C02">
        <w:rPr>
          <w:rFonts w:eastAsia="Verdana" w:cs="Verdana"/>
          <w:sz w:val="20"/>
          <w:szCs w:val="20"/>
          <w:lang w:val="es-ES"/>
        </w:rPr>
        <w:t xml:space="preserve"> situación de desempleo que se extendió hasta el mes de diciembre de 2002, cuando salió de Nicaragua</w:t>
      </w:r>
      <w:r w:rsidR="00DD2713" w:rsidRPr="00975C02">
        <w:rPr>
          <w:rFonts w:eastAsia="Verdana" w:cs="Verdana"/>
          <w:sz w:val="20"/>
          <w:szCs w:val="20"/>
          <w:lang w:val="es-ES"/>
        </w:rPr>
        <w:t>. E</w:t>
      </w:r>
      <w:r w:rsidRPr="00975C02">
        <w:rPr>
          <w:rFonts w:eastAsia="Verdana" w:cs="Verdana"/>
          <w:sz w:val="20"/>
          <w:szCs w:val="20"/>
          <w:lang w:val="es-ES"/>
        </w:rPr>
        <w:t>n los Estados Unidos</w:t>
      </w:r>
      <w:r w:rsidR="00DD2713" w:rsidRPr="00975C02">
        <w:rPr>
          <w:rFonts w:eastAsia="Verdana" w:cs="Verdana"/>
          <w:sz w:val="20"/>
          <w:szCs w:val="20"/>
          <w:lang w:val="es-ES"/>
        </w:rPr>
        <w:t xml:space="preserve"> permaneció sin empleo</w:t>
      </w:r>
      <w:r w:rsidRPr="00975C02">
        <w:rPr>
          <w:rFonts w:eastAsia="Verdana" w:cs="Verdana"/>
          <w:sz w:val="20"/>
          <w:szCs w:val="20"/>
          <w:lang w:val="es-ES"/>
        </w:rPr>
        <w:t xml:space="preserve"> hasta el mes de octubre de 2004</w:t>
      </w:r>
      <w:r w:rsidR="001C0BD0" w:rsidRPr="00975C02">
        <w:rPr>
          <w:rFonts w:eastAsia="Verdana" w:cs="Verdana"/>
          <w:sz w:val="20"/>
          <w:szCs w:val="20"/>
          <w:lang w:val="es-ES"/>
        </w:rPr>
        <w:t>.</w:t>
      </w:r>
    </w:p>
    <w:p w14:paraId="5C86E7D4" w14:textId="77777777" w:rsidR="009D661E" w:rsidRPr="00975C02" w:rsidRDefault="009D661E" w:rsidP="009D661E">
      <w:pPr>
        <w:tabs>
          <w:tab w:val="left" w:pos="567"/>
        </w:tabs>
        <w:spacing w:line="240" w:lineRule="auto"/>
        <w:rPr>
          <w:rFonts w:eastAsia="Calibri"/>
          <w:sz w:val="20"/>
          <w:szCs w:val="20"/>
          <w:lang w:val="es-ES"/>
        </w:rPr>
      </w:pPr>
    </w:p>
    <w:p w14:paraId="3E788762" w14:textId="2E909D56" w:rsidR="009D661E" w:rsidRPr="00975C02" w:rsidRDefault="009D661E" w:rsidP="009D661E">
      <w:pPr>
        <w:numPr>
          <w:ilvl w:val="0"/>
          <w:numId w:val="2"/>
        </w:numPr>
        <w:tabs>
          <w:tab w:val="left" w:pos="567"/>
          <w:tab w:val="num" w:pos="5057"/>
        </w:tabs>
        <w:spacing w:line="240" w:lineRule="auto"/>
        <w:ind w:left="0" w:firstLine="0"/>
        <w:textAlignment w:val="auto"/>
        <w:rPr>
          <w:rFonts w:eastAsia="Calibri"/>
          <w:b/>
          <w:i/>
          <w:sz w:val="20"/>
          <w:szCs w:val="20"/>
          <w:lang w:val="es-ES"/>
        </w:rPr>
      </w:pPr>
      <w:r w:rsidRPr="00975C02">
        <w:rPr>
          <w:rFonts w:eastAsia="Verdana" w:cs="Verdana"/>
          <w:bCs/>
          <w:sz w:val="20"/>
          <w:szCs w:val="20"/>
          <w:lang w:val="es-ES"/>
        </w:rPr>
        <w:t>El</w:t>
      </w:r>
      <w:r w:rsidRPr="00975C02">
        <w:rPr>
          <w:rFonts w:eastAsia="Verdana" w:cs="Verdana"/>
          <w:b/>
          <w:bCs/>
          <w:sz w:val="20"/>
          <w:szCs w:val="20"/>
          <w:lang w:val="es-ES"/>
        </w:rPr>
        <w:t xml:space="preserve"> </w:t>
      </w:r>
      <w:r w:rsidRPr="00975C02">
        <w:rPr>
          <w:rFonts w:eastAsia="Verdana" w:cs="Verdana"/>
          <w:b/>
          <w:bCs/>
          <w:i/>
          <w:sz w:val="20"/>
          <w:szCs w:val="20"/>
          <w:lang w:val="es-ES"/>
        </w:rPr>
        <w:t xml:space="preserve">Estado </w:t>
      </w:r>
      <w:r w:rsidRPr="00975C02">
        <w:rPr>
          <w:rFonts w:eastAsia="Verdana" w:cs="Verdana"/>
          <w:bCs/>
          <w:sz w:val="20"/>
          <w:szCs w:val="20"/>
          <w:lang w:val="es-ES"/>
        </w:rPr>
        <w:t xml:space="preserve">señaló que los datos presentados para calcular el monto solicitado carecen de </w:t>
      </w:r>
      <w:r w:rsidRPr="00975C02">
        <w:rPr>
          <w:rFonts w:eastAsia="Verdana" w:cs="Verdana"/>
          <w:bCs/>
          <w:sz w:val="20"/>
          <w:szCs w:val="20"/>
          <w:lang w:val="es-ES"/>
        </w:rPr>
        <w:lastRenderedPageBreak/>
        <w:t>sustento probatorio porque se acompaña una “constancia de un salario supuestamente percibido” y porque el monto indicado no es acorde al salario que una gestora o asistente de despacho percibía en la época, pues es superior al salario que percibían “los jueces o fiscales con 10 - 20 años aproximados de experiencia”</w:t>
      </w:r>
      <w:r w:rsidR="001C0BD0" w:rsidRPr="00975C02">
        <w:rPr>
          <w:rFonts w:eastAsia="Verdana" w:cs="Verdana"/>
          <w:bCs/>
          <w:sz w:val="20"/>
          <w:szCs w:val="20"/>
          <w:lang w:val="es-ES"/>
        </w:rPr>
        <w:t>.</w:t>
      </w:r>
      <w:r w:rsidRPr="00975C02">
        <w:rPr>
          <w:rFonts w:eastAsia="Verdana" w:cs="Verdana"/>
          <w:bCs/>
          <w:sz w:val="20"/>
          <w:szCs w:val="20"/>
          <w:lang w:val="es-ES"/>
        </w:rPr>
        <w:t xml:space="preserve"> Agregó que</w:t>
      </w:r>
      <w:r w:rsidR="00DD2713" w:rsidRPr="00975C02">
        <w:rPr>
          <w:rFonts w:eastAsia="Verdana" w:cs="Verdana"/>
          <w:bCs/>
          <w:sz w:val="20"/>
          <w:szCs w:val="20"/>
          <w:lang w:val="es-ES"/>
        </w:rPr>
        <w:t xml:space="preserve"> se</w:t>
      </w:r>
      <w:r w:rsidRPr="00975C02">
        <w:rPr>
          <w:rFonts w:eastAsia="Verdana" w:cs="Verdana"/>
          <w:bCs/>
          <w:sz w:val="20"/>
          <w:szCs w:val="20"/>
          <w:lang w:val="es-ES"/>
        </w:rPr>
        <w:t xml:space="preserve"> incluyó un adicional que no constituye salario y un “catorceavo que tampoco demostró con alguna colilla”</w:t>
      </w:r>
      <w:r w:rsidR="001C0BD0" w:rsidRPr="00975C02">
        <w:rPr>
          <w:rFonts w:eastAsia="Verdana" w:cs="Verdana"/>
          <w:bCs/>
          <w:sz w:val="20"/>
          <w:szCs w:val="20"/>
          <w:lang w:val="es-ES"/>
        </w:rPr>
        <w:t>.</w:t>
      </w:r>
    </w:p>
    <w:p w14:paraId="30EE8C80" w14:textId="77777777" w:rsidR="009D661E" w:rsidRPr="00975C02" w:rsidRDefault="009D661E" w:rsidP="009D661E">
      <w:pPr>
        <w:tabs>
          <w:tab w:val="left" w:pos="567"/>
        </w:tabs>
        <w:spacing w:line="240" w:lineRule="auto"/>
        <w:textAlignment w:val="auto"/>
        <w:rPr>
          <w:rFonts w:eastAsia="Calibri"/>
          <w:b/>
          <w:i/>
          <w:sz w:val="20"/>
          <w:szCs w:val="20"/>
          <w:lang w:val="es-ES"/>
        </w:rPr>
      </w:pPr>
    </w:p>
    <w:p w14:paraId="4A90D26E" w14:textId="4DC5729F" w:rsidR="009D661E" w:rsidRPr="00975C02" w:rsidRDefault="009D661E" w:rsidP="009D661E">
      <w:pPr>
        <w:numPr>
          <w:ilvl w:val="0"/>
          <w:numId w:val="2"/>
        </w:numPr>
        <w:tabs>
          <w:tab w:val="left" w:pos="567"/>
          <w:tab w:val="num" w:pos="5057"/>
        </w:tabs>
        <w:spacing w:line="240" w:lineRule="auto"/>
        <w:ind w:left="0" w:firstLine="0"/>
        <w:textAlignment w:val="auto"/>
        <w:rPr>
          <w:rFonts w:eastAsia="Calibri"/>
          <w:b/>
          <w:i/>
          <w:sz w:val="20"/>
          <w:szCs w:val="20"/>
          <w:lang w:val="es-ES"/>
        </w:rPr>
      </w:pPr>
      <w:r w:rsidRPr="00975C02">
        <w:rPr>
          <w:rFonts w:eastAsia="Verdana" w:cs="Verdana"/>
          <w:bCs/>
          <w:sz w:val="20"/>
          <w:szCs w:val="20"/>
          <w:lang w:val="es-ES"/>
        </w:rPr>
        <w:t>Precisó, además, que en un caso anterior la Corte consideró, para la proyección de reparación, únicamente el 50% del salario de un profesional</w:t>
      </w:r>
      <w:r w:rsidR="00DD2713" w:rsidRPr="00975C02">
        <w:rPr>
          <w:rFonts w:eastAsia="Verdana" w:cs="Verdana"/>
          <w:bCs/>
          <w:sz w:val="20"/>
          <w:szCs w:val="20"/>
          <w:lang w:val="es-ES"/>
        </w:rPr>
        <w:t>.</w:t>
      </w:r>
      <w:r w:rsidRPr="00975C02">
        <w:rPr>
          <w:rFonts w:eastAsia="Verdana" w:cs="Verdana"/>
          <w:bCs/>
          <w:sz w:val="20"/>
          <w:szCs w:val="20"/>
          <w:lang w:val="es-ES"/>
        </w:rPr>
        <w:t xml:space="preserve"> </w:t>
      </w:r>
      <w:r w:rsidR="00DD2713" w:rsidRPr="00975C02">
        <w:rPr>
          <w:rFonts w:eastAsia="Verdana" w:cs="Verdana"/>
          <w:bCs/>
          <w:sz w:val="20"/>
          <w:szCs w:val="20"/>
          <w:lang w:val="es-ES"/>
        </w:rPr>
        <w:t>P</w:t>
      </w:r>
      <w:r w:rsidRPr="00975C02">
        <w:rPr>
          <w:rFonts w:eastAsia="Verdana" w:cs="Verdana"/>
          <w:bCs/>
          <w:sz w:val="20"/>
          <w:szCs w:val="20"/>
          <w:lang w:val="es-ES"/>
        </w:rPr>
        <w:t>or ello</w:t>
      </w:r>
      <w:r w:rsidR="00DD2713" w:rsidRPr="00975C02">
        <w:rPr>
          <w:rFonts w:eastAsia="Verdana" w:cs="Verdana"/>
          <w:bCs/>
          <w:sz w:val="20"/>
          <w:szCs w:val="20"/>
          <w:lang w:val="es-ES"/>
        </w:rPr>
        <w:t>,</w:t>
      </w:r>
      <w:r w:rsidRPr="00975C02">
        <w:rPr>
          <w:rFonts w:eastAsia="Verdana" w:cs="Verdana"/>
          <w:bCs/>
          <w:sz w:val="20"/>
          <w:szCs w:val="20"/>
          <w:lang w:val="es-ES"/>
        </w:rPr>
        <w:t xml:space="preserve"> solicitó que en el presente caso se realice el mismo ejercicio, es decir, se proyecte</w:t>
      </w:r>
      <w:r w:rsidR="00DD2713" w:rsidRPr="00975C02">
        <w:rPr>
          <w:rFonts w:eastAsia="Verdana" w:cs="Verdana"/>
          <w:bCs/>
          <w:sz w:val="20"/>
          <w:szCs w:val="20"/>
          <w:lang w:val="es-ES"/>
        </w:rPr>
        <w:t>n</w:t>
      </w:r>
      <w:r w:rsidRPr="00975C02">
        <w:rPr>
          <w:rFonts w:eastAsia="Verdana" w:cs="Verdana"/>
          <w:bCs/>
          <w:sz w:val="20"/>
          <w:szCs w:val="20"/>
          <w:lang w:val="es-ES"/>
        </w:rPr>
        <w:t xml:space="preserve"> las reparaciones a favor de V.P.C. como probable oficinista, sin título </w:t>
      </w:r>
      <w:r w:rsidR="006B4385" w:rsidRPr="00975C02">
        <w:rPr>
          <w:rFonts w:eastAsia="Verdana" w:cs="Verdana"/>
          <w:bCs/>
          <w:sz w:val="20"/>
          <w:szCs w:val="20"/>
          <w:lang w:val="es-ES"/>
        </w:rPr>
        <w:t>profesional, ni especialidad, con</w:t>
      </w:r>
      <w:r w:rsidRPr="00975C02">
        <w:rPr>
          <w:rFonts w:eastAsia="Verdana" w:cs="Verdana"/>
          <w:bCs/>
          <w:sz w:val="20"/>
          <w:szCs w:val="20"/>
          <w:lang w:val="es-ES"/>
        </w:rPr>
        <w:t xml:space="preserve"> base </w:t>
      </w:r>
      <w:r w:rsidR="006B4385" w:rsidRPr="00975C02">
        <w:rPr>
          <w:rFonts w:eastAsia="Verdana" w:cs="Verdana"/>
          <w:bCs/>
          <w:sz w:val="20"/>
          <w:szCs w:val="20"/>
          <w:lang w:val="es-ES"/>
        </w:rPr>
        <w:t>en</w:t>
      </w:r>
      <w:r w:rsidRPr="00975C02">
        <w:rPr>
          <w:rFonts w:eastAsia="Verdana" w:cs="Verdana"/>
          <w:bCs/>
          <w:sz w:val="20"/>
          <w:szCs w:val="20"/>
          <w:lang w:val="es-ES"/>
        </w:rPr>
        <w:t xml:space="preserve"> la suma de US$</w:t>
      </w:r>
      <w:r w:rsidR="00DD2713" w:rsidRPr="00975C02">
        <w:rPr>
          <w:rFonts w:eastAsia="Verdana" w:cs="Verdana"/>
          <w:bCs/>
          <w:sz w:val="20"/>
          <w:szCs w:val="20"/>
          <w:lang w:val="es-ES"/>
        </w:rPr>
        <w:t xml:space="preserve"> </w:t>
      </w:r>
      <w:r w:rsidRPr="00975C02">
        <w:rPr>
          <w:rFonts w:eastAsia="Verdana" w:cs="Verdana"/>
          <w:bCs/>
          <w:sz w:val="20"/>
          <w:szCs w:val="20"/>
          <w:lang w:val="es-ES"/>
        </w:rPr>
        <w:t>30</w:t>
      </w:r>
      <w:r w:rsidR="00DD2713" w:rsidRPr="00975C02">
        <w:rPr>
          <w:rFonts w:eastAsia="Verdana" w:cs="Verdana"/>
          <w:bCs/>
          <w:sz w:val="20"/>
          <w:szCs w:val="20"/>
          <w:lang w:val="es-ES"/>
        </w:rPr>
        <w:t>0,</w:t>
      </w:r>
      <w:r w:rsidRPr="00975C02">
        <w:rPr>
          <w:rFonts w:eastAsia="Verdana" w:cs="Verdana"/>
          <w:bCs/>
          <w:sz w:val="20"/>
          <w:szCs w:val="20"/>
          <w:lang w:val="es-ES"/>
        </w:rPr>
        <w:t xml:space="preserve">00, que equivale al 50% del monto indicado por las representantes de las presuntas víctimas como el salario básico que percibió la peticionante. Adujo, además, que según la legislación laboral de Nicaragua, todo trabajador tiene derecho a que el empleador le pague </w:t>
      </w:r>
      <w:r w:rsidR="005B592B" w:rsidRPr="00975C02">
        <w:rPr>
          <w:rFonts w:eastAsia="Verdana" w:cs="Verdana"/>
          <w:bCs/>
          <w:sz w:val="20"/>
          <w:szCs w:val="20"/>
          <w:lang w:val="es-ES"/>
        </w:rPr>
        <w:t>un</w:t>
      </w:r>
      <w:r w:rsidRPr="00975C02">
        <w:rPr>
          <w:rFonts w:eastAsia="Verdana" w:cs="Verdana"/>
          <w:bCs/>
          <w:sz w:val="20"/>
          <w:szCs w:val="20"/>
          <w:lang w:val="es-ES"/>
        </w:rPr>
        <w:t xml:space="preserve"> mes de salario adicional después de </w:t>
      </w:r>
      <w:r w:rsidR="005B592B" w:rsidRPr="00975C02">
        <w:rPr>
          <w:rFonts w:eastAsia="Verdana" w:cs="Verdana"/>
          <w:bCs/>
          <w:sz w:val="20"/>
          <w:szCs w:val="20"/>
          <w:lang w:val="es-ES"/>
        </w:rPr>
        <w:t>un</w:t>
      </w:r>
      <w:r w:rsidRPr="00975C02">
        <w:rPr>
          <w:rFonts w:eastAsia="Verdana" w:cs="Verdana"/>
          <w:bCs/>
          <w:sz w:val="20"/>
          <w:szCs w:val="20"/>
          <w:lang w:val="es-ES"/>
        </w:rPr>
        <w:t xml:space="preserve"> año de trabajo continuo o la parte proporcional que corresponde al periodo trabajado</w:t>
      </w:r>
      <w:r w:rsidR="005B592B" w:rsidRPr="00975C02">
        <w:rPr>
          <w:rFonts w:eastAsia="Verdana" w:cs="Verdana"/>
          <w:bCs/>
          <w:sz w:val="20"/>
          <w:szCs w:val="20"/>
          <w:lang w:val="es-ES"/>
        </w:rPr>
        <w:t>. P</w:t>
      </w:r>
      <w:r w:rsidRPr="00975C02">
        <w:rPr>
          <w:rFonts w:eastAsia="Verdana" w:cs="Verdana"/>
          <w:bCs/>
          <w:sz w:val="20"/>
          <w:szCs w:val="20"/>
          <w:lang w:val="es-ES"/>
        </w:rPr>
        <w:t>or ello</w:t>
      </w:r>
      <w:r w:rsidR="005B592B" w:rsidRPr="00975C02">
        <w:rPr>
          <w:rFonts w:eastAsia="Verdana" w:cs="Verdana"/>
          <w:bCs/>
          <w:sz w:val="20"/>
          <w:szCs w:val="20"/>
          <w:lang w:val="es-ES"/>
        </w:rPr>
        <w:t>,</w:t>
      </w:r>
      <w:r w:rsidRPr="00975C02">
        <w:rPr>
          <w:rFonts w:eastAsia="Verdana" w:cs="Verdana"/>
          <w:bCs/>
          <w:sz w:val="20"/>
          <w:szCs w:val="20"/>
          <w:lang w:val="es-ES"/>
        </w:rPr>
        <w:t xml:space="preserve"> V.P.C. habría tenido derecho a percibir un salario completo por este concepto por los años 2002 y 2003, en tanto que el año 2001 sólo habría percibido la parte proporcional correspondiente a los meses de octubre, noviembre y diciembre, y en el año 2004, la parte proporcional correspondiente a los meses de enero a septiembre. Con base en lo señalado</w:t>
      </w:r>
      <w:r w:rsidR="005B592B" w:rsidRPr="00975C02">
        <w:rPr>
          <w:rFonts w:eastAsia="Verdana" w:cs="Verdana"/>
          <w:bCs/>
          <w:sz w:val="20"/>
          <w:szCs w:val="20"/>
          <w:lang w:val="es-ES"/>
        </w:rPr>
        <w:t>,</w:t>
      </w:r>
      <w:r w:rsidRPr="00975C02">
        <w:rPr>
          <w:rFonts w:eastAsia="Verdana" w:cs="Verdana"/>
          <w:bCs/>
          <w:sz w:val="20"/>
          <w:szCs w:val="20"/>
          <w:lang w:val="es-ES"/>
        </w:rPr>
        <w:t xml:space="preserve"> estimó que la suma a pagarse por la pérdida de ingresos debía ser fijada en US$ 12</w:t>
      </w:r>
      <w:r w:rsidR="00DD2713" w:rsidRPr="00975C02">
        <w:rPr>
          <w:rFonts w:eastAsia="Verdana" w:cs="Verdana"/>
          <w:bCs/>
          <w:sz w:val="20"/>
          <w:szCs w:val="20"/>
          <w:lang w:val="es-ES"/>
        </w:rPr>
        <w:t>.</w:t>
      </w:r>
      <w:r w:rsidRPr="00975C02">
        <w:rPr>
          <w:rFonts w:eastAsia="Verdana" w:cs="Verdana"/>
          <w:bCs/>
          <w:sz w:val="20"/>
          <w:szCs w:val="20"/>
          <w:lang w:val="es-ES"/>
        </w:rPr>
        <w:t>575</w:t>
      </w:r>
      <w:r w:rsidR="00DD2713" w:rsidRPr="00975C02">
        <w:rPr>
          <w:rFonts w:eastAsia="Verdana" w:cs="Verdana"/>
          <w:bCs/>
          <w:sz w:val="20"/>
          <w:szCs w:val="20"/>
          <w:lang w:val="es-ES"/>
        </w:rPr>
        <w:t>,</w:t>
      </w:r>
      <w:r w:rsidRPr="00975C02">
        <w:rPr>
          <w:rFonts w:eastAsia="Verdana" w:cs="Verdana"/>
          <w:bCs/>
          <w:sz w:val="20"/>
          <w:szCs w:val="20"/>
          <w:lang w:val="es-ES"/>
        </w:rPr>
        <w:t>00</w:t>
      </w:r>
      <w:r w:rsidR="001C0BD0" w:rsidRPr="00975C02">
        <w:rPr>
          <w:rFonts w:eastAsia="Verdana" w:cs="Verdana"/>
          <w:bCs/>
          <w:sz w:val="20"/>
          <w:szCs w:val="20"/>
          <w:lang w:val="es-ES"/>
        </w:rPr>
        <w:t>.</w:t>
      </w:r>
    </w:p>
    <w:p w14:paraId="30E5AE30" w14:textId="77777777" w:rsidR="009D661E" w:rsidRPr="00975C02" w:rsidRDefault="009D661E" w:rsidP="009D661E">
      <w:pPr>
        <w:tabs>
          <w:tab w:val="left" w:pos="567"/>
        </w:tabs>
        <w:spacing w:line="240" w:lineRule="auto"/>
        <w:textAlignment w:val="auto"/>
        <w:rPr>
          <w:rFonts w:eastAsia="Calibri"/>
          <w:b/>
          <w:i/>
          <w:sz w:val="20"/>
          <w:szCs w:val="20"/>
          <w:lang w:val="es-ES"/>
        </w:rPr>
      </w:pPr>
    </w:p>
    <w:p w14:paraId="76583450" w14:textId="4299F45F" w:rsidR="009D661E" w:rsidRPr="00975C02" w:rsidRDefault="009D661E" w:rsidP="009D661E">
      <w:pPr>
        <w:numPr>
          <w:ilvl w:val="0"/>
          <w:numId w:val="2"/>
        </w:numPr>
        <w:tabs>
          <w:tab w:val="left" w:pos="567"/>
          <w:tab w:val="num" w:pos="5057"/>
        </w:tabs>
        <w:spacing w:line="240" w:lineRule="auto"/>
        <w:ind w:left="0" w:firstLine="0"/>
        <w:textAlignment w:val="auto"/>
        <w:rPr>
          <w:rFonts w:eastAsia="Calibri"/>
          <w:b/>
          <w:i/>
          <w:sz w:val="20"/>
          <w:szCs w:val="20"/>
          <w:lang w:val="es-ES"/>
        </w:rPr>
      </w:pPr>
      <w:r w:rsidRPr="00975C02">
        <w:rPr>
          <w:rFonts w:eastAsia="Verdana" w:cs="Verdana"/>
          <w:bCs/>
          <w:sz w:val="20"/>
          <w:szCs w:val="20"/>
          <w:lang w:val="es-ES"/>
        </w:rPr>
        <w:t>Agregó que</w:t>
      </w:r>
      <w:r w:rsidR="005B592B" w:rsidRPr="00975C02">
        <w:rPr>
          <w:rFonts w:eastAsia="Verdana" w:cs="Verdana"/>
          <w:bCs/>
          <w:sz w:val="20"/>
          <w:szCs w:val="20"/>
          <w:lang w:val="es-ES"/>
        </w:rPr>
        <w:t>,</w:t>
      </w:r>
      <w:r w:rsidRPr="00975C02">
        <w:rPr>
          <w:rFonts w:eastAsia="Verdana" w:cs="Verdana"/>
          <w:bCs/>
          <w:sz w:val="20"/>
          <w:szCs w:val="20"/>
          <w:lang w:val="es-ES"/>
        </w:rPr>
        <w:t xml:space="preserve"> según el Ministerio de Trabajo y el Banco Central de Nicaragua, el salario mínimo en Nicaragua correspondiente al sector servicios, en el que se encontraba ubicada V.P.C., osciló entre 1</w:t>
      </w:r>
      <w:r w:rsidR="005B592B" w:rsidRPr="00975C02">
        <w:rPr>
          <w:rFonts w:eastAsia="Verdana" w:cs="Verdana"/>
          <w:bCs/>
          <w:sz w:val="20"/>
          <w:szCs w:val="20"/>
          <w:lang w:val="es-ES"/>
        </w:rPr>
        <w:t>.</w:t>
      </w:r>
      <w:r w:rsidR="005E0BD0" w:rsidRPr="00975C02">
        <w:rPr>
          <w:rFonts w:eastAsia="Verdana" w:cs="Verdana"/>
          <w:bCs/>
          <w:sz w:val="20"/>
          <w:szCs w:val="20"/>
          <w:lang w:val="es-ES"/>
        </w:rPr>
        <w:t>1</w:t>
      </w:r>
      <w:r w:rsidRPr="00975C02">
        <w:rPr>
          <w:rFonts w:eastAsia="Verdana" w:cs="Verdana"/>
          <w:bCs/>
          <w:sz w:val="20"/>
          <w:szCs w:val="20"/>
          <w:lang w:val="es-ES"/>
        </w:rPr>
        <w:t>10</w:t>
      </w:r>
      <w:r w:rsidR="005B592B" w:rsidRPr="00975C02">
        <w:rPr>
          <w:rFonts w:eastAsia="Verdana" w:cs="Verdana"/>
          <w:bCs/>
          <w:sz w:val="20"/>
          <w:szCs w:val="20"/>
          <w:lang w:val="es-ES"/>
        </w:rPr>
        <w:t>,</w:t>
      </w:r>
      <w:r w:rsidRPr="00975C02">
        <w:rPr>
          <w:rFonts w:eastAsia="Verdana" w:cs="Verdana"/>
          <w:bCs/>
          <w:sz w:val="20"/>
          <w:szCs w:val="20"/>
          <w:lang w:val="es-ES"/>
        </w:rPr>
        <w:t>00 córdo</w:t>
      </w:r>
      <w:r w:rsidR="005E0BD0" w:rsidRPr="00975C02">
        <w:rPr>
          <w:rFonts w:eastAsia="Verdana" w:cs="Verdana"/>
          <w:bCs/>
          <w:sz w:val="20"/>
          <w:szCs w:val="20"/>
          <w:lang w:val="es-ES"/>
        </w:rPr>
        <w:t>b</w:t>
      </w:r>
      <w:r w:rsidRPr="00975C02">
        <w:rPr>
          <w:rFonts w:eastAsia="Verdana" w:cs="Verdana"/>
          <w:bCs/>
          <w:sz w:val="20"/>
          <w:szCs w:val="20"/>
          <w:lang w:val="es-ES"/>
        </w:rPr>
        <w:t>as y 1</w:t>
      </w:r>
      <w:r w:rsidR="005B592B" w:rsidRPr="00975C02">
        <w:rPr>
          <w:rFonts w:eastAsia="Verdana" w:cs="Verdana"/>
          <w:bCs/>
          <w:sz w:val="20"/>
          <w:szCs w:val="20"/>
          <w:lang w:val="es-ES"/>
        </w:rPr>
        <w:t>.</w:t>
      </w:r>
      <w:r w:rsidRPr="00975C02">
        <w:rPr>
          <w:rFonts w:eastAsia="Verdana" w:cs="Verdana"/>
          <w:bCs/>
          <w:sz w:val="20"/>
          <w:szCs w:val="20"/>
          <w:lang w:val="es-ES"/>
        </w:rPr>
        <w:t>752</w:t>
      </w:r>
      <w:r w:rsidR="005B592B" w:rsidRPr="00975C02">
        <w:rPr>
          <w:rFonts w:eastAsia="Verdana" w:cs="Verdana"/>
          <w:bCs/>
          <w:sz w:val="20"/>
          <w:szCs w:val="20"/>
          <w:lang w:val="es-ES"/>
        </w:rPr>
        <w:t>,</w:t>
      </w:r>
      <w:r w:rsidRPr="00975C02">
        <w:rPr>
          <w:rFonts w:eastAsia="Verdana" w:cs="Verdana"/>
          <w:bCs/>
          <w:sz w:val="20"/>
          <w:szCs w:val="20"/>
          <w:lang w:val="es-ES"/>
        </w:rPr>
        <w:t>00 córdo</w:t>
      </w:r>
      <w:r w:rsidR="005E0BD0" w:rsidRPr="00975C02">
        <w:rPr>
          <w:rFonts w:eastAsia="Verdana" w:cs="Verdana"/>
          <w:bCs/>
          <w:sz w:val="20"/>
          <w:szCs w:val="20"/>
          <w:lang w:val="es-ES"/>
        </w:rPr>
        <w:t>b</w:t>
      </w:r>
      <w:r w:rsidRPr="00975C02">
        <w:rPr>
          <w:rFonts w:eastAsia="Verdana" w:cs="Verdana"/>
          <w:bCs/>
          <w:sz w:val="20"/>
          <w:szCs w:val="20"/>
          <w:lang w:val="es-ES"/>
        </w:rPr>
        <w:t xml:space="preserve">as, montos equivalente a </w:t>
      </w:r>
      <w:r w:rsidR="005B592B" w:rsidRPr="00975C02">
        <w:rPr>
          <w:rFonts w:eastAsia="Verdana" w:cs="Verdana"/>
          <w:bCs/>
          <w:sz w:val="20"/>
          <w:szCs w:val="20"/>
          <w:lang w:val="es-ES"/>
        </w:rPr>
        <w:t>US</w:t>
      </w:r>
      <w:r w:rsidRPr="00975C02">
        <w:rPr>
          <w:rFonts w:eastAsia="Verdana" w:cs="Verdana"/>
          <w:bCs/>
          <w:sz w:val="20"/>
          <w:szCs w:val="20"/>
          <w:lang w:val="es-ES"/>
        </w:rPr>
        <w:t>$</w:t>
      </w:r>
      <w:r w:rsidR="005B592B" w:rsidRPr="00975C02">
        <w:rPr>
          <w:rFonts w:eastAsia="Verdana" w:cs="Verdana"/>
          <w:bCs/>
          <w:sz w:val="20"/>
          <w:szCs w:val="20"/>
          <w:lang w:val="es-ES"/>
        </w:rPr>
        <w:t xml:space="preserve"> </w:t>
      </w:r>
      <w:r w:rsidRPr="00975C02">
        <w:rPr>
          <w:rFonts w:eastAsia="Verdana" w:cs="Verdana"/>
          <w:bCs/>
          <w:sz w:val="20"/>
          <w:szCs w:val="20"/>
          <w:lang w:val="es-ES"/>
        </w:rPr>
        <w:t>82</w:t>
      </w:r>
      <w:r w:rsidR="005B592B" w:rsidRPr="00975C02">
        <w:rPr>
          <w:rFonts w:eastAsia="Verdana" w:cs="Verdana"/>
          <w:bCs/>
          <w:sz w:val="20"/>
          <w:szCs w:val="20"/>
          <w:lang w:val="es-ES"/>
        </w:rPr>
        <w:t>,</w:t>
      </w:r>
      <w:r w:rsidRPr="00975C02">
        <w:rPr>
          <w:rFonts w:eastAsia="Verdana" w:cs="Verdana"/>
          <w:bCs/>
          <w:sz w:val="20"/>
          <w:szCs w:val="20"/>
          <w:lang w:val="es-ES"/>
        </w:rPr>
        <w:t>56 y 130</w:t>
      </w:r>
      <w:r w:rsidR="005B592B" w:rsidRPr="00975C02">
        <w:rPr>
          <w:rFonts w:eastAsia="Verdana" w:cs="Verdana"/>
          <w:bCs/>
          <w:sz w:val="20"/>
          <w:szCs w:val="20"/>
          <w:lang w:val="es-ES"/>
        </w:rPr>
        <w:t>,</w:t>
      </w:r>
      <w:r w:rsidRPr="00975C02">
        <w:rPr>
          <w:rFonts w:eastAsia="Verdana" w:cs="Verdana"/>
          <w:bCs/>
          <w:sz w:val="20"/>
          <w:szCs w:val="20"/>
          <w:lang w:val="es-ES"/>
        </w:rPr>
        <w:t xml:space="preserve">32 en el 2001, en el 2002 a </w:t>
      </w:r>
      <w:r w:rsidR="005B592B" w:rsidRPr="00975C02">
        <w:rPr>
          <w:rFonts w:eastAsia="Verdana" w:cs="Verdana"/>
          <w:bCs/>
          <w:sz w:val="20"/>
          <w:szCs w:val="20"/>
          <w:lang w:val="es-ES"/>
        </w:rPr>
        <w:t>US</w:t>
      </w:r>
      <w:r w:rsidRPr="00975C02">
        <w:rPr>
          <w:rFonts w:eastAsia="Verdana" w:cs="Verdana"/>
          <w:bCs/>
          <w:sz w:val="20"/>
          <w:szCs w:val="20"/>
          <w:lang w:val="es-ES"/>
        </w:rPr>
        <w:t>$</w:t>
      </w:r>
      <w:r w:rsidR="005B592B" w:rsidRPr="00975C02">
        <w:rPr>
          <w:rFonts w:eastAsia="Verdana" w:cs="Verdana"/>
          <w:bCs/>
          <w:sz w:val="20"/>
          <w:szCs w:val="20"/>
          <w:lang w:val="es-ES"/>
        </w:rPr>
        <w:t xml:space="preserve"> </w:t>
      </w:r>
      <w:r w:rsidRPr="00975C02">
        <w:rPr>
          <w:rFonts w:eastAsia="Verdana" w:cs="Verdana"/>
          <w:bCs/>
          <w:sz w:val="20"/>
          <w:szCs w:val="20"/>
          <w:lang w:val="es-ES"/>
        </w:rPr>
        <w:t>77</w:t>
      </w:r>
      <w:r w:rsidR="005B592B" w:rsidRPr="00975C02">
        <w:rPr>
          <w:rFonts w:eastAsia="Verdana" w:cs="Verdana"/>
          <w:bCs/>
          <w:sz w:val="20"/>
          <w:szCs w:val="20"/>
          <w:lang w:val="es-ES"/>
        </w:rPr>
        <w:t>,</w:t>
      </w:r>
      <w:r w:rsidRPr="00975C02">
        <w:rPr>
          <w:rFonts w:eastAsia="Verdana" w:cs="Verdana"/>
          <w:bCs/>
          <w:sz w:val="20"/>
          <w:szCs w:val="20"/>
          <w:lang w:val="es-ES"/>
        </w:rPr>
        <w:t>88 y 122</w:t>
      </w:r>
      <w:r w:rsidR="005B592B" w:rsidRPr="00975C02">
        <w:rPr>
          <w:rFonts w:eastAsia="Verdana" w:cs="Verdana"/>
          <w:bCs/>
          <w:sz w:val="20"/>
          <w:szCs w:val="20"/>
          <w:lang w:val="es-ES"/>
        </w:rPr>
        <w:t>,</w:t>
      </w:r>
      <w:r w:rsidRPr="00975C02">
        <w:rPr>
          <w:rFonts w:eastAsia="Verdana" w:cs="Verdana"/>
          <w:bCs/>
          <w:sz w:val="20"/>
          <w:szCs w:val="20"/>
          <w:lang w:val="es-ES"/>
        </w:rPr>
        <w:t xml:space="preserve">93, en el año 2003 a </w:t>
      </w:r>
      <w:r w:rsidR="005B592B" w:rsidRPr="00975C02">
        <w:rPr>
          <w:rFonts w:eastAsia="Verdana" w:cs="Verdana"/>
          <w:bCs/>
          <w:sz w:val="20"/>
          <w:szCs w:val="20"/>
          <w:lang w:val="es-ES"/>
        </w:rPr>
        <w:t>US</w:t>
      </w:r>
      <w:r w:rsidRPr="00975C02">
        <w:rPr>
          <w:rFonts w:eastAsia="Verdana" w:cs="Verdana"/>
          <w:bCs/>
          <w:sz w:val="20"/>
          <w:szCs w:val="20"/>
          <w:lang w:val="es-ES"/>
        </w:rPr>
        <w:t>$</w:t>
      </w:r>
      <w:r w:rsidR="005B592B" w:rsidRPr="00975C02">
        <w:rPr>
          <w:rFonts w:eastAsia="Verdana" w:cs="Verdana"/>
          <w:bCs/>
          <w:sz w:val="20"/>
          <w:szCs w:val="20"/>
          <w:lang w:val="es-ES"/>
        </w:rPr>
        <w:t xml:space="preserve"> </w:t>
      </w:r>
      <w:r w:rsidRPr="00975C02">
        <w:rPr>
          <w:rFonts w:eastAsia="Verdana" w:cs="Verdana"/>
          <w:bCs/>
          <w:sz w:val="20"/>
          <w:szCs w:val="20"/>
          <w:lang w:val="es-ES"/>
        </w:rPr>
        <w:t>73</w:t>
      </w:r>
      <w:r w:rsidR="005B592B" w:rsidRPr="00975C02">
        <w:rPr>
          <w:rFonts w:eastAsia="Verdana" w:cs="Verdana"/>
          <w:bCs/>
          <w:sz w:val="20"/>
          <w:szCs w:val="20"/>
          <w:lang w:val="es-ES"/>
        </w:rPr>
        <w:t>,</w:t>
      </w:r>
      <w:r w:rsidRPr="00975C02">
        <w:rPr>
          <w:rFonts w:eastAsia="Verdana" w:cs="Verdana"/>
          <w:bCs/>
          <w:sz w:val="20"/>
          <w:szCs w:val="20"/>
          <w:lang w:val="es-ES"/>
        </w:rPr>
        <w:t>47 y 115</w:t>
      </w:r>
      <w:r w:rsidR="005B592B" w:rsidRPr="00975C02">
        <w:rPr>
          <w:rFonts w:eastAsia="Verdana" w:cs="Verdana"/>
          <w:bCs/>
          <w:sz w:val="20"/>
          <w:szCs w:val="20"/>
          <w:lang w:val="es-ES"/>
        </w:rPr>
        <w:t>,</w:t>
      </w:r>
      <w:r w:rsidRPr="00975C02">
        <w:rPr>
          <w:rFonts w:eastAsia="Verdana" w:cs="Verdana"/>
          <w:bCs/>
          <w:sz w:val="20"/>
          <w:szCs w:val="20"/>
          <w:lang w:val="es-ES"/>
        </w:rPr>
        <w:t xml:space="preserve">97, y en el año 2004 a </w:t>
      </w:r>
      <w:r w:rsidR="005B592B" w:rsidRPr="00975C02">
        <w:rPr>
          <w:rFonts w:eastAsia="Verdana" w:cs="Verdana"/>
          <w:bCs/>
          <w:sz w:val="20"/>
          <w:szCs w:val="20"/>
          <w:lang w:val="es-ES"/>
        </w:rPr>
        <w:t>US</w:t>
      </w:r>
      <w:r w:rsidRPr="00975C02">
        <w:rPr>
          <w:rFonts w:eastAsia="Verdana" w:cs="Verdana"/>
          <w:bCs/>
          <w:sz w:val="20"/>
          <w:szCs w:val="20"/>
          <w:lang w:val="es-ES"/>
        </w:rPr>
        <w:t>$</w:t>
      </w:r>
      <w:r w:rsidR="005B592B" w:rsidRPr="00975C02">
        <w:rPr>
          <w:rFonts w:eastAsia="Verdana" w:cs="Verdana"/>
          <w:bCs/>
          <w:sz w:val="20"/>
          <w:szCs w:val="20"/>
          <w:lang w:val="es-ES"/>
        </w:rPr>
        <w:t xml:space="preserve"> </w:t>
      </w:r>
      <w:r w:rsidRPr="00975C02">
        <w:rPr>
          <w:rFonts w:eastAsia="Verdana" w:cs="Verdana"/>
          <w:bCs/>
          <w:sz w:val="20"/>
          <w:szCs w:val="20"/>
          <w:lang w:val="es-ES"/>
        </w:rPr>
        <w:t>69</w:t>
      </w:r>
      <w:r w:rsidR="005B592B" w:rsidRPr="00975C02">
        <w:rPr>
          <w:rFonts w:eastAsia="Verdana" w:cs="Verdana"/>
          <w:bCs/>
          <w:sz w:val="20"/>
          <w:szCs w:val="20"/>
          <w:lang w:val="es-ES"/>
        </w:rPr>
        <w:t>,</w:t>
      </w:r>
      <w:r w:rsidRPr="00975C02">
        <w:rPr>
          <w:rFonts w:eastAsia="Verdana" w:cs="Verdana"/>
          <w:bCs/>
          <w:sz w:val="20"/>
          <w:szCs w:val="20"/>
          <w:lang w:val="es-ES"/>
        </w:rPr>
        <w:t>64 y 109</w:t>
      </w:r>
      <w:r w:rsidR="005B592B" w:rsidRPr="00975C02">
        <w:rPr>
          <w:rFonts w:eastAsia="Verdana" w:cs="Verdana"/>
          <w:bCs/>
          <w:sz w:val="20"/>
          <w:szCs w:val="20"/>
          <w:lang w:val="es-ES"/>
        </w:rPr>
        <w:t>,</w:t>
      </w:r>
      <w:r w:rsidRPr="00975C02">
        <w:rPr>
          <w:rFonts w:eastAsia="Verdana" w:cs="Verdana"/>
          <w:bCs/>
          <w:sz w:val="20"/>
          <w:szCs w:val="20"/>
          <w:lang w:val="es-ES"/>
        </w:rPr>
        <w:t>93</w:t>
      </w:r>
      <w:r w:rsidR="001C0BD0" w:rsidRPr="00975C02">
        <w:rPr>
          <w:rFonts w:eastAsia="Verdana" w:cs="Verdana"/>
          <w:bCs/>
          <w:sz w:val="20"/>
          <w:szCs w:val="20"/>
          <w:lang w:val="es-ES"/>
        </w:rPr>
        <w:t>.</w:t>
      </w:r>
    </w:p>
    <w:p w14:paraId="30DBC8D7" w14:textId="77777777" w:rsidR="009D661E" w:rsidRPr="00975C02" w:rsidRDefault="009D661E" w:rsidP="009D661E">
      <w:pPr>
        <w:pStyle w:val="ListParagraph"/>
        <w:spacing w:line="240" w:lineRule="auto"/>
        <w:rPr>
          <w:rFonts w:eastAsia="Calibri"/>
          <w:sz w:val="20"/>
          <w:szCs w:val="20"/>
          <w:lang w:val="es-ES"/>
        </w:rPr>
      </w:pPr>
    </w:p>
    <w:p w14:paraId="7AB4A99B" w14:textId="1C7DB13C" w:rsidR="009D661E" w:rsidRPr="00975C02" w:rsidRDefault="009D661E" w:rsidP="006015B2">
      <w:pPr>
        <w:numPr>
          <w:ilvl w:val="0"/>
          <w:numId w:val="2"/>
        </w:numPr>
        <w:tabs>
          <w:tab w:val="left" w:pos="567"/>
          <w:tab w:val="num" w:pos="5057"/>
        </w:tabs>
        <w:spacing w:line="240" w:lineRule="auto"/>
        <w:ind w:left="0" w:firstLine="0"/>
        <w:textAlignment w:val="auto"/>
        <w:rPr>
          <w:rFonts w:eastAsia="Calibri"/>
          <w:b/>
          <w:i/>
          <w:sz w:val="20"/>
          <w:szCs w:val="20"/>
          <w:lang w:val="es-ES"/>
        </w:rPr>
      </w:pPr>
      <w:r w:rsidRPr="00975C02">
        <w:rPr>
          <w:rFonts w:eastAsia="Calibri"/>
          <w:sz w:val="20"/>
          <w:szCs w:val="20"/>
          <w:lang w:val="es-ES"/>
        </w:rPr>
        <w:t>La Corte sostuvo que la señora V.P.C. sufrió una vulneración de sus derechos a la integridad personal</w:t>
      </w:r>
      <w:r w:rsidR="008247AD" w:rsidRPr="00975C02">
        <w:rPr>
          <w:rFonts w:eastAsia="Calibri"/>
          <w:sz w:val="20"/>
          <w:szCs w:val="20"/>
          <w:lang w:val="es-ES"/>
        </w:rPr>
        <w:t xml:space="preserve">, </w:t>
      </w:r>
      <w:r w:rsidR="00FF39CA" w:rsidRPr="00975C02">
        <w:rPr>
          <w:rFonts w:eastAsia="Calibri"/>
          <w:sz w:val="20"/>
          <w:szCs w:val="20"/>
          <w:lang w:val="es-ES"/>
        </w:rPr>
        <w:t xml:space="preserve">a la vida privada y familiar, </w:t>
      </w:r>
      <w:r w:rsidR="008247AD" w:rsidRPr="00975C02">
        <w:rPr>
          <w:rFonts w:eastAsia="Calibri"/>
          <w:sz w:val="20"/>
          <w:szCs w:val="20"/>
          <w:lang w:val="es-ES"/>
        </w:rPr>
        <w:t xml:space="preserve">a las garantías judiciales, a la protección judicial, al derecho de residencia, </w:t>
      </w:r>
      <w:r w:rsidRPr="00975C02">
        <w:rPr>
          <w:rFonts w:eastAsia="Calibri"/>
          <w:sz w:val="20"/>
          <w:szCs w:val="20"/>
          <w:lang w:val="es-ES"/>
        </w:rPr>
        <w:t>a la protección de la familia</w:t>
      </w:r>
      <w:r w:rsidR="00FF39CA" w:rsidRPr="00975C02">
        <w:rPr>
          <w:rFonts w:eastAsia="Calibri"/>
          <w:sz w:val="20"/>
          <w:szCs w:val="20"/>
          <w:lang w:val="es-ES"/>
        </w:rPr>
        <w:t xml:space="preserve"> y a las medidas especiales de protección,</w:t>
      </w:r>
      <w:r w:rsidRPr="00975C02">
        <w:rPr>
          <w:rFonts w:eastAsia="Calibri"/>
          <w:sz w:val="20"/>
          <w:szCs w:val="20"/>
          <w:lang w:val="es-ES"/>
        </w:rPr>
        <w:t xml:space="preserve"> con motivo de los actos de revictimización y violencia institucional sufridos por su hija V.R.P., lo que condujo a su salida de Nicaragua. Esta situación provocó dificultades socioeconómicas en los miembros de la familia debido a que la señora V.P.C. era el sostén económico familiar y debió </w:t>
      </w:r>
      <w:r w:rsidR="00515318" w:rsidRPr="00975C02">
        <w:rPr>
          <w:rFonts w:eastAsia="Calibri"/>
          <w:sz w:val="20"/>
          <w:szCs w:val="20"/>
          <w:lang w:val="es-ES"/>
        </w:rPr>
        <w:t xml:space="preserve">dejar </w:t>
      </w:r>
      <w:r w:rsidRPr="00975C02">
        <w:rPr>
          <w:rFonts w:eastAsia="Calibri"/>
          <w:sz w:val="20"/>
          <w:szCs w:val="20"/>
          <w:lang w:val="es-ES"/>
        </w:rPr>
        <w:t xml:space="preserve">su puesto de trabajo para atender </w:t>
      </w:r>
      <w:r w:rsidR="00FF39CA" w:rsidRPr="00975C02">
        <w:rPr>
          <w:rFonts w:eastAsia="Calibri"/>
          <w:sz w:val="20"/>
          <w:szCs w:val="20"/>
          <w:lang w:val="es-ES"/>
        </w:rPr>
        <w:t>la situación</w:t>
      </w:r>
      <w:r w:rsidRPr="00975C02">
        <w:rPr>
          <w:rFonts w:eastAsia="Calibri"/>
          <w:sz w:val="20"/>
          <w:szCs w:val="20"/>
          <w:lang w:val="es-ES"/>
        </w:rPr>
        <w:t xml:space="preserve"> de su hija y</w:t>
      </w:r>
      <w:r w:rsidR="00FF39CA" w:rsidRPr="00975C02">
        <w:rPr>
          <w:rFonts w:eastAsia="Calibri"/>
          <w:sz w:val="20"/>
          <w:szCs w:val="20"/>
          <w:lang w:val="es-ES"/>
        </w:rPr>
        <w:t>,</w:t>
      </w:r>
      <w:r w:rsidRPr="00975C02">
        <w:rPr>
          <w:rFonts w:eastAsia="Calibri"/>
          <w:sz w:val="20"/>
          <w:szCs w:val="20"/>
          <w:lang w:val="es-ES"/>
        </w:rPr>
        <w:t xml:space="preserve"> posteriormente</w:t>
      </w:r>
      <w:r w:rsidR="00FF39CA" w:rsidRPr="00975C02">
        <w:rPr>
          <w:rFonts w:eastAsia="Calibri"/>
          <w:sz w:val="20"/>
          <w:szCs w:val="20"/>
          <w:lang w:val="es-ES"/>
        </w:rPr>
        <w:t>,</w:t>
      </w:r>
      <w:r w:rsidRPr="00975C02">
        <w:rPr>
          <w:rFonts w:eastAsia="Calibri"/>
          <w:sz w:val="20"/>
          <w:szCs w:val="20"/>
          <w:lang w:val="es-ES"/>
        </w:rPr>
        <w:t xml:space="preserve"> reclamar administrativa y judicialmente por las irregularidades cometidas en el proceso. Una vez en Estados Unidos, la señora V.P.C. fue contratada en el mes de octubre de 2004</w:t>
      </w:r>
      <w:r w:rsidRPr="00975C02">
        <w:rPr>
          <w:rStyle w:val="FootnoteReference"/>
          <w:rFonts w:eastAsia="Calibri"/>
          <w:sz w:val="20"/>
          <w:szCs w:val="20"/>
          <w:lang w:val="es-ES"/>
        </w:rPr>
        <w:footnoteReference w:id="449"/>
      </w:r>
      <w:r w:rsidRPr="00975C02">
        <w:rPr>
          <w:rFonts w:eastAsia="Calibri"/>
          <w:sz w:val="20"/>
          <w:szCs w:val="20"/>
          <w:lang w:val="es-ES"/>
        </w:rPr>
        <w:t>. De este modo, el Tribunal considera que existe un nexo causal entre las violaciones declaradas en el presente caso y l</w:t>
      </w:r>
      <w:r w:rsidR="006015B2" w:rsidRPr="00975C02">
        <w:rPr>
          <w:rFonts w:eastAsia="Calibri"/>
          <w:sz w:val="20"/>
          <w:szCs w:val="20"/>
          <w:lang w:val="es-ES"/>
        </w:rPr>
        <w:t>o</w:t>
      </w:r>
      <w:r w:rsidRPr="00975C02">
        <w:rPr>
          <w:rFonts w:eastAsia="Calibri"/>
          <w:sz w:val="20"/>
          <w:szCs w:val="20"/>
          <w:lang w:val="es-ES"/>
        </w:rPr>
        <w:t xml:space="preserve">s daños económicos por concepto de </w:t>
      </w:r>
      <w:r w:rsidR="00195F9B" w:rsidRPr="00975C02">
        <w:rPr>
          <w:rFonts w:eastAsia="Calibri"/>
          <w:sz w:val="20"/>
          <w:szCs w:val="20"/>
          <w:lang w:val="es-ES"/>
        </w:rPr>
        <w:t>pérdida de ingresos</w:t>
      </w:r>
      <w:r w:rsidRPr="00975C02">
        <w:rPr>
          <w:rFonts w:eastAsia="Calibri"/>
          <w:sz w:val="20"/>
          <w:szCs w:val="20"/>
          <w:lang w:val="es-ES"/>
        </w:rPr>
        <w:t>.</w:t>
      </w:r>
    </w:p>
    <w:p w14:paraId="7FDBA6C6" w14:textId="77777777" w:rsidR="009D661E" w:rsidRPr="00975C02" w:rsidRDefault="009D661E" w:rsidP="006015B2">
      <w:pPr>
        <w:pStyle w:val="ListParagraph"/>
        <w:spacing w:line="240" w:lineRule="auto"/>
        <w:rPr>
          <w:rFonts w:eastAsia="Calibri"/>
          <w:b/>
          <w:i/>
          <w:sz w:val="20"/>
          <w:szCs w:val="20"/>
          <w:lang w:val="es-ES"/>
        </w:rPr>
      </w:pPr>
    </w:p>
    <w:p w14:paraId="289A09B8" w14:textId="1D0518CD" w:rsidR="006015B2" w:rsidRPr="00975C02" w:rsidRDefault="009D661E" w:rsidP="00DF3D71">
      <w:pPr>
        <w:numPr>
          <w:ilvl w:val="0"/>
          <w:numId w:val="2"/>
        </w:numPr>
        <w:tabs>
          <w:tab w:val="left" w:pos="567"/>
          <w:tab w:val="num" w:pos="5057"/>
        </w:tabs>
        <w:spacing w:line="240" w:lineRule="auto"/>
        <w:ind w:left="0" w:firstLine="0"/>
        <w:textAlignment w:val="auto"/>
        <w:rPr>
          <w:rFonts w:eastAsia="Calibri"/>
          <w:b/>
          <w:i/>
          <w:sz w:val="20"/>
          <w:szCs w:val="20"/>
          <w:lang w:val="es-ES"/>
        </w:rPr>
      </w:pPr>
      <w:r w:rsidRPr="00975C02">
        <w:rPr>
          <w:rFonts w:eastAsia="Calibri"/>
          <w:sz w:val="20"/>
          <w:szCs w:val="20"/>
          <w:lang w:val="es-ES"/>
        </w:rPr>
        <w:t>L</w:t>
      </w:r>
      <w:r w:rsidR="006015B2" w:rsidRPr="00975C02">
        <w:rPr>
          <w:rFonts w:eastAsia="Calibri"/>
          <w:sz w:val="20"/>
          <w:szCs w:val="20"/>
          <w:lang w:val="es-ES"/>
        </w:rPr>
        <w:t>a Corte nota que</w:t>
      </w:r>
      <w:r w:rsidR="00FF39CA" w:rsidRPr="00975C02">
        <w:rPr>
          <w:rFonts w:eastAsia="Calibri"/>
          <w:sz w:val="20"/>
          <w:szCs w:val="20"/>
          <w:lang w:val="es-ES"/>
        </w:rPr>
        <w:t>,</w:t>
      </w:r>
      <w:r w:rsidR="006015B2" w:rsidRPr="00975C02">
        <w:rPr>
          <w:rFonts w:eastAsia="Calibri"/>
          <w:sz w:val="20"/>
          <w:szCs w:val="20"/>
          <w:lang w:val="es-ES"/>
        </w:rPr>
        <w:t xml:space="preserve"> conforme a la prueba aportada en el expediente, existe </w:t>
      </w:r>
      <w:r w:rsidRPr="00975C02">
        <w:rPr>
          <w:rFonts w:eastAsia="Calibri"/>
          <w:sz w:val="20"/>
          <w:szCs w:val="20"/>
          <w:lang w:val="es-ES"/>
        </w:rPr>
        <w:t>una constancia de las actividades laborales que desempeñaba V.P.C.</w:t>
      </w:r>
      <w:r w:rsidR="006015B2" w:rsidRPr="00975C02">
        <w:rPr>
          <w:rFonts w:eastAsia="Calibri"/>
          <w:sz w:val="20"/>
          <w:szCs w:val="20"/>
          <w:lang w:val="es-ES"/>
        </w:rPr>
        <w:t xml:space="preserve"> </w:t>
      </w:r>
      <w:r w:rsidRPr="00975C02">
        <w:rPr>
          <w:rFonts w:eastAsia="Calibri"/>
          <w:sz w:val="20"/>
          <w:szCs w:val="20"/>
          <w:lang w:val="es-ES"/>
        </w:rPr>
        <w:t>en Nicaragua como asistente jurídica, percibiendo un salario de US$</w:t>
      </w:r>
      <w:r w:rsidR="00515318" w:rsidRPr="00975C02">
        <w:rPr>
          <w:rFonts w:eastAsia="Calibri"/>
          <w:sz w:val="20"/>
          <w:szCs w:val="20"/>
          <w:lang w:val="es-ES"/>
        </w:rPr>
        <w:t xml:space="preserve"> </w:t>
      </w:r>
      <w:r w:rsidRPr="00975C02">
        <w:rPr>
          <w:rFonts w:eastAsia="Calibri"/>
          <w:sz w:val="20"/>
          <w:szCs w:val="20"/>
          <w:lang w:val="es-ES"/>
        </w:rPr>
        <w:t>600</w:t>
      </w:r>
      <w:r w:rsidR="00515318" w:rsidRPr="00975C02">
        <w:rPr>
          <w:rFonts w:eastAsia="Calibri"/>
          <w:sz w:val="20"/>
          <w:szCs w:val="20"/>
          <w:lang w:val="es-ES"/>
        </w:rPr>
        <w:t>,00</w:t>
      </w:r>
      <w:r w:rsidRPr="00975C02">
        <w:rPr>
          <w:rFonts w:eastAsia="Calibri"/>
          <w:sz w:val="20"/>
          <w:szCs w:val="20"/>
          <w:lang w:val="es-ES"/>
        </w:rPr>
        <w:t xml:space="preserve"> (seiscientos dólares de los Estados Unidos de América)</w:t>
      </w:r>
      <w:r w:rsidRPr="00975C02">
        <w:rPr>
          <w:rStyle w:val="FootnoteReference"/>
          <w:rFonts w:eastAsia="Calibri"/>
          <w:sz w:val="20"/>
          <w:szCs w:val="20"/>
          <w:lang w:val="es-ES"/>
        </w:rPr>
        <w:footnoteReference w:id="450"/>
      </w:r>
      <w:r w:rsidRPr="00975C02">
        <w:rPr>
          <w:rFonts w:eastAsia="Calibri"/>
          <w:sz w:val="20"/>
          <w:szCs w:val="20"/>
          <w:lang w:val="es-ES"/>
        </w:rPr>
        <w:t xml:space="preserve">. </w:t>
      </w:r>
      <w:r w:rsidR="006015B2" w:rsidRPr="00975C02">
        <w:rPr>
          <w:rFonts w:eastAsia="Calibri"/>
          <w:sz w:val="20"/>
          <w:szCs w:val="20"/>
          <w:lang w:val="es-ES"/>
        </w:rPr>
        <w:t xml:space="preserve">Sin embargo, la Corte no cuenta con elementos probatorios que permitan comprobar el ingreso </w:t>
      </w:r>
      <w:r w:rsidR="00192F16" w:rsidRPr="00975C02">
        <w:rPr>
          <w:rFonts w:eastAsia="Calibri"/>
          <w:sz w:val="20"/>
          <w:szCs w:val="20"/>
          <w:lang w:val="es-ES"/>
        </w:rPr>
        <w:t>por</w:t>
      </w:r>
      <w:r w:rsidR="006015B2" w:rsidRPr="00975C02">
        <w:rPr>
          <w:rFonts w:eastAsia="Calibri"/>
          <w:sz w:val="20"/>
          <w:szCs w:val="20"/>
          <w:lang w:val="es-ES"/>
        </w:rPr>
        <w:t xml:space="preserve"> la suma de US$</w:t>
      </w:r>
      <w:r w:rsidR="00515318" w:rsidRPr="00975C02">
        <w:rPr>
          <w:rFonts w:eastAsia="Calibri"/>
          <w:sz w:val="20"/>
          <w:szCs w:val="20"/>
          <w:lang w:val="es-ES"/>
        </w:rPr>
        <w:t xml:space="preserve"> </w:t>
      </w:r>
      <w:r w:rsidR="006015B2" w:rsidRPr="00975C02">
        <w:rPr>
          <w:rFonts w:eastAsia="Calibri"/>
          <w:sz w:val="20"/>
          <w:szCs w:val="20"/>
          <w:lang w:val="es-ES"/>
        </w:rPr>
        <w:t>200</w:t>
      </w:r>
      <w:r w:rsidR="00515318" w:rsidRPr="00975C02">
        <w:rPr>
          <w:rFonts w:eastAsia="Calibri"/>
          <w:sz w:val="20"/>
          <w:szCs w:val="20"/>
          <w:lang w:val="es-ES"/>
        </w:rPr>
        <w:t>,00</w:t>
      </w:r>
      <w:r w:rsidR="006015B2" w:rsidRPr="00975C02">
        <w:rPr>
          <w:rFonts w:eastAsia="Calibri"/>
          <w:sz w:val="20"/>
          <w:szCs w:val="20"/>
          <w:lang w:val="es-ES"/>
        </w:rPr>
        <w:t xml:space="preserve"> (doscientos dólares de los Estados Unidos de América) que</w:t>
      </w:r>
      <w:r w:rsidR="00515318" w:rsidRPr="00975C02">
        <w:rPr>
          <w:rFonts w:eastAsia="Calibri"/>
          <w:sz w:val="20"/>
          <w:szCs w:val="20"/>
          <w:lang w:val="es-ES"/>
        </w:rPr>
        <w:t>,</w:t>
      </w:r>
      <w:r w:rsidR="006015B2" w:rsidRPr="00975C02">
        <w:rPr>
          <w:rFonts w:eastAsia="Calibri"/>
          <w:sz w:val="20"/>
          <w:szCs w:val="20"/>
          <w:lang w:val="es-ES"/>
        </w:rPr>
        <w:t xml:space="preserve"> según las representantes, la señora V.P.C. también habría recibido como un devengado informal que haría parte de su salario. </w:t>
      </w:r>
      <w:r w:rsidRPr="00975C02">
        <w:rPr>
          <w:rFonts w:eastAsia="Calibri"/>
          <w:sz w:val="20"/>
          <w:szCs w:val="20"/>
          <w:lang w:val="es-ES"/>
        </w:rPr>
        <w:t xml:space="preserve">Por otro lado, </w:t>
      </w:r>
      <w:r w:rsidR="006015B2" w:rsidRPr="00975C02">
        <w:rPr>
          <w:rFonts w:eastAsia="Calibri"/>
          <w:sz w:val="20"/>
          <w:szCs w:val="20"/>
          <w:lang w:val="es-ES"/>
        </w:rPr>
        <w:t>el Tribunal constata que</w:t>
      </w:r>
      <w:r w:rsidR="00515318" w:rsidRPr="00975C02">
        <w:rPr>
          <w:rFonts w:eastAsia="Calibri"/>
          <w:sz w:val="20"/>
          <w:szCs w:val="20"/>
          <w:lang w:val="es-ES"/>
        </w:rPr>
        <w:t>,</w:t>
      </w:r>
      <w:r w:rsidR="006015B2" w:rsidRPr="00975C02">
        <w:rPr>
          <w:rFonts w:eastAsia="Calibri"/>
          <w:sz w:val="20"/>
          <w:szCs w:val="20"/>
          <w:lang w:val="es-ES"/>
        </w:rPr>
        <w:t xml:space="preserve"> conforme fue aclarado por el Estado, en Nicaragua se recibe un salario adicional al año por concepto de aguinaldo.</w:t>
      </w:r>
    </w:p>
    <w:p w14:paraId="3873A133" w14:textId="77777777" w:rsidR="006015B2" w:rsidRPr="00975C02" w:rsidRDefault="006015B2" w:rsidP="00DF3D71">
      <w:pPr>
        <w:pStyle w:val="ListParagraph"/>
        <w:spacing w:line="240" w:lineRule="auto"/>
        <w:rPr>
          <w:rFonts w:eastAsia="Calibri"/>
          <w:b/>
          <w:i/>
          <w:sz w:val="20"/>
          <w:szCs w:val="20"/>
          <w:lang w:val="es-ES"/>
        </w:rPr>
      </w:pPr>
    </w:p>
    <w:p w14:paraId="46FBF4B3" w14:textId="67952751" w:rsidR="006015B2" w:rsidRPr="00975C02" w:rsidRDefault="006015B2" w:rsidP="00DF3D71">
      <w:pPr>
        <w:numPr>
          <w:ilvl w:val="0"/>
          <w:numId w:val="2"/>
        </w:numPr>
        <w:tabs>
          <w:tab w:val="left" w:pos="567"/>
          <w:tab w:val="num" w:pos="5057"/>
        </w:tabs>
        <w:spacing w:line="240" w:lineRule="auto"/>
        <w:ind w:left="0" w:firstLine="0"/>
        <w:textAlignment w:val="auto"/>
        <w:rPr>
          <w:rFonts w:eastAsia="Calibri"/>
          <w:sz w:val="20"/>
          <w:szCs w:val="20"/>
          <w:lang w:val="es-ES"/>
        </w:rPr>
      </w:pPr>
      <w:r w:rsidRPr="00975C02">
        <w:rPr>
          <w:rFonts w:eastAsia="Calibri"/>
          <w:sz w:val="20"/>
          <w:szCs w:val="20"/>
          <w:lang w:val="es-ES"/>
        </w:rPr>
        <w:t>De igual forma, tomando en consideración lo s</w:t>
      </w:r>
      <w:r w:rsidR="00195F9B" w:rsidRPr="00975C02">
        <w:rPr>
          <w:rFonts w:eastAsia="Calibri"/>
          <w:sz w:val="20"/>
          <w:szCs w:val="20"/>
          <w:lang w:val="es-ES"/>
        </w:rPr>
        <w:t xml:space="preserve">eñalado por la señora V.P.C., que </w:t>
      </w:r>
      <w:r w:rsidRPr="00975C02">
        <w:rPr>
          <w:rFonts w:eastAsia="Calibri"/>
          <w:sz w:val="20"/>
          <w:szCs w:val="20"/>
          <w:lang w:val="es-ES"/>
        </w:rPr>
        <w:t>no</w:t>
      </w:r>
      <w:r w:rsidR="00195F9B" w:rsidRPr="00975C02">
        <w:rPr>
          <w:rFonts w:eastAsia="Calibri"/>
          <w:sz w:val="20"/>
          <w:szCs w:val="20"/>
          <w:lang w:val="es-ES"/>
        </w:rPr>
        <w:t xml:space="preserve"> fue</w:t>
      </w:r>
      <w:r w:rsidRPr="00975C02">
        <w:rPr>
          <w:rFonts w:eastAsia="Calibri"/>
          <w:sz w:val="20"/>
          <w:szCs w:val="20"/>
          <w:lang w:val="es-ES"/>
        </w:rPr>
        <w:t xml:space="preserve"> </w:t>
      </w:r>
      <w:r w:rsidRPr="00975C02">
        <w:rPr>
          <w:rFonts w:eastAsia="Calibri"/>
          <w:sz w:val="20"/>
          <w:szCs w:val="20"/>
          <w:lang w:val="es-ES"/>
        </w:rPr>
        <w:lastRenderedPageBreak/>
        <w:t>controvertido por el Estado, este Tribunal estima que la madre de V.R.P. se vio obligada a renunciar a sus labores como asistente jurídica desde el mes de octubre de 2001, debido a la violación sexual de la que fue víctima su hija, seguida de la falta de protección y respuesta estatal, la cual la llevó</w:t>
      </w:r>
      <w:r w:rsidR="00515318" w:rsidRPr="00975C02">
        <w:rPr>
          <w:rFonts w:eastAsia="Calibri"/>
          <w:sz w:val="20"/>
          <w:szCs w:val="20"/>
          <w:lang w:val="es-ES"/>
        </w:rPr>
        <w:t>,</w:t>
      </w:r>
      <w:r w:rsidRPr="00975C02">
        <w:rPr>
          <w:rFonts w:eastAsia="Calibri"/>
          <w:sz w:val="20"/>
          <w:szCs w:val="20"/>
          <w:lang w:val="es-ES"/>
        </w:rPr>
        <w:t xml:space="preserve"> finalmente</w:t>
      </w:r>
      <w:r w:rsidR="00515318" w:rsidRPr="00975C02">
        <w:rPr>
          <w:rFonts w:eastAsia="Calibri"/>
          <w:sz w:val="20"/>
          <w:szCs w:val="20"/>
          <w:lang w:val="es-ES"/>
        </w:rPr>
        <w:t>,</w:t>
      </w:r>
      <w:r w:rsidRPr="00975C02">
        <w:rPr>
          <w:rFonts w:eastAsia="Calibri"/>
          <w:sz w:val="20"/>
          <w:szCs w:val="20"/>
          <w:lang w:val="es-ES"/>
        </w:rPr>
        <w:t xml:space="preserve"> a </w:t>
      </w:r>
      <w:r w:rsidR="00515318" w:rsidRPr="00975C02">
        <w:rPr>
          <w:rFonts w:eastAsia="Calibri"/>
          <w:sz w:val="20"/>
          <w:szCs w:val="20"/>
          <w:lang w:val="es-ES"/>
        </w:rPr>
        <w:t xml:space="preserve">salir de </w:t>
      </w:r>
      <w:r w:rsidRPr="00975C02">
        <w:rPr>
          <w:rFonts w:eastAsia="Calibri"/>
          <w:sz w:val="20"/>
          <w:szCs w:val="20"/>
          <w:lang w:val="es-ES"/>
        </w:rPr>
        <w:t>Nicaragua. De igual forma, la señora V.P.C. habría reanudado sus actividades laborales en los Estados Unidos en el mes de octubre de 2004.</w:t>
      </w:r>
    </w:p>
    <w:p w14:paraId="4AE74254" w14:textId="77777777" w:rsidR="006015B2" w:rsidRPr="00975C02" w:rsidRDefault="006015B2" w:rsidP="00DF3D71">
      <w:pPr>
        <w:pStyle w:val="ListParagraph"/>
        <w:spacing w:line="240" w:lineRule="auto"/>
        <w:rPr>
          <w:rFonts w:eastAsia="Calibri"/>
          <w:sz w:val="20"/>
          <w:szCs w:val="20"/>
          <w:lang w:val="es-ES"/>
        </w:rPr>
      </w:pPr>
    </w:p>
    <w:p w14:paraId="24E87F69" w14:textId="6A7DC1ED" w:rsidR="006015B2" w:rsidRPr="00975C02" w:rsidRDefault="006015B2" w:rsidP="00DF3D71">
      <w:pPr>
        <w:numPr>
          <w:ilvl w:val="0"/>
          <w:numId w:val="2"/>
        </w:numPr>
        <w:tabs>
          <w:tab w:val="left" w:pos="567"/>
          <w:tab w:val="num" w:pos="5057"/>
        </w:tabs>
        <w:spacing w:line="240" w:lineRule="auto"/>
        <w:ind w:left="0" w:firstLine="0"/>
        <w:textAlignment w:val="auto"/>
        <w:rPr>
          <w:rFonts w:eastAsia="Calibri"/>
          <w:sz w:val="20"/>
          <w:szCs w:val="20"/>
          <w:lang w:val="es-ES"/>
        </w:rPr>
      </w:pPr>
      <w:r w:rsidRPr="00975C02">
        <w:rPr>
          <w:rFonts w:eastAsia="Calibri"/>
          <w:sz w:val="20"/>
          <w:szCs w:val="20"/>
          <w:lang w:val="es-ES"/>
        </w:rPr>
        <w:t>Con base en lo expuesto, la Corte considera que</w:t>
      </w:r>
      <w:r w:rsidR="007E57A3" w:rsidRPr="00975C02">
        <w:rPr>
          <w:rFonts w:eastAsia="Calibri"/>
          <w:sz w:val="20"/>
          <w:szCs w:val="20"/>
          <w:lang w:val="es-ES"/>
        </w:rPr>
        <w:t>,</w:t>
      </w:r>
      <w:r w:rsidRPr="00975C02">
        <w:rPr>
          <w:rFonts w:eastAsia="Calibri"/>
          <w:sz w:val="20"/>
          <w:szCs w:val="20"/>
          <w:lang w:val="es-ES"/>
        </w:rPr>
        <w:t xml:space="preserve"> debido a las violaciones reconocidas en esta Sentencia, la señora V.P.C. sufrió una pérdida de ingresos desde octubre de 2001 hasta octubre de 2004, </w:t>
      </w:r>
      <w:r w:rsidR="007E57A3" w:rsidRPr="00975C02">
        <w:rPr>
          <w:rFonts w:eastAsia="Calibri"/>
          <w:sz w:val="20"/>
          <w:szCs w:val="20"/>
          <w:lang w:val="es-ES"/>
        </w:rPr>
        <w:t>que</w:t>
      </w:r>
      <w:r w:rsidR="00C72DE4" w:rsidRPr="00975C02">
        <w:rPr>
          <w:rFonts w:eastAsia="Calibri"/>
          <w:sz w:val="20"/>
          <w:szCs w:val="20"/>
          <w:lang w:val="es-ES"/>
        </w:rPr>
        <w:t>,</w:t>
      </w:r>
      <w:r w:rsidRPr="00975C02">
        <w:rPr>
          <w:rFonts w:eastAsia="Calibri"/>
          <w:sz w:val="20"/>
          <w:szCs w:val="20"/>
          <w:lang w:val="es-ES"/>
        </w:rPr>
        <w:t xml:space="preserve"> luego de </w:t>
      </w:r>
      <w:r w:rsidR="00195F9B" w:rsidRPr="00975C02">
        <w:rPr>
          <w:rFonts w:eastAsia="Calibri"/>
          <w:sz w:val="20"/>
          <w:szCs w:val="20"/>
          <w:lang w:val="es-ES"/>
        </w:rPr>
        <w:t>considerar los salarios que dejó de devengar durante el tiempo citado, asciende a la suma de US$</w:t>
      </w:r>
      <w:r w:rsidR="007E57A3" w:rsidRPr="00975C02">
        <w:rPr>
          <w:rFonts w:eastAsia="Calibri"/>
          <w:sz w:val="20"/>
          <w:szCs w:val="20"/>
          <w:lang w:val="es-ES"/>
        </w:rPr>
        <w:t xml:space="preserve"> </w:t>
      </w:r>
      <w:r w:rsidR="00195F9B" w:rsidRPr="00975C02">
        <w:rPr>
          <w:rFonts w:eastAsia="Calibri"/>
          <w:sz w:val="20"/>
          <w:szCs w:val="20"/>
          <w:lang w:val="es-ES"/>
        </w:rPr>
        <w:t>23</w:t>
      </w:r>
      <w:r w:rsidR="007E57A3" w:rsidRPr="00975C02">
        <w:rPr>
          <w:rFonts w:eastAsia="Calibri"/>
          <w:sz w:val="20"/>
          <w:szCs w:val="20"/>
          <w:lang w:val="es-ES"/>
        </w:rPr>
        <w:t>.</w:t>
      </w:r>
      <w:r w:rsidR="00195F9B" w:rsidRPr="00975C02">
        <w:rPr>
          <w:rFonts w:eastAsia="Calibri"/>
          <w:sz w:val="20"/>
          <w:szCs w:val="20"/>
          <w:lang w:val="es-ES"/>
        </w:rPr>
        <w:t>400</w:t>
      </w:r>
      <w:r w:rsidR="007E57A3" w:rsidRPr="00975C02">
        <w:rPr>
          <w:rFonts w:eastAsia="Calibri"/>
          <w:sz w:val="20"/>
          <w:szCs w:val="20"/>
          <w:lang w:val="es-ES"/>
        </w:rPr>
        <w:t>,</w:t>
      </w:r>
      <w:r w:rsidR="00195F9B" w:rsidRPr="00975C02">
        <w:rPr>
          <w:rFonts w:eastAsia="Calibri"/>
          <w:sz w:val="20"/>
          <w:szCs w:val="20"/>
          <w:lang w:val="es-ES"/>
        </w:rPr>
        <w:t>00 (veintitrés mil cuatrocientos dólares de los Estados Unidos de América). Dicho monto deber</w:t>
      </w:r>
      <w:r w:rsidR="00C72DE4" w:rsidRPr="00975C02">
        <w:rPr>
          <w:rFonts w:eastAsia="Calibri"/>
          <w:sz w:val="20"/>
          <w:szCs w:val="20"/>
          <w:lang w:val="es-ES"/>
        </w:rPr>
        <w:t>á</w:t>
      </w:r>
      <w:r w:rsidR="00195F9B" w:rsidRPr="00975C02">
        <w:rPr>
          <w:rFonts w:eastAsia="Calibri"/>
          <w:sz w:val="20"/>
          <w:szCs w:val="20"/>
          <w:lang w:val="es-ES"/>
        </w:rPr>
        <w:t xml:space="preserve"> ser pagado </w:t>
      </w:r>
      <w:r w:rsidR="00C72DE4" w:rsidRPr="00975C02">
        <w:rPr>
          <w:rFonts w:eastAsia="Calibri"/>
          <w:sz w:val="20"/>
          <w:szCs w:val="20"/>
          <w:lang w:val="es-ES"/>
        </w:rPr>
        <w:t xml:space="preserve">por el Estado a </w:t>
      </w:r>
      <w:r w:rsidR="00195F9B" w:rsidRPr="00975C02">
        <w:rPr>
          <w:rFonts w:eastAsia="Calibri"/>
          <w:sz w:val="20"/>
          <w:szCs w:val="20"/>
          <w:lang w:val="es-ES"/>
        </w:rPr>
        <w:t>la señora V.P.C.</w:t>
      </w:r>
    </w:p>
    <w:p w14:paraId="066CB265" w14:textId="77777777" w:rsidR="009D661E" w:rsidRPr="00975C02" w:rsidRDefault="009D661E" w:rsidP="00195F9B">
      <w:pPr>
        <w:tabs>
          <w:tab w:val="left" w:pos="567"/>
        </w:tabs>
        <w:spacing w:line="240" w:lineRule="auto"/>
        <w:rPr>
          <w:rFonts w:eastAsia="Calibri"/>
          <w:sz w:val="20"/>
          <w:szCs w:val="20"/>
          <w:lang w:val="es-ES"/>
        </w:rPr>
      </w:pPr>
    </w:p>
    <w:p w14:paraId="1304789A" w14:textId="77777777" w:rsidR="009D661E" w:rsidRPr="00975C02" w:rsidRDefault="009D661E" w:rsidP="000063E6">
      <w:pPr>
        <w:pStyle w:val="Heading2"/>
        <w:tabs>
          <w:tab w:val="left" w:pos="1843"/>
        </w:tabs>
        <w:spacing w:before="0" w:line="240" w:lineRule="auto"/>
        <w:ind w:left="1134"/>
        <w:rPr>
          <w:rFonts w:ascii="Verdana" w:hAnsi="Verdana"/>
          <w:b w:val="0"/>
          <w:i/>
          <w:color w:val="auto"/>
          <w:sz w:val="20"/>
          <w:szCs w:val="20"/>
          <w:lang w:val="es-ES"/>
        </w:rPr>
      </w:pPr>
      <w:bookmarkStart w:id="189" w:name="_Toc495658703"/>
      <w:bookmarkStart w:id="190" w:name="_Toc476390744"/>
      <w:bookmarkStart w:id="191" w:name="_Toc514172671"/>
      <w:r w:rsidRPr="00975C02">
        <w:rPr>
          <w:rFonts w:ascii="Verdana" w:hAnsi="Verdana"/>
          <w:b w:val="0"/>
          <w:i/>
          <w:color w:val="auto"/>
          <w:sz w:val="20"/>
          <w:szCs w:val="20"/>
          <w:lang w:val="es-ES"/>
        </w:rPr>
        <w:t>D.2</w:t>
      </w:r>
      <w:r w:rsidRPr="00975C02">
        <w:rPr>
          <w:rFonts w:ascii="Verdana" w:hAnsi="Verdana"/>
          <w:b w:val="0"/>
          <w:i/>
          <w:color w:val="auto"/>
          <w:sz w:val="20"/>
          <w:szCs w:val="20"/>
          <w:lang w:val="es-ES"/>
        </w:rPr>
        <w:tab/>
        <w:t>Daño inmaterial</w:t>
      </w:r>
      <w:bookmarkEnd w:id="189"/>
      <w:bookmarkEnd w:id="190"/>
      <w:bookmarkEnd w:id="191"/>
    </w:p>
    <w:p w14:paraId="2D93705B" w14:textId="77777777" w:rsidR="009D661E" w:rsidRPr="00975C02" w:rsidRDefault="009D661E" w:rsidP="000063E6">
      <w:pPr>
        <w:spacing w:line="240" w:lineRule="auto"/>
        <w:rPr>
          <w:sz w:val="20"/>
          <w:szCs w:val="20"/>
          <w:lang w:val="es-ES"/>
        </w:rPr>
      </w:pPr>
    </w:p>
    <w:p w14:paraId="0C4A26AF" w14:textId="399D1BB9" w:rsidR="00493B4F" w:rsidRPr="00975C02" w:rsidRDefault="00493B4F" w:rsidP="00493B4F">
      <w:pPr>
        <w:numPr>
          <w:ilvl w:val="0"/>
          <w:numId w:val="2"/>
        </w:numPr>
        <w:tabs>
          <w:tab w:val="left" w:pos="567"/>
          <w:tab w:val="num" w:pos="5057"/>
        </w:tabs>
        <w:spacing w:line="240" w:lineRule="auto"/>
        <w:ind w:left="0" w:firstLine="0"/>
        <w:textAlignment w:val="auto"/>
        <w:rPr>
          <w:rFonts w:eastAsia="MS Mincho" w:cs="Tahoma"/>
          <w:sz w:val="20"/>
          <w:szCs w:val="20"/>
          <w:lang w:val="es-ES"/>
        </w:rPr>
      </w:pPr>
      <w:r w:rsidRPr="00975C02">
        <w:rPr>
          <w:rFonts w:eastAsia="Calibri"/>
          <w:sz w:val="20"/>
          <w:szCs w:val="20"/>
          <w:lang w:val="es-ES"/>
        </w:rPr>
        <w:t>La</w:t>
      </w:r>
      <w:r w:rsidRPr="00975C02">
        <w:rPr>
          <w:rFonts w:eastAsia="MS Mincho" w:cs="Tahoma"/>
          <w:sz w:val="20"/>
          <w:szCs w:val="20"/>
          <w:lang w:val="es-ES"/>
        </w:rPr>
        <w:t xml:space="preserve"> </w:t>
      </w:r>
      <w:r w:rsidRPr="00975C02">
        <w:rPr>
          <w:rFonts w:eastAsia="MS Mincho" w:cs="Tahoma"/>
          <w:b/>
          <w:i/>
          <w:sz w:val="20"/>
          <w:szCs w:val="20"/>
          <w:lang w:val="es-ES"/>
        </w:rPr>
        <w:t xml:space="preserve">Comisión </w:t>
      </w:r>
      <w:r w:rsidRPr="00975C02">
        <w:rPr>
          <w:rFonts w:eastAsia="MS Mincho" w:cs="Tahoma"/>
          <w:sz w:val="20"/>
          <w:szCs w:val="20"/>
          <w:lang w:val="es-ES"/>
        </w:rPr>
        <w:t>afirmó que los hechos causaron un severo impacto en el proyecto de vida de V.R.P., su madre V.P.C. y sus hermanos y hermana, ya que la grave omisión del Estado en reconocer la condición de víctima de V</w:t>
      </w:r>
      <w:r w:rsidR="007F2C0D" w:rsidRPr="00975C02">
        <w:rPr>
          <w:rFonts w:eastAsia="MS Mincho" w:cs="Tahoma"/>
          <w:sz w:val="20"/>
          <w:szCs w:val="20"/>
          <w:lang w:val="es-ES"/>
        </w:rPr>
        <w:t>.</w:t>
      </w:r>
      <w:r w:rsidRPr="00975C02">
        <w:rPr>
          <w:rFonts w:eastAsia="MS Mincho" w:cs="Tahoma"/>
          <w:sz w:val="20"/>
          <w:szCs w:val="20"/>
          <w:lang w:val="es-ES"/>
        </w:rPr>
        <w:t>R</w:t>
      </w:r>
      <w:r w:rsidR="007F2C0D" w:rsidRPr="00975C02">
        <w:rPr>
          <w:rFonts w:eastAsia="MS Mincho" w:cs="Tahoma"/>
          <w:sz w:val="20"/>
          <w:szCs w:val="20"/>
          <w:lang w:val="es-ES"/>
        </w:rPr>
        <w:t>.</w:t>
      </w:r>
      <w:r w:rsidRPr="00975C02">
        <w:rPr>
          <w:rFonts w:eastAsia="MS Mincho" w:cs="Tahoma"/>
          <w:sz w:val="20"/>
          <w:szCs w:val="20"/>
          <w:lang w:val="es-ES"/>
        </w:rPr>
        <w:t>P</w:t>
      </w:r>
      <w:r w:rsidR="007F2C0D" w:rsidRPr="00975C02">
        <w:rPr>
          <w:rFonts w:eastAsia="MS Mincho" w:cs="Tahoma"/>
          <w:sz w:val="20"/>
          <w:szCs w:val="20"/>
          <w:lang w:val="es-ES"/>
        </w:rPr>
        <w:t>.</w:t>
      </w:r>
      <w:r w:rsidRPr="00975C02">
        <w:rPr>
          <w:rFonts w:eastAsia="MS Mincho" w:cs="Tahoma"/>
          <w:sz w:val="20"/>
          <w:szCs w:val="20"/>
          <w:lang w:val="es-ES"/>
        </w:rPr>
        <w:t xml:space="preserve"> a su corta edad y la severa violencia que sufrió de parte de las autoridades estatales anuló las posibilidades de recuperación y reintegración de la víctima. Consideró que el deber de acompañamiento y protección integral del Estado hacia la víctima sigue pendiente, frente a lo que no se puede permitir que se oponga la salida del país de las víctimas para evadir su obligación de reparación integral, en particular teniendo en cuenta que dicha salida obedeció precisamente a la actuación estatal frente a las denuncias</w:t>
      </w:r>
      <w:r w:rsidR="001C0BD0" w:rsidRPr="00975C02">
        <w:rPr>
          <w:rFonts w:eastAsia="MS Mincho" w:cs="Tahoma"/>
          <w:sz w:val="20"/>
          <w:szCs w:val="20"/>
          <w:lang w:val="es-ES"/>
        </w:rPr>
        <w:t>.</w:t>
      </w:r>
    </w:p>
    <w:p w14:paraId="13BAAFF7" w14:textId="77777777" w:rsidR="00493B4F" w:rsidRPr="00975C02" w:rsidRDefault="00493B4F" w:rsidP="000063E6">
      <w:pPr>
        <w:spacing w:line="240" w:lineRule="auto"/>
        <w:rPr>
          <w:sz w:val="20"/>
          <w:szCs w:val="20"/>
          <w:lang w:val="es-ES"/>
        </w:rPr>
      </w:pPr>
    </w:p>
    <w:p w14:paraId="7BFD4688" w14:textId="5085E7A3" w:rsidR="009D661E" w:rsidRPr="00975C02" w:rsidRDefault="009D661E" w:rsidP="000063E6">
      <w:pPr>
        <w:numPr>
          <w:ilvl w:val="0"/>
          <w:numId w:val="2"/>
        </w:numPr>
        <w:tabs>
          <w:tab w:val="left" w:pos="567"/>
          <w:tab w:val="num" w:pos="5057"/>
        </w:tabs>
        <w:spacing w:line="240" w:lineRule="auto"/>
        <w:ind w:left="0" w:firstLine="0"/>
        <w:textAlignment w:val="auto"/>
        <w:rPr>
          <w:sz w:val="20"/>
          <w:szCs w:val="20"/>
          <w:lang w:val="es-ES"/>
        </w:rPr>
      </w:pPr>
      <w:r w:rsidRPr="00975C02">
        <w:rPr>
          <w:rFonts w:eastAsia="Calibri"/>
          <w:sz w:val="20"/>
          <w:szCs w:val="20"/>
          <w:lang w:val="es-ES"/>
        </w:rPr>
        <w:t>Las</w:t>
      </w:r>
      <w:r w:rsidRPr="00975C02">
        <w:rPr>
          <w:sz w:val="20"/>
          <w:szCs w:val="20"/>
          <w:lang w:val="es-ES"/>
        </w:rPr>
        <w:t xml:space="preserve"> </w:t>
      </w:r>
      <w:r w:rsidRPr="00975C02">
        <w:rPr>
          <w:b/>
          <w:i/>
          <w:sz w:val="20"/>
          <w:szCs w:val="20"/>
          <w:lang w:val="es-ES"/>
        </w:rPr>
        <w:t xml:space="preserve">representantes </w:t>
      </w:r>
      <w:r w:rsidRPr="00975C02">
        <w:rPr>
          <w:sz w:val="20"/>
          <w:szCs w:val="20"/>
          <w:lang w:val="es-ES"/>
        </w:rPr>
        <w:t xml:space="preserve">señalaron que el daño sufrido por V.R.P. en manos de un tercero comprometió la responsabilidad </w:t>
      </w:r>
      <w:r w:rsidR="007F2C0D" w:rsidRPr="00975C02">
        <w:rPr>
          <w:sz w:val="20"/>
          <w:szCs w:val="20"/>
          <w:lang w:val="es-ES"/>
        </w:rPr>
        <w:t>d</w:t>
      </w:r>
      <w:r w:rsidRPr="00975C02">
        <w:rPr>
          <w:sz w:val="20"/>
          <w:szCs w:val="20"/>
          <w:lang w:val="es-ES"/>
        </w:rPr>
        <w:t>el Estado por no haber garantizado efectivamente sus derechos y no haber realizado una investigación efectiva que conllevara la sanción del responsable</w:t>
      </w:r>
      <w:r w:rsidR="00621658" w:rsidRPr="00975C02">
        <w:rPr>
          <w:sz w:val="20"/>
          <w:szCs w:val="20"/>
          <w:lang w:val="es-ES"/>
        </w:rPr>
        <w:t xml:space="preserve">. Asimismo, indicaron que </w:t>
      </w:r>
      <w:r w:rsidRPr="00975C02">
        <w:rPr>
          <w:sz w:val="20"/>
          <w:szCs w:val="20"/>
          <w:lang w:val="es-ES"/>
        </w:rPr>
        <w:t>la violencia institucional y la revictimización sufrida por la niña</w:t>
      </w:r>
      <w:r w:rsidR="00751137">
        <w:rPr>
          <w:sz w:val="20"/>
          <w:szCs w:val="20"/>
          <w:lang w:val="es-ES"/>
        </w:rPr>
        <w:t>,</w:t>
      </w:r>
      <w:r w:rsidRPr="00975C02">
        <w:rPr>
          <w:sz w:val="20"/>
          <w:szCs w:val="20"/>
          <w:lang w:val="es-ES"/>
        </w:rPr>
        <w:t xml:space="preserve"> debido a la actuación de personas que </w:t>
      </w:r>
      <w:r w:rsidR="00751137">
        <w:rPr>
          <w:sz w:val="20"/>
          <w:szCs w:val="20"/>
          <w:lang w:val="es-ES"/>
        </w:rPr>
        <w:t>se desempeñaron</w:t>
      </w:r>
      <w:r w:rsidRPr="00975C02">
        <w:rPr>
          <w:sz w:val="20"/>
          <w:szCs w:val="20"/>
          <w:lang w:val="es-ES"/>
        </w:rPr>
        <w:t xml:space="preserve"> en el marco de sus funciones públicas</w:t>
      </w:r>
      <w:r w:rsidR="00751137">
        <w:rPr>
          <w:sz w:val="20"/>
          <w:szCs w:val="20"/>
          <w:lang w:val="es-ES"/>
        </w:rPr>
        <w:t>,</w:t>
      </w:r>
      <w:r w:rsidRPr="00975C02">
        <w:rPr>
          <w:sz w:val="20"/>
          <w:szCs w:val="20"/>
          <w:lang w:val="es-ES"/>
        </w:rPr>
        <w:t xml:space="preserve"> </w:t>
      </w:r>
      <w:r w:rsidR="00621658" w:rsidRPr="00975C02">
        <w:rPr>
          <w:sz w:val="20"/>
          <w:szCs w:val="20"/>
          <w:lang w:val="es-ES"/>
        </w:rPr>
        <w:t>le causaron un daño. Las representantes a</w:t>
      </w:r>
      <w:r w:rsidRPr="00975C02">
        <w:rPr>
          <w:sz w:val="20"/>
          <w:szCs w:val="20"/>
          <w:lang w:val="es-ES"/>
        </w:rPr>
        <w:t>legaron que todo ello afectó tanto a V.R.P. como a su entorno familiar, ocasion</w:t>
      </w:r>
      <w:r w:rsidR="00621658" w:rsidRPr="00975C02">
        <w:rPr>
          <w:sz w:val="20"/>
          <w:szCs w:val="20"/>
          <w:lang w:val="es-ES"/>
        </w:rPr>
        <w:t>ándoles un</w:t>
      </w:r>
      <w:r w:rsidRPr="00975C02">
        <w:rPr>
          <w:sz w:val="20"/>
          <w:szCs w:val="20"/>
          <w:lang w:val="es-ES"/>
        </w:rPr>
        <w:t xml:space="preserve"> daño psíquico y moral, </w:t>
      </w:r>
      <w:r w:rsidR="00621658" w:rsidRPr="00975C02">
        <w:rPr>
          <w:sz w:val="20"/>
          <w:szCs w:val="20"/>
          <w:lang w:val="es-ES"/>
        </w:rPr>
        <w:t>ya que</w:t>
      </w:r>
      <w:r w:rsidRPr="00975C02">
        <w:rPr>
          <w:sz w:val="20"/>
          <w:szCs w:val="20"/>
          <w:lang w:val="es-ES"/>
        </w:rPr>
        <w:t xml:space="preserve"> se vieron estigmatizados y tuvieron que cargar con el dolor </w:t>
      </w:r>
      <w:r w:rsidR="00621658" w:rsidRPr="00975C02">
        <w:rPr>
          <w:sz w:val="20"/>
          <w:szCs w:val="20"/>
          <w:lang w:val="es-ES"/>
        </w:rPr>
        <w:t>sufrido por V.R.P.</w:t>
      </w:r>
      <w:r w:rsidRPr="00975C02">
        <w:rPr>
          <w:sz w:val="20"/>
          <w:szCs w:val="20"/>
          <w:lang w:val="es-ES"/>
        </w:rPr>
        <w:t xml:space="preserve">, además de sentir la impotencia de no recibir respuesta del Estado, lo que condujo </w:t>
      </w:r>
      <w:r w:rsidR="00621658" w:rsidRPr="00975C02">
        <w:rPr>
          <w:sz w:val="20"/>
          <w:szCs w:val="20"/>
          <w:lang w:val="es-ES"/>
        </w:rPr>
        <w:t xml:space="preserve">finalmente </w:t>
      </w:r>
      <w:r w:rsidRPr="00975C02">
        <w:rPr>
          <w:sz w:val="20"/>
          <w:szCs w:val="20"/>
          <w:lang w:val="es-ES"/>
        </w:rPr>
        <w:t>a la desintegración familiar</w:t>
      </w:r>
      <w:r w:rsidR="00621658" w:rsidRPr="00975C02">
        <w:rPr>
          <w:sz w:val="20"/>
          <w:szCs w:val="20"/>
          <w:lang w:val="es-ES"/>
        </w:rPr>
        <w:t xml:space="preserve">. </w:t>
      </w:r>
      <w:r w:rsidRPr="00975C02">
        <w:rPr>
          <w:sz w:val="20"/>
          <w:szCs w:val="20"/>
          <w:lang w:val="es-ES"/>
        </w:rPr>
        <w:t>Por ello</w:t>
      </w:r>
      <w:r w:rsidR="00B33D5C">
        <w:rPr>
          <w:sz w:val="20"/>
          <w:szCs w:val="20"/>
          <w:lang w:val="es-ES"/>
        </w:rPr>
        <w:t>,</w:t>
      </w:r>
      <w:r w:rsidRPr="00975C02">
        <w:rPr>
          <w:sz w:val="20"/>
          <w:szCs w:val="20"/>
          <w:lang w:val="es-ES"/>
        </w:rPr>
        <w:t xml:space="preserve"> solicitaron que se orden</w:t>
      </w:r>
      <w:r w:rsidR="00621658" w:rsidRPr="00975C02">
        <w:rPr>
          <w:sz w:val="20"/>
          <w:szCs w:val="20"/>
          <w:lang w:val="es-ES"/>
        </w:rPr>
        <w:t>ara</w:t>
      </w:r>
      <w:r w:rsidRPr="00975C02">
        <w:rPr>
          <w:sz w:val="20"/>
          <w:szCs w:val="20"/>
          <w:lang w:val="es-ES"/>
        </w:rPr>
        <w:t xml:space="preserve"> el pago de US$</w:t>
      </w:r>
      <w:r w:rsidR="007F2C0D" w:rsidRPr="00975C02">
        <w:rPr>
          <w:sz w:val="20"/>
          <w:szCs w:val="20"/>
          <w:lang w:val="es-ES"/>
        </w:rPr>
        <w:t xml:space="preserve"> </w:t>
      </w:r>
      <w:r w:rsidRPr="00975C02">
        <w:rPr>
          <w:sz w:val="20"/>
          <w:szCs w:val="20"/>
          <w:lang w:val="es-ES"/>
        </w:rPr>
        <w:t>250</w:t>
      </w:r>
      <w:r w:rsidR="007F2C0D" w:rsidRPr="00975C02">
        <w:rPr>
          <w:sz w:val="20"/>
          <w:szCs w:val="20"/>
          <w:lang w:val="es-ES"/>
        </w:rPr>
        <w:t>.</w:t>
      </w:r>
      <w:r w:rsidRPr="00975C02">
        <w:rPr>
          <w:sz w:val="20"/>
          <w:szCs w:val="20"/>
          <w:lang w:val="es-ES"/>
        </w:rPr>
        <w:t>000</w:t>
      </w:r>
      <w:r w:rsidR="007F2C0D" w:rsidRPr="00975C02">
        <w:rPr>
          <w:sz w:val="20"/>
          <w:szCs w:val="20"/>
          <w:lang w:val="es-ES"/>
        </w:rPr>
        <w:t>,</w:t>
      </w:r>
      <w:r w:rsidRPr="00975C02">
        <w:rPr>
          <w:sz w:val="20"/>
          <w:szCs w:val="20"/>
          <w:lang w:val="es-ES"/>
        </w:rPr>
        <w:t>00 a favor de V.R.P., US$ 150</w:t>
      </w:r>
      <w:r w:rsidR="007F2C0D" w:rsidRPr="00975C02">
        <w:rPr>
          <w:sz w:val="20"/>
          <w:szCs w:val="20"/>
          <w:lang w:val="es-ES"/>
        </w:rPr>
        <w:t>.</w:t>
      </w:r>
      <w:r w:rsidRPr="00975C02">
        <w:rPr>
          <w:sz w:val="20"/>
          <w:szCs w:val="20"/>
          <w:lang w:val="es-ES"/>
        </w:rPr>
        <w:t>000</w:t>
      </w:r>
      <w:r w:rsidR="007F2C0D" w:rsidRPr="00975C02">
        <w:rPr>
          <w:sz w:val="20"/>
          <w:szCs w:val="20"/>
          <w:lang w:val="es-ES"/>
        </w:rPr>
        <w:t>,</w:t>
      </w:r>
      <w:r w:rsidRPr="00975C02">
        <w:rPr>
          <w:sz w:val="20"/>
          <w:szCs w:val="20"/>
          <w:lang w:val="es-ES"/>
        </w:rPr>
        <w:t xml:space="preserve">00 a favor </w:t>
      </w:r>
      <w:r w:rsidR="00B33D5C">
        <w:rPr>
          <w:sz w:val="20"/>
          <w:szCs w:val="20"/>
          <w:lang w:val="es-ES"/>
        </w:rPr>
        <w:t xml:space="preserve">de </w:t>
      </w:r>
      <w:r w:rsidRPr="00975C02">
        <w:rPr>
          <w:sz w:val="20"/>
          <w:szCs w:val="20"/>
          <w:lang w:val="es-ES"/>
        </w:rPr>
        <w:t xml:space="preserve">V.P.C., </w:t>
      </w:r>
      <w:r w:rsidR="00B33D5C">
        <w:rPr>
          <w:sz w:val="20"/>
          <w:szCs w:val="20"/>
          <w:lang w:val="es-ES"/>
        </w:rPr>
        <w:t xml:space="preserve">y </w:t>
      </w:r>
      <w:r w:rsidR="007F2C0D" w:rsidRPr="00975C02">
        <w:rPr>
          <w:sz w:val="20"/>
          <w:szCs w:val="20"/>
          <w:lang w:val="es-ES"/>
        </w:rPr>
        <w:t xml:space="preserve">US$ 50.000,00 </w:t>
      </w:r>
      <w:r w:rsidR="00B33D5C">
        <w:rPr>
          <w:sz w:val="20"/>
          <w:szCs w:val="20"/>
          <w:lang w:val="es-ES"/>
        </w:rPr>
        <w:t>a favor de cada uno de los hermanos</w:t>
      </w:r>
      <w:r w:rsidRPr="00975C02">
        <w:rPr>
          <w:sz w:val="20"/>
          <w:szCs w:val="20"/>
          <w:lang w:val="es-ES"/>
        </w:rPr>
        <w:t>. E</w:t>
      </w:r>
      <w:r w:rsidR="007F2C0D" w:rsidRPr="00975C02">
        <w:rPr>
          <w:sz w:val="20"/>
          <w:szCs w:val="20"/>
          <w:lang w:val="es-ES"/>
        </w:rPr>
        <w:t>n consecuencia, e</w:t>
      </w:r>
      <w:r w:rsidRPr="00975C02">
        <w:rPr>
          <w:sz w:val="20"/>
          <w:szCs w:val="20"/>
          <w:lang w:val="es-ES"/>
        </w:rPr>
        <w:t>l monto total solicitado por concepto de daño inmaterial asciende a US$ 550.000,00</w:t>
      </w:r>
      <w:r w:rsidR="001C0BD0" w:rsidRPr="00975C02">
        <w:rPr>
          <w:sz w:val="20"/>
          <w:szCs w:val="20"/>
          <w:lang w:val="es-ES"/>
        </w:rPr>
        <w:t>.</w:t>
      </w:r>
    </w:p>
    <w:p w14:paraId="3E87CB43" w14:textId="77777777" w:rsidR="009D661E" w:rsidRPr="00975C02" w:rsidRDefault="009D661E" w:rsidP="009D661E">
      <w:pPr>
        <w:tabs>
          <w:tab w:val="left" w:pos="567"/>
        </w:tabs>
        <w:spacing w:line="240" w:lineRule="auto"/>
        <w:rPr>
          <w:sz w:val="20"/>
          <w:szCs w:val="20"/>
          <w:lang w:val="es-ES"/>
        </w:rPr>
      </w:pPr>
    </w:p>
    <w:p w14:paraId="7A8DACEB" w14:textId="6007923D" w:rsidR="00493B4F" w:rsidRPr="00975C02" w:rsidRDefault="00493B4F" w:rsidP="00493B4F">
      <w:pPr>
        <w:numPr>
          <w:ilvl w:val="0"/>
          <w:numId w:val="2"/>
        </w:numPr>
        <w:tabs>
          <w:tab w:val="left" w:pos="567"/>
          <w:tab w:val="num" w:pos="5057"/>
        </w:tabs>
        <w:spacing w:line="240" w:lineRule="auto"/>
        <w:ind w:left="0" w:firstLine="0"/>
        <w:textAlignment w:val="auto"/>
        <w:rPr>
          <w:rFonts w:eastAsia="MS Mincho"/>
          <w:sz w:val="20"/>
          <w:szCs w:val="20"/>
          <w:lang w:val="es-ES" w:bidi="en-US"/>
        </w:rPr>
      </w:pPr>
      <w:r w:rsidRPr="00975C02">
        <w:rPr>
          <w:rFonts w:eastAsia="Verdana" w:cs="Verdana"/>
          <w:sz w:val="20"/>
          <w:szCs w:val="20"/>
          <w:lang w:val="es-ES"/>
        </w:rPr>
        <w:t xml:space="preserve">Las </w:t>
      </w:r>
      <w:r w:rsidRPr="00975C02">
        <w:rPr>
          <w:rFonts w:eastAsia="Verdana" w:cs="Verdana"/>
          <w:b/>
          <w:i/>
          <w:sz w:val="20"/>
          <w:szCs w:val="20"/>
          <w:lang w:val="es-ES"/>
        </w:rPr>
        <w:t>representantes</w:t>
      </w:r>
      <w:r w:rsidRPr="00975C02">
        <w:rPr>
          <w:rFonts w:eastAsia="Verdana" w:cs="Verdana"/>
          <w:sz w:val="20"/>
          <w:szCs w:val="20"/>
          <w:lang w:val="es-ES"/>
        </w:rPr>
        <w:t xml:space="preserve"> adujeron, </w:t>
      </w:r>
      <w:r w:rsidR="007F2C0D" w:rsidRPr="00975C02">
        <w:rPr>
          <w:rFonts w:eastAsia="Verdana" w:cs="Verdana"/>
          <w:sz w:val="20"/>
          <w:szCs w:val="20"/>
          <w:lang w:val="es-ES"/>
        </w:rPr>
        <w:t>co</w:t>
      </w:r>
      <w:r w:rsidRPr="00975C02">
        <w:rPr>
          <w:rFonts w:eastAsia="Verdana" w:cs="Verdana"/>
          <w:sz w:val="20"/>
          <w:szCs w:val="20"/>
          <w:lang w:val="es-ES"/>
        </w:rPr>
        <w:t>n relación a V.R.P., que sus expectativas de desarrollo personal, sano y normal, le fueron truncadas desde el momento en que fue agredida sexualmente, pues dejó de ser una niña alegre, se negó a asistir a la escuela y desatendió sus cuidados personales, lo que se agravó cuando su agresor fue puesto en libertad. Su proyecto de vida se vio igualmente afectado cuando tuvo que retirarse de su entorno y su familia y se vio impedida de disfrutar de las relaciones afectivas de las personas que amaba. Respecto a V.P.C. adujeron que tuvo que dejar de trabajar para atender tanto la delicada situación de su hija como el proceso judicial instaurado, tuvo que dejar a su familia para ir a un país extraño, tuvo que dejar su casa para verse en la calle sin tener donde dormir, gastó sus fuerzas y su salud buscando la recuperación de su hija y la justicia que no llegó. Todo ello no formó parte de sus planes antes de interponer la denuncia contra el agresor de su hija</w:t>
      </w:r>
      <w:r w:rsidR="001C0BD0" w:rsidRPr="00975C02">
        <w:rPr>
          <w:rFonts w:eastAsia="Verdana" w:cs="Verdana"/>
          <w:sz w:val="20"/>
          <w:szCs w:val="20"/>
          <w:lang w:val="es-ES"/>
        </w:rPr>
        <w:t>.</w:t>
      </w:r>
      <w:r w:rsidRPr="00975C02">
        <w:rPr>
          <w:rFonts w:eastAsia="Verdana" w:cs="Verdana"/>
          <w:sz w:val="20"/>
          <w:szCs w:val="20"/>
          <w:lang w:val="es-ES"/>
        </w:rPr>
        <w:t xml:space="preserve"> </w:t>
      </w:r>
      <w:r w:rsidR="001C0BD0" w:rsidRPr="00975C02">
        <w:rPr>
          <w:rFonts w:eastAsia="Verdana" w:cs="Verdana"/>
          <w:sz w:val="20"/>
          <w:szCs w:val="20"/>
          <w:lang w:val="es-ES"/>
        </w:rPr>
        <w:t>Con</w:t>
      </w:r>
      <w:r w:rsidRPr="00975C02">
        <w:rPr>
          <w:rFonts w:eastAsia="Verdana" w:cs="Verdana"/>
          <w:sz w:val="20"/>
          <w:szCs w:val="20"/>
          <w:lang w:val="es-ES"/>
        </w:rPr>
        <w:t xml:space="preserve"> relación a N.R.P. arguyeron que su proyecto de vida se vio afectado cuando se le cerraron las posibilidades de desarrollarse en su carrera debido al rechazo social por lo acontecido en su familia y cuando tuvo que salir de su país para ser soporte de su madre y hermanita, dejando su carrera y sus sueños para dedicarse a trabajos menores que le permitieran ayudarlas</w:t>
      </w:r>
      <w:r w:rsidR="001C0BD0" w:rsidRPr="00975C02">
        <w:rPr>
          <w:rFonts w:eastAsia="Verdana" w:cs="Verdana"/>
          <w:sz w:val="20"/>
          <w:szCs w:val="20"/>
          <w:lang w:val="es-ES"/>
        </w:rPr>
        <w:t>.</w:t>
      </w:r>
      <w:r w:rsidRPr="00975C02">
        <w:rPr>
          <w:rFonts w:eastAsia="Verdana" w:cs="Verdana"/>
          <w:sz w:val="20"/>
          <w:szCs w:val="20"/>
          <w:lang w:val="es-ES"/>
        </w:rPr>
        <w:t xml:space="preserve"> </w:t>
      </w:r>
      <w:r w:rsidR="00EA3818" w:rsidRPr="00975C02">
        <w:rPr>
          <w:rFonts w:eastAsia="Verdana" w:cs="Verdana"/>
          <w:sz w:val="20"/>
          <w:szCs w:val="20"/>
          <w:lang w:val="es-ES"/>
        </w:rPr>
        <w:t xml:space="preserve">Con </w:t>
      </w:r>
      <w:r w:rsidRPr="00975C02">
        <w:rPr>
          <w:rFonts w:eastAsia="Verdana" w:cs="Verdana"/>
          <w:sz w:val="20"/>
          <w:szCs w:val="20"/>
          <w:lang w:val="es-ES"/>
        </w:rPr>
        <w:t>relación a H.J.R.P. y V.A.R.P.</w:t>
      </w:r>
      <w:r w:rsidR="00B522B9">
        <w:rPr>
          <w:rFonts w:eastAsia="Verdana" w:cs="Verdana"/>
          <w:sz w:val="20"/>
          <w:szCs w:val="20"/>
          <w:lang w:val="es-ES"/>
        </w:rPr>
        <w:t>,</w:t>
      </w:r>
      <w:r w:rsidRPr="00975C02">
        <w:rPr>
          <w:rFonts w:eastAsia="Verdana" w:cs="Verdana"/>
          <w:sz w:val="20"/>
          <w:szCs w:val="20"/>
          <w:lang w:val="es-ES"/>
        </w:rPr>
        <w:t xml:space="preserve"> afirmaron </w:t>
      </w:r>
      <w:r w:rsidR="00B522B9">
        <w:rPr>
          <w:rFonts w:eastAsia="Verdana" w:cs="Verdana"/>
          <w:sz w:val="20"/>
          <w:szCs w:val="20"/>
          <w:lang w:val="es-ES"/>
        </w:rPr>
        <w:t xml:space="preserve">que </w:t>
      </w:r>
      <w:r w:rsidRPr="00975C02">
        <w:rPr>
          <w:rFonts w:eastAsia="Verdana" w:cs="Verdana"/>
          <w:sz w:val="20"/>
          <w:szCs w:val="20"/>
          <w:lang w:val="es-ES"/>
        </w:rPr>
        <w:t xml:space="preserve">ellos no pudieron desarrollarse a nivel laboral ni académico por la falta de oportunidades ante el rechazo de la comunidad y la estigmatización que sufrieron. </w:t>
      </w:r>
      <w:r w:rsidR="00B522B9">
        <w:rPr>
          <w:rFonts w:eastAsia="Verdana" w:cs="Verdana"/>
          <w:sz w:val="20"/>
          <w:szCs w:val="20"/>
          <w:lang w:val="es-ES"/>
        </w:rPr>
        <w:t xml:space="preserve">Concretamente, señalaron que </w:t>
      </w:r>
      <w:r w:rsidRPr="00975C02">
        <w:rPr>
          <w:rFonts w:eastAsia="Verdana" w:cs="Verdana"/>
          <w:sz w:val="20"/>
          <w:szCs w:val="20"/>
          <w:lang w:val="es-ES"/>
        </w:rPr>
        <w:lastRenderedPageBreak/>
        <w:t>H.</w:t>
      </w:r>
      <w:r w:rsidR="007F2C0D" w:rsidRPr="00975C02">
        <w:rPr>
          <w:rFonts w:eastAsia="Verdana" w:cs="Verdana"/>
          <w:sz w:val="20"/>
          <w:szCs w:val="20"/>
          <w:lang w:val="es-ES"/>
        </w:rPr>
        <w:t>J.</w:t>
      </w:r>
      <w:r w:rsidRPr="00975C02">
        <w:rPr>
          <w:rFonts w:eastAsia="Verdana" w:cs="Verdana"/>
          <w:sz w:val="20"/>
          <w:szCs w:val="20"/>
          <w:lang w:val="es-ES"/>
        </w:rPr>
        <w:t>R.P. no pudo desarrollarse en su carrera y V.A.R.P. no pudo estudiar porque, además, le faltó el respaldo económico de su madre, quien tuvo que salir de Nicaragua</w:t>
      </w:r>
      <w:r w:rsidR="001C0BD0" w:rsidRPr="00975C02">
        <w:rPr>
          <w:rFonts w:eastAsia="Verdana" w:cs="Verdana"/>
          <w:sz w:val="20"/>
          <w:szCs w:val="20"/>
          <w:lang w:val="es-ES"/>
        </w:rPr>
        <w:t>.</w:t>
      </w:r>
    </w:p>
    <w:p w14:paraId="282F9C92" w14:textId="77777777" w:rsidR="00493B4F" w:rsidRPr="00975C02" w:rsidRDefault="00493B4F" w:rsidP="009D661E">
      <w:pPr>
        <w:tabs>
          <w:tab w:val="left" w:pos="567"/>
        </w:tabs>
        <w:spacing w:line="240" w:lineRule="auto"/>
        <w:rPr>
          <w:sz w:val="20"/>
          <w:szCs w:val="20"/>
          <w:lang w:val="es-ES"/>
        </w:rPr>
      </w:pPr>
    </w:p>
    <w:p w14:paraId="459667C7" w14:textId="17B338F7" w:rsidR="00842A2B" w:rsidRPr="00975C02" w:rsidRDefault="009D661E" w:rsidP="00842A2B">
      <w:pPr>
        <w:numPr>
          <w:ilvl w:val="0"/>
          <w:numId w:val="2"/>
        </w:numPr>
        <w:tabs>
          <w:tab w:val="left" w:pos="567"/>
          <w:tab w:val="num" w:pos="5057"/>
        </w:tabs>
        <w:spacing w:line="240" w:lineRule="auto"/>
        <w:ind w:left="0" w:firstLine="0"/>
        <w:textAlignment w:val="auto"/>
        <w:rPr>
          <w:rFonts w:eastAsia="MS Mincho"/>
          <w:sz w:val="20"/>
          <w:szCs w:val="20"/>
          <w:lang w:val="es-ES" w:bidi="en-US"/>
        </w:rPr>
      </w:pPr>
      <w:r w:rsidRPr="00975C02">
        <w:rPr>
          <w:rFonts w:eastAsia="MS Mincho"/>
          <w:sz w:val="20"/>
          <w:szCs w:val="20"/>
          <w:lang w:val="es-ES" w:bidi="en-US"/>
        </w:rPr>
        <w:t xml:space="preserve">El </w:t>
      </w:r>
      <w:r w:rsidRPr="00975C02">
        <w:rPr>
          <w:rFonts w:eastAsia="MS Mincho"/>
          <w:b/>
          <w:i/>
          <w:sz w:val="20"/>
          <w:szCs w:val="20"/>
          <w:lang w:val="es-ES" w:bidi="en-US"/>
        </w:rPr>
        <w:t>Estado</w:t>
      </w:r>
      <w:r w:rsidRPr="00975C02">
        <w:rPr>
          <w:rFonts w:eastAsia="Verdana" w:cs="Verdana"/>
          <w:sz w:val="20"/>
          <w:szCs w:val="20"/>
          <w:lang w:val="es-ES"/>
        </w:rPr>
        <w:t xml:space="preserve"> señaló que</w:t>
      </w:r>
      <w:r w:rsidR="00BE2490" w:rsidRPr="00975C02">
        <w:rPr>
          <w:rFonts w:eastAsia="Verdana" w:cs="Verdana"/>
          <w:sz w:val="20"/>
          <w:szCs w:val="20"/>
          <w:lang w:val="es-ES"/>
        </w:rPr>
        <w:t>,</w:t>
      </w:r>
      <w:r w:rsidRPr="00975C02">
        <w:rPr>
          <w:rFonts w:eastAsia="Verdana" w:cs="Verdana"/>
          <w:sz w:val="20"/>
          <w:szCs w:val="20"/>
          <w:lang w:val="es-ES"/>
        </w:rPr>
        <w:t xml:space="preserve"> </w:t>
      </w:r>
      <w:r w:rsidR="008F7074" w:rsidRPr="00975C02">
        <w:rPr>
          <w:rFonts w:eastAsia="Verdana" w:cs="Verdana"/>
          <w:sz w:val="20"/>
          <w:szCs w:val="20"/>
          <w:lang w:val="es-ES"/>
        </w:rPr>
        <w:t>si bien</w:t>
      </w:r>
      <w:r w:rsidRPr="00975C02">
        <w:rPr>
          <w:rFonts w:eastAsia="Verdana" w:cs="Verdana"/>
          <w:sz w:val="20"/>
          <w:szCs w:val="20"/>
          <w:lang w:val="es-ES"/>
        </w:rPr>
        <w:t xml:space="preserve"> el daño inmaterial p</w:t>
      </w:r>
      <w:r w:rsidR="00621658" w:rsidRPr="00975C02">
        <w:rPr>
          <w:rFonts w:eastAsia="Verdana" w:cs="Verdana"/>
          <w:sz w:val="20"/>
          <w:szCs w:val="20"/>
          <w:lang w:val="es-ES"/>
        </w:rPr>
        <w:t>odía</w:t>
      </w:r>
      <w:r w:rsidRPr="00975C02">
        <w:rPr>
          <w:rFonts w:eastAsia="Verdana" w:cs="Verdana"/>
          <w:sz w:val="20"/>
          <w:szCs w:val="20"/>
          <w:lang w:val="es-ES"/>
        </w:rPr>
        <w:t xml:space="preserve"> comprender tanto los sufrimientos y las aflicciones causadas a las víctimas directas como a sus allegados que de forma directa hayan sufrido el menoscabo de valores muy significativos para las personas, y no e</w:t>
      </w:r>
      <w:r w:rsidR="00621658" w:rsidRPr="00975C02">
        <w:rPr>
          <w:rFonts w:eastAsia="Verdana" w:cs="Verdana"/>
          <w:sz w:val="20"/>
          <w:szCs w:val="20"/>
          <w:lang w:val="es-ES"/>
        </w:rPr>
        <w:t>ra</w:t>
      </w:r>
      <w:r w:rsidRPr="00975C02">
        <w:rPr>
          <w:rFonts w:eastAsia="Verdana" w:cs="Verdana"/>
          <w:sz w:val="20"/>
          <w:szCs w:val="20"/>
          <w:lang w:val="es-ES"/>
        </w:rPr>
        <w:t xml:space="preserve"> posible asignar o fijar al daño un precio equivalente en dinero para los fines de reparación</w:t>
      </w:r>
      <w:r w:rsidR="00621658" w:rsidRPr="00975C02">
        <w:rPr>
          <w:rFonts w:eastAsia="Verdana" w:cs="Verdana"/>
          <w:sz w:val="20"/>
          <w:szCs w:val="20"/>
          <w:lang w:val="es-ES"/>
        </w:rPr>
        <w:t xml:space="preserve">, </w:t>
      </w:r>
      <w:r w:rsidRPr="00975C02">
        <w:rPr>
          <w:rFonts w:eastAsia="Verdana" w:cs="Verdana"/>
          <w:sz w:val="20"/>
          <w:szCs w:val="20"/>
          <w:lang w:val="es-ES"/>
        </w:rPr>
        <w:t>la suma pretendida por las representantes como compensación por el daño inmaterial, ascendente a US$ 550</w:t>
      </w:r>
      <w:r w:rsidR="008F7074" w:rsidRPr="00975C02">
        <w:rPr>
          <w:rFonts w:eastAsia="Verdana" w:cs="Verdana"/>
          <w:sz w:val="20"/>
          <w:szCs w:val="20"/>
          <w:lang w:val="es-ES"/>
        </w:rPr>
        <w:t>.</w:t>
      </w:r>
      <w:r w:rsidRPr="00975C02">
        <w:rPr>
          <w:rFonts w:eastAsia="Verdana" w:cs="Verdana"/>
          <w:sz w:val="20"/>
          <w:szCs w:val="20"/>
          <w:lang w:val="es-ES"/>
        </w:rPr>
        <w:t>000</w:t>
      </w:r>
      <w:r w:rsidR="008F7074" w:rsidRPr="00975C02">
        <w:rPr>
          <w:rFonts w:eastAsia="Verdana" w:cs="Verdana"/>
          <w:sz w:val="20"/>
          <w:szCs w:val="20"/>
          <w:lang w:val="es-ES"/>
        </w:rPr>
        <w:t>,</w:t>
      </w:r>
      <w:r w:rsidRPr="00975C02">
        <w:rPr>
          <w:rFonts w:eastAsia="Verdana" w:cs="Verdana"/>
          <w:sz w:val="20"/>
          <w:szCs w:val="20"/>
          <w:lang w:val="es-ES"/>
        </w:rPr>
        <w:t>00, supera</w:t>
      </w:r>
      <w:r w:rsidR="00621658" w:rsidRPr="00975C02">
        <w:rPr>
          <w:rFonts w:eastAsia="Verdana" w:cs="Verdana"/>
          <w:sz w:val="20"/>
          <w:szCs w:val="20"/>
          <w:lang w:val="es-ES"/>
        </w:rPr>
        <w:t>ba</w:t>
      </w:r>
      <w:r w:rsidRPr="00975C02">
        <w:rPr>
          <w:rFonts w:eastAsia="Verdana" w:cs="Verdana"/>
          <w:sz w:val="20"/>
          <w:szCs w:val="20"/>
          <w:lang w:val="es-ES"/>
        </w:rPr>
        <w:t xml:space="preserve"> la realidad de un país en desarrollo como Nicaragua</w:t>
      </w:r>
      <w:r w:rsidR="008F7074" w:rsidRPr="00975C02">
        <w:rPr>
          <w:rFonts w:eastAsia="Verdana" w:cs="Verdana"/>
          <w:sz w:val="20"/>
          <w:szCs w:val="20"/>
          <w:lang w:val="es-ES"/>
        </w:rPr>
        <w:t>. En esta línea</w:t>
      </w:r>
      <w:r w:rsidRPr="00975C02">
        <w:rPr>
          <w:rFonts w:eastAsia="Verdana" w:cs="Verdana"/>
          <w:sz w:val="20"/>
          <w:szCs w:val="20"/>
          <w:lang w:val="es-ES"/>
        </w:rPr>
        <w:t xml:space="preserve">, </w:t>
      </w:r>
      <w:r w:rsidR="008F7074" w:rsidRPr="00975C02">
        <w:rPr>
          <w:rFonts w:eastAsia="Verdana" w:cs="Verdana"/>
          <w:sz w:val="20"/>
          <w:szCs w:val="20"/>
          <w:lang w:val="es-ES"/>
        </w:rPr>
        <w:t xml:space="preserve">solicitó </w:t>
      </w:r>
      <w:r w:rsidRPr="00975C02">
        <w:rPr>
          <w:rFonts w:eastAsia="Verdana" w:cs="Verdana"/>
          <w:sz w:val="20"/>
          <w:szCs w:val="20"/>
          <w:lang w:val="es-ES"/>
        </w:rPr>
        <w:t xml:space="preserve">a la Corte </w:t>
      </w:r>
      <w:r w:rsidR="008F7074" w:rsidRPr="00975C02">
        <w:rPr>
          <w:rFonts w:eastAsia="Verdana" w:cs="Verdana"/>
          <w:sz w:val="20"/>
          <w:szCs w:val="20"/>
          <w:lang w:val="es-ES"/>
        </w:rPr>
        <w:t xml:space="preserve">que tuviera </w:t>
      </w:r>
      <w:r w:rsidRPr="00975C02">
        <w:rPr>
          <w:rFonts w:eastAsia="Verdana" w:cs="Verdana"/>
          <w:sz w:val="20"/>
          <w:szCs w:val="20"/>
          <w:lang w:val="es-ES"/>
        </w:rPr>
        <w:t>en cuenta que</w:t>
      </w:r>
      <w:r w:rsidR="008F7074" w:rsidRPr="00975C02">
        <w:rPr>
          <w:rFonts w:eastAsia="Verdana" w:cs="Verdana"/>
          <w:sz w:val="20"/>
          <w:szCs w:val="20"/>
          <w:lang w:val="es-ES"/>
        </w:rPr>
        <w:t>,</w:t>
      </w:r>
      <w:r w:rsidRPr="00975C02">
        <w:rPr>
          <w:rFonts w:eastAsia="Verdana" w:cs="Verdana"/>
          <w:sz w:val="20"/>
          <w:szCs w:val="20"/>
          <w:lang w:val="es-ES"/>
        </w:rPr>
        <w:t xml:space="preserve"> según su jurisprudencia</w:t>
      </w:r>
      <w:r w:rsidR="008F7074" w:rsidRPr="00975C02">
        <w:rPr>
          <w:rFonts w:eastAsia="Verdana" w:cs="Verdana"/>
          <w:sz w:val="20"/>
          <w:szCs w:val="20"/>
          <w:lang w:val="es-ES"/>
        </w:rPr>
        <w:t>,</w:t>
      </w:r>
      <w:r w:rsidRPr="00975C02">
        <w:rPr>
          <w:rFonts w:eastAsia="Verdana" w:cs="Verdana"/>
          <w:sz w:val="20"/>
          <w:szCs w:val="20"/>
          <w:lang w:val="es-ES"/>
        </w:rPr>
        <w:t xml:space="preserve"> “la sentencia puede constituir </w:t>
      </w:r>
      <w:r w:rsidRPr="00975C02">
        <w:rPr>
          <w:rFonts w:eastAsia="Verdana" w:cs="Verdana"/>
          <w:i/>
          <w:sz w:val="20"/>
          <w:szCs w:val="20"/>
          <w:lang w:val="es-ES"/>
        </w:rPr>
        <w:t>per se</w:t>
      </w:r>
      <w:r w:rsidRPr="00975C02">
        <w:rPr>
          <w:rFonts w:eastAsia="Verdana" w:cs="Verdana"/>
          <w:sz w:val="20"/>
          <w:szCs w:val="20"/>
          <w:lang w:val="es-ES"/>
        </w:rPr>
        <w:t xml:space="preserve"> una forma de reparación”</w:t>
      </w:r>
      <w:r w:rsidR="00621658" w:rsidRPr="00975C02">
        <w:rPr>
          <w:rFonts w:eastAsia="Verdana" w:cs="Verdana"/>
          <w:sz w:val="20"/>
          <w:szCs w:val="20"/>
          <w:lang w:val="es-ES"/>
        </w:rPr>
        <w:t>.</w:t>
      </w:r>
      <w:r w:rsidRPr="00975C02">
        <w:rPr>
          <w:rFonts w:eastAsia="Verdana" w:cs="Verdana"/>
          <w:sz w:val="20"/>
          <w:szCs w:val="20"/>
          <w:lang w:val="es-ES"/>
        </w:rPr>
        <w:t xml:space="preserve"> </w:t>
      </w:r>
      <w:r w:rsidR="00842A2B" w:rsidRPr="00975C02">
        <w:rPr>
          <w:rFonts w:eastAsia="MS Mincho"/>
          <w:sz w:val="20"/>
          <w:szCs w:val="20"/>
          <w:lang w:val="es-ES" w:bidi="en-US"/>
        </w:rPr>
        <w:t xml:space="preserve">El Estado consideró elevada la suma solicitada como compensación por la afectación al proyecto de vida alegado, aun cuando las representantes no precisaron suma específica, y se opuso a considerar a los hermanos de V.R.P. </w:t>
      </w:r>
      <w:r w:rsidR="008F7074" w:rsidRPr="00975C02">
        <w:rPr>
          <w:rFonts w:eastAsia="MS Mincho"/>
          <w:sz w:val="20"/>
          <w:szCs w:val="20"/>
          <w:lang w:val="es-ES" w:bidi="en-US"/>
        </w:rPr>
        <w:t xml:space="preserve">como beneficiarios dado que </w:t>
      </w:r>
      <w:r w:rsidR="00842A2B" w:rsidRPr="00975C02">
        <w:rPr>
          <w:rFonts w:eastAsia="MS Mincho"/>
          <w:sz w:val="20"/>
          <w:szCs w:val="20"/>
          <w:lang w:val="es-ES" w:bidi="en-US"/>
        </w:rPr>
        <w:t>no hab</w:t>
      </w:r>
      <w:r w:rsidR="008F7074" w:rsidRPr="00975C02">
        <w:rPr>
          <w:rFonts w:eastAsia="MS Mincho"/>
          <w:sz w:val="20"/>
          <w:szCs w:val="20"/>
          <w:lang w:val="es-ES" w:bidi="en-US"/>
        </w:rPr>
        <w:t>rían</w:t>
      </w:r>
      <w:r w:rsidR="00842A2B" w:rsidRPr="00975C02">
        <w:rPr>
          <w:rFonts w:eastAsia="MS Mincho"/>
          <w:sz w:val="20"/>
          <w:szCs w:val="20"/>
          <w:lang w:val="es-ES" w:bidi="en-US"/>
        </w:rPr>
        <w:t xml:space="preserve"> sido acreditados como víctimas por la Comisión. Además, invocando lo señalado en la jurisprudencia de la Corte sobre el proyecto de vida, solicitó que en esta sentencia se consider</w:t>
      </w:r>
      <w:r w:rsidR="008F7074" w:rsidRPr="00975C02">
        <w:rPr>
          <w:rFonts w:eastAsia="MS Mincho"/>
          <w:sz w:val="20"/>
          <w:szCs w:val="20"/>
          <w:lang w:val="es-ES" w:bidi="en-US"/>
        </w:rPr>
        <w:t>aran</w:t>
      </w:r>
      <w:r w:rsidR="00842A2B" w:rsidRPr="00975C02">
        <w:rPr>
          <w:rFonts w:eastAsia="MS Mincho"/>
          <w:sz w:val="20"/>
          <w:szCs w:val="20"/>
          <w:lang w:val="es-ES" w:bidi="en-US"/>
        </w:rPr>
        <w:t xml:space="preserve"> las proyecciones realizadas por el Estado en relación </w:t>
      </w:r>
      <w:r w:rsidR="008F7074" w:rsidRPr="00975C02">
        <w:rPr>
          <w:rFonts w:eastAsia="MS Mincho"/>
          <w:sz w:val="20"/>
          <w:szCs w:val="20"/>
          <w:lang w:val="es-ES" w:bidi="en-US"/>
        </w:rPr>
        <w:t>con e</w:t>
      </w:r>
      <w:r w:rsidR="00842A2B" w:rsidRPr="00975C02">
        <w:rPr>
          <w:rFonts w:eastAsia="MS Mincho"/>
          <w:sz w:val="20"/>
          <w:szCs w:val="20"/>
          <w:lang w:val="es-ES" w:bidi="en-US"/>
        </w:rPr>
        <w:t>l daño material presuntamente causado.</w:t>
      </w:r>
    </w:p>
    <w:p w14:paraId="361815DC" w14:textId="77777777" w:rsidR="009D661E" w:rsidRPr="00975C02" w:rsidRDefault="009D661E" w:rsidP="004002B2">
      <w:pPr>
        <w:tabs>
          <w:tab w:val="left" w:pos="567"/>
        </w:tabs>
        <w:spacing w:line="240" w:lineRule="auto"/>
        <w:textAlignment w:val="auto"/>
        <w:rPr>
          <w:rFonts w:eastAsia="Calibri"/>
          <w:b/>
          <w:i/>
          <w:sz w:val="20"/>
          <w:szCs w:val="20"/>
          <w:lang w:val="es-ES"/>
        </w:rPr>
      </w:pPr>
    </w:p>
    <w:p w14:paraId="550B6739" w14:textId="1B47A701" w:rsidR="009D661E" w:rsidRPr="00975C02" w:rsidRDefault="009D661E" w:rsidP="00DF3D71">
      <w:pPr>
        <w:numPr>
          <w:ilvl w:val="0"/>
          <w:numId w:val="2"/>
        </w:numPr>
        <w:tabs>
          <w:tab w:val="left" w:pos="567"/>
          <w:tab w:val="num" w:pos="5057"/>
        </w:tabs>
        <w:spacing w:line="240" w:lineRule="auto"/>
        <w:ind w:left="0" w:firstLine="0"/>
        <w:textAlignment w:val="auto"/>
        <w:rPr>
          <w:rFonts w:eastAsia="Calibri"/>
          <w:b/>
          <w:i/>
          <w:sz w:val="20"/>
          <w:szCs w:val="20"/>
          <w:lang w:val="es-ES"/>
        </w:rPr>
      </w:pPr>
      <w:r w:rsidRPr="00975C02">
        <w:rPr>
          <w:sz w:val="20"/>
          <w:szCs w:val="20"/>
          <w:lang w:val="es-ES"/>
        </w:rPr>
        <w:t>La Corte ha establecido en su jurisprudencia que el daño inmaterial “puede comprender tanto los sufrimientos y las aflicciones causados por la violación como el menoscabo de valores muy significativos para las personas y cualquier alteración, de carácter no pecuniario, en las condiciones de existencia de las víctimas”. Por otra parte, dado que no es posible asignar al daño inmaterial un equivalente monetario preciso, sólo puede ser objeto de compensación, para los fines de la reparación integral a la víctima, mediante el pago de una cantidad de dinero o la entrega de bienes o servicios apreciables en dinero, que el Tribunal determine en aplicación razonable del arbitrio judicial y en términos de equidad</w:t>
      </w:r>
      <w:r w:rsidR="00BE67B2" w:rsidRPr="00975C02">
        <w:rPr>
          <w:rStyle w:val="FootnoteReference"/>
          <w:sz w:val="20"/>
          <w:szCs w:val="20"/>
          <w:lang w:val="es-ES"/>
        </w:rPr>
        <w:footnoteReference w:id="451"/>
      </w:r>
      <w:r w:rsidRPr="00975C02">
        <w:rPr>
          <w:sz w:val="20"/>
          <w:szCs w:val="20"/>
          <w:lang w:val="es-ES"/>
        </w:rPr>
        <w:t>.</w:t>
      </w:r>
    </w:p>
    <w:p w14:paraId="3183C86E" w14:textId="77777777" w:rsidR="009D661E" w:rsidRPr="00975C02" w:rsidRDefault="009D661E">
      <w:pPr>
        <w:pStyle w:val="ListParagraph"/>
        <w:spacing w:line="240" w:lineRule="auto"/>
        <w:rPr>
          <w:rFonts w:eastAsia="Calibri"/>
          <w:b/>
          <w:i/>
          <w:sz w:val="20"/>
          <w:szCs w:val="20"/>
          <w:lang w:val="es-ES"/>
        </w:rPr>
      </w:pPr>
    </w:p>
    <w:p w14:paraId="27ACEBD2" w14:textId="77777777" w:rsidR="004317CE" w:rsidRPr="00975C02" w:rsidRDefault="004317CE" w:rsidP="004002B2">
      <w:pPr>
        <w:numPr>
          <w:ilvl w:val="0"/>
          <w:numId w:val="2"/>
        </w:numPr>
        <w:tabs>
          <w:tab w:val="left" w:pos="567"/>
          <w:tab w:val="num" w:pos="5057"/>
          <w:tab w:val="num" w:pos="12305"/>
        </w:tabs>
        <w:spacing w:line="240" w:lineRule="auto"/>
        <w:ind w:left="0" w:firstLine="0"/>
        <w:rPr>
          <w:rFonts w:eastAsia="MS Mincho" w:cs="Verdana"/>
          <w:sz w:val="20"/>
          <w:szCs w:val="20"/>
          <w:lang w:val="es-ES" w:bidi="en-US"/>
        </w:rPr>
      </w:pPr>
      <w:r w:rsidRPr="00975C02">
        <w:rPr>
          <w:rFonts w:eastAsia="MS Mincho"/>
          <w:sz w:val="20"/>
          <w:szCs w:val="20"/>
          <w:lang w:val="es-ES" w:bidi="en-US"/>
        </w:rPr>
        <w:t>En consideración de las circunstancias del presente caso, las violaciones cometidas, los sufrimientos ocasionados y experimentados en diferentes grados, así como el cambio en las condiciones de vida de V.R.P. y sus familiares, las comprobadas afectaciones a la integridad personal y las restantes consecuencias de orden inmaterial que sufrieron, el Tribunal pasa a fijar en equidad las indemnizaciones por daño inmaterial a favor de las víctimas, las cuales deberán ser pagadas directamente a cada una de ellas.</w:t>
      </w:r>
    </w:p>
    <w:p w14:paraId="2FDF922F" w14:textId="77777777" w:rsidR="004317CE" w:rsidRPr="00975C02" w:rsidRDefault="004317CE">
      <w:pPr>
        <w:pStyle w:val="ListParagraph"/>
        <w:spacing w:line="240" w:lineRule="auto"/>
        <w:rPr>
          <w:rFonts w:eastAsia="MS Mincho" w:cs="Verdana"/>
          <w:sz w:val="20"/>
          <w:szCs w:val="20"/>
          <w:lang w:val="es-ES" w:bidi="en-US"/>
        </w:rPr>
      </w:pPr>
    </w:p>
    <w:p w14:paraId="2EF7E613" w14:textId="77777777" w:rsidR="004317CE" w:rsidRPr="00975C02" w:rsidRDefault="004317CE" w:rsidP="00DF3D71">
      <w:pPr>
        <w:numPr>
          <w:ilvl w:val="0"/>
          <w:numId w:val="2"/>
        </w:numPr>
        <w:tabs>
          <w:tab w:val="left" w:pos="567"/>
          <w:tab w:val="num" w:pos="5057"/>
          <w:tab w:val="num" w:pos="12305"/>
        </w:tabs>
        <w:spacing w:line="240" w:lineRule="auto"/>
        <w:ind w:left="0" w:firstLine="0"/>
        <w:rPr>
          <w:rFonts w:cs="Verdana"/>
          <w:sz w:val="20"/>
          <w:szCs w:val="20"/>
          <w:lang w:val="es-ES"/>
        </w:rPr>
      </w:pPr>
      <w:r w:rsidRPr="00975C02">
        <w:rPr>
          <w:rFonts w:cs="Verdana"/>
          <w:sz w:val="20"/>
          <w:szCs w:val="20"/>
          <w:lang w:val="es-ES"/>
        </w:rPr>
        <w:t xml:space="preserve">En virtud de ello, la Corte ordena, en equidad, el pago de la suma de US$ 65.000,00 (sesenta y cinco mil dólares de los Estados Unidos de América) por concepto de </w:t>
      </w:r>
      <w:r w:rsidRPr="00975C02">
        <w:rPr>
          <w:rFonts w:eastAsia="MS Mincho"/>
          <w:sz w:val="20"/>
          <w:szCs w:val="20"/>
          <w:lang w:val="es-ES" w:bidi="en-US"/>
        </w:rPr>
        <w:t>daño</w:t>
      </w:r>
      <w:r w:rsidRPr="00975C02">
        <w:rPr>
          <w:rFonts w:cs="Verdana"/>
          <w:sz w:val="20"/>
          <w:szCs w:val="20"/>
          <w:lang w:val="es-ES"/>
        </w:rPr>
        <w:t xml:space="preserve"> inmaterial</w:t>
      </w:r>
      <w:r w:rsidR="00674F6E" w:rsidRPr="00975C02">
        <w:rPr>
          <w:rFonts w:cs="Verdana"/>
          <w:sz w:val="20"/>
          <w:szCs w:val="20"/>
          <w:lang w:val="es-ES"/>
        </w:rPr>
        <w:t xml:space="preserve"> a favor de V.R.P.</w:t>
      </w:r>
      <w:r w:rsidRPr="00975C02">
        <w:rPr>
          <w:rFonts w:cs="Verdana"/>
          <w:sz w:val="20"/>
          <w:szCs w:val="20"/>
          <w:lang w:val="es-ES"/>
        </w:rPr>
        <w:t xml:space="preserve"> </w:t>
      </w:r>
      <w:r w:rsidR="00674F6E" w:rsidRPr="00975C02">
        <w:rPr>
          <w:rFonts w:cs="Verdana"/>
          <w:sz w:val="20"/>
          <w:szCs w:val="20"/>
          <w:lang w:val="es-ES"/>
        </w:rPr>
        <w:t xml:space="preserve">Asimismo, </w:t>
      </w:r>
      <w:r w:rsidRPr="00975C02">
        <w:rPr>
          <w:rFonts w:cs="Verdana"/>
          <w:sz w:val="20"/>
          <w:szCs w:val="20"/>
          <w:lang w:val="es-ES"/>
        </w:rPr>
        <w:t>la Corte fija</w:t>
      </w:r>
      <w:r w:rsidRPr="00975C02">
        <w:rPr>
          <w:sz w:val="20"/>
          <w:szCs w:val="20"/>
          <w:lang w:val="es-ES"/>
        </w:rPr>
        <w:t xml:space="preserve"> </w:t>
      </w:r>
      <w:r w:rsidRPr="00975C02">
        <w:rPr>
          <w:rFonts w:cs="Verdana"/>
          <w:sz w:val="20"/>
          <w:szCs w:val="20"/>
          <w:lang w:val="es-ES"/>
        </w:rPr>
        <w:t>en equidad la suma</w:t>
      </w:r>
      <w:r w:rsidR="00674F6E" w:rsidRPr="00975C02">
        <w:rPr>
          <w:rFonts w:cs="Verdana"/>
          <w:sz w:val="20"/>
          <w:szCs w:val="20"/>
          <w:lang w:val="es-ES"/>
        </w:rPr>
        <w:t xml:space="preserve"> de US$ 45</w:t>
      </w:r>
      <w:r w:rsidRPr="00975C02">
        <w:rPr>
          <w:rFonts w:cs="Verdana"/>
          <w:sz w:val="20"/>
          <w:szCs w:val="20"/>
          <w:lang w:val="es-ES"/>
        </w:rPr>
        <w:t>.000,00</w:t>
      </w:r>
      <w:r w:rsidR="00674F6E" w:rsidRPr="00975C02">
        <w:rPr>
          <w:rFonts w:cs="Verdana"/>
          <w:sz w:val="20"/>
          <w:szCs w:val="20"/>
          <w:lang w:val="es-ES"/>
        </w:rPr>
        <w:t xml:space="preserve"> (cuarenta</w:t>
      </w:r>
      <w:r w:rsidRPr="00975C02">
        <w:rPr>
          <w:rFonts w:cs="Verdana"/>
          <w:sz w:val="20"/>
          <w:szCs w:val="20"/>
          <w:lang w:val="es-ES"/>
        </w:rPr>
        <w:t xml:space="preserve"> y cinco mil dólares de los Estados Unidos de América) </w:t>
      </w:r>
      <w:r w:rsidR="00674F6E" w:rsidRPr="00975C02">
        <w:rPr>
          <w:rFonts w:cs="Verdana"/>
          <w:sz w:val="20"/>
          <w:szCs w:val="20"/>
          <w:lang w:val="es-ES"/>
        </w:rPr>
        <w:t xml:space="preserve">por concepto de </w:t>
      </w:r>
      <w:r w:rsidR="00674F6E" w:rsidRPr="00975C02">
        <w:rPr>
          <w:rFonts w:eastAsia="MS Mincho"/>
          <w:sz w:val="20"/>
          <w:szCs w:val="20"/>
          <w:lang w:val="es-ES" w:bidi="en-US"/>
        </w:rPr>
        <w:t>daño</w:t>
      </w:r>
      <w:r w:rsidR="00674F6E" w:rsidRPr="00975C02">
        <w:rPr>
          <w:rFonts w:cs="Verdana"/>
          <w:sz w:val="20"/>
          <w:szCs w:val="20"/>
          <w:lang w:val="es-ES"/>
        </w:rPr>
        <w:t xml:space="preserve"> inmaterial a favor de su madre, la señora V.P.C. Finalmente, la Corte fija</w:t>
      </w:r>
      <w:r w:rsidR="00674F6E" w:rsidRPr="00975C02">
        <w:rPr>
          <w:sz w:val="20"/>
          <w:szCs w:val="20"/>
          <w:lang w:val="es-ES"/>
        </w:rPr>
        <w:t xml:space="preserve"> </w:t>
      </w:r>
      <w:r w:rsidR="00674F6E" w:rsidRPr="00975C02">
        <w:rPr>
          <w:rFonts w:cs="Verdana"/>
          <w:sz w:val="20"/>
          <w:szCs w:val="20"/>
          <w:lang w:val="es-ES"/>
        </w:rPr>
        <w:t xml:space="preserve">en equidad la suma de US$ 20.000,00 (veinte mil dólares de los Estados Unidos de América) por concepto de </w:t>
      </w:r>
      <w:r w:rsidR="00674F6E" w:rsidRPr="00975C02">
        <w:rPr>
          <w:rFonts w:eastAsia="MS Mincho"/>
          <w:sz w:val="20"/>
          <w:szCs w:val="20"/>
          <w:lang w:val="es-ES" w:bidi="en-US"/>
        </w:rPr>
        <w:t>daño</w:t>
      </w:r>
      <w:r w:rsidR="00674F6E" w:rsidRPr="00975C02">
        <w:rPr>
          <w:rFonts w:cs="Verdana"/>
          <w:sz w:val="20"/>
          <w:szCs w:val="20"/>
          <w:lang w:val="es-ES"/>
        </w:rPr>
        <w:t xml:space="preserve"> inmaterial a favor de la hermana de V.R.P., la señora N.R.P., así como la suma de US$ 15.000,00 (quince mil dólares de los Estados Unidos de América) por concepto de </w:t>
      </w:r>
      <w:r w:rsidR="00674F6E" w:rsidRPr="00975C02">
        <w:rPr>
          <w:rFonts w:eastAsia="MS Mincho"/>
          <w:sz w:val="20"/>
          <w:szCs w:val="20"/>
          <w:lang w:val="es-ES" w:bidi="en-US"/>
        </w:rPr>
        <w:t>daño</w:t>
      </w:r>
      <w:r w:rsidR="00674F6E" w:rsidRPr="00975C02">
        <w:rPr>
          <w:rFonts w:cs="Verdana"/>
          <w:sz w:val="20"/>
          <w:szCs w:val="20"/>
          <w:lang w:val="es-ES"/>
        </w:rPr>
        <w:t xml:space="preserve"> inmaterial </w:t>
      </w:r>
      <w:r w:rsidRPr="00975C02">
        <w:rPr>
          <w:rFonts w:cs="Verdana"/>
          <w:sz w:val="20"/>
          <w:szCs w:val="20"/>
          <w:lang w:val="es-ES"/>
        </w:rPr>
        <w:t>a favor de</w:t>
      </w:r>
      <w:r w:rsidR="00674F6E" w:rsidRPr="00975C02">
        <w:rPr>
          <w:rFonts w:cs="Verdana"/>
          <w:sz w:val="20"/>
          <w:szCs w:val="20"/>
          <w:lang w:val="es-ES"/>
        </w:rPr>
        <w:t xml:space="preserve"> cada uno de sus hermanos, los señores</w:t>
      </w:r>
      <w:r w:rsidRPr="00975C02">
        <w:rPr>
          <w:rFonts w:cs="Verdana"/>
          <w:sz w:val="20"/>
          <w:szCs w:val="20"/>
          <w:lang w:val="es-ES"/>
        </w:rPr>
        <w:t xml:space="preserve"> </w:t>
      </w:r>
      <w:r w:rsidR="00674F6E" w:rsidRPr="00975C02">
        <w:rPr>
          <w:rFonts w:cs="Verdana"/>
          <w:sz w:val="20"/>
          <w:szCs w:val="20"/>
          <w:lang w:val="es-ES"/>
        </w:rPr>
        <w:t>H.J.R.P. y V.A.R.P.</w:t>
      </w:r>
    </w:p>
    <w:p w14:paraId="774227F0" w14:textId="77777777" w:rsidR="009D661E" w:rsidRPr="00975C02" w:rsidRDefault="009D661E" w:rsidP="00493B4F">
      <w:pPr>
        <w:spacing w:line="240" w:lineRule="auto"/>
        <w:rPr>
          <w:rFonts w:eastAsia="MS Mincho"/>
          <w:sz w:val="20"/>
          <w:szCs w:val="20"/>
          <w:lang w:val="es-ES" w:bidi="en-US"/>
        </w:rPr>
      </w:pPr>
    </w:p>
    <w:p w14:paraId="40031581" w14:textId="77777777" w:rsidR="0031175A" w:rsidRPr="00975C02" w:rsidRDefault="009D661E" w:rsidP="008E169A">
      <w:pPr>
        <w:numPr>
          <w:ilvl w:val="0"/>
          <w:numId w:val="2"/>
        </w:numPr>
        <w:tabs>
          <w:tab w:val="left" w:pos="567"/>
          <w:tab w:val="num" w:pos="5057"/>
          <w:tab w:val="num" w:pos="12305"/>
        </w:tabs>
        <w:spacing w:line="240" w:lineRule="auto"/>
        <w:ind w:left="0" w:firstLine="0"/>
        <w:rPr>
          <w:rFonts w:eastAsia="MS Mincho"/>
          <w:sz w:val="20"/>
          <w:szCs w:val="20"/>
          <w:lang w:val="es-ES" w:bidi="en-US"/>
        </w:rPr>
      </w:pPr>
      <w:r w:rsidRPr="00975C02">
        <w:rPr>
          <w:rFonts w:eastAsia="MS Mincho"/>
          <w:sz w:val="20"/>
          <w:szCs w:val="20"/>
          <w:lang w:val="es-ES" w:bidi="en-US"/>
        </w:rPr>
        <w:t>La Corte reconoce que las violaciones de derechos humanos provocadas contra V.R.P., V.P.C., N.R.P., H.</w:t>
      </w:r>
      <w:r w:rsidR="00D50E9A" w:rsidRPr="00975C02">
        <w:rPr>
          <w:rFonts w:eastAsia="MS Mincho"/>
          <w:sz w:val="20"/>
          <w:szCs w:val="20"/>
          <w:lang w:val="es-ES" w:bidi="en-US"/>
        </w:rPr>
        <w:t>J.</w:t>
      </w:r>
      <w:r w:rsidRPr="00975C02">
        <w:rPr>
          <w:rFonts w:eastAsia="MS Mincho"/>
          <w:sz w:val="20"/>
          <w:szCs w:val="20"/>
          <w:lang w:val="es-ES" w:bidi="en-US"/>
        </w:rPr>
        <w:t>R.P. y V.A.R.P., produjeron una afectación de su desarrollo personal y de su vida familiar, así como también una alteración de sus relaciones sociales</w:t>
      </w:r>
      <w:r w:rsidR="00D50E9A" w:rsidRPr="00975C02">
        <w:rPr>
          <w:rFonts w:eastAsia="MS Mincho"/>
          <w:sz w:val="20"/>
          <w:szCs w:val="20"/>
          <w:lang w:val="es-ES" w:bidi="en-US"/>
        </w:rPr>
        <w:t>, es decir un daño a su proyecto de vida.</w:t>
      </w:r>
      <w:r w:rsidRPr="00975C02">
        <w:rPr>
          <w:rFonts w:eastAsia="MS Mincho"/>
          <w:sz w:val="20"/>
          <w:szCs w:val="20"/>
          <w:lang w:val="es-ES" w:bidi="en-US"/>
        </w:rPr>
        <w:t xml:space="preserve"> No obstante, el Tribunal considera que tales perjuicios se encuentran comprendidos dentro del daño inmaterial</w:t>
      </w:r>
      <w:r w:rsidR="00D50E9A" w:rsidRPr="00975C02">
        <w:rPr>
          <w:rFonts w:eastAsia="MS Mincho"/>
          <w:sz w:val="20"/>
          <w:szCs w:val="20"/>
          <w:lang w:val="es-ES" w:bidi="en-US"/>
        </w:rPr>
        <w:t xml:space="preserve">, así como dentro de otras medidas de reparación </w:t>
      </w:r>
      <w:r w:rsidR="0031175A" w:rsidRPr="00975C02">
        <w:rPr>
          <w:rFonts w:eastAsia="MS Mincho"/>
          <w:sz w:val="20"/>
          <w:szCs w:val="20"/>
          <w:lang w:val="es-ES" w:bidi="en-US"/>
        </w:rPr>
        <w:t xml:space="preserve">ya ordenadas en la presente Sentencia, como las </w:t>
      </w:r>
      <w:r w:rsidR="00D50E9A" w:rsidRPr="00975C02">
        <w:rPr>
          <w:rFonts w:eastAsia="MS Mincho"/>
          <w:sz w:val="20"/>
          <w:szCs w:val="20"/>
          <w:lang w:val="es-ES" w:bidi="en-US"/>
        </w:rPr>
        <w:t xml:space="preserve">becas de estudio y </w:t>
      </w:r>
      <w:r w:rsidR="0031175A" w:rsidRPr="00975C02">
        <w:rPr>
          <w:rFonts w:eastAsia="MS Mincho"/>
          <w:sz w:val="20"/>
          <w:szCs w:val="20"/>
          <w:lang w:val="es-ES" w:bidi="en-US"/>
        </w:rPr>
        <w:t xml:space="preserve">las medidas </w:t>
      </w:r>
      <w:r w:rsidR="00D50E9A" w:rsidRPr="00975C02">
        <w:rPr>
          <w:rFonts w:eastAsia="MS Mincho"/>
          <w:sz w:val="20"/>
          <w:szCs w:val="20"/>
          <w:lang w:val="es-ES" w:bidi="en-US"/>
        </w:rPr>
        <w:t>rehabilitaci</w:t>
      </w:r>
      <w:r w:rsidR="0031175A" w:rsidRPr="00975C02">
        <w:rPr>
          <w:rFonts w:eastAsia="MS Mincho"/>
          <w:sz w:val="20"/>
          <w:szCs w:val="20"/>
          <w:lang w:val="es-ES" w:bidi="en-US"/>
        </w:rPr>
        <w:t>ón</w:t>
      </w:r>
      <w:r w:rsidR="00D50E9A" w:rsidRPr="00975C02">
        <w:rPr>
          <w:rFonts w:eastAsia="MS Mincho"/>
          <w:sz w:val="20"/>
          <w:szCs w:val="20"/>
          <w:lang w:val="es-ES" w:bidi="en-US"/>
        </w:rPr>
        <w:t xml:space="preserve">. </w:t>
      </w:r>
    </w:p>
    <w:p w14:paraId="515CBE51" w14:textId="77777777" w:rsidR="009D661E" w:rsidRPr="00975C02" w:rsidRDefault="009D661E" w:rsidP="0031175A">
      <w:pPr>
        <w:tabs>
          <w:tab w:val="left" w:pos="567"/>
        </w:tabs>
        <w:spacing w:line="240" w:lineRule="auto"/>
        <w:textAlignment w:val="auto"/>
        <w:rPr>
          <w:rFonts w:eastAsia="MS Mincho"/>
          <w:sz w:val="20"/>
          <w:szCs w:val="20"/>
          <w:lang w:val="es-ES" w:bidi="en-US"/>
        </w:rPr>
      </w:pPr>
    </w:p>
    <w:p w14:paraId="6DFE1C10" w14:textId="77777777" w:rsidR="009D661E" w:rsidRPr="00975C02" w:rsidRDefault="009D661E" w:rsidP="002C415B">
      <w:pPr>
        <w:keepNext/>
        <w:keepLines/>
        <w:numPr>
          <w:ilvl w:val="0"/>
          <w:numId w:val="11"/>
        </w:numPr>
        <w:tabs>
          <w:tab w:val="left" w:pos="567"/>
          <w:tab w:val="left" w:pos="1134"/>
        </w:tabs>
        <w:spacing w:line="240" w:lineRule="auto"/>
        <w:ind w:left="567" w:firstLine="0"/>
        <w:textAlignment w:val="auto"/>
        <w:outlineLvl w:val="1"/>
        <w:rPr>
          <w:rFonts w:eastAsia="MS Mincho"/>
          <w:b/>
          <w:bCs/>
          <w:i/>
          <w:sz w:val="20"/>
          <w:szCs w:val="20"/>
          <w:lang w:val="es-ES"/>
        </w:rPr>
      </w:pPr>
      <w:bookmarkStart w:id="192" w:name="_Toc495658704"/>
      <w:bookmarkStart w:id="193" w:name="_Toc476390746"/>
      <w:bookmarkStart w:id="194" w:name="_Toc514172672"/>
      <w:r w:rsidRPr="00975C02">
        <w:rPr>
          <w:rFonts w:eastAsia="MS Mincho"/>
          <w:b/>
          <w:bCs/>
          <w:i/>
          <w:sz w:val="20"/>
          <w:szCs w:val="20"/>
          <w:lang w:val="es-ES"/>
        </w:rPr>
        <w:t>Costas y Gastos</w:t>
      </w:r>
      <w:bookmarkEnd w:id="192"/>
      <w:bookmarkEnd w:id="193"/>
      <w:bookmarkEnd w:id="194"/>
    </w:p>
    <w:p w14:paraId="48878E91" w14:textId="77777777" w:rsidR="009D661E" w:rsidRPr="00975C02" w:rsidRDefault="009D661E" w:rsidP="004F5ECE">
      <w:pPr>
        <w:tabs>
          <w:tab w:val="left" w:pos="1995"/>
        </w:tabs>
        <w:spacing w:line="240" w:lineRule="auto"/>
        <w:ind w:left="142"/>
        <w:rPr>
          <w:sz w:val="20"/>
          <w:szCs w:val="20"/>
          <w:lang w:val="es-ES"/>
        </w:rPr>
      </w:pPr>
    </w:p>
    <w:p w14:paraId="13753B27" w14:textId="519D0BD5" w:rsidR="009D661E" w:rsidRPr="00975C02" w:rsidRDefault="009D661E" w:rsidP="004F5ECE">
      <w:pPr>
        <w:numPr>
          <w:ilvl w:val="0"/>
          <w:numId w:val="2"/>
        </w:numPr>
        <w:tabs>
          <w:tab w:val="left" w:pos="567"/>
          <w:tab w:val="num" w:pos="5057"/>
        </w:tabs>
        <w:spacing w:line="240" w:lineRule="auto"/>
        <w:ind w:left="0" w:firstLine="0"/>
        <w:textAlignment w:val="auto"/>
        <w:rPr>
          <w:sz w:val="20"/>
          <w:szCs w:val="20"/>
          <w:lang w:val="es-ES"/>
        </w:rPr>
      </w:pPr>
      <w:r w:rsidRPr="00975C02">
        <w:rPr>
          <w:rFonts w:eastAsia="MS Mincho"/>
          <w:sz w:val="20"/>
          <w:szCs w:val="20"/>
          <w:lang w:val="es-ES" w:bidi="en-US"/>
        </w:rPr>
        <w:t xml:space="preserve">Las </w:t>
      </w:r>
      <w:r w:rsidRPr="00975C02">
        <w:rPr>
          <w:rFonts w:eastAsia="MS Mincho"/>
          <w:b/>
          <w:i/>
          <w:sz w:val="20"/>
          <w:szCs w:val="20"/>
          <w:lang w:val="es-ES" w:bidi="en-US"/>
        </w:rPr>
        <w:t>representantes</w:t>
      </w:r>
      <w:r w:rsidRPr="00975C02">
        <w:rPr>
          <w:rFonts w:eastAsia="MS Mincho"/>
          <w:sz w:val="20"/>
          <w:szCs w:val="20"/>
          <w:lang w:val="es-ES" w:bidi="en-US"/>
        </w:rPr>
        <w:t xml:space="preserve"> </w:t>
      </w:r>
      <w:r w:rsidRPr="00975C02">
        <w:rPr>
          <w:sz w:val="20"/>
          <w:szCs w:val="20"/>
          <w:lang w:val="es-ES"/>
        </w:rPr>
        <w:t>s</w:t>
      </w:r>
      <w:r w:rsidRPr="00975C02">
        <w:rPr>
          <w:rFonts w:eastAsia="Verdana" w:cs="Verdana"/>
          <w:sz w:val="20"/>
          <w:szCs w:val="20"/>
          <w:lang w:val="es-ES"/>
        </w:rPr>
        <w:t>olicitaron a la Corte que ordenara al Estado el pago de las costas y gastos que se hayan originado y originen en la tramitación del caso, tanto en el ámbito interno como ante el sistema interamericano.</w:t>
      </w:r>
    </w:p>
    <w:p w14:paraId="136AFEEB" w14:textId="77777777" w:rsidR="009D661E" w:rsidRPr="00975C02" w:rsidRDefault="009D661E" w:rsidP="004F5ECE">
      <w:pPr>
        <w:tabs>
          <w:tab w:val="left" w:pos="567"/>
        </w:tabs>
        <w:spacing w:line="240" w:lineRule="auto"/>
        <w:textAlignment w:val="auto"/>
        <w:rPr>
          <w:sz w:val="20"/>
          <w:szCs w:val="20"/>
          <w:lang w:val="es-ES"/>
        </w:rPr>
      </w:pPr>
    </w:p>
    <w:p w14:paraId="0AC2363F" w14:textId="77777777" w:rsidR="009D661E" w:rsidRPr="00975C02" w:rsidRDefault="009D661E" w:rsidP="00B26781">
      <w:pPr>
        <w:numPr>
          <w:ilvl w:val="0"/>
          <w:numId w:val="2"/>
        </w:numPr>
        <w:tabs>
          <w:tab w:val="left" w:pos="567"/>
          <w:tab w:val="num" w:pos="5057"/>
        </w:tabs>
        <w:spacing w:line="240" w:lineRule="auto"/>
        <w:ind w:left="0" w:firstLine="0"/>
        <w:textAlignment w:val="auto"/>
        <w:rPr>
          <w:sz w:val="20"/>
          <w:szCs w:val="20"/>
          <w:lang w:val="es-ES"/>
        </w:rPr>
      </w:pPr>
      <w:r w:rsidRPr="00975C02">
        <w:rPr>
          <w:rFonts w:eastAsia="MS Mincho"/>
          <w:sz w:val="20"/>
          <w:szCs w:val="20"/>
          <w:lang w:val="es-ES" w:bidi="en-US"/>
        </w:rPr>
        <w:t xml:space="preserve">Ni el </w:t>
      </w:r>
      <w:r w:rsidRPr="00975C02">
        <w:rPr>
          <w:rFonts w:eastAsia="MS Mincho"/>
          <w:b/>
          <w:i/>
          <w:sz w:val="20"/>
          <w:szCs w:val="20"/>
          <w:lang w:val="es-ES" w:bidi="en-US"/>
        </w:rPr>
        <w:t xml:space="preserve">Estado </w:t>
      </w:r>
      <w:r w:rsidRPr="00975C02">
        <w:rPr>
          <w:rFonts w:eastAsia="MS Mincho"/>
          <w:sz w:val="20"/>
          <w:szCs w:val="20"/>
          <w:lang w:val="es-ES" w:bidi="en-US"/>
        </w:rPr>
        <w:t>ni la</w:t>
      </w:r>
      <w:r w:rsidRPr="00975C02">
        <w:rPr>
          <w:rFonts w:eastAsia="MS Mincho"/>
          <w:b/>
          <w:i/>
          <w:sz w:val="20"/>
          <w:szCs w:val="20"/>
          <w:lang w:val="es-ES" w:bidi="en-US"/>
        </w:rPr>
        <w:t xml:space="preserve"> Comisión</w:t>
      </w:r>
      <w:r w:rsidRPr="00975C02">
        <w:rPr>
          <w:rFonts w:eastAsia="MS Mincho"/>
          <w:b/>
          <w:sz w:val="20"/>
          <w:szCs w:val="20"/>
          <w:lang w:val="es-ES" w:bidi="en-US"/>
        </w:rPr>
        <w:t xml:space="preserve"> </w:t>
      </w:r>
      <w:r w:rsidRPr="00975C02">
        <w:rPr>
          <w:rFonts w:eastAsia="MS Mincho"/>
          <w:sz w:val="20"/>
          <w:szCs w:val="20"/>
          <w:lang w:val="es-ES" w:bidi="en-US"/>
        </w:rPr>
        <w:t>presentaron alegatos específicos sobre este punto.</w:t>
      </w:r>
    </w:p>
    <w:p w14:paraId="57A7BD31" w14:textId="77777777" w:rsidR="009D661E" w:rsidRPr="00975C02" w:rsidRDefault="009D661E" w:rsidP="00B26781">
      <w:pPr>
        <w:pStyle w:val="ListParagraph"/>
        <w:spacing w:line="240" w:lineRule="auto"/>
        <w:rPr>
          <w:sz w:val="20"/>
          <w:szCs w:val="20"/>
          <w:lang w:val="es-ES"/>
        </w:rPr>
      </w:pPr>
    </w:p>
    <w:p w14:paraId="5911E461" w14:textId="77777777" w:rsidR="009D661E" w:rsidRPr="00975C02" w:rsidRDefault="009D661E" w:rsidP="00B26781">
      <w:pPr>
        <w:numPr>
          <w:ilvl w:val="0"/>
          <w:numId w:val="2"/>
        </w:numPr>
        <w:tabs>
          <w:tab w:val="left" w:pos="567"/>
          <w:tab w:val="num" w:pos="5057"/>
        </w:tabs>
        <w:spacing w:line="240" w:lineRule="auto"/>
        <w:ind w:left="0" w:firstLine="0"/>
        <w:textAlignment w:val="auto"/>
        <w:rPr>
          <w:sz w:val="20"/>
          <w:szCs w:val="20"/>
          <w:lang w:val="es-ES"/>
        </w:rPr>
      </w:pPr>
      <w:r w:rsidRPr="00975C02">
        <w:rPr>
          <w:rFonts w:cs="Verdana"/>
          <w:bCs/>
          <w:iCs/>
          <w:sz w:val="20"/>
          <w:szCs w:val="20"/>
          <w:lang w:val="es-ES"/>
        </w:rPr>
        <w:t>La Corte reitera que, conforme a su jurisprudencia</w:t>
      </w:r>
      <w:r w:rsidRPr="00975C02">
        <w:rPr>
          <w:rFonts w:cs="Verdana"/>
          <w:bCs/>
          <w:iCs/>
          <w:sz w:val="20"/>
          <w:szCs w:val="20"/>
          <w:vertAlign w:val="superscript"/>
          <w:lang w:val="es-ES"/>
        </w:rPr>
        <w:footnoteReference w:id="452"/>
      </w:r>
      <w:r w:rsidRPr="00975C02">
        <w:rPr>
          <w:rFonts w:cs="Verdana"/>
          <w:bCs/>
          <w:iCs/>
          <w:sz w:val="20"/>
          <w:szCs w:val="20"/>
          <w:lang w:val="es-ES"/>
        </w:rPr>
        <w:t xml:space="preserve">, las costas y gastos hacen parte del concepto de reparación, toda vez que la actividad desplegada por las víctimas con el fin de obtener justicia, tanto a nivel nacional como internacional, implica erogaciones que deben ser compensadas cuando la responsabilidad internacional del Estado es declarada mediante una sentencia condenatoria. En cuanto al reembolso de las costas y gastos, corresponde al Tribunal apreciar prudentemente su alcance, el cual comprende los gastos generados ante las autoridades de la jurisdicción interna, así como los generados en el curso del proceso ante el sistema interamericano, teniendo en cuenta las circunstancias del caso concreto y la naturaleza de la jurisdicción internacional de protección de derechos humanos. Esta apreciación puede ser realizada con base en el principio de equidad y tomando en cuenta los gastos señalados por las partes, siempre que su </w:t>
      </w:r>
      <w:r w:rsidRPr="00975C02">
        <w:rPr>
          <w:rFonts w:cs="Verdana"/>
          <w:bCs/>
          <w:i/>
          <w:iCs/>
          <w:sz w:val="20"/>
          <w:szCs w:val="20"/>
          <w:lang w:val="es-ES"/>
        </w:rPr>
        <w:t xml:space="preserve">quantum </w:t>
      </w:r>
      <w:r w:rsidRPr="00975C02">
        <w:rPr>
          <w:rFonts w:cs="Verdana"/>
          <w:bCs/>
          <w:iCs/>
          <w:sz w:val="20"/>
          <w:szCs w:val="20"/>
          <w:lang w:val="es-ES"/>
        </w:rPr>
        <w:t>sea razonable</w:t>
      </w:r>
      <w:r w:rsidRPr="00975C02">
        <w:rPr>
          <w:rFonts w:cs="Verdana"/>
          <w:bCs/>
          <w:iCs/>
          <w:sz w:val="20"/>
          <w:szCs w:val="20"/>
          <w:vertAlign w:val="superscript"/>
          <w:lang w:val="es-ES"/>
        </w:rPr>
        <w:footnoteReference w:id="453"/>
      </w:r>
      <w:r w:rsidRPr="00975C02">
        <w:rPr>
          <w:rFonts w:cs="Verdana"/>
          <w:bCs/>
          <w:iCs/>
          <w:sz w:val="20"/>
          <w:szCs w:val="20"/>
          <w:lang w:val="es-ES"/>
        </w:rPr>
        <w:t>.</w:t>
      </w:r>
    </w:p>
    <w:p w14:paraId="1E734671" w14:textId="77777777" w:rsidR="002E0836" w:rsidRPr="00975C02" w:rsidRDefault="002E0836" w:rsidP="00DF3D71">
      <w:pPr>
        <w:pStyle w:val="ListParagraph"/>
        <w:spacing w:line="240" w:lineRule="auto"/>
        <w:rPr>
          <w:sz w:val="20"/>
          <w:szCs w:val="20"/>
          <w:lang w:val="es-ES"/>
        </w:rPr>
      </w:pPr>
    </w:p>
    <w:p w14:paraId="4762116D" w14:textId="77777777" w:rsidR="002E0836" w:rsidRPr="00975C02" w:rsidRDefault="002E0836" w:rsidP="002E0836">
      <w:pPr>
        <w:numPr>
          <w:ilvl w:val="0"/>
          <w:numId w:val="2"/>
        </w:numPr>
        <w:tabs>
          <w:tab w:val="left" w:pos="567"/>
          <w:tab w:val="num" w:pos="5057"/>
        </w:tabs>
        <w:spacing w:line="240" w:lineRule="auto"/>
        <w:ind w:left="0" w:firstLine="0"/>
        <w:rPr>
          <w:rFonts w:eastAsia="MS Mincho"/>
          <w:sz w:val="20"/>
          <w:szCs w:val="20"/>
          <w:lang w:val="es-ES" w:bidi="en-US"/>
        </w:rPr>
      </w:pPr>
      <w:r w:rsidRPr="00975C02">
        <w:rPr>
          <w:rFonts w:eastAsia="MS Mincho"/>
          <w:sz w:val="20"/>
          <w:szCs w:val="20"/>
          <w:lang w:val="es-ES" w:bidi="en-US"/>
        </w:rPr>
        <w:t>El Tribunal ha señalado que “las pretensiones de las víctimas o sus representantes en materia de costas y gastos, y las pruebas que las sustentan, deben presentarse a la Corte en el primer momento procesal que se les concede, esto es, en el escrito de solicitudes y argumentos, sin perjuicio de que tales pretensiones se actualicen en un momento posterior, conforme a las nuevas costas y gastos en que se haya incurrido con ocasión del procedimiento ante esta Corte”</w:t>
      </w:r>
      <w:r w:rsidRPr="00975C02">
        <w:rPr>
          <w:rFonts w:eastAsia="MS Mincho"/>
          <w:sz w:val="20"/>
          <w:szCs w:val="20"/>
          <w:vertAlign w:val="superscript"/>
          <w:lang w:val="es-ES" w:bidi="en-US"/>
        </w:rPr>
        <w:footnoteReference w:id="454"/>
      </w:r>
      <w:r w:rsidRPr="00975C02">
        <w:rPr>
          <w:rFonts w:eastAsia="MS Mincho"/>
          <w:sz w:val="20"/>
          <w:szCs w:val="20"/>
          <w:lang w:val="es-ES" w:bidi="en-US"/>
        </w:rPr>
        <w:t>. Asimismo, la Corte reitera que no es suficiente la remisión de documentos probatorios, sino que se requiere que las partes hagan una argumentación que relacione la prueba con el hecho que se considera representado, y que, al tratarse de alegados desembolsos económicos, se establezcan con claridad los rubros y la justificación de los mismos</w:t>
      </w:r>
      <w:r w:rsidRPr="00975C02">
        <w:rPr>
          <w:rFonts w:eastAsia="MS Mincho"/>
          <w:sz w:val="20"/>
          <w:szCs w:val="20"/>
          <w:vertAlign w:val="superscript"/>
          <w:lang w:val="es-ES" w:bidi="en-US"/>
        </w:rPr>
        <w:footnoteReference w:id="455"/>
      </w:r>
      <w:r w:rsidRPr="00975C02">
        <w:rPr>
          <w:rFonts w:eastAsia="MS Mincho"/>
          <w:sz w:val="20"/>
          <w:szCs w:val="20"/>
          <w:lang w:val="es-ES" w:bidi="en-US"/>
        </w:rPr>
        <w:t>.</w:t>
      </w:r>
    </w:p>
    <w:p w14:paraId="18435B2A" w14:textId="77777777" w:rsidR="002E0836" w:rsidRPr="00975C02" w:rsidRDefault="002E0836" w:rsidP="00044A68">
      <w:pPr>
        <w:tabs>
          <w:tab w:val="left" w:pos="720"/>
        </w:tabs>
        <w:spacing w:line="240" w:lineRule="auto"/>
        <w:rPr>
          <w:rFonts w:eastAsia="Times"/>
          <w:sz w:val="20"/>
          <w:szCs w:val="20"/>
          <w:lang w:val="es-ES"/>
        </w:rPr>
      </w:pPr>
    </w:p>
    <w:p w14:paraId="6B0D288E" w14:textId="10DFDA0B" w:rsidR="002E0836" w:rsidRPr="00975C02" w:rsidRDefault="002E0836" w:rsidP="00DF3D71">
      <w:pPr>
        <w:numPr>
          <w:ilvl w:val="0"/>
          <w:numId w:val="2"/>
        </w:numPr>
        <w:tabs>
          <w:tab w:val="left" w:pos="567"/>
          <w:tab w:val="num" w:pos="5057"/>
        </w:tabs>
        <w:spacing w:line="240" w:lineRule="auto"/>
        <w:ind w:left="0" w:firstLine="0"/>
        <w:rPr>
          <w:rFonts w:eastAsia="Batang"/>
          <w:sz w:val="20"/>
          <w:szCs w:val="20"/>
          <w:lang w:val="es-ES"/>
        </w:rPr>
      </w:pPr>
      <w:r w:rsidRPr="00975C02">
        <w:rPr>
          <w:sz w:val="20"/>
          <w:szCs w:val="20"/>
          <w:lang w:val="es-ES"/>
        </w:rPr>
        <w:t xml:space="preserve">La Corte nota que </w:t>
      </w:r>
      <w:r w:rsidRPr="00975C02">
        <w:rPr>
          <w:rFonts w:eastAsia="MS Mincho" w:cs="Arial"/>
          <w:sz w:val="20"/>
          <w:szCs w:val="20"/>
          <w:lang w:val="es-ES" w:bidi="en-US"/>
        </w:rPr>
        <w:t xml:space="preserve">no fueron </w:t>
      </w:r>
      <w:r w:rsidR="00044A68" w:rsidRPr="00975C02">
        <w:rPr>
          <w:rFonts w:eastAsia="MS Mincho" w:cs="Arial"/>
          <w:sz w:val="20"/>
          <w:szCs w:val="20"/>
          <w:lang w:val="es-ES" w:bidi="en-US"/>
        </w:rPr>
        <w:t xml:space="preserve">aportados comprobantes de los gastos derivados de la búsqueda de justicia a nivel interno por la violación sexual de V.R.P., de diversos gastos legales por la interposición de quejas y denuncias contra distintas autoridades, de gastos legales por el proceso de asilo iniciado por V.P.C. </w:t>
      </w:r>
      <w:r w:rsidR="006A6D9B" w:rsidRPr="00975C02">
        <w:rPr>
          <w:rFonts w:eastAsia="MS Mincho" w:cs="Arial"/>
          <w:sz w:val="20"/>
          <w:szCs w:val="20"/>
          <w:lang w:val="es-ES" w:bidi="en-US"/>
        </w:rPr>
        <w:t xml:space="preserve">y sus hijas en los Estados Unidos, </w:t>
      </w:r>
      <w:r w:rsidR="00044A68" w:rsidRPr="00975C02">
        <w:rPr>
          <w:rFonts w:eastAsia="MS Mincho" w:cs="Arial"/>
          <w:sz w:val="20"/>
          <w:szCs w:val="20"/>
          <w:lang w:val="es-ES" w:bidi="en-US"/>
        </w:rPr>
        <w:t xml:space="preserve">ni de aquellos que las representantes alegaron incurrir ante la Comisión. Sin perjuicio de ello, la Corte considera que </w:t>
      </w:r>
      <w:r w:rsidRPr="00975C02">
        <w:rPr>
          <w:rFonts w:eastAsia="MS Mincho" w:cs="Arial"/>
          <w:sz w:val="20"/>
          <w:szCs w:val="20"/>
          <w:lang w:val="es-ES" w:bidi="en-US"/>
        </w:rPr>
        <w:t xml:space="preserve">es de presumir que </w:t>
      </w:r>
      <w:r w:rsidR="00044A68" w:rsidRPr="00975C02">
        <w:rPr>
          <w:rFonts w:eastAsia="MS Mincho" w:cs="Arial"/>
          <w:sz w:val="20"/>
          <w:szCs w:val="20"/>
          <w:lang w:val="es-ES" w:bidi="en-US"/>
        </w:rPr>
        <w:t>V.P.C. incurrió</w:t>
      </w:r>
      <w:r w:rsidRPr="00975C02">
        <w:rPr>
          <w:rFonts w:eastAsia="MS Mincho" w:cs="Arial"/>
          <w:sz w:val="20"/>
          <w:szCs w:val="20"/>
          <w:lang w:val="es-ES" w:bidi="en-US"/>
        </w:rPr>
        <w:t xml:space="preserve"> en gastos adicionales </w:t>
      </w:r>
      <w:r w:rsidR="006A6D9B" w:rsidRPr="00975C02">
        <w:rPr>
          <w:rFonts w:eastAsia="MS Mincho" w:cs="Arial"/>
          <w:sz w:val="20"/>
          <w:szCs w:val="20"/>
          <w:lang w:val="es-ES" w:bidi="en-US"/>
        </w:rPr>
        <w:t>con base en</w:t>
      </w:r>
      <w:r w:rsidRPr="00975C02">
        <w:rPr>
          <w:rFonts w:eastAsia="MS Mincho" w:cs="Arial"/>
          <w:sz w:val="20"/>
          <w:szCs w:val="20"/>
          <w:lang w:val="es-ES" w:bidi="en-US"/>
        </w:rPr>
        <w:t xml:space="preserve"> la búsqueda de justicia a nivel interno y ante el sistema interamericano</w:t>
      </w:r>
      <w:r w:rsidR="00044A68" w:rsidRPr="00975C02">
        <w:rPr>
          <w:rFonts w:eastAsia="MS Mincho" w:cs="Arial"/>
          <w:sz w:val="20"/>
          <w:szCs w:val="20"/>
          <w:lang w:val="es-ES" w:bidi="en-US"/>
        </w:rPr>
        <w:t xml:space="preserve">, en particular </w:t>
      </w:r>
      <w:r w:rsidR="00357211" w:rsidRPr="00975C02">
        <w:rPr>
          <w:rFonts w:eastAsia="MS Mincho" w:cs="Arial"/>
          <w:sz w:val="20"/>
          <w:szCs w:val="20"/>
          <w:lang w:val="es-ES" w:bidi="en-US"/>
        </w:rPr>
        <w:t xml:space="preserve">en el trámite ante </w:t>
      </w:r>
      <w:r w:rsidR="00044A68" w:rsidRPr="00975C02">
        <w:rPr>
          <w:rFonts w:eastAsia="MS Mincho" w:cs="Arial"/>
          <w:sz w:val="20"/>
          <w:szCs w:val="20"/>
          <w:lang w:val="es-ES" w:bidi="en-US"/>
        </w:rPr>
        <w:t>la Comisión Interamericana.</w:t>
      </w:r>
      <w:r w:rsidRPr="00975C02">
        <w:rPr>
          <w:rFonts w:eastAsia="MS Mincho" w:cs="Arial"/>
          <w:sz w:val="20"/>
          <w:szCs w:val="20"/>
          <w:lang w:val="es-ES" w:bidi="en-US"/>
        </w:rPr>
        <w:t xml:space="preserve"> </w:t>
      </w:r>
      <w:r w:rsidR="00192F16" w:rsidRPr="00975C02">
        <w:rPr>
          <w:sz w:val="20"/>
          <w:lang w:val="es-ES"/>
        </w:rPr>
        <w:t xml:space="preserve">La Corte considera preciso indicar que dicho monto no incluye el pago por concepto de gastos incurridos </w:t>
      </w:r>
      <w:r w:rsidR="00FC7260" w:rsidRPr="00975C02">
        <w:rPr>
          <w:sz w:val="20"/>
          <w:lang w:val="es-ES"/>
        </w:rPr>
        <w:t>a raíz</w:t>
      </w:r>
      <w:r w:rsidR="00192F16" w:rsidRPr="00975C02">
        <w:rPr>
          <w:sz w:val="20"/>
          <w:lang w:val="es-ES"/>
        </w:rPr>
        <w:t xml:space="preserve"> </w:t>
      </w:r>
      <w:r w:rsidR="00FC7260" w:rsidRPr="00975C02">
        <w:rPr>
          <w:sz w:val="20"/>
          <w:lang w:val="es-ES"/>
        </w:rPr>
        <w:t>d</w:t>
      </w:r>
      <w:r w:rsidR="00192F16" w:rsidRPr="00975C02">
        <w:rPr>
          <w:sz w:val="20"/>
          <w:lang w:val="es-ES"/>
        </w:rPr>
        <w:t>el proceso ante esta Corte, los cuales fueron cubiertos por el Fondo de Asistencia Legal de Víctimas (</w:t>
      </w:r>
      <w:r w:rsidR="00192F16" w:rsidRPr="00975C02">
        <w:rPr>
          <w:i/>
          <w:sz w:val="20"/>
          <w:lang w:val="es-ES"/>
        </w:rPr>
        <w:t>infra</w:t>
      </w:r>
      <w:r w:rsidR="00FC7260" w:rsidRPr="00975C02">
        <w:rPr>
          <w:sz w:val="20"/>
          <w:lang w:val="es-ES"/>
        </w:rPr>
        <w:t xml:space="preserve"> párr. 434).</w:t>
      </w:r>
    </w:p>
    <w:p w14:paraId="72D9C8AB" w14:textId="77777777" w:rsidR="00044A68" w:rsidRPr="00975C02" w:rsidRDefault="00044A68" w:rsidP="00044A68">
      <w:pPr>
        <w:tabs>
          <w:tab w:val="left" w:pos="567"/>
        </w:tabs>
        <w:spacing w:line="240" w:lineRule="auto"/>
        <w:rPr>
          <w:rFonts w:eastAsia="Batang"/>
          <w:sz w:val="20"/>
          <w:szCs w:val="20"/>
          <w:lang w:val="es-ES"/>
        </w:rPr>
      </w:pPr>
    </w:p>
    <w:p w14:paraId="27F43658" w14:textId="454129A6" w:rsidR="009D661E" w:rsidRPr="00975C02" w:rsidRDefault="002E0836" w:rsidP="00DF3D71">
      <w:pPr>
        <w:numPr>
          <w:ilvl w:val="0"/>
          <w:numId w:val="2"/>
        </w:numPr>
        <w:tabs>
          <w:tab w:val="left" w:pos="567"/>
          <w:tab w:val="num" w:pos="5057"/>
          <w:tab w:val="num" w:pos="11028"/>
        </w:tabs>
        <w:spacing w:line="240" w:lineRule="auto"/>
        <w:ind w:left="0" w:right="-90" w:firstLine="0"/>
        <w:rPr>
          <w:sz w:val="20"/>
          <w:szCs w:val="20"/>
          <w:lang w:val="es-ES"/>
        </w:rPr>
      </w:pPr>
      <w:bookmarkStart w:id="195" w:name="_Ref455680884"/>
      <w:r w:rsidRPr="00975C02">
        <w:rPr>
          <w:rFonts w:eastAsia="MS Mincho"/>
          <w:sz w:val="20"/>
          <w:szCs w:val="20"/>
          <w:lang w:val="es-ES" w:bidi="en-US"/>
        </w:rPr>
        <w:t>En consecuencia, la Corte decide fijar</w:t>
      </w:r>
      <w:r w:rsidR="00044A68" w:rsidRPr="00975C02">
        <w:rPr>
          <w:rFonts w:eastAsia="MS Mincho"/>
          <w:sz w:val="20"/>
          <w:szCs w:val="20"/>
          <w:lang w:val="es-ES" w:bidi="en-US"/>
        </w:rPr>
        <w:t xml:space="preserve"> </w:t>
      </w:r>
      <w:r w:rsidRPr="00975C02">
        <w:rPr>
          <w:rFonts w:eastAsia="MS Mincho" w:cs="Verdana"/>
          <w:sz w:val="20"/>
          <w:szCs w:val="20"/>
          <w:lang w:val="es-ES" w:bidi="en-US"/>
        </w:rPr>
        <w:t xml:space="preserve">el pago de un monto total </w:t>
      </w:r>
      <w:r w:rsidR="00044A68" w:rsidRPr="00975C02">
        <w:rPr>
          <w:rFonts w:eastAsia="MS Mincho" w:cs="Verdana"/>
          <w:sz w:val="20"/>
          <w:szCs w:val="20"/>
          <w:lang w:val="es-ES" w:bidi="en-US"/>
        </w:rPr>
        <w:t xml:space="preserve">razonable </w:t>
      </w:r>
      <w:r w:rsidRPr="00975C02">
        <w:rPr>
          <w:rFonts w:eastAsia="MS Mincho" w:cs="Verdana"/>
          <w:sz w:val="20"/>
          <w:szCs w:val="20"/>
          <w:lang w:val="es-ES" w:bidi="en-US"/>
        </w:rPr>
        <w:t xml:space="preserve">de </w:t>
      </w:r>
      <w:r w:rsidRPr="00975C02">
        <w:rPr>
          <w:sz w:val="20"/>
          <w:szCs w:val="20"/>
          <w:lang w:val="es-ES"/>
        </w:rPr>
        <w:t xml:space="preserve">US$ </w:t>
      </w:r>
      <w:r w:rsidR="00D4268B" w:rsidRPr="00975C02">
        <w:rPr>
          <w:rFonts w:cs="Verdana"/>
          <w:sz w:val="20"/>
          <w:szCs w:val="20"/>
          <w:lang w:val="es-ES"/>
        </w:rPr>
        <w:t>15</w:t>
      </w:r>
      <w:r w:rsidRPr="00975C02">
        <w:rPr>
          <w:rFonts w:cs="Verdana"/>
          <w:sz w:val="20"/>
          <w:szCs w:val="20"/>
          <w:lang w:val="es-ES"/>
        </w:rPr>
        <w:t>.000,00</w:t>
      </w:r>
      <w:r w:rsidR="00044A68" w:rsidRPr="00975C02">
        <w:rPr>
          <w:rFonts w:cs="Verdana"/>
          <w:sz w:val="20"/>
          <w:szCs w:val="20"/>
          <w:lang w:val="es-ES"/>
        </w:rPr>
        <w:t xml:space="preserve"> (</w:t>
      </w:r>
      <w:r w:rsidR="00D4268B" w:rsidRPr="00975C02">
        <w:rPr>
          <w:rFonts w:cs="Verdana"/>
          <w:sz w:val="20"/>
          <w:szCs w:val="20"/>
          <w:lang w:val="es-ES"/>
        </w:rPr>
        <w:t>quince</w:t>
      </w:r>
      <w:r w:rsidRPr="00975C02">
        <w:rPr>
          <w:rFonts w:cs="Verdana"/>
          <w:sz w:val="20"/>
          <w:szCs w:val="20"/>
          <w:lang w:val="es-ES"/>
        </w:rPr>
        <w:t xml:space="preserve"> mil dólares de los Estados Unidos de América)</w:t>
      </w:r>
      <w:r w:rsidRPr="00975C02">
        <w:rPr>
          <w:rFonts w:eastAsia="MS Mincho" w:cs="Verdana"/>
          <w:sz w:val="20"/>
          <w:szCs w:val="20"/>
          <w:lang w:val="es-ES" w:bidi="en-US"/>
        </w:rPr>
        <w:t xml:space="preserve"> por</w:t>
      </w:r>
      <w:r w:rsidRPr="00975C02">
        <w:rPr>
          <w:rFonts w:eastAsia="MS Mincho"/>
          <w:bCs/>
          <w:sz w:val="20"/>
          <w:szCs w:val="20"/>
          <w:lang w:val="es-ES" w:eastAsia="en-US" w:bidi="en-US"/>
        </w:rPr>
        <w:t xml:space="preserve"> concepto de costas y gastos. </w:t>
      </w:r>
      <w:r w:rsidRPr="00975C02">
        <w:rPr>
          <w:rFonts w:eastAsia="MS Mincho" w:cs="Verdana"/>
          <w:sz w:val="20"/>
          <w:szCs w:val="20"/>
          <w:lang w:val="es-ES" w:bidi="en-US"/>
        </w:rPr>
        <w:t xml:space="preserve">Dicha </w:t>
      </w:r>
      <w:r w:rsidRPr="00975C02">
        <w:rPr>
          <w:rFonts w:eastAsia="MS Mincho" w:cs="Verdana"/>
          <w:sz w:val="20"/>
          <w:szCs w:val="20"/>
          <w:lang w:val="es-ES" w:bidi="en-US"/>
        </w:rPr>
        <w:lastRenderedPageBreak/>
        <w:t xml:space="preserve">cantidad será entregada </w:t>
      </w:r>
      <w:r w:rsidR="00044A68" w:rsidRPr="00975C02">
        <w:rPr>
          <w:rFonts w:eastAsia="MS Mincho" w:cs="Verdana"/>
          <w:sz w:val="20"/>
          <w:szCs w:val="20"/>
          <w:lang w:val="es-ES" w:bidi="en-US"/>
        </w:rPr>
        <w:t xml:space="preserve">a la señora V.P.C. </w:t>
      </w:r>
      <w:r w:rsidRPr="00975C02">
        <w:rPr>
          <w:sz w:val="20"/>
          <w:szCs w:val="20"/>
          <w:lang w:val="es-ES"/>
        </w:rPr>
        <w:t>En el procedimiento de supervisión de cumplimiento de la presente Sentencia, el Tribunal podrá disponer el reembolso por parte del Estado a las víctimas o sus representantes de los gastos razonables debidamente comprobados en dicha etapa procesal</w:t>
      </w:r>
      <w:bookmarkEnd w:id="195"/>
      <w:r w:rsidR="009D661E" w:rsidRPr="00975C02">
        <w:rPr>
          <w:rStyle w:val="FootnoteReference"/>
          <w:sz w:val="20"/>
          <w:szCs w:val="20"/>
          <w:lang w:val="es-ES"/>
        </w:rPr>
        <w:footnoteReference w:id="456"/>
      </w:r>
      <w:r w:rsidR="009D661E" w:rsidRPr="00975C02">
        <w:rPr>
          <w:sz w:val="20"/>
          <w:szCs w:val="20"/>
          <w:lang w:val="es-ES"/>
        </w:rPr>
        <w:t>.</w:t>
      </w:r>
    </w:p>
    <w:p w14:paraId="5ED588F0" w14:textId="77777777" w:rsidR="00553F0D" w:rsidRPr="00975C02" w:rsidRDefault="00553F0D" w:rsidP="00044A68">
      <w:pPr>
        <w:tabs>
          <w:tab w:val="left" w:pos="567"/>
        </w:tabs>
        <w:spacing w:line="240" w:lineRule="auto"/>
        <w:textAlignment w:val="auto"/>
        <w:rPr>
          <w:sz w:val="20"/>
          <w:szCs w:val="20"/>
          <w:lang w:val="es-ES"/>
        </w:rPr>
      </w:pPr>
    </w:p>
    <w:p w14:paraId="40F33727" w14:textId="77777777" w:rsidR="009D661E" w:rsidRPr="00975C02" w:rsidRDefault="009D661E" w:rsidP="002C415B">
      <w:pPr>
        <w:keepNext/>
        <w:keepLines/>
        <w:numPr>
          <w:ilvl w:val="0"/>
          <w:numId w:val="11"/>
        </w:numPr>
        <w:tabs>
          <w:tab w:val="left" w:pos="567"/>
          <w:tab w:val="left" w:pos="1134"/>
        </w:tabs>
        <w:spacing w:line="240" w:lineRule="auto"/>
        <w:ind w:left="567" w:firstLine="0"/>
        <w:textAlignment w:val="auto"/>
        <w:outlineLvl w:val="1"/>
        <w:rPr>
          <w:rFonts w:eastAsia="MS Mincho"/>
          <w:b/>
          <w:bCs/>
          <w:i/>
          <w:sz w:val="20"/>
          <w:szCs w:val="20"/>
          <w:lang w:val="es-ES"/>
        </w:rPr>
      </w:pPr>
      <w:bookmarkStart w:id="196" w:name="_Toc495658705"/>
      <w:bookmarkStart w:id="197" w:name="_Toc476390747"/>
      <w:bookmarkStart w:id="198" w:name="_Toc514172673"/>
      <w:r w:rsidRPr="00975C02">
        <w:rPr>
          <w:rFonts w:eastAsia="MS Mincho"/>
          <w:b/>
          <w:bCs/>
          <w:i/>
          <w:sz w:val="20"/>
          <w:szCs w:val="20"/>
          <w:lang w:val="es-ES"/>
        </w:rPr>
        <w:t>Reintegro de los gastos al Fondo de Asistencia Legal de Víctimas</w:t>
      </w:r>
      <w:bookmarkEnd w:id="196"/>
      <w:bookmarkEnd w:id="197"/>
      <w:bookmarkEnd w:id="198"/>
    </w:p>
    <w:p w14:paraId="4D97B673" w14:textId="77777777" w:rsidR="009D661E" w:rsidRPr="00975C02" w:rsidRDefault="009D661E" w:rsidP="00044A68">
      <w:pPr>
        <w:tabs>
          <w:tab w:val="left" w:pos="720"/>
        </w:tabs>
        <w:spacing w:line="240" w:lineRule="auto"/>
        <w:ind w:left="142"/>
        <w:rPr>
          <w:sz w:val="20"/>
          <w:szCs w:val="20"/>
          <w:lang w:val="es-ES" w:bidi="en-US"/>
        </w:rPr>
      </w:pPr>
    </w:p>
    <w:p w14:paraId="503F271A" w14:textId="4186305D" w:rsidR="009D661E" w:rsidRPr="00975C02" w:rsidRDefault="009D661E" w:rsidP="00044A68">
      <w:pPr>
        <w:numPr>
          <w:ilvl w:val="0"/>
          <w:numId w:val="2"/>
        </w:numPr>
        <w:tabs>
          <w:tab w:val="left" w:pos="567"/>
          <w:tab w:val="num" w:pos="5057"/>
        </w:tabs>
        <w:spacing w:line="240" w:lineRule="auto"/>
        <w:ind w:left="0" w:firstLine="0"/>
        <w:textAlignment w:val="auto"/>
        <w:rPr>
          <w:rFonts w:eastAsia="MS Mincho" w:cs="Verdana"/>
          <w:snapToGrid w:val="0"/>
          <w:sz w:val="20"/>
          <w:szCs w:val="20"/>
          <w:lang w:val="es-ES" w:eastAsia="es-ES" w:bidi="en-US"/>
        </w:rPr>
      </w:pPr>
      <w:r w:rsidRPr="00975C02">
        <w:rPr>
          <w:rFonts w:eastAsia="MS Mincho" w:cs="Verdana"/>
          <w:snapToGrid w:val="0"/>
          <w:sz w:val="20"/>
          <w:szCs w:val="20"/>
          <w:lang w:val="es-ES" w:eastAsia="es-ES" w:bidi="en-US"/>
        </w:rPr>
        <w:t xml:space="preserve">En el 2008 la Asamblea General de la Organización de Estados Americanos creó el Fondo de </w:t>
      </w:r>
      <w:r w:rsidRPr="00975C02">
        <w:rPr>
          <w:rFonts w:eastAsia="MS Mincho"/>
          <w:sz w:val="20"/>
          <w:szCs w:val="20"/>
          <w:lang w:val="es-ES" w:bidi="en-US"/>
        </w:rPr>
        <w:t>Asistencia</w:t>
      </w:r>
      <w:r w:rsidRPr="00975C02">
        <w:rPr>
          <w:rFonts w:eastAsia="MS Mincho" w:cs="Verdana"/>
          <w:snapToGrid w:val="0"/>
          <w:sz w:val="20"/>
          <w:szCs w:val="20"/>
          <w:lang w:val="es-ES" w:eastAsia="es-ES" w:bidi="en-US"/>
        </w:rPr>
        <w:t xml:space="preserve"> Legal del Sistema Interamericano de Derechos Humanos, con el “objeto [de] facilitar acceso al sistema interamericano de derechos humanos a aquellas personas que actualmente no tienen los recursos necesarios para llevar su caso al sistema”</w:t>
      </w:r>
      <w:r w:rsidRPr="00975C02">
        <w:rPr>
          <w:rFonts w:eastAsia="MS Mincho" w:cs="Verdana"/>
          <w:snapToGrid w:val="0"/>
          <w:sz w:val="20"/>
          <w:szCs w:val="20"/>
          <w:vertAlign w:val="superscript"/>
          <w:lang w:val="es-ES" w:eastAsia="es-ES" w:bidi="en-US"/>
        </w:rPr>
        <w:footnoteReference w:id="457"/>
      </w:r>
      <w:r w:rsidRPr="00975C02">
        <w:rPr>
          <w:rFonts w:eastAsia="MS Mincho" w:cs="Verdana"/>
          <w:snapToGrid w:val="0"/>
          <w:sz w:val="20"/>
          <w:szCs w:val="20"/>
          <w:lang w:val="es-ES" w:eastAsia="es-ES" w:bidi="en-US"/>
        </w:rPr>
        <w:t>. En el presente caso, mediante Resolución del Presidente de 21 de septiembre de 2017</w:t>
      </w:r>
      <w:r w:rsidRPr="00975C02">
        <w:rPr>
          <w:rStyle w:val="FootnoteReference"/>
          <w:rFonts w:eastAsia="MS Mincho" w:cs="Verdana"/>
          <w:snapToGrid w:val="0"/>
          <w:sz w:val="20"/>
          <w:szCs w:val="20"/>
          <w:lang w:val="es-ES" w:eastAsia="es-ES" w:bidi="en-US"/>
        </w:rPr>
        <w:footnoteReference w:id="458"/>
      </w:r>
      <w:r w:rsidRPr="00975C02">
        <w:rPr>
          <w:rFonts w:eastAsia="MS Mincho" w:cs="Verdana"/>
          <w:snapToGrid w:val="0"/>
          <w:sz w:val="20"/>
          <w:szCs w:val="20"/>
          <w:lang w:val="es-ES" w:eastAsia="es-ES" w:bidi="en-US"/>
        </w:rPr>
        <w:t xml:space="preserve"> se otorgó, con cargo a dicho Fondo, la asistencia económica necesaria para cubrir </w:t>
      </w:r>
      <w:r w:rsidRPr="00975C02">
        <w:rPr>
          <w:rFonts w:eastAsia="MS Mincho" w:cs="Verdana"/>
          <w:sz w:val="20"/>
          <w:szCs w:val="20"/>
          <w:lang w:val="es-ES" w:bidi="en-US"/>
        </w:rPr>
        <w:t>los gastos de: i) viaje</w:t>
      </w:r>
      <w:r w:rsidR="00357211" w:rsidRPr="00975C02">
        <w:rPr>
          <w:rFonts w:eastAsia="MS Mincho" w:cs="Verdana"/>
          <w:sz w:val="20"/>
          <w:szCs w:val="20"/>
          <w:lang w:val="es-ES" w:bidi="en-US"/>
        </w:rPr>
        <w:t>, traslados</w:t>
      </w:r>
      <w:r w:rsidRPr="00975C02">
        <w:rPr>
          <w:rFonts w:eastAsia="MS Mincho" w:cs="Verdana"/>
          <w:sz w:val="20"/>
          <w:szCs w:val="20"/>
          <w:lang w:val="es-ES" w:bidi="en-US"/>
        </w:rPr>
        <w:t xml:space="preserve"> y estadía necesarios para que las dos defensoras interamericanas pudieran asistir a la audiencia pública a ejercer sus labores de representación de las presuntas víctimas; ii) viaje</w:t>
      </w:r>
      <w:r w:rsidR="00357211" w:rsidRPr="00975C02">
        <w:rPr>
          <w:rFonts w:eastAsia="MS Mincho" w:cs="Verdana"/>
          <w:sz w:val="20"/>
          <w:szCs w:val="20"/>
          <w:lang w:val="es-ES" w:bidi="en-US"/>
        </w:rPr>
        <w:t>, traslados</w:t>
      </w:r>
      <w:r w:rsidRPr="00975C02">
        <w:rPr>
          <w:rFonts w:eastAsia="MS Mincho" w:cs="Verdana"/>
          <w:sz w:val="20"/>
          <w:szCs w:val="20"/>
          <w:lang w:val="es-ES" w:bidi="en-US"/>
        </w:rPr>
        <w:t xml:space="preserve"> y estadía necesarios para que las señoras V.R.P. y V.P.C. y el señor Enrique Oscar Stola comparecieran en dicha audiencia a rendir su</w:t>
      </w:r>
      <w:r w:rsidR="00357211" w:rsidRPr="00975C02">
        <w:rPr>
          <w:rFonts w:eastAsia="MS Mincho" w:cs="Verdana"/>
          <w:sz w:val="20"/>
          <w:szCs w:val="20"/>
          <w:lang w:val="es-ES" w:bidi="en-US"/>
        </w:rPr>
        <w:t>s</w:t>
      </w:r>
      <w:r w:rsidRPr="00975C02">
        <w:rPr>
          <w:rFonts w:eastAsia="MS Mincho" w:cs="Verdana"/>
          <w:sz w:val="20"/>
          <w:szCs w:val="20"/>
          <w:lang w:val="es-ES" w:bidi="en-US"/>
        </w:rPr>
        <w:t xml:space="preserve"> declaraci</w:t>
      </w:r>
      <w:r w:rsidR="00357211" w:rsidRPr="00975C02">
        <w:rPr>
          <w:rFonts w:eastAsia="MS Mincho" w:cs="Verdana"/>
          <w:sz w:val="20"/>
          <w:szCs w:val="20"/>
          <w:lang w:val="es-ES" w:bidi="en-US"/>
        </w:rPr>
        <w:t>o</w:t>
      </w:r>
      <w:r w:rsidRPr="00975C02">
        <w:rPr>
          <w:rFonts w:eastAsia="MS Mincho" w:cs="Verdana"/>
          <w:sz w:val="20"/>
          <w:szCs w:val="20"/>
          <w:lang w:val="es-ES" w:bidi="en-US"/>
        </w:rPr>
        <w:t>n</w:t>
      </w:r>
      <w:r w:rsidR="00357211" w:rsidRPr="00975C02">
        <w:rPr>
          <w:rFonts w:eastAsia="MS Mincho" w:cs="Verdana"/>
          <w:sz w:val="20"/>
          <w:szCs w:val="20"/>
          <w:lang w:val="es-ES" w:bidi="en-US"/>
        </w:rPr>
        <w:t>es</w:t>
      </w:r>
      <w:r w:rsidRPr="00975C02">
        <w:rPr>
          <w:rFonts w:eastAsia="MS Mincho" w:cs="Verdana"/>
          <w:sz w:val="20"/>
          <w:szCs w:val="20"/>
          <w:lang w:val="es-ES" w:bidi="en-US"/>
        </w:rPr>
        <w:t xml:space="preserve"> y dictamen pericial, respectivamente; iii) los costos que irrogue la declaración por affidávit de </w:t>
      </w:r>
      <w:r w:rsidR="00EA3818" w:rsidRPr="00975C02">
        <w:rPr>
          <w:rFonts w:eastAsia="MS Mincho" w:cs="Verdana"/>
          <w:sz w:val="20"/>
          <w:szCs w:val="20"/>
          <w:lang w:val="es-ES" w:bidi="en-US"/>
        </w:rPr>
        <w:t xml:space="preserve">N.R.P., </w:t>
      </w:r>
      <w:r w:rsidRPr="00975C02">
        <w:rPr>
          <w:rFonts w:eastAsia="MS Mincho" w:cs="Verdana"/>
          <w:sz w:val="20"/>
          <w:szCs w:val="20"/>
          <w:lang w:val="es-ES" w:bidi="en-US"/>
        </w:rPr>
        <w:t>H.J.R.P. y V.A.R.P.</w:t>
      </w:r>
      <w:r w:rsidR="00116D6D" w:rsidRPr="00975C02">
        <w:rPr>
          <w:rFonts w:eastAsia="MS Mincho" w:cs="Verdana"/>
          <w:sz w:val="20"/>
          <w:szCs w:val="20"/>
          <w:lang w:val="es-ES" w:bidi="en-US"/>
        </w:rPr>
        <w:t>,</w:t>
      </w:r>
      <w:r w:rsidRPr="00975C02">
        <w:rPr>
          <w:rFonts w:eastAsia="MS Mincho" w:cs="Verdana"/>
          <w:sz w:val="20"/>
          <w:szCs w:val="20"/>
          <w:lang w:val="es-ES" w:bidi="en-US"/>
        </w:rPr>
        <w:t xml:space="preserve"> y iv) los demás gastos razonables y necesarios en que hayan incurrido o puedan incurrir las defensoras interamericanas, para lo cual debían remitir al Tribunal tanto la justificación de tales gastos como sus comprobantes.</w:t>
      </w:r>
    </w:p>
    <w:p w14:paraId="21CBFBAB" w14:textId="77777777" w:rsidR="009D661E" w:rsidRPr="00975C02" w:rsidRDefault="009D661E" w:rsidP="009D661E">
      <w:pPr>
        <w:tabs>
          <w:tab w:val="left" w:pos="567"/>
        </w:tabs>
        <w:spacing w:line="240" w:lineRule="auto"/>
        <w:textAlignment w:val="auto"/>
        <w:rPr>
          <w:rFonts w:eastAsia="MS Mincho" w:cs="Verdana"/>
          <w:snapToGrid w:val="0"/>
          <w:sz w:val="20"/>
          <w:szCs w:val="20"/>
          <w:lang w:val="es-ES" w:eastAsia="es-ES" w:bidi="en-US"/>
        </w:rPr>
      </w:pPr>
    </w:p>
    <w:p w14:paraId="2982A631" w14:textId="69426236" w:rsidR="009D661E" w:rsidRPr="00975C02" w:rsidRDefault="009D661E" w:rsidP="009D661E">
      <w:pPr>
        <w:numPr>
          <w:ilvl w:val="0"/>
          <w:numId w:val="2"/>
        </w:numPr>
        <w:tabs>
          <w:tab w:val="left" w:pos="567"/>
          <w:tab w:val="num" w:pos="5057"/>
        </w:tabs>
        <w:spacing w:line="240" w:lineRule="auto"/>
        <w:ind w:left="0" w:firstLine="0"/>
        <w:textAlignment w:val="auto"/>
        <w:rPr>
          <w:rFonts w:eastAsia="MS Mincho" w:cs="Verdana"/>
          <w:snapToGrid w:val="0"/>
          <w:sz w:val="20"/>
          <w:szCs w:val="20"/>
          <w:lang w:val="es-ES" w:eastAsia="es-ES" w:bidi="en-US"/>
        </w:rPr>
      </w:pPr>
      <w:r w:rsidRPr="00975C02">
        <w:rPr>
          <w:rFonts w:cs="Verdana"/>
          <w:snapToGrid w:val="0"/>
          <w:sz w:val="20"/>
          <w:szCs w:val="20"/>
          <w:lang w:val="es-ES" w:eastAsia="es-ES"/>
        </w:rPr>
        <w:t xml:space="preserve">El Estado tuvo la oportunidad de presentar sus observaciones sobre las erogaciones realizadas en el presente caso, las cuales ascendieron a la suma de </w:t>
      </w:r>
      <w:r w:rsidRPr="00975C02">
        <w:rPr>
          <w:rFonts w:eastAsia="MS Mincho" w:cs="Verdana"/>
          <w:snapToGrid w:val="0"/>
          <w:sz w:val="20"/>
          <w:szCs w:val="20"/>
          <w:lang w:val="es-ES" w:eastAsia="es-ES" w:bidi="en-US"/>
        </w:rPr>
        <w:t>US$</w:t>
      </w:r>
      <w:r w:rsidR="00116D6D" w:rsidRPr="00975C02">
        <w:rPr>
          <w:rFonts w:eastAsia="MS Mincho" w:cs="Verdana"/>
          <w:snapToGrid w:val="0"/>
          <w:sz w:val="20"/>
          <w:szCs w:val="20"/>
          <w:lang w:val="es-ES" w:eastAsia="es-ES" w:bidi="en-US"/>
        </w:rPr>
        <w:t xml:space="preserve"> 13.862,51</w:t>
      </w:r>
      <w:r w:rsidRPr="00975C02">
        <w:rPr>
          <w:rFonts w:eastAsia="MS Mincho" w:cs="Verdana"/>
          <w:snapToGrid w:val="0"/>
          <w:sz w:val="20"/>
          <w:szCs w:val="20"/>
          <w:lang w:val="es-ES" w:eastAsia="es-ES" w:bidi="en-US"/>
        </w:rPr>
        <w:t xml:space="preserve"> (</w:t>
      </w:r>
      <w:r w:rsidR="00116D6D" w:rsidRPr="00975C02">
        <w:rPr>
          <w:rFonts w:eastAsia="MS Mincho" w:cs="Verdana"/>
          <w:snapToGrid w:val="0"/>
          <w:sz w:val="20"/>
          <w:szCs w:val="20"/>
          <w:lang w:val="es-ES" w:eastAsia="es-ES" w:bidi="en-US"/>
        </w:rPr>
        <w:t xml:space="preserve">trece mil ochocientos </w:t>
      </w:r>
      <w:r w:rsidR="00357211" w:rsidRPr="00975C02">
        <w:rPr>
          <w:rFonts w:eastAsia="MS Mincho" w:cs="Verdana"/>
          <w:snapToGrid w:val="0"/>
          <w:sz w:val="20"/>
          <w:szCs w:val="20"/>
          <w:lang w:val="es-ES" w:eastAsia="es-ES" w:bidi="en-US"/>
        </w:rPr>
        <w:t xml:space="preserve">sesenta </w:t>
      </w:r>
      <w:r w:rsidR="00116D6D" w:rsidRPr="00975C02">
        <w:rPr>
          <w:rFonts w:eastAsia="MS Mincho" w:cs="Verdana"/>
          <w:snapToGrid w:val="0"/>
          <w:sz w:val="20"/>
          <w:szCs w:val="20"/>
          <w:lang w:val="es-ES" w:eastAsia="es-ES" w:bidi="en-US"/>
        </w:rPr>
        <w:t>y dos con 51/100</w:t>
      </w:r>
      <w:r w:rsidRPr="00975C02">
        <w:rPr>
          <w:rFonts w:eastAsia="MS Mincho" w:cs="Verdana"/>
          <w:snapToGrid w:val="0"/>
          <w:sz w:val="20"/>
          <w:szCs w:val="20"/>
          <w:lang w:val="es-ES" w:eastAsia="es-ES" w:bidi="en-US"/>
        </w:rPr>
        <w:t xml:space="preserve"> dólares de los Estados Unidos de América</w:t>
      </w:r>
      <w:r w:rsidRPr="00975C02">
        <w:rPr>
          <w:rFonts w:cs="Verdana"/>
          <w:snapToGrid w:val="0"/>
          <w:sz w:val="20"/>
          <w:szCs w:val="20"/>
          <w:lang w:val="es-ES" w:eastAsia="es-ES"/>
        </w:rPr>
        <w:t xml:space="preserve">). El </w:t>
      </w:r>
      <w:r w:rsidRPr="00975C02">
        <w:rPr>
          <w:rFonts w:eastAsia="MS Mincho" w:cs="Verdana"/>
          <w:snapToGrid w:val="0"/>
          <w:sz w:val="20"/>
          <w:szCs w:val="20"/>
          <w:lang w:val="es-ES" w:eastAsia="es-ES" w:bidi="en-US"/>
        </w:rPr>
        <w:t>Estado</w:t>
      </w:r>
      <w:r w:rsidRPr="00975C02">
        <w:rPr>
          <w:rFonts w:cs="Verdana"/>
          <w:snapToGrid w:val="0"/>
          <w:sz w:val="20"/>
          <w:szCs w:val="20"/>
          <w:lang w:val="es-ES" w:eastAsia="es-ES"/>
        </w:rPr>
        <w:t xml:space="preserve"> manifestó en su escrito de 21 de diciembre de 2017 que, s</w:t>
      </w:r>
      <w:r w:rsidRPr="00975C02">
        <w:rPr>
          <w:sz w:val="20"/>
          <w:szCs w:val="20"/>
          <w:lang w:val="es-ES"/>
        </w:rPr>
        <w:t>i bien en el informe de la Secretaría de la Corte se adjuntó una tabla de cálculos “</w:t>
      </w:r>
      <w:r w:rsidRPr="00975C02">
        <w:rPr>
          <w:i/>
          <w:sz w:val="20"/>
          <w:szCs w:val="20"/>
          <w:lang w:val="es-ES"/>
        </w:rPr>
        <w:t>per diem</w:t>
      </w:r>
      <w:r w:rsidRPr="00975C02">
        <w:rPr>
          <w:sz w:val="20"/>
          <w:szCs w:val="20"/>
          <w:lang w:val="es-ES"/>
        </w:rPr>
        <w:t xml:space="preserve">” asignados en Panamá, no se apreciaba de dicho informe ninguna rendición de cuentas </w:t>
      </w:r>
      <w:r w:rsidR="00357211" w:rsidRPr="00975C02">
        <w:rPr>
          <w:sz w:val="20"/>
          <w:szCs w:val="20"/>
          <w:lang w:val="es-ES"/>
        </w:rPr>
        <w:t xml:space="preserve">por </w:t>
      </w:r>
      <w:r w:rsidRPr="00975C02">
        <w:rPr>
          <w:sz w:val="20"/>
          <w:szCs w:val="20"/>
          <w:lang w:val="es-ES"/>
        </w:rPr>
        <w:t>parte de los beneficiarios de dichas erogaciones. El Estado señaló que el informe tampoco contaba con la firma ni el visto bueno de la contabilidad de la Corte, ya que las normas contables en Nicaragua exigían evidencias competentes y suficientes para justificar el uso de los fondos utilizados para este tipo de actividades. Por ello, señaló que ante la falta de soportes, facturas o recibos de la totalidad de los gastos efectuados por los beneficiarios, el Estado no contaba con respaldo probatorio para determinar el monto de los gastos realizados, por lo que solicitó que se provean soportes que justifiquen el uso de los fondos para la alimentación y hospedaje, y en caso que exista dinero no utilizado para dichos fines sea reembolsado al fondo de asistencia legal de víctimas.</w:t>
      </w:r>
    </w:p>
    <w:p w14:paraId="142E5BD4" w14:textId="77777777" w:rsidR="009D661E" w:rsidRPr="00975C02" w:rsidRDefault="009D661E" w:rsidP="009D661E">
      <w:pPr>
        <w:tabs>
          <w:tab w:val="left" w:pos="567"/>
        </w:tabs>
        <w:spacing w:line="240" w:lineRule="auto"/>
        <w:textAlignment w:val="auto"/>
        <w:rPr>
          <w:rFonts w:eastAsia="MS Mincho" w:cs="Verdana"/>
          <w:snapToGrid w:val="0"/>
          <w:sz w:val="20"/>
          <w:szCs w:val="20"/>
          <w:lang w:val="es-ES" w:eastAsia="es-ES" w:bidi="en-US"/>
        </w:rPr>
      </w:pPr>
    </w:p>
    <w:p w14:paraId="51858611" w14:textId="77777777" w:rsidR="009D661E" w:rsidRPr="00975C02" w:rsidRDefault="009D661E" w:rsidP="009D661E">
      <w:pPr>
        <w:numPr>
          <w:ilvl w:val="0"/>
          <w:numId w:val="2"/>
        </w:numPr>
        <w:tabs>
          <w:tab w:val="left" w:pos="567"/>
          <w:tab w:val="num" w:pos="5057"/>
        </w:tabs>
        <w:spacing w:line="240" w:lineRule="auto"/>
        <w:ind w:left="0" w:firstLine="0"/>
        <w:textAlignment w:val="auto"/>
        <w:rPr>
          <w:rFonts w:eastAsia="MS Mincho" w:cs="Verdana"/>
          <w:snapToGrid w:val="0"/>
          <w:sz w:val="20"/>
          <w:szCs w:val="20"/>
          <w:lang w:val="es-ES" w:eastAsia="es-ES" w:bidi="en-US"/>
        </w:rPr>
      </w:pPr>
      <w:r w:rsidRPr="00975C02">
        <w:rPr>
          <w:sz w:val="20"/>
          <w:szCs w:val="20"/>
          <w:lang w:val="es-ES"/>
        </w:rPr>
        <w:t>De igual forma, el Estado alegó que el pago de honorarios del perito Enrique Oscar Stola, si bien fue autorizado mediante firma del Secretario de la Corte, dicho pago no se autorizó de conformidad con el artículo 4 del Reglamento del Fondo de Víctimas ni con los párrafos 43 a 46 de la Resolución del Presidente de 21 de septiembre de 2017. El Estado señaló que en ninguno de los párrafos de dicha resolución el Presidente resolvió realizar pagos por concepto de honorarios al perito en mención. Asimismo, indicó que de conformidad con el artículo 4 del citado Reglamento, las erogaciones al Fondo deben realizarse conforme a parámetros autorizados por la Presidencia, lo cual no ocurrió en el presente caso. Por ello, el Estado indicó que no podía ni debía pagar esa erogación, ascendente a más de cinco mil dólares.</w:t>
      </w:r>
    </w:p>
    <w:p w14:paraId="0A7520E8" w14:textId="77777777" w:rsidR="009D661E" w:rsidRPr="00975C02" w:rsidRDefault="009D661E" w:rsidP="009D661E">
      <w:pPr>
        <w:autoSpaceDE w:val="0"/>
        <w:autoSpaceDN w:val="0"/>
        <w:spacing w:line="240" w:lineRule="auto"/>
        <w:rPr>
          <w:sz w:val="20"/>
          <w:szCs w:val="20"/>
          <w:lang w:val="es-ES"/>
        </w:rPr>
      </w:pPr>
    </w:p>
    <w:p w14:paraId="4A7C18E1" w14:textId="52048109" w:rsidR="009D661E" w:rsidRPr="00975C02" w:rsidRDefault="009D661E" w:rsidP="009D661E">
      <w:pPr>
        <w:numPr>
          <w:ilvl w:val="0"/>
          <w:numId w:val="2"/>
        </w:numPr>
        <w:tabs>
          <w:tab w:val="left" w:pos="567"/>
          <w:tab w:val="num" w:pos="5057"/>
        </w:tabs>
        <w:spacing w:line="240" w:lineRule="auto"/>
        <w:ind w:left="0" w:firstLine="0"/>
        <w:textAlignment w:val="auto"/>
        <w:rPr>
          <w:rFonts w:eastAsia="MS Mincho" w:cs="Verdana"/>
          <w:snapToGrid w:val="0"/>
          <w:sz w:val="20"/>
          <w:szCs w:val="20"/>
          <w:lang w:val="es-ES" w:eastAsia="es-ES" w:bidi="en-US"/>
        </w:rPr>
      </w:pPr>
      <w:r w:rsidRPr="00975C02">
        <w:rPr>
          <w:rFonts w:eastAsia="MS Mincho"/>
          <w:sz w:val="20"/>
          <w:szCs w:val="20"/>
          <w:lang w:val="es-ES"/>
        </w:rPr>
        <w:t>En cuanto a las objeciones del Estado respecto a la falta de documentación que sustente los montos erogados por concepto de viáticos y gastos de transporte, la Corte recuerda que, de conformidad con el artículo 6 del Reglamento de la Corte sobre el Funcionamiento del Fondo de Asistencia Legal de Víctimas, “a falta de disposición en [dicho] Reglamento, o en caso de duda sobre su interpretación, la Corte decidirá”. Al respecto, desde que comenzó a funcionar el Fondo</w:t>
      </w:r>
      <w:r w:rsidRPr="00975C02">
        <w:rPr>
          <w:rStyle w:val="FootnoteReference"/>
          <w:rFonts w:eastAsia="MS Mincho"/>
          <w:sz w:val="20"/>
          <w:szCs w:val="20"/>
          <w:lang w:val="es-ES"/>
        </w:rPr>
        <w:footnoteReference w:id="459"/>
      </w:r>
      <w:r w:rsidRPr="00975C02">
        <w:rPr>
          <w:rFonts w:eastAsia="MS Mincho"/>
          <w:sz w:val="20"/>
          <w:szCs w:val="20"/>
          <w:lang w:val="es-ES"/>
        </w:rPr>
        <w:t xml:space="preserve">, este Tribunal ha establecido como política entregar a las personas cubiertas por </w:t>
      </w:r>
      <w:r w:rsidR="00357211" w:rsidRPr="00975C02">
        <w:rPr>
          <w:rFonts w:eastAsia="MS Mincho"/>
          <w:sz w:val="20"/>
          <w:szCs w:val="20"/>
          <w:lang w:val="es-ES"/>
        </w:rPr>
        <w:t>éste</w:t>
      </w:r>
      <w:r w:rsidRPr="00975C02">
        <w:rPr>
          <w:rFonts w:eastAsia="MS Mincho"/>
          <w:sz w:val="20"/>
          <w:szCs w:val="20"/>
          <w:lang w:val="es-ES"/>
        </w:rPr>
        <w:t xml:space="preserve">, un monto fijo de viáticos, lo cual incluye hospedaje y alimentación, tomando como base de referencia la tabla de viáticos vigente de la OEA aplicable a la ciudad de Panamá, </w:t>
      </w:r>
      <w:r w:rsidR="0063322E">
        <w:rPr>
          <w:rFonts w:eastAsia="MS Mincho"/>
          <w:sz w:val="20"/>
          <w:szCs w:val="20"/>
          <w:lang w:val="es-ES"/>
        </w:rPr>
        <w:t xml:space="preserve">República de </w:t>
      </w:r>
      <w:r w:rsidRPr="00975C02">
        <w:rPr>
          <w:rFonts w:eastAsia="MS Mincho"/>
          <w:sz w:val="20"/>
          <w:szCs w:val="20"/>
          <w:lang w:val="es-ES"/>
        </w:rPr>
        <w:t xml:space="preserve">Panamá, sin necesidad de que presenten facturas que demuestren los gastos efectuados. Lo anterior, dado que esta tabla refleja el monto que, según la OEA, razonablemente desembolsaría una persona en hospedaje y alimentación en dicha ciudad. Asimismo, el procedimiento de </w:t>
      </w:r>
      <w:r w:rsidR="00357211" w:rsidRPr="00975C02">
        <w:rPr>
          <w:rFonts w:eastAsia="MS Mincho"/>
          <w:sz w:val="20"/>
          <w:szCs w:val="20"/>
          <w:lang w:val="es-ES"/>
        </w:rPr>
        <w:t xml:space="preserve">requerir </w:t>
      </w:r>
      <w:r w:rsidRPr="00975C02">
        <w:rPr>
          <w:rFonts w:eastAsia="MS Mincho"/>
          <w:sz w:val="20"/>
          <w:szCs w:val="20"/>
          <w:lang w:val="es-ES"/>
        </w:rPr>
        <w:t xml:space="preserve">facturas a los beneficiarios del Fondo de Asistencia por los viáticos recibidos presentaría serios obstáculos para la correcta y expedita administración del </w:t>
      </w:r>
      <w:r w:rsidR="00DE6ECA">
        <w:rPr>
          <w:rFonts w:eastAsia="MS Mincho"/>
          <w:sz w:val="20"/>
          <w:szCs w:val="20"/>
          <w:lang w:val="es-ES"/>
        </w:rPr>
        <w:t>mismo</w:t>
      </w:r>
      <w:r w:rsidRPr="00975C02">
        <w:rPr>
          <w:rFonts w:eastAsia="MS Mincho"/>
          <w:sz w:val="20"/>
          <w:szCs w:val="20"/>
          <w:lang w:val="es-ES"/>
        </w:rPr>
        <w:t>. También</w:t>
      </w:r>
      <w:r w:rsidR="00357211" w:rsidRPr="00975C02">
        <w:rPr>
          <w:rFonts w:eastAsia="MS Mincho"/>
          <w:sz w:val="20"/>
          <w:szCs w:val="20"/>
          <w:lang w:val="es-ES"/>
        </w:rPr>
        <w:t>,</w:t>
      </w:r>
      <w:r w:rsidRPr="00975C02">
        <w:rPr>
          <w:rFonts w:eastAsia="MS Mincho"/>
          <w:sz w:val="20"/>
          <w:szCs w:val="20"/>
          <w:lang w:val="es-ES"/>
        </w:rPr>
        <w:t xml:space="preserve"> por esta razón es que, en cuanto a los gastos terminales, es decir, los gastos por tra</w:t>
      </w:r>
      <w:r w:rsidR="00357211" w:rsidRPr="00975C02">
        <w:rPr>
          <w:rFonts w:eastAsia="MS Mincho"/>
          <w:sz w:val="20"/>
          <w:szCs w:val="20"/>
          <w:lang w:val="es-ES"/>
        </w:rPr>
        <w:t>n</w:t>
      </w:r>
      <w:r w:rsidRPr="00975C02">
        <w:rPr>
          <w:rFonts w:eastAsia="MS Mincho"/>
          <w:sz w:val="20"/>
          <w:szCs w:val="20"/>
          <w:lang w:val="es-ES"/>
        </w:rPr>
        <w:t>sporte para el traslado hacia y desde la estación terminal y otros gastos incidentales, el Tribunal únicamente requiere que se comprueben aquellos gastos realizados desde el punto de origen hasta la sede donde se llevará a cabo la audiencia, siendo razonable que el mismo monto sea desembolsado en el viaje de retorno de la persona correspondiente. Por tanto, la Corte desestima las objeciones del Estado</w:t>
      </w:r>
      <w:r w:rsidRPr="00975C02">
        <w:rPr>
          <w:rStyle w:val="FootnoteReference"/>
          <w:rFonts w:eastAsia="MS Mincho"/>
          <w:sz w:val="20"/>
          <w:szCs w:val="20"/>
          <w:lang w:val="es-ES"/>
        </w:rPr>
        <w:footnoteReference w:id="460"/>
      </w:r>
      <w:r w:rsidR="004F4CFC" w:rsidRPr="00975C02">
        <w:rPr>
          <w:rFonts w:eastAsia="MS Mincho"/>
          <w:sz w:val="20"/>
          <w:szCs w:val="20"/>
          <w:lang w:val="es-ES"/>
        </w:rPr>
        <w:t>.</w:t>
      </w:r>
    </w:p>
    <w:p w14:paraId="15D35D36" w14:textId="77777777" w:rsidR="009D661E" w:rsidRPr="00975C02" w:rsidRDefault="009D661E" w:rsidP="009D661E">
      <w:pPr>
        <w:tabs>
          <w:tab w:val="left" w:pos="567"/>
        </w:tabs>
        <w:spacing w:line="240" w:lineRule="auto"/>
        <w:textAlignment w:val="auto"/>
        <w:rPr>
          <w:rFonts w:eastAsia="MS Mincho" w:cs="Verdana"/>
          <w:snapToGrid w:val="0"/>
          <w:sz w:val="20"/>
          <w:szCs w:val="20"/>
          <w:lang w:val="es-ES" w:eastAsia="es-ES" w:bidi="en-US"/>
        </w:rPr>
      </w:pPr>
    </w:p>
    <w:p w14:paraId="68ABA28D" w14:textId="4033093A" w:rsidR="009D661E" w:rsidRPr="00975C02" w:rsidRDefault="009D661E" w:rsidP="009D661E">
      <w:pPr>
        <w:numPr>
          <w:ilvl w:val="0"/>
          <w:numId w:val="2"/>
        </w:numPr>
        <w:tabs>
          <w:tab w:val="left" w:pos="567"/>
          <w:tab w:val="num" w:pos="5057"/>
        </w:tabs>
        <w:spacing w:line="240" w:lineRule="auto"/>
        <w:ind w:left="0" w:firstLine="0"/>
        <w:textAlignment w:val="auto"/>
        <w:rPr>
          <w:rFonts w:eastAsia="MS Mincho" w:cs="Verdana"/>
          <w:snapToGrid w:val="0"/>
          <w:sz w:val="20"/>
          <w:szCs w:val="20"/>
          <w:lang w:val="es-ES" w:eastAsia="es-ES" w:bidi="en-US"/>
        </w:rPr>
      </w:pPr>
      <w:r w:rsidRPr="00975C02">
        <w:rPr>
          <w:rFonts w:eastAsia="MS Mincho"/>
          <w:sz w:val="20"/>
          <w:szCs w:val="20"/>
          <w:lang w:val="es-ES"/>
        </w:rPr>
        <w:t>En cuanto a las objeciones del Estado respecto al pago de honorarios del perito Enrique Oscar Stola, la Corte resalta que</w:t>
      </w:r>
      <w:r w:rsidR="00C95AD2" w:rsidRPr="00975C02">
        <w:rPr>
          <w:rFonts w:eastAsia="MS Mincho"/>
          <w:sz w:val="20"/>
          <w:szCs w:val="20"/>
          <w:lang w:val="es-ES"/>
        </w:rPr>
        <w:t>,</w:t>
      </w:r>
      <w:r w:rsidRPr="00975C02">
        <w:rPr>
          <w:rFonts w:eastAsia="MS Mincho"/>
          <w:sz w:val="20"/>
          <w:szCs w:val="20"/>
          <w:lang w:val="es-ES"/>
        </w:rPr>
        <w:t xml:space="preserve"> de conformidad con el considerando 42 de la Resolución del Presidente de 21 de septiembre de 2017</w:t>
      </w:r>
      <w:r w:rsidR="00C95AD2" w:rsidRPr="00975C02">
        <w:rPr>
          <w:rFonts w:eastAsia="MS Mincho"/>
          <w:sz w:val="20"/>
          <w:szCs w:val="20"/>
          <w:lang w:val="es-ES"/>
        </w:rPr>
        <w:t>,</w:t>
      </w:r>
      <w:r w:rsidRPr="00975C02">
        <w:rPr>
          <w:rFonts w:eastAsia="MS Mincho"/>
          <w:sz w:val="20"/>
          <w:szCs w:val="20"/>
          <w:lang w:val="es-ES"/>
        </w:rPr>
        <w:t xml:space="preserve"> </w:t>
      </w:r>
      <w:r w:rsidRPr="00975C02">
        <w:rPr>
          <w:rFonts w:eastAsia="MS Mincho" w:cs="Verdana"/>
          <w:snapToGrid w:val="0"/>
          <w:sz w:val="20"/>
          <w:szCs w:val="20"/>
          <w:lang w:val="es-ES" w:eastAsia="es-ES" w:bidi="en-US"/>
        </w:rPr>
        <w:t>“</w:t>
      </w:r>
      <w:r w:rsidRPr="00975C02">
        <w:rPr>
          <w:sz w:val="20"/>
          <w:szCs w:val="20"/>
          <w:lang w:val="es-ES"/>
        </w:rPr>
        <w:t xml:space="preserve">en casos en que la representación sea asumida gratuitamente por un defensor interamericano en los términos del artículo 37 del </w:t>
      </w:r>
      <w:r w:rsidRPr="00975C02">
        <w:rPr>
          <w:rFonts w:cs="Century Gothic"/>
          <w:sz w:val="20"/>
          <w:szCs w:val="20"/>
          <w:lang w:val="es-ES"/>
        </w:rPr>
        <w:t>Reglamento</w:t>
      </w:r>
      <w:r w:rsidRPr="00975C02">
        <w:rPr>
          <w:sz w:val="20"/>
          <w:szCs w:val="20"/>
          <w:lang w:val="es-ES"/>
        </w:rPr>
        <w:t xml:space="preserve"> de la Corte Interamericana</w:t>
      </w:r>
      <w:r w:rsidRPr="00975C02">
        <w:rPr>
          <w:rStyle w:val="FootnoteReference"/>
          <w:rFonts w:cs="Times"/>
          <w:sz w:val="20"/>
          <w:szCs w:val="20"/>
          <w:lang w:val="es-ES"/>
        </w:rPr>
        <w:footnoteReference w:id="461"/>
      </w:r>
      <w:r w:rsidRPr="00975C02">
        <w:rPr>
          <w:sz w:val="20"/>
          <w:szCs w:val="20"/>
          <w:lang w:val="es-ES"/>
        </w:rPr>
        <w:t>, se brindará ayuda a través del Fondo de Asistencia Legal de Víctimas para sufragar, en la medida de lo posible, los gastos razonables y necesarios que origine tal representación. Es decir, la aplicación del Fondo en estas situaciones se rige por lo establecido en el artículo 4 del Acuerdo de Entendimiento entre la Corte Interamericana y la Asociación Interamericana de Defensoría Públicas, de modo que el defensor interamericano designado “deberá presentar ante la Corte todos los comprobantes necesarios que acrediten los gastos en que se ha incurrido con motivo de la tramitación del caso ante ésta”. Lo anterior también fue expresamente señalado al notificar el sometimiento del presente caso.</w:t>
      </w:r>
    </w:p>
    <w:p w14:paraId="1B87F56F" w14:textId="77777777" w:rsidR="009D661E" w:rsidRPr="00975C02" w:rsidRDefault="009D661E" w:rsidP="009D661E">
      <w:pPr>
        <w:pStyle w:val="ListParagraph"/>
        <w:spacing w:line="240" w:lineRule="auto"/>
        <w:rPr>
          <w:rFonts w:eastAsia="MS Mincho" w:cs="Verdana"/>
          <w:snapToGrid w:val="0"/>
          <w:sz w:val="20"/>
          <w:szCs w:val="20"/>
          <w:lang w:val="es-ES" w:eastAsia="es-ES" w:bidi="en-US"/>
        </w:rPr>
      </w:pPr>
    </w:p>
    <w:p w14:paraId="49DF609E" w14:textId="71EF314C" w:rsidR="009D661E" w:rsidRPr="00975C02" w:rsidRDefault="009D661E" w:rsidP="009D661E">
      <w:pPr>
        <w:numPr>
          <w:ilvl w:val="0"/>
          <w:numId w:val="2"/>
        </w:numPr>
        <w:tabs>
          <w:tab w:val="left" w:pos="567"/>
          <w:tab w:val="num" w:pos="5057"/>
        </w:tabs>
        <w:spacing w:line="240" w:lineRule="auto"/>
        <w:ind w:left="0" w:firstLine="0"/>
        <w:textAlignment w:val="auto"/>
        <w:rPr>
          <w:rFonts w:eastAsia="MS Mincho" w:cs="Verdana"/>
          <w:snapToGrid w:val="0"/>
          <w:sz w:val="20"/>
          <w:szCs w:val="20"/>
          <w:lang w:val="es-ES" w:eastAsia="es-ES" w:bidi="en-US"/>
        </w:rPr>
      </w:pPr>
      <w:r w:rsidRPr="00975C02">
        <w:rPr>
          <w:rFonts w:eastAsia="MS Mincho" w:cs="Verdana"/>
          <w:snapToGrid w:val="0"/>
          <w:sz w:val="20"/>
          <w:szCs w:val="20"/>
          <w:lang w:val="es-ES" w:eastAsia="es-ES" w:bidi="en-US"/>
        </w:rPr>
        <w:t xml:space="preserve">Con base en </w:t>
      </w:r>
      <w:r w:rsidR="00C95AD2" w:rsidRPr="00975C02">
        <w:rPr>
          <w:rFonts w:eastAsia="MS Mincho" w:cs="Verdana"/>
          <w:snapToGrid w:val="0"/>
          <w:sz w:val="20"/>
          <w:szCs w:val="20"/>
          <w:lang w:val="es-ES" w:eastAsia="es-ES" w:bidi="en-US"/>
        </w:rPr>
        <w:t>lo anterior</w:t>
      </w:r>
      <w:r w:rsidRPr="00975C02">
        <w:rPr>
          <w:rFonts w:eastAsia="MS Mincho" w:cs="Verdana"/>
          <w:snapToGrid w:val="0"/>
          <w:sz w:val="20"/>
          <w:szCs w:val="20"/>
          <w:lang w:val="es-ES" w:eastAsia="es-ES" w:bidi="en-US"/>
        </w:rPr>
        <w:t xml:space="preserve">, </w:t>
      </w:r>
      <w:r w:rsidR="00116D6D" w:rsidRPr="00975C02">
        <w:rPr>
          <w:rFonts w:eastAsia="MS Mincho"/>
          <w:sz w:val="20"/>
          <w:szCs w:val="20"/>
          <w:lang w:val="es-ES"/>
        </w:rPr>
        <w:t xml:space="preserve">en </w:t>
      </w:r>
      <w:r w:rsidRPr="00975C02">
        <w:rPr>
          <w:rFonts w:eastAsia="MS Mincho"/>
          <w:sz w:val="20"/>
          <w:szCs w:val="20"/>
          <w:lang w:val="es-ES"/>
        </w:rPr>
        <w:t>el considerando 43 de dicha Resolución, estableció que</w:t>
      </w:r>
      <w:r w:rsidRPr="00975C02">
        <w:rPr>
          <w:rFonts w:eastAsia="MS Mincho" w:cs="Verdana"/>
          <w:snapToGrid w:val="0"/>
          <w:sz w:val="20"/>
          <w:szCs w:val="20"/>
          <w:lang w:val="es-ES" w:eastAsia="es-ES" w:bidi="en-US"/>
        </w:rPr>
        <w:t xml:space="preserve"> “</w:t>
      </w:r>
      <w:r w:rsidRPr="00975C02">
        <w:rPr>
          <w:sz w:val="20"/>
          <w:szCs w:val="20"/>
          <w:lang w:val="es-ES"/>
        </w:rPr>
        <w:t>la asistencia económica será asignada para cubrir los gastos de:</w:t>
      </w:r>
      <w:r w:rsidR="00C95AD2" w:rsidRPr="00975C02">
        <w:rPr>
          <w:sz w:val="20"/>
          <w:szCs w:val="20"/>
          <w:lang w:val="es-ES"/>
        </w:rPr>
        <w:t xml:space="preserve"> […]</w:t>
      </w:r>
      <w:r w:rsidRPr="00975C02">
        <w:rPr>
          <w:sz w:val="20"/>
          <w:szCs w:val="20"/>
          <w:lang w:val="es-ES"/>
        </w:rPr>
        <w:t xml:space="preserve"> iv) </w:t>
      </w:r>
      <w:r w:rsidRPr="00975C02">
        <w:rPr>
          <w:rFonts w:eastAsia="MS Mincho" w:cs="Verdana"/>
          <w:sz w:val="20"/>
          <w:szCs w:val="20"/>
          <w:lang w:val="es-ES" w:bidi="en-US"/>
        </w:rPr>
        <w:t>los demás gastos razonables y necesarios en que hayan incurrido o puedan incurrir las defensoras interamericanas, para lo cual deb</w:t>
      </w:r>
      <w:r w:rsidR="00C95AD2" w:rsidRPr="00975C02">
        <w:rPr>
          <w:rFonts w:eastAsia="MS Mincho" w:cs="Verdana"/>
          <w:sz w:val="20"/>
          <w:szCs w:val="20"/>
          <w:lang w:val="es-ES" w:bidi="en-US"/>
        </w:rPr>
        <w:t>[</w:t>
      </w:r>
      <w:r w:rsidRPr="00975C02">
        <w:rPr>
          <w:rFonts w:eastAsia="MS Mincho" w:cs="Verdana"/>
          <w:sz w:val="20"/>
          <w:szCs w:val="20"/>
          <w:lang w:val="es-ES" w:bidi="en-US"/>
        </w:rPr>
        <w:t>ían</w:t>
      </w:r>
      <w:r w:rsidR="00C95AD2" w:rsidRPr="00975C02">
        <w:rPr>
          <w:rFonts w:eastAsia="MS Mincho" w:cs="Verdana"/>
          <w:sz w:val="20"/>
          <w:szCs w:val="20"/>
          <w:lang w:val="es-ES" w:bidi="en-US"/>
        </w:rPr>
        <w:t>]</w:t>
      </w:r>
      <w:r w:rsidRPr="00975C02">
        <w:rPr>
          <w:rFonts w:eastAsia="MS Mincho" w:cs="Verdana"/>
          <w:sz w:val="20"/>
          <w:szCs w:val="20"/>
          <w:lang w:val="es-ES" w:bidi="en-US"/>
        </w:rPr>
        <w:t xml:space="preserve"> remitir al Tribunal tanto la justificación de tales gastos como sus comprobantes”.</w:t>
      </w:r>
    </w:p>
    <w:p w14:paraId="198A5735" w14:textId="77777777" w:rsidR="009D661E" w:rsidRPr="00975C02" w:rsidRDefault="009D661E" w:rsidP="009D661E">
      <w:pPr>
        <w:pStyle w:val="ListParagraph"/>
        <w:spacing w:line="240" w:lineRule="auto"/>
        <w:rPr>
          <w:rFonts w:eastAsia="MS Mincho" w:cs="Verdana"/>
          <w:snapToGrid w:val="0"/>
          <w:sz w:val="20"/>
          <w:szCs w:val="20"/>
          <w:lang w:val="es-ES" w:eastAsia="es-ES" w:bidi="en-US"/>
        </w:rPr>
      </w:pPr>
    </w:p>
    <w:p w14:paraId="6B403C81" w14:textId="77777777" w:rsidR="009D661E" w:rsidRPr="00975C02" w:rsidRDefault="009D661E" w:rsidP="009D661E">
      <w:pPr>
        <w:numPr>
          <w:ilvl w:val="0"/>
          <w:numId w:val="2"/>
        </w:numPr>
        <w:tabs>
          <w:tab w:val="left" w:pos="567"/>
          <w:tab w:val="num" w:pos="5057"/>
        </w:tabs>
        <w:spacing w:line="240" w:lineRule="auto"/>
        <w:ind w:left="0" w:firstLine="0"/>
        <w:textAlignment w:val="auto"/>
        <w:rPr>
          <w:rFonts w:eastAsia="MS Mincho" w:cs="Verdana"/>
          <w:snapToGrid w:val="0"/>
          <w:sz w:val="20"/>
          <w:szCs w:val="20"/>
          <w:lang w:val="es-ES" w:eastAsia="es-ES" w:bidi="en-US"/>
        </w:rPr>
      </w:pPr>
      <w:r w:rsidRPr="00975C02">
        <w:rPr>
          <w:rFonts w:eastAsia="MS Mincho" w:cs="Verdana"/>
          <w:snapToGrid w:val="0"/>
          <w:sz w:val="20"/>
          <w:szCs w:val="20"/>
          <w:lang w:val="es-ES" w:eastAsia="es-ES" w:bidi="en-US"/>
        </w:rPr>
        <w:t>Por ello, la Corte estima que el pago por honorarios del perito Enrique Oscar Stola se encuentra bajo el rubro “demás gastos razonables y necesarios en que hayan incurrido las defensoras”, el cual fue debidamente autorizado por el Presidente, conforme a lo señalado precedentemente.</w:t>
      </w:r>
    </w:p>
    <w:p w14:paraId="1A5E202B" w14:textId="77777777" w:rsidR="009D661E" w:rsidRPr="00975C02" w:rsidRDefault="009D661E" w:rsidP="009D661E">
      <w:pPr>
        <w:tabs>
          <w:tab w:val="left" w:pos="567"/>
        </w:tabs>
        <w:spacing w:line="240" w:lineRule="auto"/>
        <w:textAlignment w:val="auto"/>
        <w:rPr>
          <w:rFonts w:eastAsia="MS Mincho" w:cs="Verdana"/>
          <w:snapToGrid w:val="0"/>
          <w:sz w:val="20"/>
          <w:szCs w:val="20"/>
          <w:lang w:val="es-ES" w:eastAsia="es-ES" w:bidi="en-US"/>
        </w:rPr>
      </w:pPr>
    </w:p>
    <w:p w14:paraId="2804DC7A" w14:textId="004319BD" w:rsidR="009D661E" w:rsidRPr="00975C02" w:rsidRDefault="009D661E" w:rsidP="009D661E">
      <w:pPr>
        <w:numPr>
          <w:ilvl w:val="0"/>
          <w:numId w:val="2"/>
        </w:numPr>
        <w:tabs>
          <w:tab w:val="left" w:pos="567"/>
          <w:tab w:val="num" w:pos="5057"/>
        </w:tabs>
        <w:spacing w:line="240" w:lineRule="auto"/>
        <w:ind w:left="0" w:firstLine="0"/>
        <w:textAlignment w:val="auto"/>
        <w:rPr>
          <w:rFonts w:eastAsia="MS Mincho" w:cs="Verdana"/>
          <w:snapToGrid w:val="0"/>
          <w:sz w:val="20"/>
          <w:szCs w:val="20"/>
          <w:lang w:val="es-ES" w:eastAsia="es-ES" w:bidi="en-US"/>
        </w:rPr>
      </w:pPr>
      <w:r w:rsidRPr="00975C02">
        <w:rPr>
          <w:rFonts w:eastAsia="MS Mincho" w:cs="Verdana"/>
          <w:snapToGrid w:val="0"/>
          <w:sz w:val="20"/>
          <w:szCs w:val="20"/>
          <w:lang w:val="es-ES" w:eastAsia="es-ES" w:bidi="en-US"/>
        </w:rPr>
        <w:t xml:space="preserve">Por lo tanto, en razón de las violaciones declaradas en la presente Sentencia y que se cumplió con los requisitos para acogerse al Fondo, la Corte ordena al Estado el reintegro a dicho Fondo de </w:t>
      </w:r>
      <w:r w:rsidRPr="00975C02">
        <w:rPr>
          <w:rFonts w:eastAsia="MS Mincho" w:cs="Verdana"/>
          <w:snapToGrid w:val="0"/>
          <w:sz w:val="20"/>
          <w:szCs w:val="20"/>
          <w:lang w:val="es-ES" w:eastAsia="es-ES" w:bidi="en-US"/>
        </w:rPr>
        <w:lastRenderedPageBreak/>
        <w:t xml:space="preserve">la suma de </w:t>
      </w:r>
      <w:r w:rsidR="00116D6D" w:rsidRPr="00975C02">
        <w:rPr>
          <w:rFonts w:eastAsia="MS Mincho" w:cs="Verdana"/>
          <w:snapToGrid w:val="0"/>
          <w:sz w:val="20"/>
          <w:szCs w:val="20"/>
          <w:lang w:val="es-ES" w:eastAsia="es-ES" w:bidi="en-US"/>
        </w:rPr>
        <w:t xml:space="preserve">US$ 13.862,51 (trece mil ochocientos </w:t>
      </w:r>
      <w:r w:rsidR="00C95AD2" w:rsidRPr="00975C02">
        <w:rPr>
          <w:rFonts w:eastAsia="MS Mincho" w:cs="Verdana"/>
          <w:snapToGrid w:val="0"/>
          <w:sz w:val="20"/>
          <w:szCs w:val="20"/>
          <w:lang w:val="es-ES" w:eastAsia="es-ES" w:bidi="en-US"/>
        </w:rPr>
        <w:t xml:space="preserve">sesenta </w:t>
      </w:r>
      <w:r w:rsidR="00116D6D" w:rsidRPr="00975C02">
        <w:rPr>
          <w:rFonts w:eastAsia="MS Mincho" w:cs="Verdana"/>
          <w:snapToGrid w:val="0"/>
          <w:sz w:val="20"/>
          <w:szCs w:val="20"/>
          <w:lang w:val="es-ES" w:eastAsia="es-ES" w:bidi="en-US"/>
        </w:rPr>
        <w:t>y dos con 51/100 dólares de los Estados Unidos de América</w:t>
      </w:r>
      <w:r w:rsidR="00116D6D" w:rsidRPr="00975C02">
        <w:rPr>
          <w:rFonts w:cs="Verdana"/>
          <w:snapToGrid w:val="0"/>
          <w:sz w:val="20"/>
          <w:szCs w:val="20"/>
          <w:lang w:val="es-ES" w:eastAsia="es-ES"/>
        </w:rPr>
        <w:t>)</w:t>
      </w:r>
      <w:r w:rsidRPr="00975C02">
        <w:rPr>
          <w:rFonts w:cs="Verdana"/>
          <w:snapToGrid w:val="0"/>
          <w:sz w:val="20"/>
          <w:szCs w:val="20"/>
          <w:lang w:val="es-ES" w:eastAsia="es-ES"/>
        </w:rPr>
        <w:t xml:space="preserve">. </w:t>
      </w:r>
      <w:r w:rsidRPr="00975C02">
        <w:rPr>
          <w:rFonts w:eastAsia="MS Mincho" w:cs="Verdana"/>
          <w:snapToGrid w:val="0"/>
          <w:sz w:val="20"/>
          <w:szCs w:val="20"/>
          <w:lang w:val="es-ES" w:eastAsia="es-ES" w:bidi="en-US"/>
        </w:rPr>
        <w:t>Dicho monto deberá ser reintegrado en el plazo de seis meses, contados a partir de la notificación del presente Fallo.</w:t>
      </w:r>
    </w:p>
    <w:p w14:paraId="5D8AF967" w14:textId="77777777" w:rsidR="009D661E" w:rsidRPr="00975C02" w:rsidRDefault="009D661E" w:rsidP="009D661E">
      <w:pPr>
        <w:spacing w:line="240" w:lineRule="auto"/>
        <w:ind w:left="142"/>
        <w:rPr>
          <w:sz w:val="20"/>
          <w:szCs w:val="20"/>
          <w:lang w:val="es-ES"/>
        </w:rPr>
      </w:pPr>
    </w:p>
    <w:p w14:paraId="378ED064" w14:textId="77777777" w:rsidR="009D661E" w:rsidRPr="00975C02" w:rsidRDefault="009D661E" w:rsidP="002C415B">
      <w:pPr>
        <w:keepNext/>
        <w:keepLines/>
        <w:numPr>
          <w:ilvl w:val="0"/>
          <w:numId w:val="11"/>
        </w:numPr>
        <w:tabs>
          <w:tab w:val="left" w:pos="567"/>
          <w:tab w:val="left" w:pos="1134"/>
        </w:tabs>
        <w:spacing w:line="240" w:lineRule="auto"/>
        <w:ind w:left="567" w:firstLine="0"/>
        <w:textAlignment w:val="auto"/>
        <w:outlineLvl w:val="1"/>
        <w:rPr>
          <w:rFonts w:eastAsia="MS Mincho"/>
          <w:b/>
          <w:bCs/>
          <w:i/>
          <w:sz w:val="20"/>
          <w:szCs w:val="20"/>
          <w:lang w:val="es-ES"/>
        </w:rPr>
      </w:pPr>
      <w:bookmarkStart w:id="199" w:name="_Toc495658706"/>
      <w:bookmarkStart w:id="200" w:name="_Toc476390748"/>
      <w:bookmarkStart w:id="201" w:name="_Toc514172674"/>
      <w:r w:rsidRPr="00975C02">
        <w:rPr>
          <w:rFonts w:eastAsia="MS Mincho"/>
          <w:b/>
          <w:bCs/>
          <w:i/>
          <w:sz w:val="20"/>
          <w:szCs w:val="20"/>
          <w:lang w:val="es-ES"/>
        </w:rPr>
        <w:t>Modalidad de cumplimiento de los pagos ordenados</w:t>
      </w:r>
      <w:bookmarkEnd w:id="199"/>
      <w:bookmarkEnd w:id="200"/>
      <w:bookmarkEnd w:id="201"/>
    </w:p>
    <w:p w14:paraId="7CDD5C59" w14:textId="77777777" w:rsidR="009D661E" w:rsidRPr="00975C02" w:rsidRDefault="009D661E" w:rsidP="009D661E">
      <w:pPr>
        <w:tabs>
          <w:tab w:val="left" w:pos="720"/>
          <w:tab w:val="left" w:pos="840"/>
          <w:tab w:val="left" w:pos="1680"/>
          <w:tab w:val="left" w:pos="2240"/>
          <w:tab w:val="left" w:pos="2800"/>
          <w:tab w:val="left" w:pos="3360"/>
          <w:tab w:val="left" w:pos="3920"/>
          <w:tab w:val="left" w:pos="4480"/>
          <w:tab w:val="left" w:pos="5040"/>
          <w:tab w:val="left" w:pos="5600"/>
          <w:tab w:val="left" w:pos="6160"/>
          <w:tab w:val="left" w:pos="6720"/>
        </w:tabs>
        <w:autoSpaceDE w:val="0"/>
        <w:autoSpaceDN w:val="0"/>
        <w:spacing w:line="240" w:lineRule="auto"/>
        <w:ind w:right="-90"/>
        <w:rPr>
          <w:bCs/>
          <w:sz w:val="20"/>
          <w:szCs w:val="20"/>
          <w:lang w:val="es-ES"/>
        </w:rPr>
      </w:pPr>
    </w:p>
    <w:p w14:paraId="532CC23C" w14:textId="77777777" w:rsidR="009D661E" w:rsidRPr="00975C02" w:rsidRDefault="009D661E" w:rsidP="004F5ECE">
      <w:pPr>
        <w:numPr>
          <w:ilvl w:val="0"/>
          <w:numId w:val="2"/>
        </w:numPr>
        <w:tabs>
          <w:tab w:val="left" w:pos="567"/>
          <w:tab w:val="num" w:pos="5057"/>
        </w:tabs>
        <w:spacing w:line="240" w:lineRule="auto"/>
        <w:ind w:left="0" w:firstLine="0"/>
        <w:textAlignment w:val="auto"/>
        <w:rPr>
          <w:rFonts w:eastAsia="MS Mincho"/>
          <w:sz w:val="20"/>
          <w:szCs w:val="20"/>
          <w:lang w:val="es-ES" w:bidi="en-US"/>
        </w:rPr>
      </w:pPr>
      <w:r w:rsidRPr="00975C02">
        <w:rPr>
          <w:rFonts w:eastAsia="MS Mincho"/>
          <w:sz w:val="20"/>
          <w:szCs w:val="20"/>
          <w:lang w:val="es-ES" w:bidi="en-US"/>
        </w:rPr>
        <w:t xml:space="preserve">El </w:t>
      </w:r>
      <w:r w:rsidRPr="00975C02">
        <w:rPr>
          <w:rFonts w:eastAsia="MS Mincho" w:cs="Verdana"/>
          <w:snapToGrid w:val="0"/>
          <w:sz w:val="20"/>
          <w:szCs w:val="20"/>
          <w:lang w:val="es-ES" w:eastAsia="es-ES" w:bidi="en-US"/>
        </w:rPr>
        <w:t>Estado</w:t>
      </w:r>
      <w:r w:rsidRPr="00975C02">
        <w:rPr>
          <w:rFonts w:eastAsia="MS Mincho"/>
          <w:sz w:val="20"/>
          <w:szCs w:val="20"/>
          <w:lang w:val="es-ES" w:bidi="en-US"/>
        </w:rPr>
        <w:t xml:space="preserve"> deberá efectuar el pago de las indemnizaciones por concepto de daño material e </w:t>
      </w:r>
      <w:r w:rsidRPr="00975C02">
        <w:rPr>
          <w:rFonts w:eastAsia="MS Mincho" w:cs="Verdana"/>
          <w:snapToGrid w:val="0"/>
          <w:sz w:val="20"/>
          <w:szCs w:val="20"/>
          <w:lang w:val="es-ES" w:eastAsia="es-ES" w:bidi="en-US"/>
        </w:rPr>
        <w:t>inmaterial</w:t>
      </w:r>
      <w:r w:rsidRPr="00975C02">
        <w:rPr>
          <w:rFonts w:eastAsia="MS Mincho"/>
          <w:sz w:val="20"/>
          <w:szCs w:val="20"/>
          <w:lang w:val="es-ES" w:bidi="en-US"/>
        </w:rPr>
        <w:t xml:space="preserve"> y el reintegro de costas y gastos establecidos en la presente Sentencia directamente a las personas indicadas en la misma, dentro del plazo de un año, contado a partir de la notificación del presente Fallo, </w:t>
      </w:r>
      <w:r w:rsidR="004F5ECE" w:rsidRPr="00975C02">
        <w:rPr>
          <w:sz w:val="20"/>
          <w:szCs w:val="20"/>
          <w:lang w:val="es-ES"/>
        </w:rPr>
        <w:t>sin perjuicio de que pueda adelantar el pago completo en un plazo menor, en los términos de los siguientes párrafos</w:t>
      </w:r>
      <w:r w:rsidR="004F5ECE" w:rsidRPr="00975C02">
        <w:rPr>
          <w:rFonts w:eastAsia="MS Mincho"/>
          <w:sz w:val="20"/>
          <w:szCs w:val="20"/>
          <w:lang w:val="es-ES" w:bidi="en-US"/>
        </w:rPr>
        <w:t>.</w:t>
      </w:r>
    </w:p>
    <w:p w14:paraId="77245408" w14:textId="77777777" w:rsidR="009D661E" w:rsidRPr="00975C02" w:rsidRDefault="009D661E" w:rsidP="00B26781">
      <w:pPr>
        <w:tabs>
          <w:tab w:val="left" w:pos="720"/>
        </w:tabs>
        <w:spacing w:line="240" w:lineRule="auto"/>
        <w:ind w:right="-90"/>
        <w:contextualSpacing/>
        <w:rPr>
          <w:rFonts w:eastAsia="MS Mincho"/>
          <w:sz w:val="20"/>
          <w:szCs w:val="20"/>
          <w:lang w:val="es-ES"/>
        </w:rPr>
      </w:pPr>
    </w:p>
    <w:p w14:paraId="47B8A7C0" w14:textId="77777777" w:rsidR="004F5ECE" w:rsidRPr="00975C02" w:rsidRDefault="009D661E" w:rsidP="00DF3D71">
      <w:pPr>
        <w:numPr>
          <w:ilvl w:val="0"/>
          <w:numId w:val="2"/>
        </w:numPr>
        <w:tabs>
          <w:tab w:val="left" w:pos="567"/>
          <w:tab w:val="num" w:pos="5057"/>
        </w:tabs>
        <w:spacing w:line="240" w:lineRule="auto"/>
        <w:ind w:left="0" w:firstLine="0"/>
        <w:textAlignment w:val="auto"/>
        <w:rPr>
          <w:rFonts w:eastAsia="MS Mincho"/>
          <w:sz w:val="20"/>
          <w:szCs w:val="20"/>
          <w:lang w:val="es-ES" w:bidi="en-US"/>
        </w:rPr>
      </w:pPr>
      <w:r w:rsidRPr="00975C02">
        <w:rPr>
          <w:rFonts w:eastAsia="MS Mincho"/>
          <w:sz w:val="20"/>
          <w:szCs w:val="20"/>
          <w:lang w:val="es-ES" w:bidi="en-US"/>
        </w:rPr>
        <w:t xml:space="preserve">En </w:t>
      </w:r>
      <w:r w:rsidRPr="00975C02">
        <w:rPr>
          <w:rFonts w:eastAsia="MS Mincho" w:cs="Verdana"/>
          <w:snapToGrid w:val="0"/>
          <w:sz w:val="20"/>
          <w:szCs w:val="20"/>
          <w:lang w:val="es-ES" w:eastAsia="es-ES" w:bidi="en-US"/>
        </w:rPr>
        <w:t>caso</w:t>
      </w:r>
      <w:r w:rsidRPr="00975C02">
        <w:rPr>
          <w:rFonts w:eastAsia="MS Mincho"/>
          <w:sz w:val="20"/>
          <w:szCs w:val="20"/>
          <w:lang w:val="es-ES" w:bidi="en-US"/>
        </w:rPr>
        <w:t xml:space="preserve"> de que los beneficiarios hayan fallecido o fallezcan antes de que les sea entregada la indemnización respectiva, ésta se efectuará directamente a sus derechohabientes, conforme al derecho interno aplicable.</w:t>
      </w:r>
    </w:p>
    <w:p w14:paraId="12083982" w14:textId="77777777" w:rsidR="004F5ECE" w:rsidRPr="00975C02" w:rsidRDefault="004F5ECE" w:rsidP="00DF3D71">
      <w:pPr>
        <w:tabs>
          <w:tab w:val="left" w:pos="567"/>
        </w:tabs>
        <w:spacing w:line="240" w:lineRule="auto"/>
        <w:textAlignment w:val="auto"/>
        <w:rPr>
          <w:rFonts w:eastAsia="MS Mincho"/>
          <w:sz w:val="20"/>
          <w:szCs w:val="20"/>
          <w:lang w:val="es-ES" w:bidi="en-US"/>
        </w:rPr>
      </w:pPr>
    </w:p>
    <w:p w14:paraId="6092F203" w14:textId="77777777" w:rsidR="004F5ECE" w:rsidRPr="00975C02" w:rsidRDefault="008E169A" w:rsidP="00DF3D71">
      <w:pPr>
        <w:numPr>
          <w:ilvl w:val="0"/>
          <w:numId w:val="2"/>
        </w:numPr>
        <w:tabs>
          <w:tab w:val="left" w:pos="567"/>
          <w:tab w:val="num" w:pos="5057"/>
        </w:tabs>
        <w:spacing w:line="240" w:lineRule="auto"/>
        <w:ind w:left="0" w:firstLine="0"/>
        <w:textAlignment w:val="auto"/>
        <w:rPr>
          <w:sz w:val="20"/>
          <w:szCs w:val="20"/>
          <w:lang w:val="es-ES"/>
        </w:rPr>
      </w:pPr>
      <w:r w:rsidRPr="00975C02">
        <w:rPr>
          <w:sz w:val="20"/>
          <w:szCs w:val="20"/>
          <w:lang w:val="es-ES"/>
        </w:rPr>
        <w:t>El Estado debe cumplir sus obligaciones monetarias mediante el pago en dólares de los Estados Unidos de América a las beneficiarias que habitan en dicho país. Por su parte, e</w:t>
      </w:r>
      <w:r w:rsidR="004F5ECE" w:rsidRPr="00975C02">
        <w:rPr>
          <w:sz w:val="20"/>
          <w:szCs w:val="20"/>
          <w:lang w:val="es-ES"/>
        </w:rPr>
        <w:t xml:space="preserve">l Estado debe cumplir sus obligaciones monetarias </w:t>
      </w:r>
      <w:r w:rsidRPr="00975C02">
        <w:rPr>
          <w:sz w:val="20"/>
          <w:szCs w:val="20"/>
          <w:lang w:val="es-ES"/>
        </w:rPr>
        <w:t xml:space="preserve">a los beneficiarios que habitan en Nicaragua </w:t>
      </w:r>
      <w:r w:rsidR="004F5ECE" w:rsidRPr="00975C02">
        <w:rPr>
          <w:sz w:val="20"/>
          <w:szCs w:val="20"/>
          <w:lang w:val="es-ES"/>
        </w:rPr>
        <w:t>mediante el pago en dólares de los Estados Unidos de América o su equivalente en moneda nacional, utilizando para el cálculo respectivo el tipo de cambio que se encuentre vigente en la bolsa de Nueva York, Estados Unidos de América, el día anterior al pago.</w:t>
      </w:r>
    </w:p>
    <w:p w14:paraId="005B495E" w14:textId="77777777" w:rsidR="009D661E" w:rsidRPr="00975C02" w:rsidRDefault="009D661E" w:rsidP="004F5ECE">
      <w:pPr>
        <w:tabs>
          <w:tab w:val="left" w:pos="567"/>
        </w:tabs>
        <w:spacing w:line="240" w:lineRule="auto"/>
        <w:textAlignment w:val="auto"/>
        <w:rPr>
          <w:rFonts w:eastAsia="MS Mincho"/>
          <w:sz w:val="20"/>
          <w:szCs w:val="20"/>
          <w:lang w:val="es-ES" w:bidi="en-US"/>
        </w:rPr>
      </w:pPr>
    </w:p>
    <w:p w14:paraId="491A3A52" w14:textId="293F1525" w:rsidR="009D661E" w:rsidRPr="00975C02" w:rsidRDefault="009D661E" w:rsidP="00B26781">
      <w:pPr>
        <w:numPr>
          <w:ilvl w:val="0"/>
          <w:numId w:val="2"/>
        </w:numPr>
        <w:tabs>
          <w:tab w:val="left" w:pos="567"/>
          <w:tab w:val="num" w:pos="5057"/>
        </w:tabs>
        <w:spacing w:line="240" w:lineRule="auto"/>
        <w:ind w:left="0" w:firstLine="0"/>
        <w:textAlignment w:val="auto"/>
        <w:rPr>
          <w:rFonts w:eastAsia="MS Mincho"/>
          <w:sz w:val="20"/>
          <w:szCs w:val="20"/>
          <w:lang w:val="es-ES" w:bidi="en-US"/>
        </w:rPr>
      </w:pPr>
      <w:r w:rsidRPr="00975C02">
        <w:rPr>
          <w:rFonts w:eastAsia="MS Mincho"/>
          <w:sz w:val="20"/>
          <w:szCs w:val="20"/>
          <w:lang w:val="es-ES" w:bidi="en-US"/>
        </w:rPr>
        <w:t xml:space="preserve">Si por causas atribuibles a los beneficiarios de las indemnizaciones o a sus derechohabientes no fuese posible el pago de las cantidades determinadas dentro del plazo indicado, el Estado consignará dichos montos a su favor en una cuenta o certificado de depósito en una institución financiera </w:t>
      </w:r>
      <w:r w:rsidR="00553F0D" w:rsidRPr="00975C02">
        <w:rPr>
          <w:rFonts w:eastAsia="MS Mincho"/>
          <w:sz w:val="20"/>
          <w:szCs w:val="20"/>
          <w:lang w:val="es-ES" w:bidi="en-US"/>
        </w:rPr>
        <w:t>nicaragüense</w:t>
      </w:r>
      <w:r w:rsidRPr="00975C02">
        <w:rPr>
          <w:rFonts w:eastAsia="MS Mincho"/>
          <w:sz w:val="20"/>
          <w:szCs w:val="20"/>
          <w:lang w:val="es-ES" w:bidi="en-US"/>
        </w:rPr>
        <w:t xml:space="preserve"> solvente, en dólares </w:t>
      </w:r>
      <w:r w:rsidR="00C95AD2" w:rsidRPr="00975C02">
        <w:rPr>
          <w:rFonts w:eastAsia="MS Mincho"/>
          <w:sz w:val="20"/>
          <w:szCs w:val="20"/>
          <w:lang w:val="es-ES" w:bidi="en-US"/>
        </w:rPr>
        <w:t>de los Estados Unidos de América</w:t>
      </w:r>
      <w:r w:rsidRPr="00975C02">
        <w:rPr>
          <w:rFonts w:eastAsia="MS Mincho"/>
          <w:sz w:val="20"/>
          <w:szCs w:val="20"/>
          <w:lang w:val="es-ES" w:bidi="en-US"/>
        </w:rPr>
        <w:t>, y en las condiciones financieras más favorables que permitan la legislación y la práctica bancaria. Si no se reclama la indemnización correspondiente una vez transcurridos diez años, las cantidades serán devueltas al Estado con los intereses devengados.</w:t>
      </w:r>
    </w:p>
    <w:p w14:paraId="0E3C24D9" w14:textId="77777777" w:rsidR="009D661E" w:rsidRPr="00975C02" w:rsidRDefault="009D661E" w:rsidP="00B26781">
      <w:pPr>
        <w:spacing w:line="240" w:lineRule="auto"/>
        <w:ind w:left="720"/>
        <w:rPr>
          <w:sz w:val="20"/>
          <w:szCs w:val="20"/>
          <w:lang w:val="es-ES"/>
        </w:rPr>
      </w:pPr>
    </w:p>
    <w:p w14:paraId="345E5E84" w14:textId="77777777" w:rsidR="009D661E" w:rsidRPr="00975C02" w:rsidRDefault="009D661E" w:rsidP="008F6E3F">
      <w:pPr>
        <w:numPr>
          <w:ilvl w:val="0"/>
          <w:numId w:val="2"/>
        </w:numPr>
        <w:tabs>
          <w:tab w:val="left" w:pos="567"/>
          <w:tab w:val="num" w:pos="5057"/>
        </w:tabs>
        <w:spacing w:line="240" w:lineRule="auto"/>
        <w:ind w:left="0" w:firstLine="0"/>
        <w:textAlignment w:val="auto"/>
        <w:rPr>
          <w:rFonts w:eastAsia="MS Mincho"/>
          <w:sz w:val="20"/>
          <w:szCs w:val="20"/>
          <w:lang w:val="es-ES" w:bidi="en-US"/>
        </w:rPr>
      </w:pPr>
      <w:r w:rsidRPr="00975C02">
        <w:rPr>
          <w:rFonts w:eastAsia="MS Mincho"/>
          <w:sz w:val="20"/>
          <w:szCs w:val="20"/>
          <w:lang w:val="es-ES" w:bidi="en-US"/>
        </w:rPr>
        <w:t>Las cantidades asignadas en la presente Sentencia como indemnización y como reintegro de costas y gastos deberán ser entregadas a las personas y organizaciones indicadas en forma íntegra, conforme a lo establecido en esta Sentencia, sin reducciones derivadas de eventuales cargas fiscales.</w:t>
      </w:r>
    </w:p>
    <w:p w14:paraId="235CC4F2" w14:textId="77777777" w:rsidR="009D661E" w:rsidRPr="00975C02" w:rsidRDefault="009D661E" w:rsidP="009D661E">
      <w:pPr>
        <w:spacing w:line="240" w:lineRule="auto"/>
        <w:ind w:left="720"/>
        <w:rPr>
          <w:sz w:val="20"/>
          <w:szCs w:val="20"/>
          <w:lang w:val="es-ES"/>
        </w:rPr>
      </w:pPr>
    </w:p>
    <w:p w14:paraId="38FC4D55" w14:textId="77777777" w:rsidR="009D661E" w:rsidRPr="00975C02" w:rsidRDefault="009D661E" w:rsidP="009D661E">
      <w:pPr>
        <w:numPr>
          <w:ilvl w:val="0"/>
          <w:numId w:val="2"/>
        </w:numPr>
        <w:tabs>
          <w:tab w:val="left" w:pos="567"/>
          <w:tab w:val="num" w:pos="5057"/>
        </w:tabs>
        <w:spacing w:line="240" w:lineRule="auto"/>
        <w:ind w:left="0" w:firstLine="0"/>
        <w:textAlignment w:val="auto"/>
        <w:rPr>
          <w:rFonts w:eastAsia="MS Mincho"/>
          <w:sz w:val="20"/>
          <w:szCs w:val="20"/>
          <w:lang w:val="es-ES" w:bidi="en-US"/>
        </w:rPr>
      </w:pPr>
      <w:r w:rsidRPr="00975C02">
        <w:rPr>
          <w:rFonts w:eastAsia="MS Mincho"/>
          <w:sz w:val="20"/>
          <w:szCs w:val="20"/>
          <w:lang w:val="es-ES" w:bidi="en-US"/>
        </w:rPr>
        <w:t>En caso de que el Estado incurriera en mora</w:t>
      </w:r>
      <w:r w:rsidRPr="00975C02">
        <w:rPr>
          <w:rFonts w:eastAsia="MS Mincho" w:cs="Verdana"/>
          <w:sz w:val="20"/>
          <w:szCs w:val="20"/>
          <w:lang w:val="es-ES" w:bidi="en-US"/>
        </w:rPr>
        <w:t xml:space="preserve">, incluyendo en el reintegro de los gastos al Fondo de </w:t>
      </w:r>
      <w:r w:rsidRPr="00975C02">
        <w:rPr>
          <w:rFonts w:eastAsia="MS Mincho"/>
          <w:sz w:val="20"/>
          <w:szCs w:val="20"/>
          <w:lang w:val="es-ES" w:bidi="en-US"/>
        </w:rPr>
        <w:t>Asistencia</w:t>
      </w:r>
      <w:r w:rsidRPr="00975C02">
        <w:rPr>
          <w:rFonts w:eastAsia="MS Mincho" w:cs="Verdana"/>
          <w:sz w:val="20"/>
          <w:szCs w:val="20"/>
          <w:lang w:val="es-ES" w:bidi="en-US"/>
        </w:rPr>
        <w:t xml:space="preserve"> Legal de Víctimas</w:t>
      </w:r>
      <w:r w:rsidRPr="00975C02">
        <w:rPr>
          <w:rFonts w:eastAsia="MS Mincho"/>
          <w:sz w:val="20"/>
          <w:szCs w:val="20"/>
          <w:lang w:val="es-ES" w:bidi="en-US"/>
        </w:rPr>
        <w:t>, deberá pagar un interés sobre la cantidad adeudada, correspondiente al interés bancario moratorio en la República de Nicaragua.</w:t>
      </w:r>
    </w:p>
    <w:p w14:paraId="422F926A" w14:textId="77777777" w:rsidR="009D661E" w:rsidRPr="00975C02" w:rsidRDefault="009D661E" w:rsidP="009D661E">
      <w:pPr>
        <w:tabs>
          <w:tab w:val="left" w:pos="567"/>
        </w:tabs>
        <w:spacing w:line="240" w:lineRule="auto"/>
        <w:rPr>
          <w:rFonts w:eastAsia="MS Mincho"/>
          <w:sz w:val="20"/>
          <w:szCs w:val="20"/>
          <w:lang w:val="es-ES" w:bidi="en-US"/>
        </w:rPr>
      </w:pPr>
    </w:p>
    <w:p w14:paraId="3610D2DC" w14:textId="77777777" w:rsidR="009D661E" w:rsidRPr="00975C02" w:rsidRDefault="009D661E" w:rsidP="009D661E">
      <w:pPr>
        <w:keepNext/>
        <w:keepLines/>
        <w:tabs>
          <w:tab w:val="left" w:pos="851"/>
        </w:tabs>
        <w:spacing w:line="240" w:lineRule="auto"/>
        <w:jc w:val="center"/>
        <w:outlineLvl w:val="0"/>
        <w:rPr>
          <w:rFonts w:cs="Verdana"/>
          <w:b/>
          <w:bCs/>
          <w:caps/>
          <w:snapToGrid w:val="0"/>
          <w:sz w:val="20"/>
          <w:szCs w:val="20"/>
          <w:lang w:val="es-ES"/>
        </w:rPr>
      </w:pPr>
      <w:bookmarkStart w:id="202" w:name="_Toc495658707"/>
      <w:bookmarkStart w:id="203" w:name="_Toc470180115"/>
      <w:bookmarkStart w:id="204" w:name="_Toc459158160"/>
      <w:bookmarkStart w:id="205" w:name="_Toc375517156"/>
      <w:bookmarkStart w:id="206" w:name="_Toc514172675"/>
      <w:r w:rsidRPr="00975C02">
        <w:rPr>
          <w:rFonts w:cs="Verdana"/>
          <w:b/>
          <w:bCs/>
          <w:caps/>
          <w:snapToGrid w:val="0"/>
          <w:sz w:val="20"/>
          <w:szCs w:val="20"/>
          <w:lang w:val="es-ES"/>
        </w:rPr>
        <w:t>X</w:t>
      </w:r>
      <w:r w:rsidRPr="00975C02">
        <w:rPr>
          <w:rFonts w:cs="Verdana"/>
          <w:b/>
          <w:bCs/>
          <w:caps/>
          <w:snapToGrid w:val="0"/>
          <w:sz w:val="20"/>
          <w:szCs w:val="20"/>
          <w:lang w:val="es-ES"/>
        </w:rPr>
        <w:br/>
        <w:t>PUNTOS RESOLUTIVOS</w:t>
      </w:r>
      <w:bookmarkEnd w:id="202"/>
      <w:bookmarkEnd w:id="203"/>
      <w:bookmarkEnd w:id="204"/>
      <w:bookmarkEnd w:id="205"/>
      <w:bookmarkEnd w:id="206"/>
    </w:p>
    <w:p w14:paraId="3E762068" w14:textId="77777777" w:rsidR="009D661E" w:rsidRPr="00975C02" w:rsidRDefault="009D661E" w:rsidP="009D661E">
      <w:pPr>
        <w:pStyle w:val="ListParagraph"/>
        <w:widowControl/>
        <w:adjustRightInd/>
        <w:spacing w:line="240" w:lineRule="auto"/>
        <w:ind w:left="0"/>
        <w:jc w:val="left"/>
        <w:textAlignment w:val="auto"/>
        <w:rPr>
          <w:sz w:val="20"/>
          <w:szCs w:val="20"/>
          <w:lang w:val="es-ES"/>
        </w:rPr>
      </w:pPr>
    </w:p>
    <w:p w14:paraId="3A9B47CB" w14:textId="704F101F" w:rsidR="009D0B2B" w:rsidRPr="00975C02" w:rsidRDefault="00FC7260" w:rsidP="009D0B2B">
      <w:pPr>
        <w:numPr>
          <w:ilvl w:val="0"/>
          <w:numId w:val="2"/>
        </w:numPr>
        <w:tabs>
          <w:tab w:val="left" w:pos="567"/>
          <w:tab w:val="num" w:pos="12305"/>
        </w:tabs>
        <w:spacing w:line="240" w:lineRule="auto"/>
        <w:ind w:left="0" w:firstLine="0"/>
        <w:rPr>
          <w:sz w:val="20"/>
          <w:szCs w:val="20"/>
          <w:lang w:val="es-ES"/>
        </w:rPr>
      </w:pPr>
      <w:r w:rsidRPr="00975C02">
        <w:rPr>
          <w:sz w:val="20"/>
          <w:szCs w:val="20"/>
          <w:lang w:val="es-ES"/>
        </w:rPr>
        <w:t>Por tanto,</w:t>
      </w:r>
    </w:p>
    <w:p w14:paraId="721E0C89" w14:textId="77777777" w:rsidR="009D0B2B" w:rsidRPr="00975C02" w:rsidRDefault="009D0B2B" w:rsidP="009D0B2B">
      <w:pPr>
        <w:pStyle w:val="Prrafodelista2"/>
        <w:tabs>
          <w:tab w:val="left" w:pos="720"/>
        </w:tabs>
        <w:ind w:right="-90"/>
        <w:contextualSpacing/>
        <w:rPr>
          <w:lang w:val="es-ES"/>
        </w:rPr>
      </w:pPr>
    </w:p>
    <w:p w14:paraId="05D3E327" w14:textId="7E57E5C2" w:rsidR="009D0B2B" w:rsidRPr="00975C02" w:rsidRDefault="00FC7260" w:rsidP="009D0B2B">
      <w:pPr>
        <w:pStyle w:val="Prrafodelista2"/>
        <w:tabs>
          <w:tab w:val="left" w:pos="720"/>
        </w:tabs>
        <w:ind w:left="0" w:right="-90"/>
        <w:contextualSpacing/>
        <w:rPr>
          <w:lang w:val="es-ES"/>
        </w:rPr>
      </w:pPr>
      <w:r w:rsidRPr="00975C02">
        <w:rPr>
          <w:b/>
          <w:bCs/>
          <w:lang w:val="es-ES"/>
        </w:rPr>
        <w:t>LA CORTE</w:t>
      </w:r>
    </w:p>
    <w:p w14:paraId="2CBDFA8E" w14:textId="77777777" w:rsidR="009D0B2B" w:rsidRPr="00975C02" w:rsidRDefault="009D0B2B" w:rsidP="009D0B2B">
      <w:pPr>
        <w:pStyle w:val="Prrafodelista2"/>
        <w:tabs>
          <w:tab w:val="left" w:pos="720"/>
        </w:tabs>
        <w:ind w:left="0" w:right="-90"/>
        <w:contextualSpacing/>
        <w:rPr>
          <w:lang w:val="es-ES"/>
        </w:rPr>
      </w:pPr>
    </w:p>
    <w:p w14:paraId="0F41D395" w14:textId="09A1A229" w:rsidR="009D0B2B" w:rsidRPr="00975C02" w:rsidRDefault="00FC7260" w:rsidP="009D0B2B">
      <w:pPr>
        <w:pStyle w:val="Prrafodelista2"/>
        <w:tabs>
          <w:tab w:val="left" w:pos="720"/>
        </w:tabs>
        <w:ind w:left="0" w:right="-90"/>
        <w:contextualSpacing/>
        <w:rPr>
          <w:b/>
          <w:lang w:val="es-ES"/>
        </w:rPr>
      </w:pPr>
      <w:r w:rsidRPr="00975C02">
        <w:rPr>
          <w:b/>
          <w:lang w:val="es-ES"/>
        </w:rPr>
        <w:t>DECIDE,</w:t>
      </w:r>
    </w:p>
    <w:p w14:paraId="6B5EC53B" w14:textId="77777777" w:rsidR="009D0B2B" w:rsidRPr="00975C02" w:rsidRDefault="009D0B2B" w:rsidP="009D0B2B">
      <w:pPr>
        <w:pStyle w:val="Prrafodelista2"/>
        <w:tabs>
          <w:tab w:val="left" w:pos="720"/>
        </w:tabs>
        <w:ind w:left="0" w:right="-90"/>
        <w:contextualSpacing/>
        <w:rPr>
          <w:lang w:val="es-ES"/>
        </w:rPr>
      </w:pPr>
    </w:p>
    <w:p w14:paraId="2DC15AED" w14:textId="2BB90A2B" w:rsidR="009D0B2B" w:rsidRPr="00975C02" w:rsidRDefault="009D0B2B" w:rsidP="009D0B2B">
      <w:pPr>
        <w:pStyle w:val="Prrafodelista2"/>
        <w:tabs>
          <w:tab w:val="left" w:pos="720"/>
        </w:tabs>
        <w:ind w:left="0" w:right="-90"/>
        <w:contextualSpacing/>
        <w:rPr>
          <w:lang w:val="es-ES"/>
        </w:rPr>
      </w:pPr>
      <w:r w:rsidRPr="00975C02">
        <w:rPr>
          <w:lang w:val="es-ES"/>
        </w:rPr>
        <w:t xml:space="preserve">Por </w:t>
      </w:r>
      <w:r w:rsidR="00BF09E6" w:rsidRPr="00975C02">
        <w:rPr>
          <w:lang w:val="es-ES"/>
        </w:rPr>
        <w:t>unanimidad</w:t>
      </w:r>
      <w:r w:rsidR="00FC7260" w:rsidRPr="00975C02">
        <w:rPr>
          <w:lang w:val="es-ES"/>
        </w:rPr>
        <w:t>,</w:t>
      </w:r>
    </w:p>
    <w:p w14:paraId="6DC9FE8D" w14:textId="77777777" w:rsidR="009D0B2B" w:rsidRPr="00975C02" w:rsidRDefault="009D0B2B" w:rsidP="009D0B2B">
      <w:pPr>
        <w:pStyle w:val="Prrafodelista2"/>
        <w:tabs>
          <w:tab w:val="left" w:pos="720"/>
        </w:tabs>
        <w:ind w:left="0" w:right="-90"/>
        <w:contextualSpacing/>
        <w:rPr>
          <w:lang w:val="es-ES"/>
        </w:rPr>
      </w:pPr>
    </w:p>
    <w:p w14:paraId="3D3A5C52" w14:textId="4FE140DE" w:rsidR="009D0B2B" w:rsidRPr="00975C02" w:rsidRDefault="009D0B2B" w:rsidP="009D0B2B">
      <w:pPr>
        <w:widowControl/>
        <w:numPr>
          <w:ilvl w:val="0"/>
          <w:numId w:val="21"/>
        </w:numPr>
        <w:tabs>
          <w:tab w:val="left" w:pos="720"/>
        </w:tabs>
        <w:adjustRightInd/>
        <w:spacing w:line="240" w:lineRule="auto"/>
        <w:ind w:right="-90"/>
        <w:contextualSpacing/>
        <w:textAlignment w:val="auto"/>
        <w:rPr>
          <w:sz w:val="20"/>
          <w:szCs w:val="20"/>
          <w:lang w:val="es-ES"/>
        </w:rPr>
      </w:pPr>
      <w:r w:rsidRPr="00975C02">
        <w:rPr>
          <w:rFonts w:eastAsia="MS Mincho"/>
          <w:sz w:val="20"/>
          <w:szCs w:val="20"/>
          <w:lang w:val="es-ES"/>
        </w:rPr>
        <w:t>Desestimar</w:t>
      </w:r>
      <w:r w:rsidRPr="00975C02">
        <w:rPr>
          <w:sz w:val="20"/>
          <w:szCs w:val="20"/>
          <w:lang w:val="es-ES"/>
        </w:rPr>
        <w:t xml:space="preserve"> la excepción preliminar </w:t>
      </w:r>
      <w:r w:rsidR="00BF09E6" w:rsidRPr="00975C02">
        <w:rPr>
          <w:sz w:val="20"/>
          <w:szCs w:val="20"/>
          <w:lang w:val="es-ES"/>
        </w:rPr>
        <w:t xml:space="preserve">opuesta </w:t>
      </w:r>
      <w:r w:rsidRPr="00975C02">
        <w:rPr>
          <w:sz w:val="20"/>
          <w:szCs w:val="20"/>
          <w:lang w:val="es-ES"/>
        </w:rPr>
        <w:t xml:space="preserve">por el Estado relativa a la alegada falta de agotamiento de los recursos internos, en los términos de los párrafos </w:t>
      </w:r>
      <w:r w:rsidR="00182DC6" w:rsidRPr="00975C02">
        <w:rPr>
          <w:sz w:val="20"/>
          <w:szCs w:val="20"/>
          <w:lang w:val="es-ES"/>
        </w:rPr>
        <w:t>21</w:t>
      </w:r>
      <w:r w:rsidRPr="00975C02">
        <w:rPr>
          <w:sz w:val="20"/>
          <w:szCs w:val="20"/>
          <w:lang w:val="es-ES"/>
        </w:rPr>
        <w:t xml:space="preserve"> a </w:t>
      </w:r>
      <w:r w:rsidR="00182DC6" w:rsidRPr="00975C02">
        <w:rPr>
          <w:sz w:val="20"/>
          <w:szCs w:val="20"/>
          <w:lang w:val="es-ES"/>
        </w:rPr>
        <w:t>29</w:t>
      </w:r>
      <w:r w:rsidRPr="00975C02">
        <w:rPr>
          <w:sz w:val="20"/>
          <w:szCs w:val="20"/>
          <w:lang w:val="es-ES"/>
        </w:rPr>
        <w:t xml:space="preserve"> de la presente </w:t>
      </w:r>
      <w:r w:rsidRPr="00975C02">
        <w:rPr>
          <w:sz w:val="20"/>
          <w:szCs w:val="20"/>
          <w:lang w:val="es-ES"/>
        </w:rPr>
        <w:lastRenderedPageBreak/>
        <w:t>Sentencia.</w:t>
      </w:r>
      <w:r w:rsidRPr="00975C02">
        <w:rPr>
          <w:sz w:val="20"/>
          <w:szCs w:val="20"/>
          <w:lang w:val="es-ES"/>
        </w:rPr>
        <w:cr/>
      </w:r>
    </w:p>
    <w:p w14:paraId="1DB2EBFA" w14:textId="01A3FD16" w:rsidR="009334DB" w:rsidRPr="00975C02" w:rsidRDefault="009334DB" w:rsidP="009334DB">
      <w:pPr>
        <w:widowControl/>
        <w:numPr>
          <w:ilvl w:val="0"/>
          <w:numId w:val="21"/>
        </w:numPr>
        <w:tabs>
          <w:tab w:val="left" w:pos="720"/>
        </w:tabs>
        <w:adjustRightInd/>
        <w:spacing w:line="240" w:lineRule="auto"/>
        <w:ind w:right="-90"/>
        <w:contextualSpacing/>
        <w:textAlignment w:val="auto"/>
        <w:rPr>
          <w:lang w:val="es-ES"/>
        </w:rPr>
      </w:pPr>
      <w:r w:rsidRPr="00975C02">
        <w:rPr>
          <w:rFonts w:eastAsia="MS Mincho"/>
          <w:sz w:val="20"/>
          <w:szCs w:val="20"/>
          <w:lang w:val="es-ES"/>
        </w:rPr>
        <w:t>Desestimar</w:t>
      </w:r>
      <w:r w:rsidRPr="00975C02">
        <w:rPr>
          <w:sz w:val="20"/>
          <w:szCs w:val="20"/>
          <w:lang w:val="es-ES"/>
        </w:rPr>
        <w:t xml:space="preserve"> la excepción preliminar </w:t>
      </w:r>
      <w:r w:rsidR="00BF09E6" w:rsidRPr="00975C02">
        <w:rPr>
          <w:sz w:val="20"/>
          <w:szCs w:val="20"/>
          <w:lang w:val="es-ES"/>
        </w:rPr>
        <w:t xml:space="preserve">opuesta </w:t>
      </w:r>
      <w:r w:rsidRPr="00975C02">
        <w:rPr>
          <w:sz w:val="20"/>
          <w:szCs w:val="20"/>
          <w:lang w:val="es-ES"/>
        </w:rPr>
        <w:t xml:space="preserve">por el Estado relativa a la alegada falta de competencia </w:t>
      </w:r>
      <w:r w:rsidRPr="00975C02">
        <w:rPr>
          <w:i/>
          <w:sz w:val="20"/>
          <w:szCs w:val="20"/>
          <w:lang w:val="es-ES"/>
        </w:rPr>
        <w:t xml:space="preserve">ratione temporis </w:t>
      </w:r>
      <w:r w:rsidRPr="00975C02">
        <w:rPr>
          <w:sz w:val="20"/>
          <w:szCs w:val="20"/>
          <w:lang w:val="es-ES"/>
        </w:rPr>
        <w:t xml:space="preserve">de la Comisión y de la Corte Interamericana de Derechos Humanos, en los términos de los párrafos </w:t>
      </w:r>
      <w:r w:rsidR="00182DC6" w:rsidRPr="00975C02">
        <w:rPr>
          <w:sz w:val="20"/>
          <w:szCs w:val="20"/>
          <w:lang w:val="es-ES"/>
        </w:rPr>
        <w:t>33</w:t>
      </w:r>
      <w:r w:rsidRPr="00975C02">
        <w:rPr>
          <w:sz w:val="20"/>
          <w:szCs w:val="20"/>
          <w:lang w:val="es-ES"/>
        </w:rPr>
        <w:t xml:space="preserve"> a </w:t>
      </w:r>
      <w:r w:rsidR="00182DC6" w:rsidRPr="00975C02">
        <w:rPr>
          <w:sz w:val="20"/>
          <w:szCs w:val="20"/>
          <w:lang w:val="es-ES"/>
        </w:rPr>
        <w:t>36</w:t>
      </w:r>
      <w:r w:rsidRPr="00975C02">
        <w:rPr>
          <w:sz w:val="20"/>
          <w:szCs w:val="20"/>
          <w:lang w:val="es-ES"/>
        </w:rPr>
        <w:t xml:space="preserve"> de la presente Sentencia.</w:t>
      </w:r>
    </w:p>
    <w:p w14:paraId="2CE99F1C" w14:textId="77777777" w:rsidR="009334DB" w:rsidRPr="00975C02" w:rsidRDefault="009334DB" w:rsidP="009334DB">
      <w:pPr>
        <w:widowControl/>
        <w:tabs>
          <w:tab w:val="left" w:pos="720"/>
        </w:tabs>
        <w:adjustRightInd/>
        <w:spacing w:line="240" w:lineRule="auto"/>
        <w:ind w:right="-90"/>
        <w:contextualSpacing/>
        <w:textAlignment w:val="auto"/>
        <w:rPr>
          <w:sz w:val="20"/>
          <w:szCs w:val="20"/>
          <w:lang w:val="es-ES"/>
        </w:rPr>
      </w:pPr>
    </w:p>
    <w:p w14:paraId="55C2738F" w14:textId="3696D67D" w:rsidR="009334DB" w:rsidRPr="00975C02" w:rsidRDefault="009334DB" w:rsidP="009334DB">
      <w:pPr>
        <w:widowControl/>
        <w:numPr>
          <w:ilvl w:val="0"/>
          <w:numId w:val="21"/>
        </w:numPr>
        <w:tabs>
          <w:tab w:val="left" w:pos="720"/>
        </w:tabs>
        <w:adjustRightInd/>
        <w:spacing w:line="240" w:lineRule="auto"/>
        <w:ind w:right="-90"/>
        <w:contextualSpacing/>
        <w:textAlignment w:val="auto"/>
        <w:rPr>
          <w:sz w:val="20"/>
          <w:szCs w:val="20"/>
          <w:lang w:val="es-ES"/>
        </w:rPr>
      </w:pPr>
      <w:r w:rsidRPr="00975C02">
        <w:rPr>
          <w:rFonts w:eastAsia="MS Mincho"/>
          <w:sz w:val="20"/>
          <w:szCs w:val="20"/>
          <w:lang w:val="es-ES"/>
        </w:rPr>
        <w:t>Desestimar</w:t>
      </w:r>
      <w:r w:rsidRPr="00975C02">
        <w:rPr>
          <w:sz w:val="20"/>
          <w:szCs w:val="20"/>
          <w:lang w:val="es-ES"/>
        </w:rPr>
        <w:t xml:space="preserve"> la excepción preliminar </w:t>
      </w:r>
      <w:r w:rsidR="00BF09E6" w:rsidRPr="00975C02">
        <w:rPr>
          <w:sz w:val="20"/>
          <w:szCs w:val="20"/>
          <w:lang w:val="es-ES"/>
        </w:rPr>
        <w:t xml:space="preserve">opuesta </w:t>
      </w:r>
      <w:r w:rsidRPr="00975C02">
        <w:rPr>
          <w:sz w:val="20"/>
          <w:szCs w:val="20"/>
          <w:lang w:val="es-ES"/>
        </w:rPr>
        <w:t xml:space="preserve">por el Estado relativa a la alegada falta de competencia </w:t>
      </w:r>
      <w:r w:rsidRPr="00975C02">
        <w:rPr>
          <w:i/>
          <w:sz w:val="20"/>
          <w:szCs w:val="20"/>
          <w:lang w:val="es-ES"/>
        </w:rPr>
        <w:t xml:space="preserve">ratione materiae </w:t>
      </w:r>
      <w:r w:rsidRPr="00E93F30">
        <w:rPr>
          <w:sz w:val="20"/>
          <w:szCs w:val="20"/>
          <w:lang w:val="es-ES"/>
        </w:rPr>
        <w:t>d</w:t>
      </w:r>
      <w:r w:rsidRPr="00975C02">
        <w:rPr>
          <w:sz w:val="20"/>
          <w:szCs w:val="20"/>
          <w:lang w:val="es-ES"/>
        </w:rPr>
        <w:t xml:space="preserve">e la Corte </w:t>
      </w:r>
      <w:r w:rsidR="00FA5549" w:rsidRPr="00975C02">
        <w:rPr>
          <w:sz w:val="20"/>
          <w:szCs w:val="20"/>
          <w:lang w:val="es-ES"/>
        </w:rPr>
        <w:t xml:space="preserve">en </w:t>
      </w:r>
      <w:r w:rsidRPr="00975C02">
        <w:rPr>
          <w:sz w:val="20"/>
          <w:szCs w:val="20"/>
          <w:lang w:val="es-ES"/>
        </w:rPr>
        <w:t xml:space="preserve">relación </w:t>
      </w:r>
      <w:r w:rsidR="00FA5549" w:rsidRPr="00975C02">
        <w:rPr>
          <w:sz w:val="20"/>
          <w:szCs w:val="20"/>
          <w:lang w:val="es-ES"/>
        </w:rPr>
        <w:t>con</w:t>
      </w:r>
      <w:r w:rsidRPr="00975C02">
        <w:rPr>
          <w:sz w:val="20"/>
          <w:szCs w:val="20"/>
          <w:lang w:val="es-ES"/>
        </w:rPr>
        <w:t xml:space="preserve"> la presunta violación de artículos de la Convención sobre los Derechos del Niño, en los términos de los párrafos </w:t>
      </w:r>
      <w:r w:rsidR="00182DC6" w:rsidRPr="00975C02">
        <w:rPr>
          <w:sz w:val="20"/>
          <w:szCs w:val="20"/>
          <w:lang w:val="es-ES"/>
        </w:rPr>
        <w:t>40</w:t>
      </w:r>
      <w:r w:rsidRPr="00975C02">
        <w:rPr>
          <w:sz w:val="20"/>
          <w:szCs w:val="20"/>
          <w:lang w:val="es-ES"/>
        </w:rPr>
        <w:t xml:space="preserve"> a </w:t>
      </w:r>
      <w:r w:rsidR="00182DC6" w:rsidRPr="00975C02">
        <w:rPr>
          <w:sz w:val="20"/>
          <w:szCs w:val="20"/>
          <w:lang w:val="es-ES"/>
        </w:rPr>
        <w:t>42</w:t>
      </w:r>
      <w:r w:rsidRPr="00975C02">
        <w:rPr>
          <w:sz w:val="20"/>
          <w:szCs w:val="20"/>
          <w:lang w:val="es-ES"/>
        </w:rPr>
        <w:t xml:space="preserve"> de la presente Sentencia.</w:t>
      </w:r>
    </w:p>
    <w:p w14:paraId="234590CE" w14:textId="77777777" w:rsidR="009334DB" w:rsidRPr="00975C02" w:rsidRDefault="009334DB" w:rsidP="009334DB">
      <w:pPr>
        <w:widowControl/>
        <w:tabs>
          <w:tab w:val="left" w:pos="720"/>
        </w:tabs>
        <w:adjustRightInd/>
        <w:spacing w:line="240" w:lineRule="auto"/>
        <w:ind w:right="-90"/>
        <w:contextualSpacing/>
        <w:textAlignment w:val="auto"/>
        <w:rPr>
          <w:sz w:val="20"/>
          <w:szCs w:val="20"/>
          <w:lang w:val="es-ES"/>
        </w:rPr>
      </w:pPr>
    </w:p>
    <w:p w14:paraId="02F493E7" w14:textId="04E374EA" w:rsidR="009D0B2B" w:rsidRPr="00975C02" w:rsidRDefault="00182DC6" w:rsidP="009D0B2B">
      <w:pPr>
        <w:pStyle w:val="Prrafodelista2"/>
        <w:tabs>
          <w:tab w:val="left" w:pos="720"/>
        </w:tabs>
        <w:ind w:left="0" w:right="-90"/>
        <w:contextualSpacing/>
        <w:rPr>
          <w:lang w:val="es-ES"/>
        </w:rPr>
      </w:pPr>
      <w:r w:rsidRPr="00975C02">
        <w:rPr>
          <w:b/>
          <w:bCs/>
          <w:lang w:val="es-ES"/>
        </w:rPr>
        <w:t>DECLARA:</w:t>
      </w:r>
    </w:p>
    <w:p w14:paraId="7BDABDC9" w14:textId="77777777" w:rsidR="009D0B2B" w:rsidRPr="00975C02" w:rsidRDefault="009D0B2B" w:rsidP="009D0B2B">
      <w:pPr>
        <w:pStyle w:val="Prrafodelista2"/>
        <w:tabs>
          <w:tab w:val="left" w:pos="720"/>
        </w:tabs>
        <w:ind w:left="0" w:right="-90"/>
        <w:contextualSpacing/>
        <w:rPr>
          <w:lang w:val="es-ES"/>
        </w:rPr>
      </w:pPr>
    </w:p>
    <w:p w14:paraId="11AFC30F" w14:textId="7012D4AF" w:rsidR="009D0B2B" w:rsidRPr="00975C02" w:rsidRDefault="009D0B2B" w:rsidP="009D0B2B">
      <w:pPr>
        <w:pStyle w:val="Prrafodelista2"/>
        <w:ind w:left="0" w:right="-90"/>
        <w:contextualSpacing/>
        <w:rPr>
          <w:lang w:val="es-ES"/>
        </w:rPr>
      </w:pPr>
      <w:r w:rsidRPr="00975C02">
        <w:rPr>
          <w:lang w:val="es-ES"/>
        </w:rPr>
        <w:t xml:space="preserve">Por </w:t>
      </w:r>
      <w:r w:rsidR="00BF09E6" w:rsidRPr="00975C02">
        <w:rPr>
          <w:lang w:val="es-ES"/>
        </w:rPr>
        <w:t xml:space="preserve">unanimidad, </w:t>
      </w:r>
      <w:r w:rsidRPr="00975C02">
        <w:rPr>
          <w:lang w:val="es-ES"/>
        </w:rPr>
        <w:t>que:</w:t>
      </w:r>
    </w:p>
    <w:p w14:paraId="1EDAC43C" w14:textId="77777777" w:rsidR="009D0B2B" w:rsidRPr="00975C02" w:rsidRDefault="009D0B2B" w:rsidP="009D0B2B">
      <w:pPr>
        <w:pStyle w:val="Prrafodelista2"/>
        <w:ind w:left="0" w:right="-90"/>
        <w:contextualSpacing/>
        <w:rPr>
          <w:lang w:val="es-ES"/>
        </w:rPr>
      </w:pPr>
    </w:p>
    <w:p w14:paraId="49A6E499" w14:textId="492DFF42" w:rsidR="009D0B2B" w:rsidRPr="00975C02" w:rsidRDefault="0031341D" w:rsidP="009D0B2B">
      <w:pPr>
        <w:widowControl/>
        <w:numPr>
          <w:ilvl w:val="0"/>
          <w:numId w:val="21"/>
        </w:numPr>
        <w:tabs>
          <w:tab w:val="left" w:pos="720"/>
        </w:tabs>
        <w:adjustRightInd/>
        <w:spacing w:line="240" w:lineRule="auto"/>
        <w:ind w:right="-90"/>
        <w:contextualSpacing/>
        <w:textAlignment w:val="auto"/>
        <w:rPr>
          <w:sz w:val="20"/>
          <w:szCs w:val="20"/>
          <w:lang w:val="es-ES"/>
        </w:rPr>
      </w:pPr>
      <w:r w:rsidRPr="00975C02">
        <w:rPr>
          <w:kern w:val="2"/>
          <w:sz w:val="20"/>
          <w:szCs w:val="20"/>
          <w:lang w:val="es-ES" w:eastAsia="en-US"/>
        </w:rPr>
        <w:t xml:space="preserve">El Estado es responsable por la violación </w:t>
      </w:r>
      <w:r w:rsidR="00D526EE" w:rsidRPr="00975C02">
        <w:rPr>
          <w:kern w:val="2"/>
          <w:sz w:val="20"/>
          <w:szCs w:val="20"/>
          <w:lang w:val="es-ES" w:eastAsia="en-US"/>
        </w:rPr>
        <w:t>de los derechos a la integridad personal, a las garantías judiciales, a la vida privada y familiar</w:t>
      </w:r>
      <w:r w:rsidR="00D61200" w:rsidRPr="00975C02">
        <w:rPr>
          <w:kern w:val="2"/>
          <w:sz w:val="20"/>
          <w:szCs w:val="20"/>
          <w:lang w:val="es-ES" w:eastAsia="en-US"/>
        </w:rPr>
        <w:t>,</w:t>
      </w:r>
      <w:r w:rsidR="00D526EE" w:rsidRPr="00975C02">
        <w:rPr>
          <w:kern w:val="2"/>
          <w:sz w:val="20"/>
          <w:szCs w:val="20"/>
          <w:lang w:val="es-ES" w:eastAsia="en-US"/>
        </w:rPr>
        <w:t xml:space="preserve"> y a la protección judicial, tanto por acción como por omisión</w:t>
      </w:r>
      <w:r w:rsidRPr="00975C02">
        <w:rPr>
          <w:kern w:val="2"/>
          <w:sz w:val="20"/>
          <w:szCs w:val="20"/>
          <w:lang w:val="es-ES" w:eastAsia="en-US"/>
        </w:rPr>
        <w:t>, en los término</w:t>
      </w:r>
      <w:r w:rsidR="00D526EE" w:rsidRPr="00975C02">
        <w:rPr>
          <w:kern w:val="2"/>
          <w:sz w:val="20"/>
          <w:szCs w:val="20"/>
          <w:lang w:val="es-ES" w:eastAsia="en-US"/>
        </w:rPr>
        <w:t>s de los artículos 5</w:t>
      </w:r>
      <w:r w:rsidR="00D61200" w:rsidRPr="00975C02">
        <w:rPr>
          <w:kern w:val="2"/>
          <w:sz w:val="20"/>
          <w:szCs w:val="20"/>
          <w:lang w:val="es-ES" w:eastAsia="en-US"/>
        </w:rPr>
        <w:t>.1</w:t>
      </w:r>
      <w:r w:rsidR="00D526EE" w:rsidRPr="00975C02">
        <w:rPr>
          <w:kern w:val="2"/>
          <w:sz w:val="20"/>
          <w:szCs w:val="20"/>
          <w:lang w:val="es-ES" w:eastAsia="en-US"/>
        </w:rPr>
        <w:t>, 8.1, 11.2 y</w:t>
      </w:r>
      <w:r w:rsidRPr="00975C02">
        <w:rPr>
          <w:kern w:val="2"/>
          <w:sz w:val="20"/>
          <w:szCs w:val="20"/>
          <w:lang w:val="es-ES" w:eastAsia="en-US"/>
        </w:rPr>
        <w:t xml:space="preserve"> 25.1 de la Convención Americana sobre Derechos Humanos, en relación con l</w:t>
      </w:r>
      <w:r w:rsidR="00D526EE" w:rsidRPr="00975C02">
        <w:rPr>
          <w:kern w:val="2"/>
          <w:sz w:val="20"/>
          <w:szCs w:val="20"/>
          <w:lang w:val="es-ES" w:eastAsia="en-US"/>
        </w:rPr>
        <w:t>os</w:t>
      </w:r>
      <w:r w:rsidRPr="00975C02">
        <w:rPr>
          <w:kern w:val="2"/>
          <w:sz w:val="20"/>
          <w:szCs w:val="20"/>
          <w:lang w:val="es-ES" w:eastAsia="en-US"/>
        </w:rPr>
        <w:t xml:space="preserve"> artículo</w:t>
      </w:r>
      <w:r w:rsidR="00D526EE" w:rsidRPr="00975C02">
        <w:rPr>
          <w:kern w:val="2"/>
          <w:sz w:val="20"/>
          <w:szCs w:val="20"/>
          <w:lang w:val="es-ES" w:eastAsia="en-US"/>
        </w:rPr>
        <w:t>s</w:t>
      </w:r>
      <w:r w:rsidRPr="00975C02">
        <w:rPr>
          <w:kern w:val="2"/>
          <w:sz w:val="20"/>
          <w:szCs w:val="20"/>
          <w:lang w:val="es-ES" w:eastAsia="en-US"/>
        </w:rPr>
        <w:t xml:space="preserve"> 1.1 </w:t>
      </w:r>
      <w:r w:rsidR="00D526EE" w:rsidRPr="00975C02">
        <w:rPr>
          <w:kern w:val="2"/>
          <w:sz w:val="20"/>
          <w:szCs w:val="20"/>
          <w:lang w:val="es-ES" w:eastAsia="en-US"/>
        </w:rPr>
        <w:t xml:space="preserve">y 19 </w:t>
      </w:r>
      <w:r w:rsidRPr="00975C02">
        <w:rPr>
          <w:kern w:val="2"/>
          <w:sz w:val="20"/>
          <w:szCs w:val="20"/>
          <w:lang w:val="es-ES" w:eastAsia="en-US"/>
        </w:rPr>
        <w:t>de la misma, así como por el incumplimiento de las obligaciones derivadas del artículo 7.b) de la Convención de Belém do Pará, en perjuicio de V.R.P. y V.P.C.</w:t>
      </w:r>
      <w:r w:rsidR="009D0B2B" w:rsidRPr="00975C02">
        <w:rPr>
          <w:sz w:val="20"/>
          <w:szCs w:val="20"/>
          <w:lang w:val="es-ES"/>
        </w:rPr>
        <w:t xml:space="preserve">, en los términos de los párrafos </w:t>
      </w:r>
      <w:r w:rsidR="007E37DD" w:rsidRPr="00975C02">
        <w:rPr>
          <w:sz w:val="20"/>
          <w:szCs w:val="20"/>
          <w:lang w:val="es-ES"/>
        </w:rPr>
        <w:t>150</w:t>
      </w:r>
      <w:r w:rsidR="009D0B2B" w:rsidRPr="00975C02">
        <w:rPr>
          <w:sz w:val="20"/>
          <w:szCs w:val="20"/>
          <w:lang w:val="es-ES"/>
        </w:rPr>
        <w:t xml:space="preserve"> a </w:t>
      </w:r>
      <w:r w:rsidR="00847606" w:rsidRPr="00975C02">
        <w:rPr>
          <w:sz w:val="20"/>
          <w:szCs w:val="20"/>
          <w:lang w:val="es-ES"/>
        </w:rPr>
        <w:t>203</w:t>
      </w:r>
      <w:r w:rsidR="00D526EE" w:rsidRPr="00975C02">
        <w:rPr>
          <w:sz w:val="20"/>
          <w:szCs w:val="20"/>
          <w:lang w:val="es-ES"/>
        </w:rPr>
        <w:t xml:space="preserve"> </w:t>
      </w:r>
      <w:r w:rsidR="0048718C" w:rsidRPr="00975C02">
        <w:rPr>
          <w:sz w:val="20"/>
          <w:szCs w:val="20"/>
          <w:lang w:val="es-ES"/>
        </w:rPr>
        <w:t xml:space="preserve">y 304 </w:t>
      </w:r>
      <w:r w:rsidR="00D526EE" w:rsidRPr="00975C02">
        <w:rPr>
          <w:sz w:val="20"/>
          <w:szCs w:val="20"/>
          <w:lang w:val="es-ES"/>
        </w:rPr>
        <w:t>de la presente Sentencia.</w:t>
      </w:r>
    </w:p>
    <w:p w14:paraId="229CA145" w14:textId="77777777" w:rsidR="009D0B2B" w:rsidRPr="00975C02" w:rsidRDefault="009D0B2B" w:rsidP="009D0B2B">
      <w:pPr>
        <w:pStyle w:val="Prrafodelista2"/>
        <w:ind w:left="0" w:right="-90"/>
        <w:contextualSpacing/>
        <w:jc w:val="both"/>
        <w:rPr>
          <w:lang w:val="es-ES"/>
        </w:rPr>
      </w:pPr>
    </w:p>
    <w:p w14:paraId="72B9E199" w14:textId="6959E865" w:rsidR="0031341D" w:rsidRPr="00975C02" w:rsidRDefault="0031341D" w:rsidP="0031341D">
      <w:pPr>
        <w:widowControl/>
        <w:numPr>
          <w:ilvl w:val="0"/>
          <w:numId w:val="21"/>
        </w:numPr>
        <w:tabs>
          <w:tab w:val="left" w:pos="720"/>
        </w:tabs>
        <w:adjustRightInd/>
        <w:spacing w:line="240" w:lineRule="auto"/>
        <w:ind w:right="-90"/>
        <w:contextualSpacing/>
        <w:textAlignment w:val="auto"/>
        <w:rPr>
          <w:sz w:val="20"/>
          <w:szCs w:val="20"/>
          <w:lang w:val="es-ES"/>
        </w:rPr>
      </w:pPr>
      <w:r w:rsidRPr="00975C02">
        <w:rPr>
          <w:sz w:val="20"/>
          <w:szCs w:val="20"/>
          <w:lang w:val="es-ES"/>
        </w:rPr>
        <w:t>El Estado es responsable por la violación de</w:t>
      </w:r>
      <w:r w:rsidRPr="00975C02">
        <w:rPr>
          <w:sz w:val="20"/>
          <w:szCs w:val="20"/>
          <w:lang w:val="es-ES" w:eastAsia="en-US"/>
        </w:rPr>
        <w:t xml:space="preserve"> las garantías de</w:t>
      </w:r>
      <w:r w:rsidR="00847606" w:rsidRPr="00975C02">
        <w:rPr>
          <w:sz w:val="20"/>
          <w:szCs w:val="20"/>
          <w:lang w:val="es-ES" w:eastAsia="en-US"/>
        </w:rPr>
        <w:t xml:space="preserve"> debido proceso referidas a la</w:t>
      </w:r>
      <w:r w:rsidRPr="00975C02">
        <w:rPr>
          <w:sz w:val="20"/>
          <w:szCs w:val="20"/>
          <w:lang w:val="es-ES" w:eastAsia="en-US"/>
        </w:rPr>
        <w:t xml:space="preserve"> imparcialidad objetiva y </w:t>
      </w:r>
      <w:r w:rsidR="00847CD1">
        <w:rPr>
          <w:sz w:val="20"/>
          <w:szCs w:val="20"/>
          <w:lang w:val="es-ES" w:eastAsia="en-US"/>
        </w:rPr>
        <w:t>a la</w:t>
      </w:r>
      <w:r w:rsidRPr="00975C02">
        <w:rPr>
          <w:sz w:val="20"/>
          <w:szCs w:val="20"/>
          <w:lang w:val="es-ES" w:eastAsia="en-US"/>
        </w:rPr>
        <w:t xml:space="preserve"> interdicción de la arbitrariedad, </w:t>
      </w:r>
      <w:r w:rsidR="00416AA0" w:rsidRPr="00975C02">
        <w:rPr>
          <w:sz w:val="20"/>
          <w:szCs w:val="20"/>
          <w:lang w:val="es-ES" w:eastAsia="en-US"/>
        </w:rPr>
        <w:t>reconocidas</w:t>
      </w:r>
      <w:r w:rsidRPr="00975C02">
        <w:rPr>
          <w:sz w:val="20"/>
          <w:szCs w:val="20"/>
          <w:lang w:val="es-ES" w:eastAsia="en-US"/>
        </w:rPr>
        <w:t xml:space="preserve"> en el artículo 8.1 de la Convención Americana </w:t>
      </w:r>
      <w:r w:rsidRPr="00975C02">
        <w:rPr>
          <w:kern w:val="2"/>
          <w:sz w:val="20"/>
          <w:szCs w:val="20"/>
          <w:lang w:val="es-ES" w:eastAsia="en-US"/>
        </w:rPr>
        <w:t>sobre Derechos Humanos</w:t>
      </w:r>
      <w:r w:rsidRPr="00975C02">
        <w:rPr>
          <w:sz w:val="20"/>
          <w:szCs w:val="20"/>
          <w:lang w:val="es-ES" w:eastAsia="en-US"/>
        </w:rPr>
        <w:t xml:space="preserve">, en relación con el artículo 1.1 de la misma y </w:t>
      </w:r>
      <w:r w:rsidRPr="00975C02">
        <w:rPr>
          <w:rFonts w:eastAsia="Batang" w:cs="Arial"/>
          <w:sz w:val="20"/>
          <w:szCs w:val="20"/>
          <w:lang w:val="es-ES" w:eastAsia="es-MX"/>
        </w:rPr>
        <w:t xml:space="preserve">el artículo 7.b) </w:t>
      </w:r>
      <w:r w:rsidRPr="00975C02">
        <w:rPr>
          <w:rFonts w:eastAsia="Batang"/>
          <w:sz w:val="20"/>
          <w:szCs w:val="20"/>
          <w:lang w:val="es-ES" w:eastAsia="es-MX"/>
        </w:rPr>
        <w:t>de la Convención de Belém do Pará</w:t>
      </w:r>
      <w:r w:rsidRPr="00975C02">
        <w:rPr>
          <w:sz w:val="20"/>
          <w:szCs w:val="20"/>
          <w:lang w:val="es-ES" w:eastAsia="en-US"/>
        </w:rPr>
        <w:t>, en perjuicio de V.R.P. y V.P.C.</w:t>
      </w:r>
      <w:r w:rsidRPr="00975C02">
        <w:rPr>
          <w:sz w:val="20"/>
          <w:szCs w:val="20"/>
          <w:lang w:val="es-ES"/>
        </w:rPr>
        <w:t xml:space="preserve">, </w:t>
      </w:r>
      <w:r w:rsidRPr="00975C02">
        <w:rPr>
          <w:rFonts w:eastAsia="Batang"/>
          <w:sz w:val="20"/>
          <w:szCs w:val="20"/>
          <w:lang w:val="es-ES"/>
        </w:rPr>
        <w:t xml:space="preserve">en los términos de los párrafos </w:t>
      </w:r>
      <w:r w:rsidR="00847606" w:rsidRPr="00975C02">
        <w:rPr>
          <w:sz w:val="20"/>
          <w:szCs w:val="20"/>
          <w:lang w:val="es-ES"/>
        </w:rPr>
        <w:t>216</w:t>
      </w:r>
      <w:r w:rsidRPr="00975C02">
        <w:rPr>
          <w:sz w:val="20"/>
          <w:szCs w:val="20"/>
          <w:lang w:val="es-ES"/>
        </w:rPr>
        <w:t xml:space="preserve"> a </w:t>
      </w:r>
      <w:r w:rsidR="00847606" w:rsidRPr="00975C02">
        <w:rPr>
          <w:sz w:val="20"/>
          <w:szCs w:val="20"/>
          <w:lang w:val="es-ES"/>
        </w:rPr>
        <w:t>271</w:t>
      </w:r>
      <w:r w:rsidR="0048718C" w:rsidRPr="00975C02">
        <w:rPr>
          <w:sz w:val="20"/>
          <w:szCs w:val="20"/>
          <w:lang w:val="es-ES"/>
        </w:rPr>
        <w:t xml:space="preserve"> y 304</w:t>
      </w:r>
      <w:r w:rsidRPr="00975C02">
        <w:rPr>
          <w:sz w:val="20"/>
          <w:szCs w:val="20"/>
          <w:lang w:val="es-ES"/>
        </w:rPr>
        <w:t xml:space="preserve"> de la presente Sentencia.</w:t>
      </w:r>
    </w:p>
    <w:p w14:paraId="4F9CD2F1" w14:textId="77777777" w:rsidR="0031341D" w:rsidRPr="00975C02" w:rsidRDefault="0031341D" w:rsidP="0031341D">
      <w:pPr>
        <w:widowControl/>
        <w:tabs>
          <w:tab w:val="left" w:pos="720"/>
        </w:tabs>
        <w:adjustRightInd/>
        <w:spacing w:line="240" w:lineRule="auto"/>
        <w:ind w:right="-90"/>
        <w:contextualSpacing/>
        <w:textAlignment w:val="auto"/>
        <w:rPr>
          <w:sz w:val="20"/>
          <w:szCs w:val="20"/>
          <w:lang w:val="es-ES"/>
        </w:rPr>
      </w:pPr>
    </w:p>
    <w:p w14:paraId="6B9D2330" w14:textId="7F587286" w:rsidR="00416AA0" w:rsidRPr="00975C02" w:rsidRDefault="00416AA0" w:rsidP="00416AA0">
      <w:pPr>
        <w:widowControl/>
        <w:numPr>
          <w:ilvl w:val="0"/>
          <w:numId w:val="21"/>
        </w:numPr>
        <w:tabs>
          <w:tab w:val="left" w:pos="720"/>
        </w:tabs>
        <w:adjustRightInd/>
        <w:spacing w:line="240" w:lineRule="auto"/>
        <w:ind w:right="-90"/>
        <w:contextualSpacing/>
        <w:textAlignment w:val="auto"/>
        <w:rPr>
          <w:sz w:val="20"/>
          <w:szCs w:val="20"/>
          <w:lang w:val="es-ES"/>
        </w:rPr>
      </w:pPr>
      <w:r w:rsidRPr="00975C02">
        <w:rPr>
          <w:sz w:val="20"/>
          <w:szCs w:val="20"/>
          <w:lang w:val="es-ES"/>
        </w:rPr>
        <w:t>El Estado es responsable por la violación de</w:t>
      </w:r>
      <w:r w:rsidRPr="00975C02">
        <w:rPr>
          <w:sz w:val="20"/>
          <w:szCs w:val="20"/>
          <w:lang w:val="es-ES" w:eastAsia="en-US"/>
        </w:rPr>
        <w:t xml:space="preserve"> la garantía de plazo razonable</w:t>
      </w:r>
      <w:r w:rsidR="00340927" w:rsidRPr="00975C02">
        <w:rPr>
          <w:sz w:val="20"/>
          <w:szCs w:val="20"/>
          <w:lang w:val="es-ES" w:eastAsia="en-US"/>
        </w:rPr>
        <w:t xml:space="preserve"> del proceso</w:t>
      </w:r>
      <w:r w:rsidRPr="00975C02">
        <w:rPr>
          <w:sz w:val="20"/>
          <w:szCs w:val="20"/>
          <w:lang w:val="es-ES" w:eastAsia="en-US"/>
        </w:rPr>
        <w:t xml:space="preserve">, reconocida en el artículo 8.1 de la Convención Americana </w:t>
      </w:r>
      <w:r w:rsidRPr="00975C02">
        <w:rPr>
          <w:kern w:val="2"/>
          <w:sz w:val="20"/>
          <w:szCs w:val="20"/>
          <w:lang w:val="es-ES" w:eastAsia="en-US"/>
        </w:rPr>
        <w:t>sobre Derechos Humanos</w:t>
      </w:r>
      <w:r w:rsidRPr="00975C02">
        <w:rPr>
          <w:sz w:val="20"/>
          <w:szCs w:val="20"/>
          <w:lang w:val="es-ES" w:eastAsia="en-US"/>
        </w:rPr>
        <w:t xml:space="preserve">, en relación con los artículos 1.1 y 19 de la misma y </w:t>
      </w:r>
      <w:r w:rsidRPr="00975C02">
        <w:rPr>
          <w:rFonts w:eastAsia="Batang" w:cs="Arial"/>
          <w:sz w:val="20"/>
          <w:szCs w:val="20"/>
          <w:lang w:val="es-ES" w:eastAsia="es-MX"/>
        </w:rPr>
        <w:t xml:space="preserve">el artículo 7.b) </w:t>
      </w:r>
      <w:r w:rsidRPr="00975C02">
        <w:rPr>
          <w:rFonts w:eastAsia="Batang"/>
          <w:sz w:val="20"/>
          <w:szCs w:val="20"/>
          <w:lang w:val="es-ES" w:eastAsia="es-MX"/>
        </w:rPr>
        <w:t>de la Convención de Belém do Pará</w:t>
      </w:r>
      <w:r w:rsidRPr="00975C02">
        <w:rPr>
          <w:sz w:val="20"/>
          <w:szCs w:val="20"/>
          <w:lang w:val="es-ES" w:eastAsia="en-US"/>
        </w:rPr>
        <w:t>, en perjuicio de V.R.P. y V.P.C.</w:t>
      </w:r>
      <w:r w:rsidRPr="00975C02">
        <w:rPr>
          <w:sz w:val="20"/>
          <w:szCs w:val="20"/>
          <w:lang w:val="es-ES"/>
        </w:rPr>
        <w:t xml:space="preserve">, </w:t>
      </w:r>
      <w:r w:rsidRPr="00975C02">
        <w:rPr>
          <w:rFonts w:eastAsia="Batang"/>
          <w:sz w:val="20"/>
          <w:szCs w:val="20"/>
          <w:lang w:val="es-ES"/>
        </w:rPr>
        <w:t xml:space="preserve">en los términos de los párrafos </w:t>
      </w:r>
      <w:r w:rsidR="00454D8E" w:rsidRPr="00975C02">
        <w:rPr>
          <w:sz w:val="20"/>
          <w:szCs w:val="20"/>
          <w:lang w:val="es-ES"/>
        </w:rPr>
        <w:t>275</w:t>
      </w:r>
      <w:r w:rsidRPr="00975C02">
        <w:rPr>
          <w:sz w:val="20"/>
          <w:szCs w:val="20"/>
          <w:lang w:val="es-ES"/>
        </w:rPr>
        <w:t xml:space="preserve"> a </w:t>
      </w:r>
      <w:r w:rsidR="00454D8E" w:rsidRPr="00975C02">
        <w:rPr>
          <w:sz w:val="20"/>
          <w:szCs w:val="20"/>
          <w:lang w:val="es-ES"/>
        </w:rPr>
        <w:t>285</w:t>
      </w:r>
      <w:r w:rsidRPr="00975C02">
        <w:rPr>
          <w:sz w:val="20"/>
          <w:szCs w:val="20"/>
          <w:lang w:val="es-ES"/>
        </w:rPr>
        <w:t xml:space="preserve"> </w:t>
      </w:r>
      <w:r w:rsidR="0048718C" w:rsidRPr="00975C02">
        <w:rPr>
          <w:sz w:val="20"/>
          <w:szCs w:val="20"/>
          <w:lang w:val="es-ES"/>
        </w:rPr>
        <w:t xml:space="preserve">y 304 </w:t>
      </w:r>
      <w:r w:rsidRPr="00975C02">
        <w:rPr>
          <w:sz w:val="20"/>
          <w:szCs w:val="20"/>
          <w:lang w:val="es-ES"/>
        </w:rPr>
        <w:t>de la presente Sentencia.</w:t>
      </w:r>
    </w:p>
    <w:p w14:paraId="16E324CD" w14:textId="77777777" w:rsidR="00416AA0" w:rsidRPr="00975C02" w:rsidRDefault="00416AA0" w:rsidP="0031341D">
      <w:pPr>
        <w:widowControl/>
        <w:tabs>
          <w:tab w:val="left" w:pos="720"/>
        </w:tabs>
        <w:adjustRightInd/>
        <w:spacing w:line="240" w:lineRule="auto"/>
        <w:ind w:right="-90"/>
        <w:contextualSpacing/>
        <w:textAlignment w:val="auto"/>
        <w:rPr>
          <w:sz w:val="20"/>
          <w:szCs w:val="20"/>
          <w:lang w:val="es-ES"/>
        </w:rPr>
      </w:pPr>
    </w:p>
    <w:p w14:paraId="6EDF1B2F" w14:textId="5BA44941" w:rsidR="00214C9A" w:rsidRPr="004021D8" w:rsidRDefault="00214C9A" w:rsidP="00F20A5E">
      <w:pPr>
        <w:widowControl/>
        <w:numPr>
          <w:ilvl w:val="0"/>
          <w:numId w:val="21"/>
        </w:numPr>
        <w:tabs>
          <w:tab w:val="left" w:pos="720"/>
        </w:tabs>
        <w:adjustRightInd/>
        <w:spacing w:line="240" w:lineRule="auto"/>
        <w:ind w:right="-90"/>
        <w:contextualSpacing/>
        <w:textAlignment w:val="auto"/>
        <w:rPr>
          <w:sz w:val="20"/>
          <w:szCs w:val="20"/>
          <w:lang w:val="es-ES"/>
        </w:rPr>
      </w:pPr>
      <w:r w:rsidRPr="00975C02">
        <w:rPr>
          <w:sz w:val="20"/>
          <w:szCs w:val="20"/>
          <w:lang w:val="es-ES"/>
        </w:rPr>
        <w:t>El Estado es responsable por el incumplimiento de su obligación de garantizar, sin discriminación</w:t>
      </w:r>
      <w:r w:rsidR="00D21AD9" w:rsidRPr="00975C02">
        <w:rPr>
          <w:sz w:val="20"/>
          <w:szCs w:val="20"/>
          <w:lang w:val="es-ES"/>
        </w:rPr>
        <w:t xml:space="preserve"> </w:t>
      </w:r>
      <w:r w:rsidR="00F20A5E" w:rsidRPr="00975C02">
        <w:rPr>
          <w:sz w:val="20"/>
          <w:szCs w:val="20"/>
          <w:lang w:val="es-ES"/>
        </w:rPr>
        <w:t>por motivos de sexo y género, así como por la condición de persona en desarrollo de la víctima</w:t>
      </w:r>
      <w:r w:rsidRPr="00975C02">
        <w:rPr>
          <w:sz w:val="20"/>
          <w:szCs w:val="20"/>
          <w:lang w:val="es-ES"/>
        </w:rPr>
        <w:t xml:space="preserve">, el derecho de acceso a la justicia en los términos de los artículos 8.1 y 25.1 de la Convención </w:t>
      </w:r>
      <w:r w:rsidRPr="004021D8">
        <w:rPr>
          <w:sz w:val="20"/>
          <w:szCs w:val="20"/>
          <w:lang w:val="es-ES"/>
        </w:rPr>
        <w:t xml:space="preserve">Americana </w:t>
      </w:r>
      <w:r w:rsidRPr="004021D8">
        <w:rPr>
          <w:kern w:val="2"/>
          <w:sz w:val="20"/>
          <w:szCs w:val="20"/>
          <w:lang w:val="es-ES" w:eastAsia="en-US"/>
        </w:rPr>
        <w:t>sobre Derechos Humanos</w:t>
      </w:r>
      <w:r w:rsidRPr="004021D8">
        <w:rPr>
          <w:sz w:val="20"/>
          <w:szCs w:val="20"/>
          <w:lang w:val="es-ES"/>
        </w:rPr>
        <w:t>, en relación con l</w:t>
      </w:r>
      <w:r w:rsidR="000D7883" w:rsidRPr="004021D8">
        <w:rPr>
          <w:sz w:val="20"/>
          <w:szCs w:val="20"/>
          <w:lang w:val="es-ES"/>
        </w:rPr>
        <w:t>os</w:t>
      </w:r>
      <w:r w:rsidRPr="004021D8">
        <w:rPr>
          <w:sz w:val="20"/>
          <w:szCs w:val="20"/>
          <w:lang w:val="es-ES"/>
        </w:rPr>
        <w:t xml:space="preserve"> artículo</w:t>
      </w:r>
      <w:r w:rsidR="000D7883" w:rsidRPr="004021D8">
        <w:rPr>
          <w:sz w:val="20"/>
          <w:szCs w:val="20"/>
          <w:lang w:val="es-ES"/>
        </w:rPr>
        <w:t>s</w:t>
      </w:r>
      <w:r w:rsidRPr="004021D8">
        <w:rPr>
          <w:sz w:val="20"/>
          <w:szCs w:val="20"/>
          <w:lang w:val="es-ES"/>
        </w:rPr>
        <w:t xml:space="preserve"> 1.1</w:t>
      </w:r>
      <w:r w:rsidR="00D4268B" w:rsidRPr="004021D8">
        <w:rPr>
          <w:sz w:val="20"/>
          <w:szCs w:val="20"/>
          <w:lang w:val="es-ES"/>
        </w:rPr>
        <w:t>,</w:t>
      </w:r>
      <w:r w:rsidR="000D7883" w:rsidRPr="004021D8">
        <w:rPr>
          <w:sz w:val="20"/>
          <w:szCs w:val="20"/>
          <w:lang w:val="es-ES"/>
        </w:rPr>
        <w:t xml:space="preserve"> 19</w:t>
      </w:r>
      <w:r w:rsidR="00D4268B" w:rsidRPr="004021D8">
        <w:rPr>
          <w:sz w:val="20"/>
          <w:szCs w:val="20"/>
          <w:lang w:val="es-ES"/>
        </w:rPr>
        <w:t xml:space="preserve"> y 24</w:t>
      </w:r>
      <w:r w:rsidR="000D7883" w:rsidRPr="004021D8">
        <w:rPr>
          <w:sz w:val="20"/>
          <w:szCs w:val="20"/>
          <w:lang w:val="es-ES"/>
        </w:rPr>
        <w:t xml:space="preserve"> </w:t>
      </w:r>
      <w:r w:rsidRPr="004021D8">
        <w:rPr>
          <w:sz w:val="20"/>
          <w:szCs w:val="20"/>
          <w:lang w:val="es-ES"/>
        </w:rPr>
        <w:t>de la misma</w:t>
      </w:r>
      <w:r w:rsidR="00501708" w:rsidRPr="004021D8">
        <w:rPr>
          <w:sz w:val="20"/>
          <w:szCs w:val="20"/>
          <w:lang w:val="es-ES" w:eastAsia="en-US"/>
        </w:rPr>
        <w:t xml:space="preserve"> y </w:t>
      </w:r>
      <w:r w:rsidR="00501708" w:rsidRPr="004021D8">
        <w:rPr>
          <w:rFonts w:eastAsia="Batang" w:cs="Arial"/>
          <w:sz w:val="20"/>
          <w:szCs w:val="20"/>
          <w:lang w:val="es-ES" w:eastAsia="es-MX"/>
        </w:rPr>
        <w:t xml:space="preserve">el artículo 7.b) </w:t>
      </w:r>
      <w:r w:rsidR="00501708" w:rsidRPr="004021D8">
        <w:rPr>
          <w:rFonts w:eastAsia="Batang"/>
          <w:sz w:val="20"/>
          <w:szCs w:val="20"/>
          <w:lang w:val="es-ES" w:eastAsia="es-MX"/>
        </w:rPr>
        <w:t>de la Convención de Belém do Pará</w:t>
      </w:r>
      <w:r w:rsidRPr="004021D8">
        <w:rPr>
          <w:sz w:val="20"/>
          <w:szCs w:val="20"/>
          <w:lang w:val="es-ES"/>
        </w:rPr>
        <w:t xml:space="preserve">, en perjuicio de V.R.P., </w:t>
      </w:r>
      <w:r w:rsidRPr="004021D8">
        <w:rPr>
          <w:rFonts w:eastAsia="Batang"/>
          <w:sz w:val="20"/>
          <w:szCs w:val="20"/>
          <w:lang w:val="es-ES"/>
        </w:rPr>
        <w:t xml:space="preserve">en los términos de los párrafos </w:t>
      </w:r>
      <w:r w:rsidR="00134608" w:rsidRPr="004021D8">
        <w:rPr>
          <w:sz w:val="20"/>
          <w:szCs w:val="20"/>
          <w:lang w:val="es-ES"/>
        </w:rPr>
        <w:t>289</w:t>
      </w:r>
      <w:r w:rsidRPr="004021D8">
        <w:rPr>
          <w:sz w:val="20"/>
          <w:szCs w:val="20"/>
          <w:lang w:val="es-ES"/>
        </w:rPr>
        <w:t xml:space="preserve"> a </w:t>
      </w:r>
      <w:r w:rsidR="00134608" w:rsidRPr="004021D8">
        <w:rPr>
          <w:sz w:val="20"/>
          <w:szCs w:val="20"/>
          <w:lang w:val="es-ES"/>
        </w:rPr>
        <w:t>296</w:t>
      </w:r>
      <w:r w:rsidR="0048718C" w:rsidRPr="004021D8">
        <w:rPr>
          <w:sz w:val="20"/>
          <w:szCs w:val="20"/>
          <w:lang w:val="es-ES"/>
        </w:rPr>
        <w:t xml:space="preserve"> y 304</w:t>
      </w:r>
      <w:r w:rsidRPr="004021D8">
        <w:rPr>
          <w:sz w:val="20"/>
          <w:szCs w:val="20"/>
          <w:lang w:val="es-ES"/>
        </w:rPr>
        <w:t xml:space="preserve"> de la presente Sentencia.</w:t>
      </w:r>
    </w:p>
    <w:p w14:paraId="123C552E" w14:textId="77777777" w:rsidR="00214C9A" w:rsidRPr="004021D8" w:rsidRDefault="00214C9A" w:rsidP="00214C9A">
      <w:pPr>
        <w:widowControl/>
        <w:tabs>
          <w:tab w:val="left" w:pos="720"/>
        </w:tabs>
        <w:adjustRightInd/>
        <w:spacing w:line="240" w:lineRule="auto"/>
        <w:ind w:right="-90"/>
        <w:contextualSpacing/>
        <w:textAlignment w:val="auto"/>
        <w:rPr>
          <w:sz w:val="20"/>
          <w:szCs w:val="20"/>
          <w:lang w:val="es-ES"/>
        </w:rPr>
      </w:pPr>
    </w:p>
    <w:p w14:paraId="0E4ECA60" w14:textId="155236E2" w:rsidR="00214C9A" w:rsidRPr="00975C02" w:rsidRDefault="00214C9A" w:rsidP="00214C9A">
      <w:pPr>
        <w:widowControl/>
        <w:numPr>
          <w:ilvl w:val="0"/>
          <w:numId w:val="21"/>
        </w:numPr>
        <w:tabs>
          <w:tab w:val="left" w:pos="720"/>
        </w:tabs>
        <w:adjustRightInd/>
        <w:spacing w:line="240" w:lineRule="auto"/>
        <w:ind w:right="-90"/>
        <w:contextualSpacing/>
        <w:textAlignment w:val="auto"/>
        <w:rPr>
          <w:sz w:val="20"/>
          <w:szCs w:val="20"/>
          <w:lang w:val="es-ES"/>
        </w:rPr>
      </w:pPr>
      <w:r w:rsidRPr="004021D8">
        <w:rPr>
          <w:rFonts w:eastAsia="Times"/>
          <w:sz w:val="20"/>
          <w:szCs w:val="20"/>
          <w:lang w:val="es-ES"/>
        </w:rPr>
        <w:t xml:space="preserve">El Estado es responsable </w:t>
      </w:r>
      <w:r w:rsidR="005C06ED" w:rsidRPr="004021D8">
        <w:rPr>
          <w:rFonts w:eastAsia="Times"/>
          <w:sz w:val="20"/>
          <w:szCs w:val="20"/>
          <w:lang w:val="es-ES"/>
        </w:rPr>
        <w:t xml:space="preserve">por </w:t>
      </w:r>
      <w:r w:rsidRPr="004021D8">
        <w:rPr>
          <w:rFonts w:eastAsia="Times"/>
          <w:sz w:val="20"/>
          <w:szCs w:val="20"/>
          <w:lang w:val="es-ES"/>
        </w:rPr>
        <w:t>la violación de la prohibición de tratos crueles</w:t>
      </w:r>
      <w:r w:rsidR="00852DD6">
        <w:rPr>
          <w:rFonts w:eastAsia="Times"/>
          <w:sz w:val="20"/>
          <w:szCs w:val="20"/>
          <w:lang w:val="es-ES"/>
        </w:rPr>
        <w:t>,</w:t>
      </w:r>
      <w:r w:rsidRPr="004021D8">
        <w:rPr>
          <w:rFonts w:eastAsia="Times"/>
          <w:sz w:val="20"/>
          <w:szCs w:val="20"/>
          <w:lang w:val="es-ES"/>
        </w:rPr>
        <w:t xml:space="preserve"> inhumanos </w:t>
      </w:r>
      <w:r w:rsidR="00852DD6">
        <w:rPr>
          <w:rFonts w:eastAsia="Times"/>
          <w:sz w:val="20"/>
          <w:szCs w:val="20"/>
          <w:lang w:val="es-ES"/>
        </w:rPr>
        <w:t>y</w:t>
      </w:r>
      <w:r w:rsidRPr="004021D8">
        <w:rPr>
          <w:rFonts w:eastAsia="Times"/>
          <w:sz w:val="20"/>
          <w:szCs w:val="20"/>
          <w:lang w:val="es-ES"/>
        </w:rPr>
        <w:t xml:space="preserve"> degradantes, establecida en el artículo 5.2 de la Conven</w:t>
      </w:r>
      <w:r w:rsidRPr="00975C02">
        <w:rPr>
          <w:rFonts w:eastAsia="Times"/>
          <w:sz w:val="20"/>
          <w:szCs w:val="20"/>
          <w:lang w:val="es-ES"/>
        </w:rPr>
        <w:t>ción Americana sobre Derechos Humanos, en relación con el artículo 1.1 de la misma, en perjuicio de</w:t>
      </w:r>
      <w:r w:rsidRPr="00975C02">
        <w:rPr>
          <w:rFonts w:eastAsia="Batang" w:cs="Times"/>
          <w:sz w:val="20"/>
          <w:szCs w:val="20"/>
          <w:lang w:val="es-ES"/>
        </w:rPr>
        <w:t xml:space="preserve"> V.R.P.,</w:t>
      </w:r>
      <w:r w:rsidRPr="00975C02">
        <w:rPr>
          <w:sz w:val="20"/>
          <w:szCs w:val="20"/>
          <w:lang w:val="es-ES"/>
        </w:rPr>
        <w:t xml:space="preserve"> </w:t>
      </w:r>
      <w:r w:rsidRPr="00975C02">
        <w:rPr>
          <w:rFonts w:eastAsia="Batang"/>
          <w:sz w:val="20"/>
          <w:szCs w:val="20"/>
          <w:lang w:val="es-ES"/>
        </w:rPr>
        <w:t xml:space="preserve">en los términos de los párrafos </w:t>
      </w:r>
      <w:r w:rsidR="00134608" w:rsidRPr="00975C02">
        <w:rPr>
          <w:sz w:val="20"/>
          <w:szCs w:val="20"/>
          <w:lang w:val="es-ES"/>
        </w:rPr>
        <w:t>297</w:t>
      </w:r>
      <w:r w:rsidRPr="00975C02">
        <w:rPr>
          <w:sz w:val="20"/>
          <w:szCs w:val="20"/>
          <w:lang w:val="es-ES"/>
        </w:rPr>
        <w:t xml:space="preserve"> a </w:t>
      </w:r>
      <w:r w:rsidR="00134608" w:rsidRPr="00975C02">
        <w:rPr>
          <w:sz w:val="20"/>
          <w:szCs w:val="20"/>
          <w:lang w:val="es-ES"/>
        </w:rPr>
        <w:t>299</w:t>
      </w:r>
      <w:r w:rsidRPr="00975C02">
        <w:rPr>
          <w:sz w:val="20"/>
          <w:szCs w:val="20"/>
          <w:lang w:val="es-ES"/>
        </w:rPr>
        <w:t xml:space="preserve"> </w:t>
      </w:r>
      <w:r w:rsidR="0048718C" w:rsidRPr="00975C02">
        <w:rPr>
          <w:sz w:val="20"/>
          <w:szCs w:val="20"/>
          <w:lang w:val="es-ES"/>
        </w:rPr>
        <w:t xml:space="preserve">y 304 </w:t>
      </w:r>
      <w:r w:rsidRPr="00975C02">
        <w:rPr>
          <w:sz w:val="20"/>
          <w:szCs w:val="20"/>
          <w:lang w:val="es-ES"/>
        </w:rPr>
        <w:t>de la presente Sentencia</w:t>
      </w:r>
      <w:r w:rsidRPr="00975C02">
        <w:rPr>
          <w:rFonts w:eastAsia="Batang" w:cs="Times"/>
          <w:sz w:val="20"/>
          <w:szCs w:val="20"/>
          <w:lang w:val="es-ES"/>
        </w:rPr>
        <w:t>.</w:t>
      </w:r>
    </w:p>
    <w:p w14:paraId="313ADF1A" w14:textId="77777777" w:rsidR="00214C9A" w:rsidRPr="00975C02" w:rsidRDefault="00214C9A" w:rsidP="00214C9A">
      <w:pPr>
        <w:widowControl/>
        <w:tabs>
          <w:tab w:val="left" w:pos="720"/>
        </w:tabs>
        <w:adjustRightInd/>
        <w:spacing w:line="240" w:lineRule="auto"/>
        <w:ind w:right="-90"/>
        <w:contextualSpacing/>
        <w:textAlignment w:val="auto"/>
        <w:rPr>
          <w:sz w:val="20"/>
          <w:szCs w:val="20"/>
          <w:lang w:val="es-ES"/>
        </w:rPr>
      </w:pPr>
    </w:p>
    <w:p w14:paraId="5C3B7C34" w14:textId="3AA98E6F" w:rsidR="00D21AD9" w:rsidRPr="00975C02" w:rsidRDefault="006D53BB" w:rsidP="00BB7E7B">
      <w:pPr>
        <w:widowControl/>
        <w:numPr>
          <w:ilvl w:val="0"/>
          <w:numId w:val="21"/>
        </w:numPr>
        <w:tabs>
          <w:tab w:val="left" w:pos="720"/>
        </w:tabs>
        <w:adjustRightInd/>
        <w:spacing w:line="240" w:lineRule="auto"/>
        <w:ind w:right="-90"/>
        <w:contextualSpacing/>
        <w:textAlignment w:val="auto"/>
        <w:rPr>
          <w:sz w:val="20"/>
          <w:szCs w:val="20"/>
          <w:lang w:val="es-ES"/>
        </w:rPr>
      </w:pPr>
      <w:r w:rsidRPr="00975C02">
        <w:rPr>
          <w:sz w:val="20"/>
          <w:szCs w:val="20"/>
          <w:lang w:val="es-ES"/>
        </w:rPr>
        <w:t>E</w:t>
      </w:r>
      <w:r w:rsidR="00D21AD9" w:rsidRPr="00975C02">
        <w:rPr>
          <w:sz w:val="20"/>
          <w:szCs w:val="20"/>
          <w:lang w:val="es-ES"/>
        </w:rPr>
        <w:t>l Estado es responsable por la violación de los derechos de residencia y a la protección de la familia, reconocidos en los artículos 22.1 y 17.1 de la Convención Americana</w:t>
      </w:r>
      <w:r w:rsidR="00B836E9" w:rsidRPr="00975C02">
        <w:rPr>
          <w:sz w:val="20"/>
          <w:szCs w:val="20"/>
          <w:lang w:val="es-ES"/>
        </w:rPr>
        <w:t xml:space="preserve"> </w:t>
      </w:r>
      <w:r w:rsidR="00B836E9" w:rsidRPr="00975C02">
        <w:rPr>
          <w:rFonts w:eastAsia="Times"/>
          <w:sz w:val="20"/>
          <w:szCs w:val="20"/>
          <w:lang w:val="es-ES"/>
        </w:rPr>
        <w:t>sobre Derechos Humanos</w:t>
      </w:r>
      <w:r w:rsidR="00D21AD9" w:rsidRPr="00975C02">
        <w:rPr>
          <w:sz w:val="20"/>
          <w:szCs w:val="20"/>
          <w:lang w:val="es-ES"/>
        </w:rPr>
        <w:t xml:space="preserve">, en relación con los artículos 1.1 </w:t>
      </w:r>
      <w:r w:rsidR="000D7883" w:rsidRPr="00975C02">
        <w:rPr>
          <w:sz w:val="20"/>
          <w:szCs w:val="20"/>
          <w:lang w:val="es-ES"/>
        </w:rPr>
        <w:t xml:space="preserve">y 19 </w:t>
      </w:r>
      <w:r w:rsidR="00D21AD9" w:rsidRPr="00975C02">
        <w:rPr>
          <w:sz w:val="20"/>
          <w:szCs w:val="20"/>
          <w:lang w:val="es-ES"/>
        </w:rPr>
        <w:t>de la misma, en perjuicio de V.R.P. Asimismo, el Estado es responsable por la violación de los derechos de residencia y a la protección de la familia, reconocidos en los artículos 22.1 y 17.1 de la Convención Americana</w:t>
      </w:r>
      <w:r w:rsidR="00B836E9" w:rsidRPr="00975C02">
        <w:rPr>
          <w:sz w:val="20"/>
          <w:szCs w:val="20"/>
          <w:lang w:val="es-ES"/>
        </w:rPr>
        <w:t xml:space="preserve"> </w:t>
      </w:r>
      <w:r w:rsidR="00B836E9" w:rsidRPr="00975C02">
        <w:rPr>
          <w:rFonts w:eastAsia="Times"/>
          <w:sz w:val="20"/>
          <w:szCs w:val="20"/>
          <w:lang w:val="es-ES"/>
        </w:rPr>
        <w:t>sobre Derechos Humanos</w:t>
      </w:r>
      <w:r w:rsidR="00D21AD9" w:rsidRPr="00975C02">
        <w:rPr>
          <w:sz w:val="20"/>
          <w:szCs w:val="20"/>
          <w:lang w:val="es-ES"/>
        </w:rPr>
        <w:t xml:space="preserve">, en relación con el artículo 1.1 de la misma, en perjuicio de V.P.C. y N.R.P. Del mismo modo, el Estado es responsable por la violación del derecho a la protección de la familia, reconocido en el artículo </w:t>
      </w:r>
      <w:r w:rsidR="00D21AD9" w:rsidRPr="00975C02">
        <w:rPr>
          <w:sz w:val="20"/>
          <w:szCs w:val="20"/>
          <w:lang w:val="es-ES"/>
        </w:rPr>
        <w:lastRenderedPageBreak/>
        <w:t>17.1 de la Convención Americana</w:t>
      </w:r>
      <w:r w:rsidR="00B836E9" w:rsidRPr="00975C02">
        <w:rPr>
          <w:sz w:val="20"/>
          <w:szCs w:val="20"/>
          <w:lang w:val="es-ES"/>
        </w:rPr>
        <w:t xml:space="preserve"> </w:t>
      </w:r>
      <w:r w:rsidR="00B836E9" w:rsidRPr="00975C02">
        <w:rPr>
          <w:rFonts w:eastAsia="Times"/>
          <w:sz w:val="20"/>
          <w:szCs w:val="20"/>
          <w:lang w:val="es-ES"/>
        </w:rPr>
        <w:t>sobre Derechos Humanos</w:t>
      </w:r>
      <w:r w:rsidR="00D21AD9" w:rsidRPr="00975C02">
        <w:rPr>
          <w:sz w:val="20"/>
          <w:szCs w:val="20"/>
          <w:lang w:val="es-ES"/>
        </w:rPr>
        <w:t>, en relación con el artículo 1.1</w:t>
      </w:r>
      <w:r w:rsidR="00EA3818" w:rsidRPr="00975C02">
        <w:rPr>
          <w:sz w:val="20"/>
          <w:szCs w:val="20"/>
          <w:lang w:val="es-ES"/>
        </w:rPr>
        <w:t xml:space="preserve"> de la misma</w:t>
      </w:r>
      <w:r w:rsidR="00D21AD9" w:rsidRPr="00975C02">
        <w:rPr>
          <w:sz w:val="20"/>
          <w:szCs w:val="20"/>
          <w:lang w:val="es-ES"/>
        </w:rPr>
        <w:t>, en perjuicio de H.J.R.P. y V.A.R.P.</w:t>
      </w:r>
      <w:r w:rsidR="00B836E9" w:rsidRPr="00975C02">
        <w:rPr>
          <w:sz w:val="20"/>
          <w:szCs w:val="20"/>
          <w:lang w:val="es-ES"/>
        </w:rPr>
        <w:t xml:space="preserve"> Todo ello en los términos de los párrafos </w:t>
      </w:r>
      <w:r w:rsidR="0048718C" w:rsidRPr="00975C02">
        <w:rPr>
          <w:sz w:val="20"/>
          <w:szCs w:val="20"/>
          <w:lang w:val="es-ES"/>
        </w:rPr>
        <w:t>308</w:t>
      </w:r>
      <w:r w:rsidR="00B836E9" w:rsidRPr="00975C02">
        <w:rPr>
          <w:sz w:val="20"/>
          <w:szCs w:val="20"/>
          <w:lang w:val="es-ES"/>
        </w:rPr>
        <w:t xml:space="preserve"> a </w:t>
      </w:r>
      <w:r w:rsidR="0048718C" w:rsidRPr="00975C02">
        <w:rPr>
          <w:sz w:val="20"/>
          <w:szCs w:val="20"/>
          <w:lang w:val="es-ES"/>
        </w:rPr>
        <w:t>322</w:t>
      </w:r>
      <w:r w:rsidR="00B836E9" w:rsidRPr="00975C02">
        <w:rPr>
          <w:sz w:val="20"/>
          <w:szCs w:val="20"/>
          <w:lang w:val="es-ES"/>
        </w:rPr>
        <w:t xml:space="preserve"> de la presente Sentencia.</w:t>
      </w:r>
    </w:p>
    <w:p w14:paraId="7118B885" w14:textId="77777777" w:rsidR="00D21AD9" w:rsidRPr="00975C02" w:rsidRDefault="00D21AD9" w:rsidP="00D21AD9">
      <w:pPr>
        <w:tabs>
          <w:tab w:val="left" w:pos="567"/>
        </w:tabs>
        <w:spacing w:line="240" w:lineRule="auto"/>
        <w:rPr>
          <w:rFonts w:eastAsiaTheme="minorHAnsi" w:cstheme="minorBidi"/>
          <w:sz w:val="20"/>
          <w:szCs w:val="20"/>
          <w:lang w:val="es-ES" w:eastAsia="en-US"/>
        </w:rPr>
      </w:pPr>
    </w:p>
    <w:p w14:paraId="6DE385D1" w14:textId="0A61C027" w:rsidR="009D0B2B" w:rsidRPr="00975C02" w:rsidRDefault="009D0B2B" w:rsidP="00B836E9">
      <w:pPr>
        <w:widowControl/>
        <w:numPr>
          <w:ilvl w:val="0"/>
          <w:numId w:val="21"/>
        </w:numPr>
        <w:tabs>
          <w:tab w:val="left" w:pos="720"/>
        </w:tabs>
        <w:adjustRightInd/>
        <w:spacing w:line="240" w:lineRule="auto"/>
        <w:ind w:right="-90"/>
        <w:contextualSpacing/>
        <w:textAlignment w:val="auto"/>
        <w:rPr>
          <w:lang w:val="es-ES"/>
        </w:rPr>
      </w:pPr>
      <w:r w:rsidRPr="00975C02">
        <w:rPr>
          <w:sz w:val="20"/>
          <w:szCs w:val="20"/>
          <w:lang w:val="es-ES"/>
        </w:rPr>
        <w:t xml:space="preserve">El </w:t>
      </w:r>
      <w:r w:rsidRPr="00975C02">
        <w:rPr>
          <w:rFonts w:eastAsia="MS Mincho"/>
          <w:sz w:val="20"/>
          <w:szCs w:val="20"/>
          <w:lang w:val="es-ES" w:eastAsia="en-US" w:bidi="en-US"/>
        </w:rPr>
        <w:t>Estado</w:t>
      </w:r>
      <w:r w:rsidRPr="00975C02">
        <w:rPr>
          <w:sz w:val="20"/>
          <w:szCs w:val="20"/>
          <w:lang w:val="es-ES"/>
        </w:rPr>
        <w:t xml:space="preserve"> es responsable por la violación del derecho a la integridad personal reconocido en el artículo 5.1 de la Convención Americana sobre Derechos Humanos, en relación con el artículo 1.1 de la misma, en perjuicio de </w:t>
      </w:r>
      <w:r w:rsidR="00B836E9" w:rsidRPr="00975C02">
        <w:rPr>
          <w:sz w:val="20"/>
          <w:szCs w:val="20"/>
          <w:lang w:val="es-ES"/>
        </w:rPr>
        <w:t xml:space="preserve">los familiares de V.R.P., identificados como V.P.C., </w:t>
      </w:r>
      <w:r w:rsidR="00EA3818" w:rsidRPr="00975C02">
        <w:rPr>
          <w:sz w:val="20"/>
          <w:szCs w:val="20"/>
          <w:lang w:val="es-ES"/>
        </w:rPr>
        <w:t xml:space="preserve">N.R.P., </w:t>
      </w:r>
      <w:r w:rsidR="00B836E9" w:rsidRPr="00975C02">
        <w:rPr>
          <w:sz w:val="20"/>
          <w:szCs w:val="20"/>
          <w:lang w:val="es-ES"/>
        </w:rPr>
        <w:t>H.J.R.P.</w:t>
      </w:r>
      <w:r w:rsidR="00EA3818" w:rsidRPr="00975C02">
        <w:rPr>
          <w:sz w:val="20"/>
          <w:szCs w:val="20"/>
          <w:lang w:val="es-ES"/>
        </w:rPr>
        <w:t xml:space="preserve"> y</w:t>
      </w:r>
      <w:r w:rsidR="00B836E9" w:rsidRPr="00975C02">
        <w:rPr>
          <w:sz w:val="20"/>
          <w:szCs w:val="20"/>
          <w:lang w:val="es-ES"/>
        </w:rPr>
        <w:t xml:space="preserve"> V.A.R.P.</w:t>
      </w:r>
      <w:r w:rsidRPr="00975C02">
        <w:rPr>
          <w:sz w:val="20"/>
          <w:szCs w:val="20"/>
          <w:lang w:val="es-ES"/>
        </w:rPr>
        <w:t xml:space="preserve">, en los términos de los párrafos </w:t>
      </w:r>
      <w:r w:rsidR="0048718C" w:rsidRPr="00975C02">
        <w:rPr>
          <w:sz w:val="20"/>
          <w:szCs w:val="20"/>
          <w:lang w:val="es-ES"/>
        </w:rPr>
        <w:t>327</w:t>
      </w:r>
      <w:r w:rsidRPr="00975C02">
        <w:rPr>
          <w:sz w:val="20"/>
          <w:szCs w:val="20"/>
          <w:lang w:val="es-ES"/>
        </w:rPr>
        <w:t xml:space="preserve"> a </w:t>
      </w:r>
      <w:r w:rsidR="0048718C" w:rsidRPr="00975C02">
        <w:rPr>
          <w:sz w:val="20"/>
          <w:szCs w:val="20"/>
          <w:lang w:val="es-ES"/>
        </w:rPr>
        <w:t>334</w:t>
      </w:r>
      <w:r w:rsidRPr="00975C02">
        <w:rPr>
          <w:sz w:val="20"/>
          <w:szCs w:val="20"/>
          <w:lang w:val="es-ES"/>
        </w:rPr>
        <w:t xml:space="preserve"> de la presente Sentencia.</w:t>
      </w:r>
    </w:p>
    <w:p w14:paraId="2D3C2486" w14:textId="77777777" w:rsidR="009D0B2B" w:rsidRPr="00975C02" w:rsidRDefault="009D0B2B" w:rsidP="009D0B2B">
      <w:pPr>
        <w:pStyle w:val="Prrafodelista2"/>
        <w:ind w:left="0" w:right="-90"/>
        <w:contextualSpacing/>
        <w:jc w:val="both"/>
        <w:rPr>
          <w:lang w:val="es-ES"/>
        </w:rPr>
      </w:pPr>
    </w:p>
    <w:p w14:paraId="5A41C8C9" w14:textId="1A58ED53" w:rsidR="00D21AD9" w:rsidRPr="00975C02" w:rsidRDefault="00D21AD9" w:rsidP="00BB7E7B">
      <w:pPr>
        <w:widowControl/>
        <w:numPr>
          <w:ilvl w:val="0"/>
          <w:numId w:val="21"/>
        </w:numPr>
        <w:tabs>
          <w:tab w:val="left" w:pos="720"/>
        </w:tabs>
        <w:adjustRightInd/>
        <w:spacing w:line="240" w:lineRule="auto"/>
        <w:ind w:right="-90"/>
        <w:contextualSpacing/>
        <w:textAlignment w:val="auto"/>
        <w:rPr>
          <w:rFonts w:eastAsiaTheme="minorHAnsi" w:cstheme="minorBidi"/>
          <w:sz w:val="20"/>
          <w:szCs w:val="20"/>
          <w:lang w:val="es-ES" w:eastAsia="en-US"/>
        </w:rPr>
      </w:pPr>
      <w:r w:rsidRPr="00975C02">
        <w:rPr>
          <w:rFonts w:eastAsiaTheme="minorHAnsi" w:cstheme="minorBidi"/>
          <w:sz w:val="20"/>
          <w:szCs w:val="20"/>
          <w:lang w:val="es-ES" w:eastAsia="en-US"/>
        </w:rPr>
        <w:t>El Estado no incurrió en responsabilidad por la alegada vulneración del principio de no discriminación por motivo de religión, protegido en el artículo 1.1 de la Convención Americana</w:t>
      </w:r>
      <w:r w:rsidR="005C06ED" w:rsidRPr="00975C02">
        <w:rPr>
          <w:rFonts w:eastAsiaTheme="minorHAnsi" w:cstheme="minorBidi"/>
          <w:sz w:val="20"/>
          <w:szCs w:val="20"/>
          <w:lang w:val="es-ES" w:eastAsia="en-US"/>
        </w:rPr>
        <w:t xml:space="preserve"> </w:t>
      </w:r>
      <w:r w:rsidR="005C06ED" w:rsidRPr="00975C02">
        <w:rPr>
          <w:rFonts w:eastAsia="Times"/>
          <w:sz w:val="20"/>
          <w:szCs w:val="20"/>
          <w:lang w:val="es-ES"/>
        </w:rPr>
        <w:t>sobre Derechos Humanos</w:t>
      </w:r>
      <w:r w:rsidRPr="00975C02">
        <w:rPr>
          <w:rFonts w:eastAsiaTheme="minorHAnsi" w:cstheme="minorBidi"/>
          <w:sz w:val="20"/>
          <w:szCs w:val="20"/>
          <w:lang w:val="es-ES" w:eastAsia="en-US"/>
        </w:rPr>
        <w:t>, así como tampoco incurrió en responsabilidad por la alegada vulneración del derecho a la libertad de religión, reconocido en el artículo 12</w:t>
      </w:r>
      <w:r w:rsidR="00E56062" w:rsidRPr="00975C02">
        <w:rPr>
          <w:rFonts w:eastAsiaTheme="minorHAnsi" w:cstheme="minorBidi"/>
          <w:sz w:val="20"/>
          <w:szCs w:val="20"/>
          <w:lang w:val="es-ES" w:eastAsia="en-US"/>
        </w:rPr>
        <w:t>.1</w:t>
      </w:r>
      <w:r w:rsidRPr="00975C02">
        <w:rPr>
          <w:rFonts w:eastAsiaTheme="minorHAnsi" w:cstheme="minorBidi"/>
          <w:sz w:val="20"/>
          <w:szCs w:val="20"/>
          <w:lang w:val="es-ES" w:eastAsia="en-US"/>
        </w:rPr>
        <w:t xml:space="preserve"> de la Convención Americana</w:t>
      </w:r>
      <w:r w:rsidR="005C06ED" w:rsidRPr="00975C02">
        <w:rPr>
          <w:rFonts w:eastAsiaTheme="minorHAnsi" w:cstheme="minorBidi"/>
          <w:sz w:val="20"/>
          <w:szCs w:val="20"/>
          <w:lang w:val="es-ES" w:eastAsia="en-US"/>
        </w:rPr>
        <w:t xml:space="preserve"> </w:t>
      </w:r>
      <w:r w:rsidR="005C06ED" w:rsidRPr="00975C02">
        <w:rPr>
          <w:rFonts w:eastAsia="Times"/>
          <w:sz w:val="20"/>
          <w:szCs w:val="20"/>
          <w:lang w:val="es-ES"/>
        </w:rPr>
        <w:t>sobre Derechos Humanos</w:t>
      </w:r>
      <w:r w:rsidR="00BB7E7B" w:rsidRPr="00975C02">
        <w:rPr>
          <w:sz w:val="20"/>
          <w:szCs w:val="20"/>
          <w:lang w:val="es-ES"/>
        </w:rPr>
        <w:t xml:space="preserve">, en los términos del párrafo </w:t>
      </w:r>
      <w:r w:rsidR="0048718C" w:rsidRPr="00975C02">
        <w:rPr>
          <w:sz w:val="20"/>
          <w:szCs w:val="20"/>
          <w:lang w:val="es-ES"/>
        </w:rPr>
        <w:t>323</w:t>
      </w:r>
      <w:r w:rsidR="00BB7E7B" w:rsidRPr="00975C02">
        <w:rPr>
          <w:sz w:val="20"/>
          <w:szCs w:val="20"/>
          <w:lang w:val="es-ES"/>
        </w:rPr>
        <w:t xml:space="preserve"> de la presente Sentencia.</w:t>
      </w:r>
    </w:p>
    <w:p w14:paraId="0253BCA3" w14:textId="77777777" w:rsidR="00D21AD9" w:rsidRPr="00975C02" w:rsidRDefault="00D21AD9" w:rsidP="009D0B2B">
      <w:pPr>
        <w:pStyle w:val="Prrafodelista2"/>
        <w:ind w:left="0" w:right="-90"/>
        <w:contextualSpacing/>
        <w:jc w:val="both"/>
        <w:rPr>
          <w:lang w:val="es-ES"/>
        </w:rPr>
      </w:pPr>
    </w:p>
    <w:p w14:paraId="7751F494" w14:textId="5FD49656" w:rsidR="009D0B2B" w:rsidRPr="00975C02" w:rsidRDefault="009D0B2B" w:rsidP="009D0B2B">
      <w:pPr>
        <w:widowControl/>
        <w:numPr>
          <w:ilvl w:val="0"/>
          <w:numId w:val="21"/>
        </w:numPr>
        <w:tabs>
          <w:tab w:val="left" w:pos="720"/>
        </w:tabs>
        <w:adjustRightInd/>
        <w:spacing w:line="240" w:lineRule="auto"/>
        <w:ind w:right="-90"/>
        <w:contextualSpacing/>
        <w:textAlignment w:val="auto"/>
        <w:rPr>
          <w:sz w:val="20"/>
          <w:szCs w:val="20"/>
          <w:lang w:val="es-ES"/>
        </w:rPr>
      </w:pPr>
      <w:r w:rsidRPr="00975C02">
        <w:rPr>
          <w:sz w:val="20"/>
          <w:szCs w:val="20"/>
          <w:lang w:val="es-ES"/>
        </w:rPr>
        <w:t>No corresponde emitir un pronunciamiento sobre las alegadas violaciones del artículo 25 de la Convención Americana sobre Derechos Humanos, así como del derecho a conocer la verdad, en los términos del párrafo</w:t>
      </w:r>
      <w:r w:rsidR="00D61200" w:rsidRPr="00975C02">
        <w:rPr>
          <w:sz w:val="20"/>
          <w:szCs w:val="20"/>
          <w:lang w:val="es-ES"/>
        </w:rPr>
        <w:t xml:space="preserve"> </w:t>
      </w:r>
      <w:r w:rsidR="00150638" w:rsidRPr="00975C02">
        <w:rPr>
          <w:sz w:val="20"/>
          <w:szCs w:val="20"/>
          <w:lang w:val="es-ES"/>
        </w:rPr>
        <w:t>303</w:t>
      </w:r>
      <w:r w:rsidRPr="00975C02">
        <w:rPr>
          <w:sz w:val="20"/>
          <w:szCs w:val="20"/>
          <w:lang w:val="es-ES"/>
        </w:rPr>
        <w:t xml:space="preserve"> de la presente Sentencia.</w:t>
      </w:r>
    </w:p>
    <w:p w14:paraId="1E20D20C" w14:textId="77777777" w:rsidR="009D0B2B" w:rsidRPr="00975C02" w:rsidRDefault="009D0B2B" w:rsidP="009D0B2B">
      <w:pPr>
        <w:pStyle w:val="Prrafodelista2"/>
        <w:ind w:left="0" w:right="-90"/>
        <w:contextualSpacing/>
        <w:jc w:val="both"/>
        <w:rPr>
          <w:lang w:val="es-ES"/>
        </w:rPr>
      </w:pPr>
    </w:p>
    <w:p w14:paraId="6C26C8A2" w14:textId="77777777" w:rsidR="009D0B2B" w:rsidRPr="00975C02" w:rsidRDefault="009D0B2B" w:rsidP="009D0B2B">
      <w:pPr>
        <w:pStyle w:val="Prrafodelista2"/>
        <w:tabs>
          <w:tab w:val="left" w:pos="720"/>
        </w:tabs>
        <w:ind w:left="0" w:right="-90"/>
        <w:contextualSpacing/>
        <w:jc w:val="both"/>
        <w:rPr>
          <w:b/>
          <w:bCs/>
          <w:lang w:val="es-ES"/>
        </w:rPr>
      </w:pPr>
      <w:r w:rsidRPr="00975C02">
        <w:rPr>
          <w:b/>
          <w:bCs/>
          <w:lang w:val="es-ES"/>
        </w:rPr>
        <w:t>Y DISPONE:</w:t>
      </w:r>
    </w:p>
    <w:p w14:paraId="26EBEA7C" w14:textId="77777777" w:rsidR="009D0B2B" w:rsidRPr="00975C02" w:rsidRDefault="009D0B2B" w:rsidP="009D0B2B">
      <w:pPr>
        <w:pStyle w:val="Prrafodelista2"/>
        <w:tabs>
          <w:tab w:val="left" w:pos="720"/>
        </w:tabs>
        <w:ind w:left="0" w:right="-90"/>
        <w:contextualSpacing/>
        <w:jc w:val="both"/>
        <w:rPr>
          <w:b/>
          <w:bCs/>
          <w:lang w:val="es-ES"/>
        </w:rPr>
      </w:pPr>
    </w:p>
    <w:p w14:paraId="438F65A6" w14:textId="12A6545C" w:rsidR="009D0B2B" w:rsidRPr="00975C02" w:rsidRDefault="009D0B2B" w:rsidP="009D0B2B">
      <w:pPr>
        <w:pStyle w:val="Prrafodelista2"/>
        <w:tabs>
          <w:tab w:val="left" w:pos="720"/>
        </w:tabs>
        <w:ind w:left="0" w:right="-90"/>
        <w:contextualSpacing/>
        <w:jc w:val="both"/>
        <w:rPr>
          <w:bCs/>
          <w:lang w:val="es-ES"/>
        </w:rPr>
      </w:pPr>
      <w:r w:rsidRPr="00975C02">
        <w:rPr>
          <w:lang w:val="es-ES"/>
        </w:rPr>
        <w:t xml:space="preserve">Por </w:t>
      </w:r>
      <w:r w:rsidR="00BF09E6" w:rsidRPr="00975C02">
        <w:rPr>
          <w:lang w:val="es-ES"/>
        </w:rPr>
        <w:t>unanimidad,</w:t>
      </w:r>
      <w:r w:rsidR="00BF09E6" w:rsidRPr="00975C02">
        <w:rPr>
          <w:bCs/>
          <w:lang w:val="es-ES"/>
        </w:rPr>
        <w:t xml:space="preserve"> </w:t>
      </w:r>
      <w:r w:rsidRPr="00975C02">
        <w:rPr>
          <w:bCs/>
          <w:lang w:val="es-ES"/>
        </w:rPr>
        <w:t>que:</w:t>
      </w:r>
    </w:p>
    <w:p w14:paraId="6F3B5988" w14:textId="77777777" w:rsidR="009D0B2B" w:rsidRPr="00975C02" w:rsidRDefault="009D0B2B" w:rsidP="009D0B2B">
      <w:pPr>
        <w:pStyle w:val="Prrafodelista2"/>
        <w:tabs>
          <w:tab w:val="left" w:pos="720"/>
        </w:tabs>
        <w:ind w:left="0" w:right="-90"/>
        <w:contextualSpacing/>
        <w:jc w:val="both"/>
        <w:rPr>
          <w:bCs/>
          <w:lang w:val="es-ES"/>
        </w:rPr>
      </w:pPr>
    </w:p>
    <w:p w14:paraId="52E6BA81" w14:textId="11FF1668" w:rsidR="009D0B2B" w:rsidRPr="00975C02" w:rsidRDefault="009D0B2B" w:rsidP="009D0B2B">
      <w:pPr>
        <w:widowControl/>
        <w:numPr>
          <w:ilvl w:val="0"/>
          <w:numId w:val="21"/>
        </w:numPr>
        <w:tabs>
          <w:tab w:val="left" w:pos="720"/>
        </w:tabs>
        <w:adjustRightInd/>
        <w:spacing w:line="240" w:lineRule="auto"/>
        <w:ind w:right="-90"/>
        <w:contextualSpacing/>
        <w:textAlignment w:val="auto"/>
        <w:rPr>
          <w:bCs/>
          <w:sz w:val="20"/>
          <w:szCs w:val="20"/>
          <w:lang w:val="es-ES"/>
        </w:rPr>
      </w:pPr>
      <w:r w:rsidRPr="00975C02">
        <w:rPr>
          <w:sz w:val="20"/>
          <w:szCs w:val="20"/>
          <w:lang w:val="es-ES"/>
        </w:rPr>
        <w:t>Esta</w:t>
      </w:r>
      <w:r w:rsidRPr="00975C02">
        <w:rPr>
          <w:bCs/>
          <w:sz w:val="20"/>
          <w:szCs w:val="20"/>
          <w:lang w:val="es-ES"/>
        </w:rPr>
        <w:t xml:space="preserve"> Sentencia constituye, </w:t>
      </w:r>
      <w:r w:rsidR="00D4268B" w:rsidRPr="00975C02">
        <w:rPr>
          <w:bCs/>
          <w:sz w:val="20"/>
          <w:szCs w:val="20"/>
          <w:lang w:val="es-ES"/>
        </w:rPr>
        <w:t>por sí misma</w:t>
      </w:r>
      <w:r w:rsidRPr="00975C02">
        <w:rPr>
          <w:bCs/>
          <w:sz w:val="20"/>
          <w:szCs w:val="20"/>
          <w:lang w:val="es-ES"/>
        </w:rPr>
        <w:t>, una forma de reparación.</w:t>
      </w:r>
    </w:p>
    <w:p w14:paraId="788DC9B1" w14:textId="77777777" w:rsidR="009D0B2B" w:rsidRPr="00975C02" w:rsidRDefault="009D0B2B" w:rsidP="009D0B2B">
      <w:pPr>
        <w:spacing w:line="240" w:lineRule="auto"/>
        <w:rPr>
          <w:sz w:val="20"/>
          <w:szCs w:val="20"/>
          <w:lang w:val="es-ES"/>
        </w:rPr>
      </w:pPr>
    </w:p>
    <w:p w14:paraId="2466AD96" w14:textId="26791523" w:rsidR="008F1161" w:rsidRPr="00975C02" w:rsidRDefault="008F1161" w:rsidP="009D0B2B">
      <w:pPr>
        <w:widowControl/>
        <w:numPr>
          <w:ilvl w:val="0"/>
          <w:numId w:val="21"/>
        </w:numPr>
        <w:tabs>
          <w:tab w:val="left" w:pos="720"/>
        </w:tabs>
        <w:adjustRightInd/>
        <w:spacing w:line="240" w:lineRule="auto"/>
        <w:ind w:right="-90"/>
        <w:contextualSpacing/>
        <w:textAlignment w:val="auto"/>
        <w:rPr>
          <w:bCs/>
          <w:sz w:val="20"/>
          <w:szCs w:val="20"/>
          <w:lang w:val="es-ES"/>
        </w:rPr>
      </w:pPr>
      <w:r w:rsidRPr="00975C02">
        <w:rPr>
          <w:rFonts w:eastAsia="MS Mincho" w:cs="Verdana"/>
          <w:sz w:val="20"/>
          <w:szCs w:val="20"/>
          <w:lang w:val="es-ES" w:bidi="en-US"/>
        </w:rPr>
        <w:t>El Estado debe, dentro de un plazo razonable, determinar, por intermedio de las instituciones públicas competentes, las eventuales responsabilidades de los funcionarios que contribuyeron con su actuación a la comisión de actos de revictimización y violencia institucional en perjuicio de V.R.P., y en la medida que corresponda, aplicar las consecuencias que la ley pudiera prever</w:t>
      </w:r>
      <w:r w:rsidRPr="00975C02">
        <w:rPr>
          <w:bCs/>
          <w:sz w:val="20"/>
          <w:szCs w:val="20"/>
          <w:lang w:val="es-ES"/>
        </w:rPr>
        <w:t xml:space="preserve">, de conformidad con lo establecido en el párrafo </w:t>
      </w:r>
      <w:r w:rsidR="0070121D" w:rsidRPr="00975C02">
        <w:rPr>
          <w:bCs/>
          <w:sz w:val="20"/>
          <w:szCs w:val="20"/>
          <w:lang w:val="es-ES"/>
        </w:rPr>
        <w:t>345</w:t>
      </w:r>
      <w:r w:rsidRPr="00975C02">
        <w:rPr>
          <w:bCs/>
          <w:sz w:val="20"/>
          <w:szCs w:val="20"/>
          <w:lang w:val="es-ES"/>
        </w:rPr>
        <w:t xml:space="preserve"> de esta Sentencia.</w:t>
      </w:r>
    </w:p>
    <w:p w14:paraId="2F2943C6" w14:textId="77777777" w:rsidR="008F1161" w:rsidRPr="00975C02" w:rsidRDefault="008F1161" w:rsidP="008F1161">
      <w:pPr>
        <w:widowControl/>
        <w:tabs>
          <w:tab w:val="left" w:pos="720"/>
        </w:tabs>
        <w:adjustRightInd/>
        <w:spacing w:line="240" w:lineRule="auto"/>
        <w:ind w:right="-90"/>
        <w:contextualSpacing/>
        <w:textAlignment w:val="auto"/>
        <w:rPr>
          <w:bCs/>
          <w:sz w:val="20"/>
          <w:szCs w:val="20"/>
          <w:lang w:val="es-ES"/>
        </w:rPr>
      </w:pPr>
    </w:p>
    <w:p w14:paraId="10A72746" w14:textId="585B40C1" w:rsidR="008F1161" w:rsidRPr="00975C02" w:rsidRDefault="008F1161" w:rsidP="009D0B2B">
      <w:pPr>
        <w:widowControl/>
        <w:numPr>
          <w:ilvl w:val="0"/>
          <w:numId w:val="21"/>
        </w:numPr>
        <w:tabs>
          <w:tab w:val="left" w:pos="720"/>
        </w:tabs>
        <w:adjustRightInd/>
        <w:spacing w:line="240" w:lineRule="auto"/>
        <w:ind w:right="-90"/>
        <w:contextualSpacing/>
        <w:textAlignment w:val="auto"/>
        <w:rPr>
          <w:bCs/>
          <w:sz w:val="20"/>
          <w:szCs w:val="20"/>
          <w:lang w:val="es-ES"/>
        </w:rPr>
      </w:pPr>
      <w:r w:rsidRPr="00975C02">
        <w:rPr>
          <w:bCs/>
          <w:sz w:val="20"/>
          <w:szCs w:val="20"/>
          <w:lang w:val="es-ES"/>
        </w:rPr>
        <w:t xml:space="preserve">El Estado debe </w:t>
      </w:r>
      <w:r w:rsidRPr="00975C02">
        <w:rPr>
          <w:rFonts w:eastAsia="Times"/>
          <w:sz w:val="20"/>
          <w:szCs w:val="20"/>
          <w:lang w:val="es-ES"/>
        </w:rPr>
        <w:t xml:space="preserve">pagar </w:t>
      </w:r>
      <w:r w:rsidR="00A85E34" w:rsidRPr="00975C02">
        <w:rPr>
          <w:rFonts w:eastAsia="Times"/>
          <w:sz w:val="20"/>
          <w:szCs w:val="20"/>
          <w:lang w:val="es-ES"/>
        </w:rPr>
        <w:t xml:space="preserve">a V.R.P., </w:t>
      </w:r>
      <w:r w:rsidR="00A85E34" w:rsidRPr="00975C02">
        <w:rPr>
          <w:sz w:val="20"/>
          <w:szCs w:val="20"/>
          <w:lang w:val="es-ES"/>
        </w:rPr>
        <w:t xml:space="preserve">V.P.C. y N.R.P. </w:t>
      </w:r>
      <w:r w:rsidRPr="00975C02">
        <w:rPr>
          <w:rFonts w:eastAsia="Times"/>
          <w:sz w:val="20"/>
          <w:szCs w:val="20"/>
          <w:lang w:val="es-ES"/>
        </w:rPr>
        <w:t xml:space="preserve">las sumas establecidas </w:t>
      </w:r>
      <w:r w:rsidRPr="00975C02">
        <w:rPr>
          <w:sz w:val="20"/>
          <w:szCs w:val="20"/>
          <w:lang w:val="es-ES"/>
        </w:rPr>
        <w:t xml:space="preserve">por concepto de gastos por tratamiento médico, psicológico y/o psiquiátrico, según corresponda, </w:t>
      </w:r>
      <w:r w:rsidRPr="00975C02">
        <w:rPr>
          <w:bCs/>
          <w:sz w:val="20"/>
          <w:szCs w:val="20"/>
          <w:lang w:val="es-ES"/>
        </w:rPr>
        <w:t xml:space="preserve">de conformidad con lo establecido en el párrafo </w:t>
      </w:r>
      <w:r w:rsidR="0070121D" w:rsidRPr="00975C02">
        <w:rPr>
          <w:bCs/>
          <w:sz w:val="20"/>
          <w:szCs w:val="20"/>
          <w:lang w:val="es-ES"/>
        </w:rPr>
        <w:t>351</w:t>
      </w:r>
      <w:r w:rsidRPr="00975C02">
        <w:rPr>
          <w:bCs/>
          <w:sz w:val="20"/>
          <w:szCs w:val="20"/>
          <w:lang w:val="es-ES"/>
        </w:rPr>
        <w:t xml:space="preserve"> de esta Sentencia.</w:t>
      </w:r>
    </w:p>
    <w:p w14:paraId="76928BC8" w14:textId="77777777" w:rsidR="008F1161" w:rsidRPr="00975C02" w:rsidRDefault="008F1161" w:rsidP="008F1161">
      <w:pPr>
        <w:widowControl/>
        <w:tabs>
          <w:tab w:val="left" w:pos="720"/>
        </w:tabs>
        <w:adjustRightInd/>
        <w:spacing w:line="240" w:lineRule="auto"/>
        <w:ind w:right="-90"/>
        <w:contextualSpacing/>
        <w:textAlignment w:val="auto"/>
        <w:rPr>
          <w:bCs/>
          <w:sz w:val="20"/>
          <w:szCs w:val="20"/>
          <w:lang w:val="es-ES"/>
        </w:rPr>
      </w:pPr>
    </w:p>
    <w:p w14:paraId="727F7B8A" w14:textId="3D29EB5E" w:rsidR="009D0B2B" w:rsidRPr="00975C02" w:rsidRDefault="009D0B2B" w:rsidP="009D0B2B">
      <w:pPr>
        <w:widowControl/>
        <w:numPr>
          <w:ilvl w:val="0"/>
          <w:numId w:val="21"/>
        </w:numPr>
        <w:tabs>
          <w:tab w:val="left" w:pos="720"/>
        </w:tabs>
        <w:adjustRightInd/>
        <w:spacing w:line="240" w:lineRule="auto"/>
        <w:ind w:right="-90"/>
        <w:contextualSpacing/>
        <w:textAlignment w:val="auto"/>
        <w:rPr>
          <w:bCs/>
          <w:sz w:val="20"/>
          <w:szCs w:val="20"/>
          <w:lang w:val="es-ES"/>
        </w:rPr>
      </w:pPr>
      <w:r w:rsidRPr="00975C02">
        <w:rPr>
          <w:bCs/>
          <w:sz w:val="20"/>
          <w:szCs w:val="20"/>
          <w:lang w:val="es-ES"/>
        </w:rPr>
        <w:t>El Estado debe brindar gratuitamente, a través de sus instituciones de salud especializadas, y de forma inmediata, adecuada y efectiva, el tratamiento psicológico y/o psiquiátrico, a</w:t>
      </w:r>
      <w:r w:rsidR="008F1161" w:rsidRPr="00975C02">
        <w:rPr>
          <w:sz w:val="20"/>
          <w:szCs w:val="20"/>
          <w:lang w:val="es-ES"/>
        </w:rPr>
        <w:t xml:space="preserve"> H.J.R.P. y V.A.R.P.</w:t>
      </w:r>
      <w:r w:rsidRPr="00975C02">
        <w:rPr>
          <w:bCs/>
          <w:sz w:val="20"/>
          <w:szCs w:val="20"/>
          <w:lang w:val="es-ES"/>
        </w:rPr>
        <w:t xml:space="preserve">, de conformidad con lo establecido en el párrafo </w:t>
      </w:r>
      <w:r w:rsidR="0070121D" w:rsidRPr="00975C02">
        <w:rPr>
          <w:bCs/>
          <w:sz w:val="20"/>
          <w:szCs w:val="20"/>
          <w:lang w:val="es-ES"/>
        </w:rPr>
        <w:t>352</w:t>
      </w:r>
      <w:r w:rsidRPr="00975C02">
        <w:rPr>
          <w:bCs/>
          <w:sz w:val="20"/>
          <w:szCs w:val="20"/>
          <w:lang w:val="es-ES"/>
        </w:rPr>
        <w:t xml:space="preserve"> de esta Sentencia.</w:t>
      </w:r>
    </w:p>
    <w:p w14:paraId="1FB36115" w14:textId="77777777" w:rsidR="009D0B2B" w:rsidRPr="00975C02" w:rsidRDefault="009D0B2B" w:rsidP="009D0B2B">
      <w:pPr>
        <w:pStyle w:val="Prrafodelista2"/>
        <w:ind w:left="0" w:right="-90"/>
        <w:contextualSpacing/>
        <w:rPr>
          <w:bCs/>
          <w:lang w:val="es-ES"/>
        </w:rPr>
      </w:pPr>
    </w:p>
    <w:p w14:paraId="3FA03786" w14:textId="55D972FF" w:rsidR="009D0B2B" w:rsidRPr="00975C02" w:rsidRDefault="009D0B2B" w:rsidP="009D0B2B">
      <w:pPr>
        <w:widowControl/>
        <w:numPr>
          <w:ilvl w:val="0"/>
          <w:numId w:val="21"/>
        </w:numPr>
        <w:tabs>
          <w:tab w:val="left" w:pos="720"/>
        </w:tabs>
        <w:adjustRightInd/>
        <w:spacing w:line="240" w:lineRule="auto"/>
        <w:ind w:right="-90"/>
        <w:contextualSpacing/>
        <w:textAlignment w:val="auto"/>
        <w:rPr>
          <w:bCs/>
          <w:sz w:val="20"/>
          <w:szCs w:val="20"/>
          <w:lang w:val="es-ES"/>
        </w:rPr>
      </w:pPr>
      <w:r w:rsidRPr="00975C02">
        <w:rPr>
          <w:bCs/>
          <w:sz w:val="20"/>
          <w:szCs w:val="20"/>
          <w:lang w:val="es-ES"/>
        </w:rPr>
        <w:t xml:space="preserve">El Estado debe realizar las publicaciones indicadas en el párrafo </w:t>
      </w:r>
      <w:r w:rsidR="0070121D" w:rsidRPr="00975C02">
        <w:rPr>
          <w:bCs/>
          <w:sz w:val="20"/>
          <w:szCs w:val="20"/>
          <w:lang w:val="es-ES"/>
        </w:rPr>
        <w:t>355</w:t>
      </w:r>
      <w:r w:rsidRPr="00975C02">
        <w:rPr>
          <w:bCs/>
          <w:sz w:val="20"/>
          <w:szCs w:val="20"/>
          <w:lang w:val="es-ES"/>
        </w:rPr>
        <w:t xml:space="preserve"> de la presente Sentencia</w:t>
      </w:r>
      <w:r w:rsidR="005C06ED" w:rsidRPr="00975C02">
        <w:rPr>
          <w:bCs/>
          <w:sz w:val="20"/>
          <w:szCs w:val="20"/>
          <w:lang w:val="es-ES"/>
        </w:rPr>
        <w:t>, si V.R.P. así lo autoriza</w:t>
      </w:r>
      <w:r w:rsidRPr="00975C02">
        <w:rPr>
          <w:bCs/>
          <w:sz w:val="20"/>
          <w:szCs w:val="20"/>
          <w:lang w:val="es-ES"/>
        </w:rPr>
        <w:t>.</w:t>
      </w:r>
    </w:p>
    <w:p w14:paraId="007EE1CE" w14:textId="77777777" w:rsidR="009D0B2B" w:rsidRPr="00975C02" w:rsidRDefault="009D0B2B" w:rsidP="009D0B2B">
      <w:pPr>
        <w:pStyle w:val="Prrafodelista2"/>
        <w:ind w:left="0" w:right="-90"/>
        <w:contextualSpacing/>
        <w:jc w:val="both"/>
        <w:rPr>
          <w:bCs/>
          <w:lang w:val="es-ES"/>
        </w:rPr>
      </w:pPr>
    </w:p>
    <w:p w14:paraId="1EA95250" w14:textId="6C05B609" w:rsidR="009D0B2B" w:rsidRPr="00975C02" w:rsidRDefault="009D0B2B" w:rsidP="009D0B2B">
      <w:pPr>
        <w:widowControl/>
        <w:numPr>
          <w:ilvl w:val="0"/>
          <w:numId w:val="21"/>
        </w:numPr>
        <w:tabs>
          <w:tab w:val="left" w:pos="720"/>
        </w:tabs>
        <w:adjustRightInd/>
        <w:spacing w:line="240" w:lineRule="auto"/>
        <w:ind w:right="-90"/>
        <w:contextualSpacing/>
        <w:textAlignment w:val="auto"/>
        <w:rPr>
          <w:bCs/>
          <w:sz w:val="20"/>
          <w:szCs w:val="20"/>
          <w:lang w:val="es-ES"/>
        </w:rPr>
      </w:pPr>
      <w:r w:rsidRPr="00975C02">
        <w:rPr>
          <w:bCs/>
          <w:sz w:val="20"/>
          <w:szCs w:val="20"/>
          <w:lang w:val="es-ES"/>
        </w:rPr>
        <w:t>El Estado debe</w:t>
      </w:r>
      <w:r w:rsidR="00A85E34" w:rsidRPr="00975C02">
        <w:rPr>
          <w:bCs/>
          <w:sz w:val="20"/>
          <w:szCs w:val="20"/>
          <w:lang w:val="es-ES"/>
        </w:rPr>
        <w:t xml:space="preserve"> pagar a V.R.P. la suma establecida en concepto de beca </w:t>
      </w:r>
      <w:r w:rsidR="00A85E34" w:rsidRPr="00975C02">
        <w:rPr>
          <w:sz w:val="20"/>
          <w:szCs w:val="20"/>
          <w:lang w:val="es-ES"/>
        </w:rPr>
        <w:t>para poder sufragar los gastos necesarios para la conclusión de su formación profesional en el lugar donde resida</w:t>
      </w:r>
      <w:r w:rsidRPr="00975C02">
        <w:rPr>
          <w:bCs/>
          <w:sz w:val="20"/>
          <w:szCs w:val="20"/>
          <w:lang w:val="es-ES"/>
        </w:rPr>
        <w:t xml:space="preserve">, de conformidad con lo establecido en el párrafo </w:t>
      </w:r>
      <w:r w:rsidR="0070121D" w:rsidRPr="00975C02">
        <w:rPr>
          <w:bCs/>
          <w:sz w:val="20"/>
          <w:szCs w:val="20"/>
          <w:lang w:val="es-ES"/>
        </w:rPr>
        <w:t>362</w:t>
      </w:r>
      <w:r w:rsidRPr="00975C02">
        <w:rPr>
          <w:bCs/>
          <w:sz w:val="20"/>
          <w:szCs w:val="20"/>
          <w:lang w:val="es-ES"/>
        </w:rPr>
        <w:t xml:space="preserve"> de la presente Sentencia.</w:t>
      </w:r>
    </w:p>
    <w:p w14:paraId="48D85262" w14:textId="77777777" w:rsidR="00A85E34" w:rsidRPr="00975C02" w:rsidRDefault="00A85E34" w:rsidP="00A85E34">
      <w:pPr>
        <w:widowControl/>
        <w:tabs>
          <w:tab w:val="left" w:pos="720"/>
        </w:tabs>
        <w:adjustRightInd/>
        <w:spacing w:line="240" w:lineRule="auto"/>
        <w:ind w:right="-90"/>
        <w:contextualSpacing/>
        <w:textAlignment w:val="auto"/>
        <w:rPr>
          <w:bCs/>
          <w:sz w:val="20"/>
          <w:szCs w:val="20"/>
          <w:lang w:val="es-ES"/>
        </w:rPr>
      </w:pPr>
    </w:p>
    <w:p w14:paraId="3B6A5ACD" w14:textId="4B1A35B4" w:rsidR="00A85E34" w:rsidRPr="00975C02" w:rsidRDefault="00A85E34" w:rsidP="009D0B2B">
      <w:pPr>
        <w:widowControl/>
        <w:numPr>
          <w:ilvl w:val="0"/>
          <w:numId w:val="21"/>
        </w:numPr>
        <w:tabs>
          <w:tab w:val="left" w:pos="720"/>
        </w:tabs>
        <w:adjustRightInd/>
        <w:spacing w:line="240" w:lineRule="auto"/>
        <w:ind w:right="-90"/>
        <w:contextualSpacing/>
        <w:textAlignment w:val="auto"/>
        <w:rPr>
          <w:bCs/>
          <w:sz w:val="20"/>
          <w:szCs w:val="20"/>
          <w:lang w:val="es-ES"/>
        </w:rPr>
      </w:pPr>
      <w:r w:rsidRPr="00975C02">
        <w:rPr>
          <w:rFonts w:cs="Arial"/>
          <w:sz w:val="20"/>
          <w:szCs w:val="20"/>
          <w:lang w:val="es-ES"/>
        </w:rPr>
        <w:t>El Estado debe otorgar a V.A.R.P. una beca en una institución pública nicaragüense,</w:t>
      </w:r>
      <w:r w:rsidRPr="00975C02">
        <w:rPr>
          <w:rFonts w:cs="Arial"/>
          <w:b/>
          <w:sz w:val="20"/>
          <w:szCs w:val="20"/>
          <w:lang w:val="es-ES"/>
        </w:rPr>
        <w:t xml:space="preserve"> </w:t>
      </w:r>
      <w:r w:rsidRPr="00975C02">
        <w:rPr>
          <w:rFonts w:cs="Arial"/>
          <w:sz w:val="20"/>
          <w:szCs w:val="20"/>
          <w:lang w:val="es-ES"/>
        </w:rPr>
        <w:t>concertada entre el beneficiario y el Estado, para realizar estudios superiores técnicos o universitarios, o bien para capacitarse en un oficio</w:t>
      </w:r>
      <w:r w:rsidRPr="00975C02">
        <w:rPr>
          <w:bCs/>
          <w:sz w:val="20"/>
          <w:szCs w:val="20"/>
          <w:lang w:val="es-ES"/>
        </w:rPr>
        <w:t xml:space="preserve">, de conformidad con lo establecido en el párrafo </w:t>
      </w:r>
      <w:r w:rsidR="0070121D" w:rsidRPr="00975C02">
        <w:rPr>
          <w:bCs/>
          <w:sz w:val="20"/>
          <w:szCs w:val="20"/>
          <w:lang w:val="es-ES"/>
        </w:rPr>
        <w:t>363</w:t>
      </w:r>
      <w:r w:rsidRPr="00975C02">
        <w:rPr>
          <w:bCs/>
          <w:sz w:val="20"/>
          <w:szCs w:val="20"/>
          <w:lang w:val="es-ES"/>
        </w:rPr>
        <w:t xml:space="preserve"> de la presente Sentencia.</w:t>
      </w:r>
    </w:p>
    <w:p w14:paraId="60C77C90" w14:textId="77777777" w:rsidR="009D0B2B" w:rsidRPr="00975C02" w:rsidRDefault="009D0B2B" w:rsidP="009D0B2B">
      <w:pPr>
        <w:spacing w:line="240" w:lineRule="auto"/>
        <w:rPr>
          <w:sz w:val="20"/>
          <w:szCs w:val="20"/>
          <w:lang w:val="es-ES"/>
        </w:rPr>
      </w:pPr>
    </w:p>
    <w:p w14:paraId="600279D0" w14:textId="57D53FDE" w:rsidR="009D0B2B" w:rsidRPr="00975C02" w:rsidRDefault="009D0B2B" w:rsidP="009D0B2B">
      <w:pPr>
        <w:widowControl/>
        <w:numPr>
          <w:ilvl w:val="0"/>
          <w:numId w:val="21"/>
        </w:numPr>
        <w:tabs>
          <w:tab w:val="left" w:pos="720"/>
        </w:tabs>
        <w:adjustRightInd/>
        <w:spacing w:line="240" w:lineRule="auto"/>
        <w:ind w:right="-90"/>
        <w:contextualSpacing/>
        <w:textAlignment w:val="auto"/>
        <w:rPr>
          <w:rFonts w:eastAsia="MS Mincho" w:cs="Verdana"/>
          <w:sz w:val="20"/>
          <w:szCs w:val="20"/>
          <w:lang w:val="es-ES" w:eastAsia="en-US" w:bidi="en-US"/>
        </w:rPr>
      </w:pPr>
      <w:r w:rsidRPr="00975C02">
        <w:rPr>
          <w:rFonts w:eastAsia="MS Mincho" w:cs="Verdana"/>
          <w:bCs/>
          <w:sz w:val="20"/>
          <w:szCs w:val="20"/>
          <w:lang w:val="es-ES" w:eastAsia="en-US" w:bidi="en-US"/>
        </w:rPr>
        <w:t xml:space="preserve">El Estado debe </w:t>
      </w:r>
      <w:r w:rsidR="004F5657" w:rsidRPr="00975C02">
        <w:rPr>
          <w:sz w:val="20"/>
          <w:szCs w:val="20"/>
          <w:lang w:val="es-ES"/>
        </w:rPr>
        <w:t>adoptar</w:t>
      </w:r>
      <w:r w:rsidR="004F5657" w:rsidRPr="00975C02">
        <w:rPr>
          <w:bCs/>
          <w:sz w:val="20"/>
          <w:szCs w:val="20"/>
          <w:lang w:val="es-ES"/>
        </w:rPr>
        <w:t xml:space="preserve">, implementar, supervisar y fiscalizar de forma apropiada tres protocolos estandarizados, </w:t>
      </w:r>
      <w:r w:rsidR="003E1DA7" w:rsidRPr="00975C02">
        <w:rPr>
          <w:bCs/>
          <w:sz w:val="20"/>
          <w:szCs w:val="20"/>
          <w:lang w:val="es-ES"/>
        </w:rPr>
        <w:t>sobre las siguientes materias</w:t>
      </w:r>
      <w:r w:rsidR="004F5657" w:rsidRPr="00975C02">
        <w:rPr>
          <w:bCs/>
          <w:sz w:val="20"/>
          <w:szCs w:val="20"/>
          <w:lang w:val="es-ES"/>
        </w:rPr>
        <w:t xml:space="preserve">: i) protocolo de investigación y actuación </w:t>
      </w:r>
      <w:r w:rsidR="004F5657" w:rsidRPr="00975C02">
        <w:rPr>
          <w:bCs/>
          <w:sz w:val="20"/>
          <w:szCs w:val="20"/>
          <w:lang w:val="es-ES"/>
        </w:rPr>
        <w:lastRenderedPageBreak/>
        <w:t>durante el proceso penal para casos de niñas, niños y adolescentes</w:t>
      </w:r>
      <w:r w:rsidR="000E56BB" w:rsidRPr="00975C02">
        <w:rPr>
          <w:bCs/>
          <w:sz w:val="20"/>
          <w:szCs w:val="20"/>
          <w:lang w:val="es-ES"/>
        </w:rPr>
        <w:t xml:space="preserve"> víctimas de violencia sexual</w:t>
      </w:r>
      <w:r w:rsidR="004F5657" w:rsidRPr="00975C02">
        <w:rPr>
          <w:bCs/>
          <w:sz w:val="20"/>
          <w:szCs w:val="20"/>
          <w:lang w:val="es-ES"/>
        </w:rPr>
        <w:t>; ii) protocolo sobre abordaje integral y valoración médico legal para casos de niñas, niños y adolescentes</w:t>
      </w:r>
      <w:r w:rsidR="000E56BB" w:rsidRPr="00975C02">
        <w:rPr>
          <w:bCs/>
          <w:sz w:val="20"/>
          <w:szCs w:val="20"/>
          <w:lang w:val="es-ES"/>
        </w:rPr>
        <w:t xml:space="preserve"> víctimas de violencia sexual</w:t>
      </w:r>
      <w:r w:rsidR="004F5657" w:rsidRPr="00975C02">
        <w:rPr>
          <w:bCs/>
          <w:sz w:val="20"/>
          <w:szCs w:val="20"/>
          <w:lang w:val="es-ES"/>
        </w:rPr>
        <w:t>, y iii) protocolo de atención integral para niñas, niños y adolescentes víctimas de violencia sexual</w:t>
      </w:r>
      <w:r w:rsidRPr="00975C02">
        <w:rPr>
          <w:bCs/>
          <w:sz w:val="20"/>
          <w:szCs w:val="20"/>
          <w:lang w:val="es-ES"/>
        </w:rPr>
        <w:t>, de conformidad con lo establecido en l</w:t>
      </w:r>
      <w:r w:rsidR="004F5657" w:rsidRPr="00975C02">
        <w:rPr>
          <w:bCs/>
          <w:sz w:val="20"/>
          <w:szCs w:val="20"/>
          <w:lang w:val="es-ES"/>
        </w:rPr>
        <w:t>os</w:t>
      </w:r>
      <w:r w:rsidRPr="00975C02">
        <w:rPr>
          <w:bCs/>
          <w:sz w:val="20"/>
          <w:szCs w:val="20"/>
          <w:lang w:val="es-ES"/>
        </w:rPr>
        <w:t xml:space="preserve"> párrafo</w:t>
      </w:r>
      <w:r w:rsidR="004F5657" w:rsidRPr="00975C02">
        <w:rPr>
          <w:bCs/>
          <w:sz w:val="20"/>
          <w:szCs w:val="20"/>
          <w:lang w:val="es-ES"/>
        </w:rPr>
        <w:t>s</w:t>
      </w:r>
      <w:r w:rsidRPr="00975C02">
        <w:rPr>
          <w:bCs/>
          <w:sz w:val="20"/>
          <w:szCs w:val="20"/>
          <w:lang w:val="es-ES"/>
        </w:rPr>
        <w:t xml:space="preserve"> </w:t>
      </w:r>
      <w:r w:rsidR="003F66BF" w:rsidRPr="00975C02">
        <w:rPr>
          <w:bCs/>
          <w:sz w:val="20"/>
          <w:szCs w:val="20"/>
          <w:lang w:val="es-ES"/>
        </w:rPr>
        <w:t>381</w:t>
      </w:r>
      <w:r w:rsidR="004F5657" w:rsidRPr="00975C02">
        <w:rPr>
          <w:bCs/>
          <w:sz w:val="20"/>
          <w:szCs w:val="20"/>
          <w:lang w:val="es-ES"/>
        </w:rPr>
        <w:t xml:space="preserve"> a </w:t>
      </w:r>
      <w:r w:rsidR="003F66BF" w:rsidRPr="00975C02">
        <w:rPr>
          <w:bCs/>
          <w:sz w:val="20"/>
          <w:szCs w:val="20"/>
          <w:lang w:val="es-ES"/>
        </w:rPr>
        <w:t>385</w:t>
      </w:r>
      <w:r w:rsidRPr="00975C02">
        <w:rPr>
          <w:bCs/>
          <w:sz w:val="20"/>
          <w:szCs w:val="20"/>
          <w:lang w:val="es-ES"/>
        </w:rPr>
        <w:t xml:space="preserve"> de esta Sentencia.</w:t>
      </w:r>
    </w:p>
    <w:p w14:paraId="5A080C75" w14:textId="77777777" w:rsidR="009D0B2B" w:rsidRPr="00975C02" w:rsidRDefault="009D0B2B" w:rsidP="009D0B2B">
      <w:pPr>
        <w:pStyle w:val="Prrafodelista2"/>
        <w:tabs>
          <w:tab w:val="left" w:pos="0"/>
          <w:tab w:val="num" w:pos="11028"/>
        </w:tabs>
        <w:ind w:left="0" w:right="-90"/>
        <w:jc w:val="both"/>
        <w:rPr>
          <w:rFonts w:cs="Verdana"/>
          <w:lang w:val="es-ES"/>
        </w:rPr>
      </w:pPr>
    </w:p>
    <w:p w14:paraId="5F64B593" w14:textId="40E6622D" w:rsidR="003E1DA7" w:rsidRPr="00975C02" w:rsidRDefault="009D0B2B" w:rsidP="009D0B2B">
      <w:pPr>
        <w:widowControl/>
        <w:numPr>
          <w:ilvl w:val="0"/>
          <w:numId w:val="21"/>
        </w:numPr>
        <w:tabs>
          <w:tab w:val="left" w:pos="720"/>
        </w:tabs>
        <w:adjustRightInd/>
        <w:spacing w:line="240" w:lineRule="auto"/>
        <w:ind w:right="-90"/>
        <w:contextualSpacing/>
        <w:textAlignment w:val="auto"/>
        <w:rPr>
          <w:rFonts w:cs="Verdana"/>
          <w:iCs/>
          <w:sz w:val="20"/>
          <w:szCs w:val="20"/>
          <w:lang w:val="es-ES"/>
        </w:rPr>
      </w:pPr>
      <w:r w:rsidRPr="00975C02">
        <w:rPr>
          <w:bCs/>
          <w:sz w:val="20"/>
          <w:szCs w:val="20"/>
          <w:lang w:val="es-ES"/>
        </w:rPr>
        <w:t>El</w:t>
      </w:r>
      <w:r w:rsidRPr="00975C02">
        <w:rPr>
          <w:rFonts w:cs="Verdana"/>
          <w:iCs/>
          <w:sz w:val="20"/>
          <w:szCs w:val="20"/>
          <w:lang w:val="es-ES"/>
        </w:rPr>
        <w:t xml:space="preserve"> Estado debe </w:t>
      </w:r>
      <w:r w:rsidR="003E1DA7" w:rsidRPr="00975C02">
        <w:rPr>
          <w:sz w:val="20"/>
          <w:szCs w:val="20"/>
          <w:lang w:val="es-ES"/>
        </w:rPr>
        <w:t xml:space="preserve">crear e implementar una figura especializada que brinde asistencia jurídica gratuita a las niñas, niños y adolescentes víctimas de delitos, especialmente de violencia sexual, </w:t>
      </w:r>
      <w:r w:rsidR="003E1DA7" w:rsidRPr="00975C02">
        <w:rPr>
          <w:bCs/>
          <w:sz w:val="20"/>
          <w:szCs w:val="20"/>
          <w:lang w:val="es-ES"/>
        </w:rPr>
        <w:t xml:space="preserve">de conformidad con lo establecido en el párrafo </w:t>
      </w:r>
      <w:r w:rsidR="003F66BF" w:rsidRPr="00975C02">
        <w:rPr>
          <w:bCs/>
          <w:sz w:val="20"/>
          <w:szCs w:val="20"/>
          <w:lang w:val="es-ES"/>
        </w:rPr>
        <w:t xml:space="preserve">387 </w:t>
      </w:r>
      <w:r w:rsidR="003E1DA7" w:rsidRPr="00975C02">
        <w:rPr>
          <w:bCs/>
          <w:sz w:val="20"/>
          <w:szCs w:val="20"/>
          <w:lang w:val="es-ES"/>
        </w:rPr>
        <w:t>de esta Sentencia.</w:t>
      </w:r>
    </w:p>
    <w:p w14:paraId="7B9DF4D7" w14:textId="77777777" w:rsidR="003E1DA7" w:rsidRPr="00975C02" w:rsidRDefault="003E1DA7" w:rsidP="003E1DA7">
      <w:pPr>
        <w:widowControl/>
        <w:tabs>
          <w:tab w:val="left" w:pos="720"/>
        </w:tabs>
        <w:adjustRightInd/>
        <w:spacing w:line="240" w:lineRule="auto"/>
        <w:ind w:right="-90"/>
        <w:contextualSpacing/>
        <w:textAlignment w:val="auto"/>
        <w:rPr>
          <w:rFonts w:cs="Verdana"/>
          <w:iCs/>
          <w:sz w:val="20"/>
          <w:szCs w:val="20"/>
          <w:lang w:val="es-ES"/>
        </w:rPr>
      </w:pPr>
    </w:p>
    <w:p w14:paraId="01D2D3ED" w14:textId="0EB87257" w:rsidR="009D0B2B" w:rsidRPr="00975C02" w:rsidRDefault="00424B0A" w:rsidP="009D0B2B">
      <w:pPr>
        <w:widowControl/>
        <w:numPr>
          <w:ilvl w:val="0"/>
          <w:numId w:val="21"/>
        </w:numPr>
        <w:tabs>
          <w:tab w:val="left" w:pos="720"/>
        </w:tabs>
        <w:adjustRightInd/>
        <w:spacing w:line="240" w:lineRule="auto"/>
        <w:ind w:right="-90"/>
        <w:contextualSpacing/>
        <w:textAlignment w:val="auto"/>
        <w:rPr>
          <w:rFonts w:cs="Verdana"/>
          <w:iCs/>
          <w:sz w:val="20"/>
          <w:szCs w:val="20"/>
          <w:lang w:val="es-ES"/>
        </w:rPr>
      </w:pPr>
      <w:r w:rsidRPr="00975C02">
        <w:rPr>
          <w:rFonts w:cs="Verdana"/>
          <w:iCs/>
          <w:sz w:val="20"/>
          <w:szCs w:val="20"/>
          <w:lang w:val="es-ES"/>
        </w:rPr>
        <w:t xml:space="preserve">El Estado debe </w:t>
      </w:r>
      <w:r w:rsidR="00955C70" w:rsidRPr="00975C02">
        <w:rPr>
          <w:sz w:val="20"/>
          <w:szCs w:val="20"/>
          <w:lang w:val="es-ES"/>
        </w:rPr>
        <w:t>adoptar e implementar</w:t>
      </w:r>
      <w:r w:rsidRPr="00975C02">
        <w:rPr>
          <w:sz w:val="20"/>
          <w:szCs w:val="20"/>
          <w:lang w:val="es-ES"/>
        </w:rPr>
        <w:t xml:space="preserve"> las capacitaciones y </w:t>
      </w:r>
      <w:r w:rsidR="009517A9" w:rsidRPr="00975C02">
        <w:rPr>
          <w:sz w:val="20"/>
          <w:szCs w:val="20"/>
          <w:lang w:val="es-ES"/>
        </w:rPr>
        <w:t xml:space="preserve">los </w:t>
      </w:r>
      <w:r w:rsidRPr="00975C02">
        <w:rPr>
          <w:sz w:val="20"/>
          <w:szCs w:val="20"/>
          <w:lang w:val="es-ES"/>
        </w:rPr>
        <w:t>cursos</w:t>
      </w:r>
      <w:r w:rsidR="009517A9" w:rsidRPr="00975C02">
        <w:rPr>
          <w:sz w:val="20"/>
          <w:szCs w:val="20"/>
          <w:lang w:val="es-ES"/>
        </w:rPr>
        <w:t>,</w:t>
      </w:r>
      <w:r w:rsidRPr="00975C02">
        <w:rPr>
          <w:sz w:val="20"/>
          <w:szCs w:val="20"/>
          <w:lang w:val="es-ES"/>
        </w:rPr>
        <w:t xml:space="preserve"> de carácter permanente</w:t>
      </w:r>
      <w:r w:rsidR="009517A9" w:rsidRPr="00975C02">
        <w:rPr>
          <w:sz w:val="20"/>
          <w:szCs w:val="20"/>
          <w:lang w:val="es-ES"/>
        </w:rPr>
        <w:t>,</w:t>
      </w:r>
      <w:r w:rsidRPr="00975C02">
        <w:rPr>
          <w:sz w:val="20"/>
          <w:szCs w:val="20"/>
          <w:lang w:val="es-ES"/>
        </w:rPr>
        <w:t xml:space="preserve"> ordenados </w:t>
      </w:r>
      <w:r w:rsidR="009D0B2B" w:rsidRPr="00975C02">
        <w:rPr>
          <w:bCs/>
          <w:sz w:val="20"/>
          <w:szCs w:val="20"/>
          <w:lang w:val="es-ES"/>
        </w:rPr>
        <w:t>en l</w:t>
      </w:r>
      <w:r w:rsidRPr="00975C02">
        <w:rPr>
          <w:bCs/>
          <w:sz w:val="20"/>
          <w:szCs w:val="20"/>
          <w:lang w:val="es-ES"/>
        </w:rPr>
        <w:t>os</w:t>
      </w:r>
      <w:r w:rsidR="009D0B2B" w:rsidRPr="00975C02">
        <w:rPr>
          <w:bCs/>
          <w:sz w:val="20"/>
          <w:szCs w:val="20"/>
          <w:lang w:val="es-ES"/>
        </w:rPr>
        <w:t xml:space="preserve"> párrafo</w:t>
      </w:r>
      <w:r w:rsidRPr="00975C02">
        <w:rPr>
          <w:bCs/>
          <w:sz w:val="20"/>
          <w:szCs w:val="20"/>
          <w:lang w:val="es-ES"/>
        </w:rPr>
        <w:t>s</w:t>
      </w:r>
      <w:r w:rsidR="009D0B2B" w:rsidRPr="00975C02">
        <w:rPr>
          <w:bCs/>
          <w:sz w:val="20"/>
          <w:szCs w:val="20"/>
          <w:lang w:val="es-ES"/>
        </w:rPr>
        <w:t xml:space="preserve"> </w:t>
      </w:r>
      <w:r w:rsidR="00051EC4" w:rsidRPr="00975C02">
        <w:rPr>
          <w:bCs/>
          <w:sz w:val="20"/>
          <w:szCs w:val="20"/>
          <w:lang w:val="es-ES"/>
        </w:rPr>
        <w:t>392 a 395</w:t>
      </w:r>
      <w:r w:rsidR="009D0B2B" w:rsidRPr="00975C02">
        <w:rPr>
          <w:bCs/>
          <w:sz w:val="20"/>
          <w:szCs w:val="20"/>
          <w:lang w:val="es-ES"/>
        </w:rPr>
        <w:t xml:space="preserve"> de esta Sentencia.</w:t>
      </w:r>
    </w:p>
    <w:p w14:paraId="1018E266" w14:textId="77777777" w:rsidR="009D0B2B" w:rsidRPr="00975C02" w:rsidRDefault="009D0B2B" w:rsidP="009D0B2B">
      <w:pPr>
        <w:spacing w:line="240" w:lineRule="auto"/>
        <w:rPr>
          <w:sz w:val="20"/>
          <w:szCs w:val="20"/>
          <w:lang w:val="es-ES"/>
        </w:rPr>
      </w:pPr>
    </w:p>
    <w:p w14:paraId="25B2187C" w14:textId="3A93E87E" w:rsidR="009D0B2B" w:rsidRPr="00975C02" w:rsidRDefault="009D0B2B" w:rsidP="009D0B2B">
      <w:pPr>
        <w:widowControl/>
        <w:numPr>
          <w:ilvl w:val="0"/>
          <w:numId w:val="21"/>
        </w:numPr>
        <w:tabs>
          <w:tab w:val="left" w:pos="720"/>
        </w:tabs>
        <w:adjustRightInd/>
        <w:spacing w:line="240" w:lineRule="auto"/>
        <w:ind w:right="-90"/>
        <w:contextualSpacing/>
        <w:textAlignment w:val="auto"/>
        <w:rPr>
          <w:bCs/>
          <w:sz w:val="20"/>
          <w:szCs w:val="20"/>
          <w:lang w:val="es-ES"/>
        </w:rPr>
      </w:pPr>
      <w:r w:rsidRPr="00975C02">
        <w:rPr>
          <w:bCs/>
          <w:sz w:val="20"/>
          <w:szCs w:val="20"/>
          <w:lang w:val="es-ES"/>
        </w:rPr>
        <w:t xml:space="preserve">El </w:t>
      </w:r>
      <w:r w:rsidRPr="00975C02">
        <w:rPr>
          <w:sz w:val="20"/>
          <w:szCs w:val="20"/>
          <w:lang w:val="es-ES"/>
        </w:rPr>
        <w:t>Estado</w:t>
      </w:r>
      <w:r w:rsidRPr="00975C02">
        <w:rPr>
          <w:bCs/>
          <w:sz w:val="20"/>
          <w:szCs w:val="20"/>
          <w:lang w:val="es-ES"/>
        </w:rPr>
        <w:t xml:space="preserve"> debe pagar las cantidades fijadas en los párrafos </w:t>
      </w:r>
      <w:r w:rsidR="00FA67E8" w:rsidRPr="00975C02">
        <w:rPr>
          <w:bCs/>
          <w:sz w:val="20"/>
          <w:szCs w:val="20"/>
          <w:lang w:val="es-ES"/>
        </w:rPr>
        <w:t>411</w:t>
      </w:r>
      <w:r w:rsidR="00955C70" w:rsidRPr="00975C02">
        <w:rPr>
          <w:bCs/>
          <w:sz w:val="20"/>
          <w:szCs w:val="20"/>
          <w:lang w:val="es-ES"/>
        </w:rPr>
        <w:t xml:space="preserve">, </w:t>
      </w:r>
      <w:r w:rsidR="00FA67E8" w:rsidRPr="00975C02">
        <w:rPr>
          <w:bCs/>
          <w:sz w:val="20"/>
          <w:szCs w:val="20"/>
          <w:lang w:val="es-ES"/>
        </w:rPr>
        <w:t>419,</w:t>
      </w:r>
      <w:r w:rsidRPr="00975C02">
        <w:rPr>
          <w:bCs/>
          <w:sz w:val="20"/>
          <w:szCs w:val="20"/>
          <w:lang w:val="es-ES"/>
        </w:rPr>
        <w:t xml:space="preserve"> </w:t>
      </w:r>
      <w:r w:rsidR="00FA67E8" w:rsidRPr="00975C02">
        <w:rPr>
          <w:bCs/>
          <w:sz w:val="20"/>
          <w:szCs w:val="20"/>
          <w:lang w:val="es-ES"/>
        </w:rPr>
        <w:t>426 y 433</w:t>
      </w:r>
      <w:r w:rsidRPr="00975C02">
        <w:rPr>
          <w:bCs/>
          <w:sz w:val="20"/>
          <w:szCs w:val="20"/>
          <w:lang w:val="es-ES"/>
        </w:rPr>
        <w:t xml:space="preserve"> de la presente Sentencia, por concepto de indemnización por daño material e inmaterial, y por el reintegro de costas y gastos, en los términos de los referidos párrafos y de los párrafos </w:t>
      </w:r>
      <w:r w:rsidR="00FA67E8" w:rsidRPr="00975C02">
        <w:rPr>
          <w:bCs/>
          <w:sz w:val="20"/>
          <w:szCs w:val="20"/>
          <w:lang w:val="es-ES"/>
        </w:rPr>
        <w:t>442</w:t>
      </w:r>
      <w:r w:rsidRPr="00975C02">
        <w:rPr>
          <w:bCs/>
          <w:sz w:val="20"/>
          <w:szCs w:val="20"/>
          <w:lang w:val="es-ES"/>
        </w:rPr>
        <w:t xml:space="preserve"> a </w:t>
      </w:r>
      <w:r w:rsidR="00FA67E8" w:rsidRPr="00975C02">
        <w:rPr>
          <w:bCs/>
          <w:sz w:val="20"/>
          <w:szCs w:val="20"/>
          <w:lang w:val="es-ES"/>
        </w:rPr>
        <w:t>447</w:t>
      </w:r>
      <w:r w:rsidRPr="00975C02">
        <w:rPr>
          <w:bCs/>
          <w:sz w:val="20"/>
          <w:szCs w:val="20"/>
          <w:lang w:val="es-ES"/>
        </w:rPr>
        <w:t>.</w:t>
      </w:r>
    </w:p>
    <w:p w14:paraId="3C6204B8" w14:textId="77777777" w:rsidR="009D0B2B" w:rsidRPr="00975C02" w:rsidRDefault="009D0B2B" w:rsidP="009D0B2B">
      <w:pPr>
        <w:pStyle w:val="Prrafodelista2"/>
        <w:ind w:left="0" w:right="-90"/>
        <w:contextualSpacing/>
        <w:jc w:val="both"/>
        <w:rPr>
          <w:bCs/>
          <w:lang w:val="es-ES"/>
        </w:rPr>
      </w:pPr>
    </w:p>
    <w:p w14:paraId="175BDF1D" w14:textId="655F5C7A" w:rsidR="009D0B2B" w:rsidRPr="00975C02" w:rsidRDefault="009D0B2B" w:rsidP="009D0B2B">
      <w:pPr>
        <w:widowControl/>
        <w:numPr>
          <w:ilvl w:val="0"/>
          <w:numId w:val="21"/>
        </w:numPr>
        <w:tabs>
          <w:tab w:val="left" w:pos="720"/>
        </w:tabs>
        <w:adjustRightInd/>
        <w:spacing w:line="240" w:lineRule="auto"/>
        <w:ind w:right="-90"/>
        <w:contextualSpacing/>
        <w:textAlignment w:val="auto"/>
        <w:rPr>
          <w:sz w:val="20"/>
          <w:szCs w:val="20"/>
          <w:lang w:val="es-ES"/>
        </w:rPr>
      </w:pPr>
      <w:r w:rsidRPr="00975C02">
        <w:rPr>
          <w:sz w:val="20"/>
          <w:szCs w:val="20"/>
          <w:lang w:val="es-ES"/>
        </w:rPr>
        <w:t xml:space="preserve">El Estado debe reintegrar al Fondo de Asistencia Legal de Víctimas de la Corte Interamericana de Derechos Humanos la cantidad erogada durante la tramitación del presente caso, en los términos de los párrafos </w:t>
      </w:r>
      <w:r w:rsidR="00FA67E8" w:rsidRPr="00975C02">
        <w:rPr>
          <w:sz w:val="20"/>
          <w:szCs w:val="20"/>
          <w:lang w:val="es-ES"/>
        </w:rPr>
        <w:t>441</w:t>
      </w:r>
      <w:r w:rsidRPr="00975C02">
        <w:rPr>
          <w:sz w:val="20"/>
          <w:szCs w:val="20"/>
          <w:lang w:val="es-ES"/>
        </w:rPr>
        <w:t xml:space="preserve"> y </w:t>
      </w:r>
      <w:r w:rsidR="00FA67E8" w:rsidRPr="00975C02">
        <w:rPr>
          <w:sz w:val="20"/>
          <w:szCs w:val="20"/>
          <w:lang w:val="es-ES"/>
        </w:rPr>
        <w:t>447</w:t>
      </w:r>
      <w:r w:rsidRPr="00975C02">
        <w:rPr>
          <w:sz w:val="20"/>
          <w:szCs w:val="20"/>
          <w:lang w:val="es-ES"/>
        </w:rPr>
        <w:t xml:space="preserve"> de esta Sentencia.</w:t>
      </w:r>
    </w:p>
    <w:p w14:paraId="3A8B0DF6" w14:textId="77777777" w:rsidR="009D0B2B" w:rsidRPr="00975C02" w:rsidRDefault="009D0B2B" w:rsidP="009D0B2B">
      <w:pPr>
        <w:pStyle w:val="Prrafodelista2"/>
        <w:ind w:left="0" w:right="-90"/>
        <w:contextualSpacing/>
        <w:jc w:val="both"/>
        <w:rPr>
          <w:bCs/>
          <w:lang w:val="es-ES"/>
        </w:rPr>
      </w:pPr>
    </w:p>
    <w:p w14:paraId="03A37994" w14:textId="6A2566A5" w:rsidR="009D0B2B" w:rsidRPr="00975C02" w:rsidRDefault="009D0B2B" w:rsidP="009D0B2B">
      <w:pPr>
        <w:widowControl/>
        <w:numPr>
          <w:ilvl w:val="0"/>
          <w:numId w:val="21"/>
        </w:numPr>
        <w:tabs>
          <w:tab w:val="left" w:pos="720"/>
        </w:tabs>
        <w:adjustRightInd/>
        <w:spacing w:line="240" w:lineRule="auto"/>
        <w:ind w:right="-90"/>
        <w:contextualSpacing/>
        <w:textAlignment w:val="auto"/>
        <w:rPr>
          <w:bCs/>
          <w:sz w:val="20"/>
          <w:szCs w:val="20"/>
          <w:lang w:val="es-ES"/>
        </w:rPr>
      </w:pPr>
      <w:r w:rsidRPr="00975C02">
        <w:rPr>
          <w:bCs/>
          <w:sz w:val="20"/>
          <w:szCs w:val="20"/>
          <w:lang w:val="es-ES"/>
        </w:rPr>
        <w:t xml:space="preserve">El Estado debe, dentro del plazo de un año contado a partir de la notificación de esta Sentencia, rendir al Tribunal un informe sobre las medidas adoptadas para cumplir con la misma, sin perjuicio de lo establecido en el párrafo </w:t>
      </w:r>
      <w:r w:rsidR="00FA67E8" w:rsidRPr="00975C02">
        <w:rPr>
          <w:bCs/>
          <w:sz w:val="20"/>
          <w:szCs w:val="20"/>
          <w:lang w:val="es-ES"/>
        </w:rPr>
        <w:t>356</w:t>
      </w:r>
      <w:r w:rsidRPr="00975C02">
        <w:rPr>
          <w:bCs/>
          <w:sz w:val="20"/>
          <w:szCs w:val="20"/>
          <w:lang w:val="es-ES"/>
        </w:rPr>
        <w:t xml:space="preserve"> de la presente Sentencia.</w:t>
      </w:r>
    </w:p>
    <w:p w14:paraId="317BC2C3" w14:textId="77777777" w:rsidR="009D0B2B" w:rsidRPr="00975C02" w:rsidRDefault="009D0B2B" w:rsidP="009D0B2B">
      <w:pPr>
        <w:pStyle w:val="Prrafodelista2"/>
        <w:ind w:left="0" w:right="-90"/>
        <w:contextualSpacing/>
        <w:jc w:val="both"/>
        <w:rPr>
          <w:bCs/>
          <w:lang w:val="es-ES"/>
        </w:rPr>
      </w:pPr>
    </w:p>
    <w:p w14:paraId="73EB7BD1" w14:textId="77777777" w:rsidR="009D0B2B" w:rsidRPr="00975C02" w:rsidRDefault="009D0B2B" w:rsidP="009D0B2B">
      <w:pPr>
        <w:widowControl/>
        <w:numPr>
          <w:ilvl w:val="0"/>
          <w:numId w:val="21"/>
        </w:numPr>
        <w:tabs>
          <w:tab w:val="left" w:pos="720"/>
        </w:tabs>
        <w:adjustRightInd/>
        <w:spacing w:line="240" w:lineRule="auto"/>
        <w:ind w:right="-90"/>
        <w:contextualSpacing/>
        <w:textAlignment w:val="auto"/>
        <w:rPr>
          <w:bCs/>
          <w:sz w:val="20"/>
          <w:szCs w:val="20"/>
          <w:lang w:val="es-ES"/>
        </w:rPr>
      </w:pPr>
      <w:r w:rsidRPr="00975C02">
        <w:rPr>
          <w:bCs/>
          <w:sz w:val="20"/>
          <w:szCs w:val="20"/>
          <w:lang w:val="es-ES"/>
        </w:rPr>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w:t>
      </w:r>
    </w:p>
    <w:p w14:paraId="55094D3F" w14:textId="77777777" w:rsidR="009D0B2B" w:rsidRPr="00975C02" w:rsidRDefault="009D0B2B" w:rsidP="009D0B2B">
      <w:pPr>
        <w:widowControl/>
        <w:tabs>
          <w:tab w:val="left" w:pos="720"/>
        </w:tabs>
        <w:adjustRightInd/>
        <w:spacing w:line="240" w:lineRule="auto"/>
        <w:ind w:right="-90"/>
        <w:contextualSpacing/>
        <w:textAlignment w:val="auto"/>
        <w:rPr>
          <w:b/>
          <w:bCs/>
          <w:sz w:val="20"/>
          <w:szCs w:val="20"/>
          <w:lang w:val="es-ES"/>
        </w:rPr>
      </w:pPr>
    </w:p>
    <w:p w14:paraId="0A5CCF16" w14:textId="694D9E8F" w:rsidR="009D0B2B" w:rsidRDefault="009D0B2B" w:rsidP="008353ED">
      <w:pPr>
        <w:widowControl/>
        <w:tabs>
          <w:tab w:val="left" w:pos="720"/>
        </w:tabs>
        <w:adjustRightInd/>
        <w:spacing w:line="240" w:lineRule="auto"/>
        <w:ind w:right="-90"/>
        <w:contextualSpacing/>
        <w:textAlignment w:val="auto"/>
        <w:rPr>
          <w:bCs/>
          <w:sz w:val="20"/>
          <w:szCs w:val="20"/>
          <w:lang w:val="es-ES"/>
        </w:rPr>
      </w:pPr>
      <w:r w:rsidRPr="00975C02">
        <w:rPr>
          <w:bCs/>
          <w:sz w:val="20"/>
          <w:szCs w:val="20"/>
          <w:lang w:val="es-ES"/>
        </w:rPr>
        <w:t xml:space="preserve">Redactada en español en San José, Costa Rica, el </w:t>
      </w:r>
      <w:r w:rsidR="00D4268B" w:rsidRPr="00975C02">
        <w:rPr>
          <w:bCs/>
          <w:sz w:val="20"/>
          <w:szCs w:val="20"/>
          <w:lang w:val="es-ES"/>
        </w:rPr>
        <w:t xml:space="preserve">8 de marzo </w:t>
      </w:r>
      <w:r w:rsidRPr="00975C02">
        <w:rPr>
          <w:bCs/>
          <w:sz w:val="20"/>
          <w:szCs w:val="20"/>
          <w:lang w:val="es-ES"/>
        </w:rPr>
        <w:t>de 2018.</w:t>
      </w:r>
    </w:p>
    <w:p w14:paraId="0B1DACC8" w14:textId="77777777" w:rsidR="007F7D87" w:rsidRDefault="007F7D87" w:rsidP="008353ED">
      <w:pPr>
        <w:widowControl/>
        <w:tabs>
          <w:tab w:val="left" w:pos="720"/>
        </w:tabs>
        <w:adjustRightInd/>
        <w:spacing w:line="240" w:lineRule="auto"/>
        <w:ind w:right="-90"/>
        <w:contextualSpacing/>
        <w:textAlignment w:val="auto"/>
        <w:rPr>
          <w:bCs/>
          <w:sz w:val="20"/>
          <w:szCs w:val="20"/>
          <w:lang w:val="es-ES"/>
        </w:rPr>
      </w:pPr>
    </w:p>
    <w:p w14:paraId="0C7A2E5B" w14:textId="77777777" w:rsidR="007F7D87" w:rsidRDefault="007F7D87" w:rsidP="008353ED">
      <w:pPr>
        <w:widowControl/>
        <w:tabs>
          <w:tab w:val="left" w:pos="720"/>
        </w:tabs>
        <w:adjustRightInd/>
        <w:spacing w:line="240" w:lineRule="auto"/>
        <w:ind w:right="-90"/>
        <w:contextualSpacing/>
        <w:textAlignment w:val="auto"/>
        <w:rPr>
          <w:bCs/>
          <w:sz w:val="20"/>
          <w:szCs w:val="20"/>
          <w:lang w:val="es-ES"/>
        </w:rPr>
      </w:pPr>
    </w:p>
    <w:p w14:paraId="4651074A" w14:textId="77777777" w:rsidR="007F7D87" w:rsidRDefault="007F7D87" w:rsidP="008353ED">
      <w:pPr>
        <w:widowControl/>
        <w:tabs>
          <w:tab w:val="left" w:pos="720"/>
        </w:tabs>
        <w:adjustRightInd/>
        <w:spacing w:line="240" w:lineRule="auto"/>
        <w:ind w:right="-90"/>
        <w:contextualSpacing/>
        <w:textAlignment w:val="auto"/>
        <w:rPr>
          <w:bCs/>
          <w:sz w:val="20"/>
          <w:szCs w:val="20"/>
          <w:lang w:val="es-ES"/>
        </w:rPr>
      </w:pPr>
    </w:p>
    <w:p w14:paraId="2D917E7F" w14:textId="77777777" w:rsidR="007F7D87" w:rsidRDefault="007F7D87" w:rsidP="008353ED">
      <w:pPr>
        <w:widowControl/>
        <w:tabs>
          <w:tab w:val="left" w:pos="720"/>
        </w:tabs>
        <w:adjustRightInd/>
        <w:spacing w:line="240" w:lineRule="auto"/>
        <w:ind w:right="-90"/>
        <w:contextualSpacing/>
        <w:textAlignment w:val="auto"/>
        <w:rPr>
          <w:bCs/>
          <w:sz w:val="20"/>
          <w:szCs w:val="20"/>
          <w:lang w:val="es-ES"/>
        </w:rPr>
      </w:pPr>
    </w:p>
    <w:p w14:paraId="41AE9518" w14:textId="77777777" w:rsidR="007F7D87" w:rsidRDefault="007F7D87" w:rsidP="008353ED">
      <w:pPr>
        <w:widowControl/>
        <w:tabs>
          <w:tab w:val="left" w:pos="720"/>
        </w:tabs>
        <w:adjustRightInd/>
        <w:spacing w:line="240" w:lineRule="auto"/>
        <w:ind w:right="-90"/>
        <w:contextualSpacing/>
        <w:textAlignment w:val="auto"/>
        <w:rPr>
          <w:bCs/>
          <w:sz w:val="20"/>
          <w:szCs w:val="20"/>
          <w:lang w:val="es-ES"/>
        </w:rPr>
      </w:pPr>
    </w:p>
    <w:p w14:paraId="619A9415" w14:textId="77777777" w:rsidR="007F7D87" w:rsidRDefault="007F7D87" w:rsidP="008353ED">
      <w:pPr>
        <w:widowControl/>
        <w:tabs>
          <w:tab w:val="left" w:pos="720"/>
        </w:tabs>
        <w:adjustRightInd/>
        <w:spacing w:line="240" w:lineRule="auto"/>
        <w:ind w:right="-90"/>
        <w:contextualSpacing/>
        <w:textAlignment w:val="auto"/>
        <w:rPr>
          <w:bCs/>
          <w:sz w:val="20"/>
          <w:szCs w:val="20"/>
          <w:lang w:val="es-ES"/>
        </w:rPr>
      </w:pPr>
    </w:p>
    <w:p w14:paraId="022FC5B8" w14:textId="77777777" w:rsidR="007F7D87" w:rsidRDefault="007F7D87" w:rsidP="008353ED">
      <w:pPr>
        <w:widowControl/>
        <w:tabs>
          <w:tab w:val="left" w:pos="720"/>
        </w:tabs>
        <w:adjustRightInd/>
        <w:spacing w:line="240" w:lineRule="auto"/>
        <w:ind w:right="-90"/>
        <w:contextualSpacing/>
        <w:textAlignment w:val="auto"/>
        <w:rPr>
          <w:bCs/>
          <w:sz w:val="20"/>
          <w:szCs w:val="20"/>
          <w:lang w:val="es-ES"/>
        </w:rPr>
      </w:pPr>
    </w:p>
    <w:p w14:paraId="7DC0E062" w14:textId="77777777" w:rsidR="007F7D87" w:rsidRDefault="007F7D87" w:rsidP="008353ED">
      <w:pPr>
        <w:widowControl/>
        <w:tabs>
          <w:tab w:val="left" w:pos="720"/>
        </w:tabs>
        <w:adjustRightInd/>
        <w:spacing w:line="240" w:lineRule="auto"/>
        <w:ind w:right="-90"/>
        <w:contextualSpacing/>
        <w:textAlignment w:val="auto"/>
        <w:rPr>
          <w:bCs/>
          <w:sz w:val="20"/>
          <w:szCs w:val="20"/>
          <w:lang w:val="es-ES"/>
        </w:rPr>
      </w:pPr>
    </w:p>
    <w:p w14:paraId="6B6D06D0" w14:textId="77777777" w:rsidR="007F7D87" w:rsidRDefault="007F7D87" w:rsidP="008353ED">
      <w:pPr>
        <w:widowControl/>
        <w:tabs>
          <w:tab w:val="left" w:pos="720"/>
        </w:tabs>
        <w:adjustRightInd/>
        <w:spacing w:line="240" w:lineRule="auto"/>
        <w:ind w:right="-90"/>
        <w:contextualSpacing/>
        <w:textAlignment w:val="auto"/>
        <w:rPr>
          <w:bCs/>
          <w:sz w:val="20"/>
          <w:szCs w:val="20"/>
          <w:lang w:val="es-ES"/>
        </w:rPr>
      </w:pPr>
    </w:p>
    <w:p w14:paraId="50AB4A07" w14:textId="77777777" w:rsidR="007F7D87" w:rsidRDefault="007F7D87" w:rsidP="008353ED">
      <w:pPr>
        <w:widowControl/>
        <w:tabs>
          <w:tab w:val="left" w:pos="720"/>
        </w:tabs>
        <w:adjustRightInd/>
        <w:spacing w:line="240" w:lineRule="auto"/>
        <w:ind w:right="-90"/>
        <w:contextualSpacing/>
        <w:textAlignment w:val="auto"/>
        <w:rPr>
          <w:bCs/>
          <w:sz w:val="20"/>
          <w:szCs w:val="20"/>
          <w:lang w:val="es-ES"/>
        </w:rPr>
      </w:pPr>
    </w:p>
    <w:p w14:paraId="5643E11B" w14:textId="77777777" w:rsidR="007F7D87" w:rsidRDefault="007F7D87" w:rsidP="008353ED">
      <w:pPr>
        <w:widowControl/>
        <w:tabs>
          <w:tab w:val="left" w:pos="720"/>
        </w:tabs>
        <w:adjustRightInd/>
        <w:spacing w:line="240" w:lineRule="auto"/>
        <w:ind w:right="-90"/>
        <w:contextualSpacing/>
        <w:textAlignment w:val="auto"/>
        <w:rPr>
          <w:bCs/>
          <w:sz w:val="20"/>
          <w:szCs w:val="20"/>
          <w:lang w:val="es-ES"/>
        </w:rPr>
      </w:pPr>
    </w:p>
    <w:p w14:paraId="051FBE9A" w14:textId="77777777" w:rsidR="007F7D87" w:rsidRDefault="007F7D87" w:rsidP="008353ED">
      <w:pPr>
        <w:widowControl/>
        <w:tabs>
          <w:tab w:val="left" w:pos="720"/>
        </w:tabs>
        <w:adjustRightInd/>
        <w:spacing w:line="240" w:lineRule="auto"/>
        <w:ind w:right="-90"/>
        <w:contextualSpacing/>
        <w:textAlignment w:val="auto"/>
        <w:rPr>
          <w:bCs/>
          <w:sz w:val="20"/>
          <w:szCs w:val="20"/>
          <w:lang w:val="es-ES"/>
        </w:rPr>
      </w:pPr>
    </w:p>
    <w:p w14:paraId="2DDFBBBD" w14:textId="77777777" w:rsidR="007F7D87" w:rsidRDefault="007F7D87" w:rsidP="008353ED">
      <w:pPr>
        <w:widowControl/>
        <w:tabs>
          <w:tab w:val="left" w:pos="720"/>
        </w:tabs>
        <w:adjustRightInd/>
        <w:spacing w:line="240" w:lineRule="auto"/>
        <w:ind w:right="-90"/>
        <w:contextualSpacing/>
        <w:textAlignment w:val="auto"/>
        <w:rPr>
          <w:bCs/>
          <w:sz w:val="20"/>
          <w:szCs w:val="20"/>
          <w:lang w:val="es-ES"/>
        </w:rPr>
      </w:pPr>
    </w:p>
    <w:p w14:paraId="7B32186D" w14:textId="77777777" w:rsidR="007F7D87" w:rsidRDefault="007F7D87" w:rsidP="008353ED">
      <w:pPr>
        <w:widowControl/>
        <w:tabs>
          <w:tab w:val="left" w:pos="720"/>
        </w:tabs>
        <w:adjustRightInd/>
        <w:spacing w:line="240" w:lineRule="auto"/>
        <w:ind w:right="-90"/>
        <w:contextualSpacing/>
        <w:textAlignment w:val="auto"/>
        <w:rPr>
          <w:bCs/>
          <w:sz w:val="20"/>
          <w:szCs w:val="20"/>
          <w:lang w:val="es-ES"/>
        </w:rPr>
      </w:pPr>
    </w:p>
    <w:p w14:paraId="4BDFF479" w14:textId="77777777" w:rsidR="007F7D87" w:rsidRDefault="007F7D87" w:rsidP="008353ED">
      <w:pPr>
        <w:widowControl/>
        <w:tabs>
          <w:tab w:val="left" w:pos="720"/>
        </w:tabs>
        <w:adjustRightInd/>
        <w:spacing w:line="240" w:lineRule="auto"/>
        <w:ind w:right="-90"/>
        <w:contextualSpacing/>
        <w:textAlignment w:val="auto"/>
        <w:rPr>
          <w:bCs/>
          <w:sz w:val="20"/>
          <w:szCs w:val="20"/>
          <w:lang w:val="es-ES"/>
        </w:rPr>
      </w:pPr>
    </w:p>
    <w:p w14:paraId="69B2AEEE" w14:textId="77777777" w:rsidR="007F7D87" w:rsidRDefault="007F7D87" w:rsidP="008353ED">
      <w:pPr>
        <w:widowControl/>
        <w:tabs>
          <w:tab w:val="left" w:pos="720"/>
        </w:tabs>
        <w:adjustRightInd/>
        <w:spacing w:line="240" w:lineRule="auto"/>
        <w:ind w:right="-90"/>
        <w:contextualSpacing/>
        <w:textAlignment w:val="auto"/>
        <w:rPr>
          <w:bCs/>
          <w:sz w:val="20"/>
          <w:szCs w:val="20"/>
          <w:lang w:val="es-ES"/>
        </w:rPr>
      </w:pPr>
    </w:p>
    <w:p w14:paraId="06EDCCA9" w14:textId="77777777" w:rsidR="007F7D87" w:rsidRDefault="007F7D87" w:rsidP="008353ED">
      <w:pPr>
        <w:widowControl/>
        <w:tabs>
          <w:tab w:val="left" w:pos="720"/>
        </w:tabs>
        <w:adjustRightInd/>
        <w:spacing w:line="240" w:lineRule="auto"/>
        <w:ind w:right="-90"/>
        <w:contextualSpacing/>
        <w:textAlignment w:val="auto"/>
        <w:rPr>
          <w:bCs/>
          <w:sz w:val="20"/>
          <w:szCs w:val="20"/>
          <w:lang w:val="es-ES"/>
        </w:rPr>
      </w:pPr>
    </w:p>
    <w:p w14:paraId="6BD12DF5" w14:textId="77777777" w:rsidR="007F7D87" w:rsidRDefault="007F7D87" w:rsidP="008353ED">
      <w:pPr>
        <w:widowControl/>
        <w:tabs>
          <w:tab w:val="left" w:pos="720"/>
        </w:tabs>
        <w:adjustRightInd/>
        <w:spacing w:line="240" w:lineRule="auto"/>
        <w:ind w:right="-90"/>
        <w:contextualSpacing/>
        <w:textAlignment w:val="auto"/>
        <w:rPr>
          <w:bCs/>
          <w:sz w:val="20"/>
          <w:szCs w:val="20"/>
          <w:lang w:val="es-ES"/>
        </w:rPr>
      </w:pPr>
    </w:p>
    <w:p w14:paraId="52DD038B" w14:textId="77777777" w:rsidR="007F7D87" w:rsidRDefault="007F7D87" w:rsidP="008353ED">
      <w:pPr>
        <w:widowControl/>
        <w:tabs>
          <w:tab w:val="left" w:pos="720"/>
        </w:tabs>
        <w:adjustRightInd/>
        <w:spacing w:line="240" w:lineRule="auto"/>
        <w:ind w:right="-90"/>
        <w:contextualSpacing/>
        <w:textAlignment w:val="auto"/>
        <w:rPr>
          <w:bCs/>
          <w:sz w:val="20"/>
          <w:szCs w:val="20"/>
          <w:lang w:val="es-ES"/>
        </w:rPr>
      </w:pPr>
    </w:p>
    <w:p w14:paraId="03DDC8C9" w14:textId="77777777" w:rsidR="007F7D87" w:rsidRDefault="007F7D87" w:rsidP="008353ED">
      <w:pPr>
        <w:widowControl/>
        <w:tabs>
          <w:tab w:val="left" w:pos="720"/>
        </w:tabs>
        <w:adjustRightInd/>
        <w:spacing w:line="240" w:lineRule="auto"/>
        <w:ind w:right="-90"/>
        <w:contextualSpacing/>
        <w:textAlignment w:val="auto"/>
        <w:rPr>
          <w:bCs/>
          <w:sz w:val="20"/>
          <w:szCs w:val="20"/>
          <w:lang w:val="es-ES"/>
        </w:rPr>
      </w:pPr>
    </w:p>
    <w:p w14:paraId="6E6C7FF6" w14:textId="77777777" w:rsidR="007F7D87" w:rsidRDefault="007F7D87" w:rsidP="008353ED">
      <w:pPr>
        <w:widowControl/>
        <w:tabs>
          <w:tab w:val="left" w:pos="720"/>
        </w:tabs>
        <w:adjustRightInd/>
        <w:spacing w:line="240" w:lineRule="auto"/>
        <w:ind w:right="-90"/>
        <w:contextualSpacing/>
        <w:textAlignment w:val="auto"/>
        <w:rPr>
          <w:bCs/>
          <w:sz w:val="20"/>
          <w:szCs w:val="20"/>
          <w:lang w:val="es-ES"/>
        </w:rPr>
      </w:pPr>
    </w:p>
    <w:p w14:paraId="5376025E" w14:textId="77777777" w:rsidR="007F7D87" w:rsidRDefault="007F7D87" w:rsidP="008353ED">
      <w:pPr>
        <w:widowControl/>
        <w:tabs>
          <w:tab w:val="left" w:pos="720"/>
        </w:tabs>
        <w:adjustRightInd/>
        <w:spacing w:line="240" w:lineRule="auto"/>
        <w:ind w:right="-90"/>
        <w:contextualSpacing/>
        <w:textAlignment w:val="auto"/>
        <w:rPr>
          <w:bCs/>
          <w:sz w:val="20"/>
          <w:szCs w:val="20"/>
          <w:lang w:val="es-ES"/>
        </w:rPr>
      </w:pPr>
    </w:p>
    <w:p w14:paraId="05C21099" w14:textId="77777777" w:rsidR="000B44AC" w:rsidRDefault="000B44AC" w:rsidP="000B44AC">
      <w:pPr>
        <w:rPr>
          <w:sz w:val="20"/>
          <w:lang w:val="es-ES"/>
        </w:rPr>
      </w:pPr>
      <w:r>
        <w:rPr>
          <w:sz w:val="20"/>
          <w:lang w:val="es-ES"/>
        </w:rPr>
        <w:lastRenderedPageBreak/>
        <w:t xml:space="preserve">Corte IDH. Caso </w:t>
      </w:r>
      <w:r w:rsidRPr="00D82419">
        <w:rPr>
          <w:i/>
          <w:sz w:val="20"/>
          <w:lang w:val="es-ES"/>
        </w:rPr>
        <w:t>V.R.P.</w:t>
      </w:r>
      <w:r>
        <w:rPr>
          <w:i/>
          <w:sz w:val="20"/>
          <w:lang w:val="es-ES"/>
        </w:rPr>
        <w:t>,</w:t>
      </w:r>
      <w:r w:rsidRPr="00D82419">
        <w:rPr>
          <w:i/>
          <w:sz w:val="20"/>
          <w:lang w:val="es-ES"/>
        </w:rPr>
        <w:t xml:space="preserve"> V.P.C. </w:t>
      </w:r>
      <w:r w:rsidRPr="00B33368">
        <w:rPr>
          <w:i/>
          <w:sz w:val="20"/>
          <w:lang w:val="es-ES"/>
        </w:rPr>
        <w:t>y otros</w:t>
      </w:r>
      <w:r w:rsidRPr="00D82419">
        <w:rPr>
          <w:i/>
          <w:sz w:val="20"/>
          <w:lang w:val="es-ES"/>
        </w:rPr>
        <w:t xml:space="preserve"> Vs. Nicaragua</w:t>
      </w:r>
      <w:r>
        <w:rPr>
          <w:sz w:val="20"/>
          <w:lang w:val="es-ES"/>
        </w:rPr>
        <w:t>. Excepciones Preliminares, Fondo, Reparaciones y Costas. Sentencia de 8 de marzo de 2018.</w:t>
      </w:r>
    </w:p>
    <w:p w14:paraId="0103661F" w14:textId="77777777" w:rsidR="000B44AC" w:rsidRPr="00DA00D0" w:rsidRDefault="000B44AC" w:rsidP="000B44AC">
      <w:pPr>
        <w:rPr>
          <w:strike/>
          <w:sz w:val="20"/>
          <w:lang w:val="pt-BR"/>
        </w:rPr>
      </w:pPr>
    </w:p>
    <w:p w14:paraId="6D09009D" w14:textId="77777777" w:rsidR="000B44AC" w:rsidRPr="00DA00D0" w:rsidRDefault="000B44AC" w:rsidP="000B44AC">
      <w:pPr>
        <w:rPr>
          <w:sz w:val="20"/>
          <w:lang w:val="pt-BR"/>
        </w:rPr>
      </w:pPr>
    </w:p>
    <w:p w14:paraId="21FD9D5C" w14:textId="77777777" w:rsidR="000B44AC" w:rsidRDefault="000B44AC" w:rsidP="000B44AC">
      <w:pPr>
        <w:rPr>
          <w:sz w:val="20"/>
          <w:lang w:val="pt-BR"/>
        </w:rPr>
      </w:pPr>
    </w:p>
    <w:p w14:paraId="198AA4B2" w14:textId="77777777" w:rsidR="000B44AC" w:rsidRPr="00DA00D0" w:rsidRDefault="000B44AC" w:rsidP="000B44AC">
      <w:pPr>
        <w:rPr>
          <w:sz w:val="20"/>
          <w:lang w:val="pt-BR"/>
        </w:rPr>
      </w:pPr>
    </w:p>
    <w:p w14:paraId="76DD0512" w14:textId="77777777" w:rsidR="000B44AC" w:rsidRPr="00DA00D0" w:rsidRDefault="000B44AC" w:rsidP="000B44AC">
      <w:pPr>
        <w:jc w:val="center"/>
        <w:rPr>
          <w:sz w:val="20"/>
          <w:lang w:val="pt-BR"/>
        </w:rPr>
      </w:pPr>
      <w:r w:rsidRPr="00DA00D0">
        <w:rPr>
          <w:sz w:val="20"/>
          <w:lang w:val="pt-BR"/>
        </w:rPr>
        <w:t>Eduardo Ferrer Mac-Gregor Poisot</w:t>
      </w:r>
    </w:p>
    <w:p w14:paraId="18187D86" w14:textId="77777777" w:rsidR="000B44AC" w:rsidRPr="00DA00D0" w:rsidRDefault="000B44AC" w:rsidP="000B44AC">
      <w:pPr>
        <w:jc w:val="center"/>
        <w:rPr>
          <w:sz w:val="20"/>
          <w:lang w:val="pt-BR"/>
        </w:rPr>
      </w:pPr>
      <w:r>
        <w:rPr>
          <w:sz w:val="20"/>
          <w:lang w:val="pt-BR"/>
        </w:rPr>
        <w:t xml:space="preserve">Presidente </w:t>
      </w:r>
    </w:p>
    <w:p w14:paraId="7E944C6D" w14:textId="77777777" w:rsidR="000B44AC" w:rsidRPr="00DA00D0" w:rsidRDefault="000B44AC" w:rsidP="000B44AC">
      <w:pPr>
        <w:rPr>
          <w:sz w:val="20"/>
          <w:lang w:val="pt-BR"/>
        </w:rPr>
      </w:pPr>
    </w:p>
    <w:p w14:paraId="7CC9C2AA" w14:textId="77777777" w:rsidR="000B44AC" w:rsidRPr="00DA00D0" w:rsidRDefault="000B44AC" w:rsidP="000B44AC">
      <w:pPr>
        <w:rPr>
          <w:sz w:val="20"/>
          <w:lang w:val="pt-BR"/>
        </w:rPr>
      </w:pPr>
    </w:p>
    <w:p w14:paraId="633DF8FA" w14:textId="77777777" w:rsidR="000B44AC" w:rsidRPr="00DA00D0" w:rsidRDefault="000B44AC" w:rsidP="000B44AC">
      <w:pPr>
        <w:rPr>
          <w:sz w:val="20"/>
          <w:lang w:val="pt-BR"/>
        </w:rPr>
      </w:pPr>
    </w:p>
    <w:p w14:paraId="5B858D5F" w14:textId="77777777" w:rsidR="000B44AC" w:rsidRDefault="000B44AC" w:rsidP="000B44AC">
      <w:pPr>
        <w:rPr>
          <w:sz w:val="20"/>
          <w:lang w:val="pt-BR"/>
        </w:rPr>
      </w:pPr>
      <w:r w:rsidRPr="00DA00D0">
        <w:rPr>
          <w:sz w:val="20"/>
          <w:lang w:val="pt-BR"/>
        </w:rPr>
        <w:t xml:space="preserve">Humberto </w:t>
      </w:r>
      <w:r>
        <w:rPr>
          <w:sz w:val="20"/>
          <w:lang w:val="pt-BR"/>
        </w:rPr>
        <w:t xml:space="preserve">A. </w:t>
      </w:r>
      <w:r w:rsidRPr="00DA00D0">
        <w:rPr>
          <w:sz w:val="20"/>
          <w:lang w:val="pt-BR"/>
        </w:rPr>
        <w:t>Sierra Porto</w:t>
      </w:r>
      <w:r w:rsidRPr="00DA00D0">
        <w:rPr>
          <w:sz w:val="20"/>
          <w:lang w:val="pt-BR"/>
        </w:rPr>
        <w:tab/>
      </w:r>
      <w:r w:rsidRPr="00DA00D0">
        <w:rPr>
          <w:sz w:val="20"/>
          <w:lang w:val="pt-BR"/>
        </w:rPr>
        <w:tab/>
      </w:r>
      <w:r w:rsidRPr="00DA00D0">
        <w:rPr>
          <w:sz w:val="20"/>
          <w:lang w:val="pt-BR"/>
        </w:rPr>
        <w:tab/>
      </w:r>
      <w:r>
        <w:rPr>
          <w:sz w:val="20"/>
          <w:lang w:val="pt-BR"/>
        </w:rPr>
        <w:tab/>
      </w:r>
      <w:r>
        <w:rPr>
          <w:sz w:val="20"/>
          <w:lang w:val="pt-BR"/>
        </w:rPr>
        <w:tab/>
      </w:r>
      <w:r>
        <w:rPr>
          <w:sz w:val="20"/>
          <w:lang w:val="pt-BR"/>
        </w:rPr>
        <w:tab/>
      </w:r>
      <w:r>
        <w:rPr>
          <w:sz w:val="20"/>
          <w:lang w:val="pt-BR"/>
        </w:rPr>
        <w:tab/>
      </w:r>
      <w:r w:rsidRPr="00DA00D0">
        <w:rPr>
          <w:sz w:val="20"/>
          <w:lang w:val="pt-BR"/>
        </w:rPr>
        <w:t>Eli</w:t>
      </w:r>
      <w:r>
        <w:rPr>
          <w:sz w:val="20"/>
          <w:lang w:val="pt-BR"/>
        </w:rPr>
        <w:t>zabeth Odio Benito</w:t>
      </w:r>
    </w:p>
    <w:p w14:paraId="2D8D6DB3" w14:textId="77777777" w:rsidR="000B44AC" w:rsidRDefault="000B44AC" w:rsidP="000B44AC">
      <w:pPr>
        <w:rPr>
          <w:sz w:val="20"/>
          <w:lang w:val="pt-BR"/>
        </w:rPr>
      </w:pPr>
    </w:p>
    <w:p w14:paraId="25B62CFE" w14:textId="77777777" w:rsidR="000B44AC" w:rsidRDefault="000B44AC" w:rsidP="000B44AC">
      <w:pPr>
        <w:rPr>
          <w:sz w:val="20"/>
          <w:lang w:val="pt-BR"/>
        </w:rPr>
      </w:pPr>
    </w:p>
    <w:p w14:paraId="3054059E" w14:textId="77777777" w:rsidR="000B44AC" w:rsidRDefault="000B44AC" w:rsidP="000B44AC">
      <w:pPr>
        <w:rPr>
          <w:sz w:val="20"/>
          <w:lang w:val="pt-BR"/>
        </w:rPr>
      </w:pPr>
    </w:p>
    <w:p w14:paraId="22685C70" w14:textId="77777777" w:rsidR="000B44AC" w:rsidRDefault="000B44AC" w:rsidP="000B44AC">
      <w:pPr>
        <w:rPr>
          <w:sz w:val="20"/>
          <w:lang w:val="pt-BR"/>
        </w:rPr>
      </w:pPr>
    </w:p>
    <w:p w14:paraId="18AEE698" w14:textId="77777777" w:rsidR="000B44AC" w:rsidRPr="00DA00D0" w:rsidRDefault="000B44AC" w:rsidP="000B44AC">
      <w:pPr>
        <w:rPr>
          <w:sz w:val="20"/>
          <w:lang w:val="pt-BR"/>
        </w:rPr>
      </w:pPr>
      <w:r w:rsidRPr="00DA00D0">
        <w:rPr>
          <w:sz w:val="20"/>
          <w:lang w:val="pt-BR"/>
        </w:rPr>
        <w:t>Eugenio Raúl Zaffaroni</w:t>
      </w:r>
      <w:r w:rsidRPr="00D82419">
        <w:rPr>
          <w:sz w:val="20"/>
          <w:lang w:val="pt-BR"/>
        </w:rPr>
        <w:t xml:space="preserve"> </w:t>
      </w:r>
      <w:r>
        <w:rPr>
          <w:sz w:val="20"/>
          <w:lang w:val="pt-BR"/>
        </w:rPr>
        <w:tab/>
      </w:r>
      <w:r>
        <w:rPr>
          <w:sz w:val="20"/>
          <w:lang w:val="pt-BR"/>
        </w:rPr>
        <w:tab/>
      </w:r>
      <w:r>
        <w:rPr>
          <w:sz w:val="20"/>
          <w:lang w:val="pt-BR"/>
        </w:rPr>
        <w:tab/>
      </w:r>
      <w:r>
        <w:rPr>
          <w:sz w:val="20"/>
          <w:lang w:val="pt-BR"/>
        </w:rPr>
        <w:tab/>
      </w:r>
      <w:r>
        <w:rPr>
          <w:sz w:val="20"/>
          <w:lang w:val="pt-BR"/>
        </w:rPr>
        <w:tab/>
      </w:r>
      <w:r>
        <w:rPr>
          <w:sz w:val="20"/>
          <w:lang w:val="pt-BR"/>
        </w:rPr>
        <w:tab/>
        <w:t xml:space="preserve">    L.</w:t>
      </w:r>
      <w:r w:rsidRPr="00DA00D0">
        <w:rPr>
          <w:sz w:val="20"/>
          <w:lang w:val="pt-BR"/>
        </w:rPr>
        <w:t xml:space="preserve"> Patricio Pazmiño Fre</w:t>
      </w:r>
      <w:r>
        <w:rPr>
          <w:sz w:val="20"/>
          <w:lang w:val="pt-BR"/>
        </w:rPr>
        <w:t>i</w:t>
      </w:r>
      <w:r w:rsidRPr="00DA00D0">
        <w:rPr>
          <w:sz w:val="20"/>
          <w:lang w:val="pt-BR"/>
        </w:rPr>
        <w:t>re</w:t>
      </w:r>
    </w:p>
    <w:p w14:paraId="08D107A6" w14:textId="77777777" w:rsidR="000B44AC" w:rsidRPr="00DA00D0" w:rsidRDefault="000B44AC" w:rsidP="000B44AC">
      <w:pPr>
        <w:rPr>
          <w:sz w:val="20"/>
          <w:lang w:val="pt-BR"/>
        </w:rPr>
      </w:pPr>
    </w:p>
    <w:p w14:paraId="561F2825" w14:textId="77777777" w:rsidR="000B44AC" w:rsidRPr="00DA00D0" w:rsidRDefault="000B44AC" w:rsidP="000B44AC">
      <w:pPr>
        <w:rPr>
          <w:sz w:val="20"/>
          <w:lang w:val="pt-BR"/>
        </w:rPr>
      </w:pPr>
    </w:p>
    <w:p w14:paraId="54E95D15" w14:textId="77777777" w:rsidR="000B44AC" w:rsidRPr="00DA00D0" w:rsidRDefault="000B44AC" w:rsidP="000B44AC">
      <w:pPr>
        <w:rPr>
          <w:sz w:val="20"/>
          <w:lang w:val="pt-BR"/>
        </w:rPr>
      </w:pPr>
    </w:p>
    <w:p w14:paraId="17A4DB34" w14:textId="77777777" w:rsidR="000B44AC" w:rsidRPr="00FC4051" w:rsidRDefault="000B44AC" w:rsidP="000B44AC">
      <w:pPr>
        <w:jc w:val="center"/>
        <w:rPr>
          <w:sz w:val="20"/>
          <w:lang w:val="pt-BR"/>
        </w:rPr>
      </w:pPr>
      <w:r w:rsidRPr="00FC4051">
        <w:rPr>
          <w:sz w:val="20"/>
          <w:lang w:val="pt-BR"/>
        </w:rPr>
        <w:t>Pablo Saavedra Alessandri</w:t>
      </w:r>
    </w:p>
    <w:p w14:paraId="2A7A2066" w14:textId="77777777" w:rsidR="000B44AC" w:rsidRPr="00FC4051" w:rsidRDefault="000B44AC" w:rsidP="000B44AC">
      <w:pPr>
        <w:jc w:val="center"/>
        <w:rPr>
          <w:sz w:val="20"/>
          <w:lang w:val="pt-BR"/>
        </w:rPr>
      </w:pPr>
      <w:r w:rsidRPr="00FC4051">
        <w:rPr>
          <w:sz w:val="20"/>
          <w:lang w:val="pt-BR"/>
        </w:rPr>
        <w:t>Secret</w:t>
      </w:r>
      <w:r>
        <w:rPr>
          <w:sz w:val="20"/>
          <w:lang w:val="pt-BR"/>
        </w:rPr>
        <w:t>a</w:t>
      </w:r>
      <w:r w:rsidRPr="00FC4051">
        <w:rPr>
          <w:sz w:val="20"/>
          <w:lang w:val="pt-BR"/>
        </w:rPr>
        <w:t>rio</w:t>
      </w:r>
    </w:p>
    <w:p w14:paraId="2A39BFF9" w14:textId="77777777" w:rsidR="000B44AC" w:rsidRDefault="000B44AC" w:rsidP="000B44AC">
      <w:pPr>
        <w:pStyle w:val="FootnoteText"/>
        <w:rPr>
          <w:lang w:val="pt-BR"/>
        </w:rPr>
      </w:pPr>
    </w:p>
    <w:p w14:paraId="048681E9" w14:textId="77777777" w:rsidR="000B44AC" w:rsidRPr="00FC4051" w:rsidRDefault="000B44AC" w:rsidP="000B44AC">
      <w:pPr>
        <w:pStyle w:val="FootnoteText"/>
        <w:rPr>
          <w:lang w:val="pt-BR"/>
        </w:rPr>
      </w:pPr>
    </w:p>
    <w:p w14:paraId="373281F1" w14:textId="77777777" w:rsidR="000B44AC" w:rsidRPr="00FC4051" w:rsidRDefault="000B44AC" w:rsidP="000B44AC">
      <w:pPr>
        <w:pStyle w:val="FootnoteText"/>
        <w:rPr>
          <w:lang w:val="pt-BR"/>
        </w:rPr>
      </w:pPr>
    </w:p>
    <w:p w14:paraId="27AFBA2B" w14:textId="77777777" w:rsidR="000B44AC" w:rsidRPr="00FC4051" w:rsidRDefault="000B44AC" w:rsidP="000B44AC">
      <w:pPr>
        <w:rPr>
          <w:sz w:val="20"/>
          <w:lang w:val="pt-BR"/>
        </w:rPr>
      </w:pPr>
      <w:r>
        <w:rPr>
          <w:sz w:val="20"/>
          <w:lang w:val="pt-BR"/>
        </w:rPr>
        <w:t>Comuníquese y ejecútese</w:t>
      </w:r>
      <w:r w:rsidRPr="00FC4051">
        <w:rPr>
          <w:sz w:val="20"/>
          <w:lang w:val="pt-BR"/>
        </w:rPr>
        <w:t>,</w:t>
      </w:r>
    </w:p>
    <w:p w14:paraId="1B85BF44" w14:textId="77777777" w:rsidR="000B44AC" w:rsidRPr="00FC4051" w:rsidRDefault="000B44AC" w:rsidP="000B44AC">
      <w:pPr>
        <w:rPr>
          <w:sz w:val="20"/>
          <w:lang w:val="pt-BR"/>
        </w:rPr>
      </w:pPr>
    </w:p>
    <w:p w14:paraId="36A0DA96" w14:textId="77777777" w:rsidR="000B44AC" w:rsidRPr="00FC4051" w:rsidRDefault="000B44AC" w:rsidP="000B44AC">
      <w:pPr>
        <w:jc w:val="right"/>
        <w:rPr>
          <w:sz w:val="20"/>
          <w:lang w:val="pt-BR"/>
        </w:rPr>
      </w:pPr>
    </w:p>
    <w:p w14:paraId="53EE7D30" w14:textId="77777777" w:rsidR="000B44AC" w:rsidRPr="00FC4051" w:rsidRDefault="000B44AC" w:rsidP="000B44AC">
      <w:pPr>
        <w:jc w:val="right"/>
        <w:rPr>
          <w:sz w:val="20"/>
          <w:lang w:val="pt-BR"/>
        </w:rPr>
      </w:pPr>
    </w:p>
    <w:p w14:paraId="7F458C53" w14:textId="70C885BC" w:rsidR="000B44AC" w:rsidRPr="00FC4051" w:rsidRDefault="000B44AC" w:rsidP="000B44AC">
      <w:pPr>
        <w:jc w:val="center"/>
        <w:rPr>
          <w:sz w:val="20"/>
          <w:lang w:val="pt-BR"/>
        </w:rPr>
      </w:pPr>
      <w:r>
        <w:rPr>
          <w:sz w:val="20"/>
          <w:lang w:val="pt-BR"/>
        </w:rPr>
        <w:t xml:space="preserve">                                                                                  </w:t>
      </w:r>
      <w:r w:rsidRPr="00DA00D0">
        <w:rPr>
          <w:sz w:val="20"/>
          <w:lang w:val="pt-BR"/>
        </w:rPr>
        <w:t>Eduardo Ferrer Mac-Gregor Poisot</w:t>
      </w:r>
    </w:p>
    <w:p w14:paraId="2A254FF4" w14:textId="75E0A4B6" w:rsidR="000B44AC" w:rsidRPr="00DA00D0" w:rsidRDefault="000B44AC" w:rsidP="000B44AC">
      <w:pPr>
        <w:jc w:val="left"/>
        <w:rPr>
          <w:sz w:val="20"/>
          <w:lang w:val="pt-BR"/>
        </w:rPr>
      </w:pPr>
      <w:r>
        <w:rPr>
          <w:sz w:val="20"/>
          <w:lang w:val="pt-BR"/>
        </w:rPr>
        <w:t xml:space="preserve">       </w:t>
      </w:r>
      <w:r>
        <w:rPr>
          <w:sz w:val="20"/>
          <w:lang w:val="pt-BR"/>
        </w:rPr>
        <w:tab/>
      </w:r>
      <w:r>
        <w:rPr>
          <w:sz w:val="20"/>
          <w:lang w:val="pt-BR"/>
        </w:rPr>
        <w:tab/>
      </w:r>
      <w:r>
        <w:rPr>
          <w:sz w:val="20"/>
          <w:lang w:val="pt-BR"/>
        </w:rPr>
        <w:tab/>
      </w:r>
      <w:r>
        <w:rPr>
          <w:sz w:val="20"/>
          <w:lang w:val="pt-BR"/>
        </w:rPr>
        <w:tab/>
      </w:r>
      <w:r>
        <w:rPr>
          <w:sz w:val="20"/>
          <w:lang w:val="pt-BR"/>
        </w:rPr>
        <w:tab/>
      </w:r>
      <w:r>
        <w:rPr>
          <w:sz w:val="20"/>
          <w:lang w:val="pt-BR"/>
        </w:rPr>
        <w:tab/>
      </w:r>
      <w:r>
        <w:rPr>
          <w:sz w:val="20"/>
          <w:lang w:val="pt-BR"/>
        </w:rPr>
        <w:tab/>
      </w:r>
      <w:r>
        <w:rPr>
          <w:sz w:val="20"/>
          <w:lang w:val="pt-BR"/>
        </w:rPr>
        <w:tab/>
      </w:r>
      <w:r>
        <w:rPr>
          <w:sz w:val="20"/>
          <w:lang w:val="pt-BR"/>
        </w:rPr>
        <w:tab/>
      </w:r>
      <w:r>
        <w:rPr>
          <w:sz w:val="20"/>
          <w:lang w:val="pt-BR"/>
        </w:rPr>
        <w:tab/>
        <w:t xml:space="preserve">  Presidente </w:t>
      </w:r>
    </w:p>
    <w:p w14:paraId="74790A98" w14:textId="77777777" w:rsidR="000B44AC" w:rsidRPr="00FC4051" w:rsidRDefault="000B44AC" w:rsidP="000B44AC">
      <w:pPr>
        <w:ind w:firstLine="720"/>
        <w:jc w:val="center"/>
        <w:rPr>
          <w:sz w:val="20"/>
          <w:lang w:val="pt-BR"/>
        </w:rPr>
      </w:pPr>
    </w:p>
    <w:p w14:paraId="0C254501" w14:textId="77777777" w:rsidR="000B44AC" w:rsidRPr="00FC4051" w:rsidRDefault="000B44AC" w:rsidP="000B44AC">
      <w:pPr>
        <w:rPr>
          <w:sz w:val="20"/>
          <w:lang w:val="pt-BR"/>
        </w:rPr>
      </w:pPr>
    </w:p>
    <w:p w14:paraId="0CD4F3E9" w14:textId="77777777" w:rsidR="000B44AC" w:rsidRPr="00FC4051" w:rsidRDefault="000B44AC" w:rsidP="000B44AC">
      <w:pPr>
        <w:rPr>
          <w:sz w:val="20"/>
          <w:lang w:val="pt-BR"/>
        </w:rPr>
      </w:pPr>
      <w:r w:rsidRPr="00FC4051">
        <w:rPr>
          <w:sz w:val="20"/>
          <w:lang w:val="pt-BR"/>
        </w:rPr>
        <w:t>Pablo Saavedra Alessandri</w:t>
      </w:r>
    </w:p>
    <w:p w14:paraId="609DDC21" w14:textId="77777777" w:rsidR="000B44AC" w:rsidRDefault="000B44AC" w:rsidP="000B44AC">
      <w:r w:rsidRPr="00FC4051">
        <w:rPr>
          <w:sz w:val="20"/>
          <w:lang w:val="pt-BR"/>
        </w:rPr>
        <w:tab/>
      </w:r>
      <w:r w:rsidRPr="00DA00D0">
        <w:rPr>
          <w:sz w:val="20"/>
          <w:lang w:val="es-ES"/>
        </w:rPr>
        <w:t>Secret</w:t>
      </w:r>
      <w:r>
        <w:rPr>
          <w:sz w:val="20"/>
          <w:lang w:val="es-ES"/>
        </w:rPr>
        <w:t>a</w:t>
      </w:r>
      <w:r w:rsidRPr="00DA00D0">
        <w:rPr>
          <w:sz w:val="20"/>
          <w:lang w:val="es-ES"/>
        </w:rPr>
        <w:t>rio</w:t>
      </w:r>
    </w:p>
    <w:p w14:paraId="7145AFAE" w14:textId="77777777" w:rsidR="007F7D87" w:rsidRDefault="007F7D87" w:rsidP="000B44AC">
      <w:pPr>
        <w:widowControl/>
        <w:tabs>
          <w:tab w:val="left" w:pos="720"/>
        </w:tabs>
        <w:adjustRightInd/>
        <w:spacing w:line="240" w:lineRule="auto"/>
        <w:contextualSpacing/>
        <w:textAlignment w:val="auto"/>
        <w:rPr>
          <w:bCs/>
          <w:sz w:val="20"/>
          <w:szCs w:val="20"/>
          <w:lang w:val="es-ES"/>
        </w:rPr>
      </w:pPr>
    </w:p>
    <w:p w14:paraId="197196C2" w14:textId="77777777" w:rsidR="007F7D87" w:rsidRPr="00975C02" w:rsidRDefault="007F7D87" w:rsidP="000B44AC">
      <w:pPr>
        <w:widowControl/>
        <w:tabs>
          <w:tab w:val="left" w:pos="720"/>
        </w:tabs>
        <w:adjustRightInd/>
        <w:spacing w:line="240" w:lineRule="auto"/>
        <w:contextualSpacing/>
        <w:textAlignment w:val="auto"/>
        <w:rPr>
          <w:bCs/>
          <w:sz w:val="20"/>
          <w:szCs w:val="20"/>
          <w:lang w:val="es-ES"/>
        </w:rPr>
      </w:pPr>
    </w:p>
    <w:sectPr w:rsidR="007F7D87" w:rsidRPr="00975C02" w:rsidSect="005F1C88">
      <w:headerReference w:type="default" r:id="rId10"/>
      <w:footerReference w:type="even" r:id="rId11"/>
      <w:footerReference w:type="default" r:id="rId12"/>
      <w:footnotePr>
        <w:numRestart w:val="eachSect"/>
      </w:footnotePr>
      <w:pgSz w:w="12240" w:h="15840"/>
      <w:pgMar w:top="1440" w:right="1080" w:bottom="1440" w:left="1080" w:header="708" w:footer="708"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5D5264" w15:done="0"/>
  <w15:commentEx w15:paraId="77550EE0" w15:done="0"/>
  <w15:commentEx w15:paraId="6648A846" w15:done="0"/>
  <w15:commentEx w15:paraId="6D936C6C" w15:done="0"/>
  <w15:commentEx w15:paraId="64B92413" w15:done="0"/>
  <w15:commentEx w15:paraId="2673EF4C" w15:done="0"/>
  <w15:commentEx w15:paraId="7ABD8019" w15:done="0"/>
  <w15:commentEx w15:paraId="6292C33D" w15:done="0"/>
  <w15:commentEx w15:paraId="5B805EC4" w15:done="0"/>
  <w15:commentEx w15:paraId="221274AF" w15:done="0"/>
  <w15:commentEx w15:paraId="7330B3E5" w15:done="0"/>
  <w15:commentEx w15:paraId="02B6A883" w15:done="0"/>
  <w15:commentEx w15:paraId="7FDCF0C8" w15:done="0"/>
  <w15:commentEx w15:paraId="284E1E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5D5264" w16cid:durableId="1E35975F"/>
  <w16cid:commentId w16cid:paraId="77550EE0" w16cid:durableId="1E35A008"/>
  <w16cid:commentId w16cid:paraId="6648A846" w16cid:durableId="1E35A078"/>
  <w16cid:commentId w16cid:paraId="6D936C6C" w16cid:durableId="1E35A1D9"/>
  <w16cid:commentId w16cid:paraId="64B92413" w16cid:durableId="1E37CDF1"/>
  <w16cid:commentId w16cid:paraId="2673EF4C" w16cid:durableId="1E37CE43"/>
  <w16cid:commentId w16cid:paraId="7ABD8019" w16cid:durableId="1E37D26B"/>
  <w16cid:commentId w16cid:paraId="6292C33D" w16cid:durableId="1E37DB69"/>
  <w16cid:commentId w16cid:paraId="5B805EC4" w16cid:durableId="1E380C00"/>
  <w16cid:commentId w16cid:paraId="221274AF" w16cid:durableId="1E380CE1"/>
  <w16cid:commentId w16cid:paraId="7330B3E5" w16cid:durableId="1E380D8A"/>
  <w16cid:commentId w16cid:paraId="02B6A883" w16cid:durableId="1E380F4F"/>
  <w16cid:commentId w16cid:paraId="7FDCF0C8" w16cid:durableId="1E3811B9"/>
  <w16cid:commentId w16cid:paraId="284E1EDB" w16cid:durableId="1E3812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CC0A6" w14:textId="77777777" w:rsidR="005A2A26" w:rsidRDefault="005A2A26" w:rsidP="00085BDD">
      <w:pPr>
        <w:spacing w:line="240" w:lineRule="auto"/>
      </w:pPr>
      <w:r>
        <w:separator/>
      </w:r>
    </w:p>
  </w:endnote>
  <w:endnote w:type="continuationSeparator" w:id="0">
    <w:p w14:paraId="51E62557" w14:textId="77777777" w:rsidR="005A2A26" w:rsidRDefault="005A2A26" w:rsidP="00085B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EU Albertina"/>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ヒラギノ角ゴ Pro W3">
    <w:charset w:val="80"/>
    <w:family w:val="auto"/>
    <w:pitch w:val="variable"/>
    <w:sig w:usb0="00000001" w:usb1="08070000" w:usb2="00000010" w:usb3="00000000" w:csb0="00020000" w:csb1="00000000"/>
  </w:font>
  <w:font w:name="Arial-BoldItalicMT">
    <w:panose1 w:val="00000000000000000000"/>
    <w:charset w:val="00"/>
    <w:family w:val="auto"/>
    <w:notTrueType/>
    <w:pitch w:val="default"/>
    <w:sig w:usb0="00000003" w:usb1="00000000" w:usb2="00000000" w:usb3="00000000" w:csb0="00000001" w:csb1="00000000"/>
  </w:font>
  <w:font w:name="Univers-Light">
    <w:altName w:val="Cambri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MinionPro-Regular">
    <w:altName w:val="Cambria"/>
    <w:panose1 w:val="00000000000000000000"/>
    <w:charset w:val="00"/>
    <w:family w:val="roman"/>
    <w:notTrueType/>
    <w:pitch w:val="default"/>
    <w:sig w:usb0="00000003" w:usb1="00000000" w:usb2="00000000" w:usb3="00000000" w:csb0="00000001" w:csb1="00000000"/>
  </w:font>
  <w:font w:name="MSTT3132dbeaafO05102100">
    <w:panose1 w:val="00000000000000000000"/>
    <w:charset w:val="00"/>
    <w:family w:val="auto"/>
    <w:notTrueType/>
    <w:pitch w:val="default"/>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Vrinda">
    <w:panose1 w:val="020B0502040204020203"/>
    <w:charset w:val="01"/>
    <w:family w:val="roman"/>
    <w:notTrueType/>
    <w:pitch w:val="variable"/>
  </w:font>
  <w:font w:name="MinionPro-Bold">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4D"/>
    <w:family w:val="roman"/>
    <w:notTrueType/>
    <w:pitch w:val="default"/>
    <w:sig w:usb0="03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10C35" w14:textId="77777777" w:rsidR="007F7D87" w:rsidRDefault="007F7D87" w:rsidP="00B824B2">
    <w:pPr>
      <w:pStyle w:val="Footer"/>
      <w:framePr w:wrap="around" w:vAnchor="text" w:hAnchor="margin" w:xAlign="center" w:y="1"/>
      <w:rPr>
        <w:rStyle w:val="PageNumber"/>
        <w:rFonts w:ascii="Verdana" w:hAnsi="Verdana" w:cs="Times New Roman"/>
        <w:sz w:val="24"/>
        <w:szCs w:val="24"/>
        <w:lang w:val="es-CR" w:eastAsia="es-CR"/>
      </w:rPr>
    </w:pPr>
    <w:r>
      <w:rPr>
        <w:rStyle w:val="PageNumber"/>
      </w:rPr>
      <w:fldChar w:fldCharType="begin"/>
    </w:r>
    <w:r>
      <w:rPr>
        <w:rStyle w:val="PageNumber"/>
      </w:rPr>
      <w:instrText xml:space="preserve">PAGE  </w:instrText>
    </w:r>
    <w:r>
      <w:rPr>
        <w:rStyle w:val="PageNumber"/>
      </w:rPr>
      <w:fldChar w:fldCharType="end"/>
    </w:r>
  </w:p>
  <w:p w14:paraId="2F3E2346" w14:textId="77777777" w:rsidR="007F7D87" w:rsidRDefault="007F7D87" w:rsidP="00B824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EDE4A" w14:textId="77777777" w:rsidR="007F7D87" w:rsidRPr="00BE3978" w:rsidRDefault="007F7D87" w:rsidP="00B824B2">
    <w:pPr>
      <w:pStyle w:val="Footer"/>
      <w:framePr w:wrap="around" w:vAnchor="text" w:hAnchor="margin" w:xAlign="center" w:y="1"/>
      <w:rPr>
        <w:rStyle w:val="PageNumber"/>
        <w:rFonts w:ascii="Verdana" w:hAnsi="Verdana" w:cs="Times New Roman"/>
        <w:sz w:val="24"/>
        <w:szCs w:val="24"/>
        <w:lang w:val="es-CR" w:eastAsia="es-CR"/>
      </w:rPr>
    </w:pPr>
  </w:p>
  <w:p w14:paraId="0182C4E2" w14:textId="77777777" w:rsidR="007F7D87" w:rsidRDefault="007F7D87" w:rsidP="00B824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5FD12" w14:textId="77777777" w:rsidR="005A2A26" w:rsidRDefault="005A2A26" w:rsidP="00085BDD">
      <w:pPr>
        <w:spacing w:line="240" w:lineRule="auto"/>
      </w:pPr>
      <w:r>
        <w:separator/>
      </w:r>
    </w:p>
  </w:footnote>
  <w:footnote w:type="continuationSeparator" w:id="0">
    <w:p w14:paraId="5969235A" w14:textId="77777777" w:rsidR="005A2A26" w:rsidRDefault="005A2A26" w:rsidP="00085BDD">
      <w:pPr>
        <w:spacing w:line="240" w:lineRule="auto"/>
      </w:pPr>
      <w:r>
        <w:continuationSeparator/>
      </w:r>
    </w:p>
  </w:footnote>
  <w:footnote w:id="1">
    <w:p w14:paraId="27DD2783" w14:textId="73D5EF20"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t>*</w:t>
      </w:r>
      <w:r w:rsidRPr="009C15B0">
        <w:rPr>
          <w:sz w:val="16"/>
          <w:szCs w:val="16"/>
          <w:lang w:val="es-CR"/>
        </w:rPr>
        <w:t xml:space="preserve"> </w:t>
      </w:r>
      <w:r w:rsidRPr="009C15B0">
        <w:rPr>
          <w:sz w:val="16"/>
          <w:szCs w:val="16"/>
          <w:lang w:val="es-CR"/>
        </w:rPr>
        <w:tab/>
        <w:t>Desde la etapa de admisibilidad del presente caso, la Comisión Interamericana de Derechos Humanos decidió mantener en reserva el nombre de las presuntas víctimas, utilizándose las siglas “V.R.P.” y “V.P.C.” para referirse a las mismas. Asimismo, la Corte Interamericana decidió continuar con la referida reserva. De igual forma, se mantuvo en reserva los nombres de los demás familiares, por lo que se utilizarán las siglas “N.R.P.”, “H.J.R.P.” y “V.A.R.P.” para referirse a ellos.</w:t>
      </w:r>
    </w:p>
  </w:footnote>
  <w:footnote w:id="2">
    <w:p w14:paraId="112C085D" w14:textId="16D85F30"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t>**</w:t>
      </w:r>
      <w:r w:rsidRPr="009C15B0">
        <w:rPr>
          <w:sz w:val="16"/>
          <w:szCs w:val="16"/>
          <w:lang w:val="es-CR"/>
        </w:rPr>
        <w:t xml:space="preserve"> </w:t>
      </w:r>
      <w:r w:rsidRPr="009C15B0">
        <w:rPr>
          <w:sz w:val="16"/>
          <w:szCs w:val="16"/>
          <w:lang w:val="es-CR"/>
        </w:rPr>
        <w:tab/>
        <w:t>Los Jueces Eduardo Vio Grossi y Roberto F. Caldas no participaron en la deliberación y firma de esta Sentencia por motivos de fuerza mayor, lo cual fue aceptado por el Pleno.</w:t>
      </w:r>
    </w:p>
  </w:footnote>
  <w:footnote w:id="3">
    <w:p w14:paraId="6A41926C" w14:textId="714392FC" w:rsidR="007F7D87" w:rsidRPr="009C15B0" w:rsidRDefault="007F7D87" w:rsidP="001E6358">
      <w:pPr>
        <w:tabs>
          <w:tab w:val="left" w:pos="567"/>
        </w:tabs>
        <w:spacing w:after="60" w:line="240" w:lineRule="auto"/>
        <w:ind w:right="148"/>
        <w:rPr>
          <w:sz w:val="16"/>
          <w:szCs w:val="16"/>
        </w:rPr>
      </w:pPr>
      <w:r w:rsidRPr="009C15B0">
        <w:rPr>
          <w:rStyle w:val="FootnoteReference"/>
          <w:sz w:val="16"/>
          <w:szCs w:val="16"/>
        </w:rPr>
        <w:footnoteRef/>
      </w:r>
      <w:r w:rsidRPr="009C15B0">
        <w:rPr>
          <w:sz w:val="16"/>
          <w:szCs w:val="16"/>
        </w:rPr>
        <w:t xml:space="preserve"> </w:t>
      </w:r>
      <w:r w:rsidRPr="009C15B0">
        <w:rPr>
          <w:sz w:val="16"/>
          <w:szCs w:val="16"/>
        </w:rPr>
        <w:tab/>
        <w:t xml:space="preserve">En dicho informe, la Comisión decidió que la petición era admisible respecto de la presunta violación de los derechos reconocidos en los artículos 5.1, 8.1, 11, 19, 24 y 25 de la Convención Americana, en relación con los artículos 1.1 y 2 del mismo instrumento; y del artículo 7 de la Convención de Belém do Pará respecto de V.R.P. Asimismo, la Comisión concluyó la admisibilidad respecto de la presunta violación de los artículos 5.1, 8 y 25 de la Convención en conexión con el artículo 1.1 de dicho instrumento, en relación con V.P.C. </w:t>
      </w:r>
      <w:r w:rsidRPr="009C15B0">
        <w:rPr>
          <w:i/>
          <w:sz w:val="16"/>
          <w:szCs w:val="16"/>
        </w:rPr>
        <w:t xml:space="preserve">Cfr. </w:t>
      </w:r>
      <w:r w:rsidRPr="009C15B0">
        <w:rPr>
          <w:sz w:val="16"/>
          <w:szCs w:val="16"/>
        </w:rPr>
        <w:t>CIDH,</w:t>
      </w:r>
      <w:r w:rsidRPr="009C15B0">
        <w:rPr>
          <w:i/>
          <w:sz w:val="16"/>
          <w:szCs w:val="16"/>
        </w:rPr>
        <w:t xml:space="preserve"> </w:t>
      </w:r>
      <w:r w:rsidRPr="009C15B0">
        <w:rPr>
          <w:rFonts w:cs="Verdana"/>
          <w:sz w:val="16"/>
          <w:szCs w:val="16"/>
        </w:rPr>
        <w:t>Informe de Admisibilidad No. 3/09, Petición 4408-02. Caso V.R.P. y V.P.C. Vs. Nicaragua, 11 de febrero de 2009 (expediente de trámite ante la Comisión, tomo XI, folios 4656 a 4669).</w:t>
      </w:r>
    </w:p>
  </w:footnote>
  <w:footnote w:id="4">
    <w:p w14:paraId="709B1E29"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La Comisión designó, como sus delegados ante la Corte, a la Comisionada Esmeralda Arosemena de Troitiño y al Secretario Ejecutivo Paulo Abrão. Asimismo, designó, como asesoras legales, a la señora Elizabeth Abi-Mershed, Secretaria Ejecutiva Adjunta, a la señora Silvia Serrano Guzmán y al señor Erick Acuña Pereda, abogados de la Secretaría Ejecutiva.</w:t>
      </w:r>
    </w:p>
  </w:footnote>
  <w:footnote w:id="5">
    <w:p w14:paraId="09E0FE70" w14:textId="77777777" w:rsidR="007F7D87" w:rsidRPr="009C15B0" w:rsidRDefault="007F7D87" w:rsidP="001E6358">
      <w:pPr>
        <w:pStyle w:val="FootnoteText"/>
        <w:tabs>
          <w:tab w:val="left" w:pos="567"/>
          <w:tab w:val="left" w:pos="709"/>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Si bien por tratarse de una presunta víctima, la representación estaría debidamente acreditada en los términos del artículo 35.1.b del Reglamento de la Corte por la señora V.P.C., siguiendo instrucciones del Presidente de la Corte se informó a las presuntas víctimas que el artículo 37 del Reglamento del Tribunal consagra la figura del Defensor Interamericano, según la cual, “[e]n casos de presuntas víctimas sin representación legal debidamente acreditada, el Tribunal podrá designar un Defensor Interamericano de oficio que las represente durante la tramitación de caso”.</w:t>
      </w:r>
    </w:p>
  </w:footnote>
  <w:footnote w:id="6">
    <w:p w14:paraId="178DC5C3" w14:textId="44E84A8C" w:rsidR="007F7D87" w:rsidRPr="009C15B0" w:rsidRDefault="007F7D87" w:rsidP="001E6358">
      <w:pPr>
        <w:pStyle w:val="FootnoteText"/>
        <w:tabs>
          <w:tab w:val="left" w:pos="567"/>
          <w:tab w:val="left" w:pos="709"/>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Mediante comunicación de 10 de noviembre de 2016 se solicitó al Coordinador General de AIDEF, teniendo en cuenta lo dispuesto en el artículo 2 del Acuerdo de Entendimiento entre la Corte y aquélla y siguiendo instrucciones del Presidente de la Corte, que designara, dentro del plazo de 10 días, al defensor o defensora que asumiría la representación legal en el caso e informara del lugar donde se le deben notificar las comunicaciones pertinentes.</w:t>
      </w:r>
    </w:p>
  </w:footnote>
  <w:footnote w:id="7">
    <w:p w14:paraId="34E890B9" w14:textId="77777777" w:rsidR="007F7D87" w:rsidRPr="009C15B0" w:rsidRDefault="007F7D87" w:rsidP="001E6358">
      <w:pPr>
        <w:pStyle w:val="FootnoteText"/>
        <w:tabs>
          <w:tab w:val="left" w:pos="567"/>
          <w:tab w:val="left" w:pos="709"/>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rFonts w:cs="Century Gothic"/>
          <w:sz w:val="16"/>
          <w:szCs w:val="16"/>
          <w:lang w:val="es-CR"/>
        </w:rPr>
        <w:t>En aplicación de lo dispuesto en el artículo 37 (Defensor Interamericano) del Reglamento de la Corte</w:t>
      </w:r>
      <w:r w:rsidRPr="009C15B0">
        <w:rPr>
          <w:sz w:val="16"/>
          <w:szCs w:val="16"/>
          <w:lang w:val="es-CR"/>
        </w:rPr>
        <w:t>, el cual prevé que “[e]n casos de presuntas víctimas sin representación legal debidamente acreditada, el Tribunal podrá designar un Defensor Interamericano de oficio que las represente durante la tramitación de[l] caso”. Tal como se estableció en la exposición de motivos del Reglamento de la Corte, mediante la implementación de la figura del Defensor Interamericano “se garantiza que toda presunta víctima tenga un abogado que haga valer sus intereses ante la Corte y se evita que las razones económicas impidan contar con representación legal”.</w:t>
      </w:r>
    </w:p>
  </w:footnote>
  <w:footnote w:id="8">
    <w:p w14:paraId="5904DC9A" w14:textId="04818BA1"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rStyle w:val="FootnoteReference"/>
          <w:sz w:val="16"/>
          <w:szCs w:val="16"/>
          <w:lang w:val="es-CR"/>
        </w:rPr>
        <w:t xml:space="preserve"> </w:t>
      </w:r>
      <w:r w:rsidRPr="009C15B0">
        <w:rPr>
          <w:sz w:val="16"/>
          <w:szCs w:val="16"/>
          <w:lang w:val="es-CR"/>
        </w:rPr>
        <w:tab/>
        <w:t>El Estado objetó, mediante escritos de 7 y 15 de marzo de 2017, el plazo de la recepción de los anexos al escrito de solicitudes y argumentos. El 17 de marzo de 2017 se indicó que la recepción de los anexos se dio en el plazo indicado en el Reglamento y que los anexos recibidos con posterioridad corresponden a la subsanación de irregularidades encontradas en el examen preliminar, en virtud del cual se otorgó un plazo para corregir estos errores. Dicho plazo no constituye un plazo adicional fuera del Reglamento ni implica una nueva oportunidad para que las partes o la Comisión envíen documentos o prueba nueva y distinta a la ya sometida, sino que consiste en un pedido de subsanación que permitiría contar con el material probatorio completo en el expediente ante la Corte.</w:t>
      </w:r>
    </w:p>
  </w:footnote>
  <w:footnote w:id="9">
    <w:p w14:paraId="2A8FE028" w14:textId="0BFA2DEB"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El Estado designó como Agentes al señor César Augusto Guevara Rodríguez, Miembro de la Secretaría Ejecutiva de la Dirección Superior de la Procuraduría General de la República</w:t>
      </w:r>
      <w:r>
        <w:rPr>
          <w:sz w:val="16"/>
          <w:szCs w:val="16"/>
          <w:lang w:val="es-CR"/>
        </w:rPr>
        <w:t>,</w:t>
      </w:r>
      <w:r w:rsidRPr="009C15B0">
        <w:rPr>
          <w:sz w:val="16"/>
          <w:szCs w:val="16"/>
          <w:lang w:val="es-CR"/>
        </w:rPr>
        <w:t xml:space="preserve"> y a la señora María Elsa Frixione Ocón, Jefa de la Unidad de Asuntos Penales Internacionales, Derechos Humanos y Humanitarios de la Procuraduría General de la República.</w:t>
      </w:r>
    </w:p>
  </w:footnote>
  <w:footnote w:id="10">
    <w:p w14:paraId="6C971AB2" w14:textId="164873BC"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Caso V.R.P. y V.P.C. Vs. Nicaragua. </w:t>
      </w:r>
      <w:r w:rsidRPr="009C15B0">
        <w:rPr>
          <w:sz w:val="16"/>
          <w:szCs w:val="16"/>
          <w:lang w:val="es-CR"/>
        </w:rPr>
        <w:t xml:space="preserve">Resolución del Presidente de la Corte Interamericana de 21 de septiembre de 2017. Disponible en: http://www.corteidh.or.cr/docs/asuntos/vrp_21_09_17.pdf </w:t>
      </w:r>
    </w:p>
  </w:footnote>
  <w:footnote w:id="11">
    <w:p w14:paraId="7BE81965" w14:textId="02E384D3" w:rsidR="007F7D87" w:rsidRPr="009C15B0" w:rsidRDefault="007F7D87" w:rsidP="001E6358">
      <w:pPr>
        <w:tabs>
          <w:tab w:val="left" w:pos="567"/>
        </w:tabs>
        <w:spacing w:after="60" w:line="240" w:lineRule="auto"/>
        <w:ind w:right="-6"/>
        <w:rPr>
          <w:sz w:val="16"/>
          <w:szCs w:val="16"/>
        </w:rPr>
      </w:pPr>
      <w:r w:rsidRPr="009C15B0">
        <w:rPr>
          <w:rStyle w:val="FootnoteReference"/>
          <w:sz w:val="16"/>
          <w:szCs w:val="16"/>
        </w:rPr>
        <w:footnoteRef/>
      </w:r>
      <w:r w:rsidRPr="009C15B0">
        <w:rPr>
          <w:sz w:val="16"/>
          <w:szCs w:val="16"/>
        </w:rPr>
        <w:t xml:space="preserve"> </w:t>
      </w:r>
      <w:r w:rsidRPr="009C15B0">
        <w:rPr>
          <w:sz w:val="16"/>
          <w:szCs w:val="16"/>
        </w:rPr>
        <w:tab/>
        <w:t>A esta audiencia comparecieron: a) por la Comisión Interamericana:</w:t>
      </w:r>
      <w:r w:rsidRPr="009C15B0">
        <w:rPr>
          <w:sz w:val="16"/>
          <w:szCs w:val="16"/>
          <w:lang w:eastAsia="es-ES"/>
        </w:rPr>
        <w:t xml:space="preserve"> la Segunda Vice-Presidenta de la Comisión, Esmeralda Arosemena de Troitiño</w:t>
      </w:r>
      <w:r w:rsidRPr="009C15B0">
        <w:rPr>
          <w:sz w:val="16"/>
          <w:szCs w:val="16"/>
        </w:rPr>
        <w:t>, y las abogadas de la Secretaría Ejecutiva, Silvia Serrano Guzmán y Selene Soto Rodríguez; b) por las representantes de las presuntas víctimas: las señoras Fidencia Orozco García Licardi y Juana María Cruz Fernández, defensoras interamericanas, y c) por el Estado de Nicaragua: los agentes designados César Augusto Guevara Rodríguez y María Elsa Frixione Ocón</w:t>
      </w:r>
      <w:r w:rsidRPr="009C15B0">
        <w:rPr>
          <w:sz w:val="16"/>
          <w:szCs w:val="16"/>
          <w:lang w:eastAsia="es-ES"/>
        </w:rPr>
        <w:t>.</w:t>
      </w:r>
    </w:p>
  </w:footnote>
  <w:footnote w:id="12">
    <w:p w14:paraId="122325EA" w14:textId="1DD745B4"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El escrito presenta un análisis sobre la alegada responsabilidad internacional del Estado de Nicaragua por la falta de cumplimiento de sus obligaciones de garantía de los derechos a la integridad personal, dignidad, privacidad y autonomía, igualdad y el principio de no discriminación, tomando en consideración la protección especial de la niña y la falta de debida diligencia de la investigación en un plazo razonable.</w:t>
      </w:r>
    </w:p>
  </w:footnote>
  <w:footnote w:id="13">
    <w:p w14:paraId="69723CF9" w14:textId="228144A5"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 xml:space="preserve">El escrito fue firmado por Ana María Arboleda, Anamaría Sánchez Quintero, David Cujar Bermúdez, María Valentina Díaz Gómez y Diego Alejandro Moreno Baquero. El escrito presenta un estudio comparado sobre los elementos comunes que han sido utilizados en los ordenamientos jurídicos internos de varios Estados parte de la Convención Americana, en las rutas de atención a las niñas y niños víctimas de violencia sexual, las cuales han sido creadas e implementadas con el apoyo de UNICEF, en aras de orientar a la </w:t>
      </w:r>
      <w:r w:rsidRPr="009C15B0">
        <w:rPr>
          <w:rFonts w:eastAsia="Verdana" w:cs="Verdana"/>
          <w:sz w:val="16"/>
          <w:szCs w:val="16"/>
          <w:lang w:val="es-CR"/>
        </w:rPr>
        <w:t>Corte</w:t>
      </w:r>
      <w:r w:rsidRPr="009C15B0">
        <w:rPr>
          <w:sz w:val="16"/>
          <w:szCs w:val="16"/>
          <w:lang w:val="es-CR"/>
        </w:rPr>
        <w:t xml:space="preserve"> sobre los estándares consuetudinarios que se han aplicado en la protección de los derechos de esta población vulnerable. Además, se hizo referencia al contexto de violencia sexual en América Latina y el Caribe. </w:t>
      </w:r>
    </w:p>
  </w:footnote>
  <w:footnote w:id="14">
    <w:p w14:paraId="5E9A1AC9" w14:textId="2DB2F2C9" w:rsidR="007F7D87" w:rsidRPr="009C15B0" w:rsidRDefault="007F7D87" w:rsidP="001E6358">
      <w:pPr>
        <w:pStyle w:val="FootnoteText"/>
        <w:tabs>
          <w:tab w:val="left" w:pos="567"/>
        </w:tabs>
        <w:spacing w:after="60"/>
        <w:rPr>
          <w:sz w:val="16"/>
          <w:szCs w:val="16"/>
          <w:lang w:val="es-CR"/>
        </w:rPr>
      </w:pPr>
      <w:r w:rsidRPr="009C15B0">
        <w:rPr>
          <w:sz w:val="16"/>
          <w:szCs w:val="16"/>
          <w:vertAlign w:val="superscript"/>
          <w:lang w:val="es-CR"/>
        </w:rPr>
        <w:footnoteRef/>
      </w:r>
      <w:r w:rsidRPr="009C15B0">
        <w:rPr>
          <w:sz w:val="16"/>
          <w:szCs w:val="16"/>
          <w:lang w:val="es-CR"/>
        </w:rPr>
        <w:t xml:space="preserve"> </w:t>
      </w:r>
      <w:r w:rsidRPr="009C15B0">
        <w:rPr>
          <w:sz w:val="16"/>
          <w:szCs w:val="16"/>
          <w:lang w:val="es-CR"/>
        </w:rPr>
        <w:tab/>
        <w:t xml:space="preserve">En sus alegatos finales, el Estado presentó una serie de observaciones sobre los </w:t>
      </w:r>
      <w:r w:rsidRPr="009C15B0">
        <w:rPr>
          <w:i/>
          <w:sz w:val="16"/>
          <w:szCs w:val="16"/>
          <w:lang w:val="es-CR"/>
        </w:rPr>
        <w:t>amici curiae</w:t>
      </w:r>
      <w:r w:rsidRPr="009C15B0">
        <w:rPr>
          <w:sz w:val="16"/>
          <w:szCs w:val="16"/>
          <w:lang w:val="es-CR"/>
        </w:rPr>
        <w:t xml:space="preserve"> y solicitó que </w:t>
      </w:r>
      <w:r w:rsidRPr="009C15B0">
        <w:rPr>
          <w:rFonts w:eastAsia="Verdana" w:cs="Verdana"/>
          <w:sz w:val="16"/>
          <w:szCs w:val="16"/>
          <w:lang w:val="es-CR"/>
        </w:rPr>
        <w:t>no fueran tomados en cuenta, en tanto serían opiniones parcializadas y no se le habrían transmitido con suficiente antelación</w:t>
      </w:r>
      <w:r w:rsidRPr="009C15B0">
        <w:rPr>
          <w:sz w:val="16"/>
          <w:szCs w:val="16"/>
          <w:lang w:val="es-CR"/>
        </w:rPr>
        <w:t xml:space="preserve">. La Corte hace notar que, de acuerdo con el artículo 2.3 del Reglamento, quien presenta un </w:t>
      </w:r>
      <w:r w:rsidRPr="009C15B0">
        <w:rPr>
          <w:i/>
          <w:sz w:val="16"/>
          <w:szCs w:val="16"/>
          <w:lang w:val="es-CR"/>
        </w:rPr>
        <w:t>amicus curiae</w:t>
      </w:r>
      <w:r w:rsidRPr="009C15B0">
        <w:rPr>
          <w:sz w:val="16"/>
          <w:szCs w:val="16"/>
          <w:lang w:val="es-CR"/>
        </w:rPr>
        <w:t xml:space="preserve"> es una persona o institución “ajena al litigio y proceso que se sigue en la Corte”, es decir, no es una parte procesal, a efectos de ofrecer “razonamientos en torno a los hechos contenidos en el sometimiento del caso o formular consideraciones jurídicas sobre la materia del proceso”. Puesto que no corresponde al Tribunal pronunciarse sobre la corrección o no de tales escritos o sobre solicitudes o peticiones contenidas en los mismos, las observaciones del Estado no afectan la admisibilidad de los </w:t>
      </w:r>
      <w:r w:rsidRPr="009C15B0">
        <w:rPr>
          <w:i/>
          <w:sz w:val="16"/>
          <w:szCs w:val="16"/>
          <w:lang w:val="es-CR"/>
        </w:rPr>
        <w:t>amici curiae</w:t>
      </w:r>
      <w:r w:rsidRPr="009C15B0">
        <w:rPr>
          <w:sz w:val="16"/>
          <w:szCs w:val="16"/>
          <w:lang w:val="es-CR"/>
        </w:rPr>
        <w:t xml:space="preserve">, sin perjuicio de la eventual relevancia de tales observaciones al valorar la información aportada en los mismos. </w:t>
      </w:r>
      <w:r w:rsidRPr="009C15B0">
        <w:rPr>
          <w:i/>
          <w:sz w:val="16"/>
          <w:szCs w:val="16"/>
          <w:lang w:val="es-CR"/>
        </w:rPr>
        <w:t>Cfr. Caso de Personas Dominicanas y Haitianas Expulsadas vs. República Dominicana. Excepciones Preliminares, Fondo, Reparaciones y Costas.</w:t>
      </w:r>
      <w:r w:rsidRPr="009C15B0">
        <w:rPr>
          <w:sz w:val="16"/>
          <w:szCs w:val="16"/>
          <w:lang w:val="es-CR"/>
        </w:rPr>
        <w:t xml:space="preserve"> Sentencia de 28 de agosto de 2014. Serie C No. 282, párr. 15, y </w:t>
      </w:r>
      <w:r w:rsidRPr="009C15B0">
        <w:rPr>
          <w:i/>
          <w:sz w:val="16"/>
          <w:szCs w:val="16"/>
          <w:lang w:val="es-CR"/>
        </w:rPr>
        <w:t>Caso Acosta y otros Vs. Nicaragua. Excepciones Preliminares, Fondo, Reparaciones y Costas.</w:t>
      </w:r>
      <w:r w:rsidRPr="009C15B0">
        <w:rPr>
          <w:sz w:val="16"/>
          <w:szCs w:val="16"/>
          <w:lang w:val="es-CR"/>
        </w:rPr>
        <w:t xml:space="preserve"> Sentencia de 25 de marzo de 2017. Serie C No. 334, nota al pie 11.</w:t>
      </w:r>
    </w:p>
  </w:footnote>
  <w:footnote w:id="15">
    <w:p w14:paraId="5902744C" w14:textId="19FC9E58"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 xml:space="preserve">El </w:t>
      </w:r>
      <w:r w:rsidRPr="009C15B0">
        <w:rPr>
          <w:rFonts w:eastAsia="Times"/>
          <w:sz w:val="16"/>
          <w:szCs w:val="16"/>
          <w:lang w:val="es-CR"/>
        </w:rPr>
        <w:t>4 de enero de 2018 el Estado manifestó su disconformidad con “las decisiones asumidas en la notas [de Secretaría]”</w:t>
      </w:r>
      <w:r w:rsidRPr="009C15B0">
        <w:rPr>
          <w:sz w:val="16"/>
          <w:szCs w:val="16"/>
          <w:lang w:val="es-CR"/>
        </w:rPr>
        <w:t>, referidas a la prueba para mejor resolver requerida al Estado, así como a la solicitud de observaciones tanto a la Comisión como a las representantes respecto de dicha prueba. El 10 de enero de 2018 se informó al Estado, siguiendo instrucciones del Presidente de la Corte, que la Corte no había abierto una nueva etapa de contradictorio, sino que de acuerdo a su propio Reglamento consideró pertinente solicitar prueba para mejor resolver al Estado, al encontrarse el mismo en condiciones de aportarla. El requerimiento de dicha prueba al Estado no generó un desequilibrio procesal, sino que por el contrario, permitió al Tribunal contar con el mayor acervo probatorio posible para adoptar una decisión y, en todo caso, brindó la oportunidad al Estado de presentar prueba adicional para dar sustento a sus alegatos finales, ya que el Estado “no aportó prueba de soporte”. El Estado, al remitir dicha documentación, tuvo la oportunidad de referirse a la misma y presentar las aclaraciones y explicaciones pertinentes, tal como efectivamente lo hizo mediante sus comunicaciones de fecha 5 y 15 de diciembre de 2017. La solicitud de observaciones fue requerida exclusivamente respecto de la prueba para mejor resolver enviada por el Estado, es decir, constituyó una oportunidad para controvertir, objetar o poner en duda la autenticidad de los documentos remitidos. Por consiguiente, no podía ser calificada como una nueva oportunidad procesal para formular alegatos de fondo en el presente caso. Cualquier argumento presentado por las representantes que exceda lo solicitado no será tenido en cuenta por el Tribunal.</w:t>
      </w:r>
    </w:p>
  </w:footnote>
  <w:footnote w:id="16">
    <w:p w14:paraId="4E347B4C" w14:textId="38F21CA2" w:rsidR="007F7D87" w:rsidRPr="009C15B0" w:rsidRDefault="007F7D87" w:rsidP="001E6358">
      <w:pPr>
        <w:tabs>
          <w:tab w:val="left" w:pos="567"/>
        </w:tabs>
        <w:spacing w:after="60" w:line="240" w:lineRule="auto"/>
        <w:rPr>
          <w:i/>
          <w:color w:val="000000" w:themeColor="text1"/>
          <w:sz w:val="16"/>
          <w:szCs w:val="16"/>
          <w:lang w:eastAsia="en-US"/>
        </w:rPr>
      </w:pPr>
      <w:r w:rsidRPr="009C15B0">
        <w:rPr>
          <w:rStyle w:val="FootnoteReference"/>
          <w:rFonts w:cs="Times"/>
          <w:sz w:val="16"/>
          <w:szCs w:val="16"/>
        </w:rPr>
        <w:footnoteRef/>
      </w:r>
      <w:r w:rsidRPr="009C15B0">
        <w:rPr>
          <w:sz w:val="16"/>
          <w:szCs w:val="16"/>
        </w:rPr>
        <w:tab/>
      </w:r>
      <w:r w:rsidRPr="009C15B0">
        <w:rPr>
          <w:i/>
          <w:color w:val="000000" w:themeColor="text1"/>
          <w:sz w:val="16"/>
          <w:szCs w:val="16"/>
          <w:lang w:eastAsia="en-US"/>
        </w:rPr>
        <w:t xml:space="preserve">Cfr. Caso Velásquez Rodríguez Vs. Honduras. Fondo. </w:t>
      </w:r>
      <w:r w:rsidRPr="009C15B0">
        <w:rPr>
          <w:color w:val="000000" w:themeColor="text1"/>
          <w:sz w:val="16"/>
          <w:szCs w:val="16"/>
          <w:lang w:eastAsia="en-US"/>
        </w:rPr>
        <w:t xml:space="preserve">Sentencia de 29 de julio de 1988. Serie C No. 4, párrs. 61 y 63, y </w:t>
      </w:r>
      <w:r w:rsidRPr="009C15B0">
        <w:rPr>
          <w:i/>
          <w:color w:val="000000" w:themeColor="text1"/>
          <w:sz w:val="16"/>
          <w:szCs w:val="16"/>
          <w:lang w:eastAsia="en-US"/>
        </w:rPr>
        <w:t xml:space="preserve">Caso Trabajadores Cesados de Petroperú y otros Vs. Perú. Excepciones Preliminares, Fondo, Reparaciones y Costas. </w:t>
      </w:r>
      <w:r w:rsidRPr="009C15B0">
        <w:rPr>
          <w:color w:val="000000" w:themeColor="text1"/>
          <w:sz w:val="16"/>
          <w:szCs w:val="16"/>
          <w:lang w:eastAsia="en-US"/>
        </w:rPr>
        <w:t>Sentencia de 23 de noviembre 2017. Serie C No. 344, párrs. 27 y 32.</w:t>
      </w:r>
    </w:p>
  </w:footnote>
  <w:footnote w:id="17">
    <w:p w14:paraId="4E6AFDD5" w14:textId="62319DB3" w:rsidR="007F7D87" w:rsidRPr="009C15B0" w:rsidRDefault="007F7D87" w:rsidP="001E6358">
      <w:pPr>
        <w:pStyle w:val="FootnoteText"/>
        <w:tabs>
          <w:tab w:val="left" w:pos="567"/>
          <w:tab w:val="left" w:pos="709"/>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color w:val="000000" w:themeColor="text1"/>
          <w:sz w:val="16"/>
          <w:szCs w:val="16"/>
          <w:lang w:val="es-CR"/>
        </w:rPr>
        <w:t xml:space="preserve">Cfr. Caso Velásquez Rodríguez Vs. Honduras. Excepciones Preliminares. </w:t>
      </w:r>
      <w:r w:rsidRPr="009C15B0">
        <w:rPr>
          <w:color w:val="000000" w:themeColor="text1"/>
          <w:sz w:val="16"/>
          <w:szCs w:val="16"/>
          <w:lang w:val="es-CR"/>
        </w:rPr>
        <w:t>Sentencia de 26 de junio de 1987. Serie C No. 1, párr. 88;</w:t>
      </w:r>
      <w:r w:rsidRPr="009C15B0">
        <w:rPr>
          <w:i/>
          <w:color w:val="000000" w:themeColor="text1"/>
          <w:sz w:val="16"/>
          <w:szCs w:val="16"/>
          <w:lang w:val="es-CR"/>
        </w:rPr>
        <w:t xml:space="preserve"> Caso Mémoli Vs. Argentina. Excepciones Preliminares, Fondo, Reparaciones y Costas. </w:t>
      </w:r>
      <w:r w:rsidRPr="009C15B0">
        <w:rPr>
          <w:color w:val="000000" w:themeColor="text1"/>
          <w:sz w:val="16"/>
          <w:szCs w:val="16"/>
          <w:lang w:val="es-CR"/>
        </w:rPr>
        <w:t>Sentencia de 22 de agosto de 2013. Serie C No. 265, párr. 47</w:t>
      </w:r>
      <w:r w:rsidRPr="009C15B0">
        <w:rPr>
          <w:i/>
          <w:color w:val="000000" w:themeColor="text1"/>
          <w:sz w:val="16"/>
          <w:szCs w:val="16"/>
          <w:lang w:val="es-CR"/>
        </w:rPr>
        <w:t xml:space="preserve">, </w:t>
      </w:r>
      <w:r w:rsidRPr="009C15B0">
        <w:rPr>
          <w:color w:val="000000" w:themeColor="text1"/>
          <w:sz w:val="16"/>
          <w:szCs w:val="16"/>
          <w:lang w:val="es-CR"/>
        </w:rPr>
        <w:t>y</w:t>
      </w:r>
      <w:r w:rsidRPr="009C15B0">
        <w:rPr>
          <w:i/>
          <w:color w:val="000000" w:themeColor="text1"/>
          <w:sz w:val="16"/>
          <w:szCs w:val="16"/>
          <w:lang w:val="es-CR"/>
        </w:rPr>
        <w:t xml:space="preserve"> Caso Zegarra Marín Vs. Perú. Excepciones preliminares, Fondo, Reparaciones y Costas. </w:t>
      </w:r>
      <w:r w:rsidRPr="009C15B0">
        <w:rPr>
          <w:color w:val="000000" w:themeColor="text1"/>
          <w:sz w:val="16"/>
          <w:szCs w:val="16"/>
          <w:lang w:val="es-CR"/>
        </w:rPr>
        <w:t>Sentencia de 15 de febrero de 2017. Serie C No. 331, párr. 21.</w:t>
      </w:r>
    </w:p>
  </w:footnote>
  <w:footnote w:id="18">
    <w:p w14:paraId="7998AB71" w14:textId="67698240" w:rsidR="007F7D87" w:rsidRPr="009C15B0" w:rsidRDefault="007F7D87" w:rsidP="001E6358">
      <w:pPr>
        <w:pStyle w:val="FootnoteText"/>
        <w:tabs>
          <w:tab w:val="left" w:pos="567"/>
          <w:tab w:val="left" w:pos="709"/>
        </w:tabs>
        <w:spacing w:after="60"/>
        <w:rPr>
          <w:bCs/>
          <w:sz w:val="16"/>
          <w:szCs w:val="16"/>
          <w:shd w:val="clear" w:color="auto" w:fill="FFFFFF"/>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xml:space="preserve"> </w:t>
      </w:r>
      <w:r w:rsidRPr="009C15B0">
        <w:rPr>
          <w:rStyle w:val="Strong"/>
          <w:b w:val="0"/>
          <w:i/>
          <w:sz w:val="16"/>
          <w:szCs w:val="16"/>
          <w:shd w:val="clear" w:color="auto" w:fill="FFFFFF"/>
          <w:lang w:val="es-CR"/>
        </w:rPr>
        <w:t>Caso Gonzales Lluy y otros Vs. Ecuador. Excepciones Preliminares, Fondo, Reparaciones y Costas</w:t>
      </w:r>
      <w:r w:rsidRPr="009C15B0">
        <w:rPr>
          <w:rStyle w:val="Strong"/>
          <w:b w:val="0"/>
          <w:sz w:val="16"/>
          <w:szCs w:val="16"/>
          <w:shd w:val="clear" w:color="auto" w:fill="FFFFFF"/>
          <w:lang w:val="es-CR"/>
        </w:rPr>
        <w:t xml:space="preserve">. Sentencia de 1 de septiembre de 2015. Serie C No. 298, párr. 28, y </w:t>
      </w:r>
      <w:r w:rsidRPr="009C15B0">
        <w:rPr>
          <w:bCs/>
          <w:i/>
          <w:sz w:val="16"/>
          <w:szCs w:val="16"/>
          <w:shd w:val="clear" w:color="auto" w:fill="FFFFFF"/>
          <w:lang w:val="es-CR"/>
        </w:rPr>
        <w:t>Caso Favela Nova Brasilia Vs. Brasil. Excepciones Preliminares, Fondo, Reparaciones y Costas.</w:t>
      </w:r>
      <w:r w:rsidRPr="009C15B0">
        <w:rPr>
          <w:bCs/>
          <w:sz w:val="16"/>
          <w:szCs w:val="16"/>
          <w:shd w:val="clear" w:color="auto" w:fill="FFFFFF"/>
          <w:lang w:val="es-CR"/>
        </w:rPr>
        <w:t xml:space="preserve"> Sentencia de 16 de febrero de 2017. Serie C No. 333, párr. 78.</w:t>
      </w:r>
    </w:p>
  </w:footnote>
  <w:footnote w:id="19">
    <w:p w14:paraId="70F610CC" w14:textId="43D4B973" w:rsidR="007F7D87" w:rsidRPr="009C15B0" w:rsidRDefault="007F7D87" w:rsidP="001E6358">
      <w:pPr>
        <w:pStyle w:val="FootnoteText"/>
        <w:tabs>
          <w:tab w:val="left" w:pos="567"/>
          <w:tab w:val="left" w:pos="709"/>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xml:space="preserve"> </w:t>
      </w:r>
      <w:r w:rsidRPr="009C15B0">
        <w:rPr>
          <w:i/>
          <w:sz w:val="16"/>
          <w:szCs w:val="16"/>
          <w:lang w:val="es-CR"/>
        </w:rPr>
        <w:t>Caso Reverón Trujillo Vs. Venezuela. Excepción Preliminar, Fondo, Reparaciones y Costas</w:t>
      </w:r>
      <w:r w:rsidRPr="009C15B0">
        <w:rPr>
          <w:sz w:val="16"/>
          <w:szCs w:val="16"/>
          <w:lang w:val="es-CR"/>
        </w:rPr>
        <w:t xml:space="preserve">. Sentencia de 30 de junio de 2009. Serie C No. 197, párr. 23, y </w:t>
      </w:r>
      <w:r w:rsidRPr="009C15B0">
        <w:rPr>
          <w:i/>
          <w:sz w:val="16"/>
          <w:szCs w:val="16"/>
          <w:lang w:val="es-CR"/>
        </w:rPr>
        <w:t>Caso Trabajadores Cesados de Petroperú y otros Vs. Perú, supra</w:t>
      </w:r>
      <w:r w:rsidRPr="009C15B0">
        <w:rPr>
          <w:sz w:val="16"/>
          <w:szCs w:val="16"/>
          <w:lang w:val="es-CR"/>
        </w:rPr>
        <w:t>, párrs. 27 y 33</w:t>
      </w:r>
      <w:r w:rsidRPr="009C15B0">
        <w:rPr>
          <w:i/>
          <w:sz w:val="16"/>
          <w:szCs w:val="16"/>
          <w:lang w:val="es-CR"/>
        </w:rPr>
        <w:t>.</w:t>
      </w:r>
    </w:p>
  </w:footnote>
  <w:footnote w:id="20">
    <w:p w14:paraId="2AEF60F7"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rFonts w:cs="Verdana,Italic"/>
          <w:iCs/>
          <w:sz w:val="16"/>
          <w:szCs w:val="16"/>
          <w:lang w:val="es-CR" w:eastAsia="en-US"/>
        </w:rPr>
        <w:t>El 11 de febrero de 2005 el Estado remitió su respuesta inicial guardando silencio sobre la cuestión del agotamiento de los recursos internos.</w:t>
      </w:r>
      <w:r w:rsidRPr="009C15B0">
        <w:rPr>
          <w:i/>
          <w:sz w:val="16"/>
          <w:szCs w:val="16"/>
          <w:lang w:val="es-CR"/>
        </w:rPr>
        <w:t xml:space="preserve"> Cfr. </w:t>
      </w:r>
      <w:r w:rsidRPr="009C15B0">
        <w:rPr>
          <w:rFonts w:cs="Arial"/>
          <w:sz w:val="16"/>
          <w:szCs w:val="16"/>
          <w:lang w:val="es-CR" w:eastAsia="en-US"/>
        </w:rPr>
        <w:t xml:space="preserve">Informe MRE/DM-DGOI/196/02/05 </w:t>
      </w:r>
      <w:r w:rsidRPr="009C15B0">
        <w:rPr>
          <w:sz w:val="16"/>
          <w:szCs w:val="16"/>
          <w:lang w:val="es-CR" w:eastAsia="en-US"/>
        </w:rPr>
        <w:t>de 9 de febrero de 2005, recibido el 11 de febrero de 2005 en la Comisión Interamericana (expediente de trámite ante la Comisión, tomo VIII, folios 3229 a 3234)</w:t>
      </w:r>
      <w:r w:rsidRPr="009C15B0">
        <w:rPr>
          <w:rFonts w:cs="Verdana,Italic"/>
          <w:iCs/>
          <w:sz w:val="16"/>
          <w:szCs w:val="16"/>
          <w:lang w:val="es-CR" w:eastAsia="en-US"/>
        </w:rPr>
        <w:t>.</w:t>
      </w:r>
    </w:p>
  </w:footnote>
  <w:footnote w:id="21">
    <w:p w14:paraId="3C67AB23"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Addendum </w:t>
      </w:r>
      <w:r w:rsidRPr="009C15B0">
        <w:rPr>
          <w:sz w:val="16"/>
          <w:szCs w:val="16"/>
          <w:lang w:val="es-CR"/>
        </w:rPr>
        <w:t xml:space="preserve">al </w:t>
      </w:r>
      <w:r w:rsidRPr="009C15B0">
        <w:rPr>
          <w:rFonts w:cs="Arial"/>
          <w:sz w:val="16"/>
          <w:szCs w:val="16"/>
          <w:lang w:val="es-CR" w:eastAsia="en-US"/>
        </w:rPr>
        <w:t xml:space="preserve">Informe MRE/DM-DGOI/196/02/05 </w:t>
      </w:r>
      <w:r w:rsidRPr="009C15B0">
        <w:rPr>
          <w:sz w:val="16"/>
          <w:szCs w:val="16"/>
          <w:lang w:val="es-CR" w:eastAsia="en-US"/>
        </w:rPr>
        <w:t>de 14 de febrero de 2005, recibido el 16 de febrero de 2005 en la Comisión Interamericana (expediente de trámite ante la Comisión, tomo VIII, folios 3237 a 3242)</w:t>
      </w:r>
      <w:r w:rsidRPr="009C15B0">
        <w:rPr>
          <w:rFonts w:cs="Verdana,Italic"/>
          <w:iCs/>
          <w:sz w:val="16"/>
          <w:szCs w:val="16"/>
          <w:lang w:val="es-CR" w:eastAsia="en-US"/>
        </w:rPr>
        <w:t>.</w:t>
      </w:r>
    </w:p>
  </w:footnote>
  <w:footnote w:id="22">
    <w:p w14:paraId="701D3B86"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Addendum </w:t>
      </w:r>
      <w:r w:rsidRPr="009C15B0">
        <w:rPr>
          <w:sz w:val="16"/>
          <w:szCs w:val="16"/>
          <w:lang w:val="es-CR"/>
        </w:rPr>
        <w:t xml:space="preserve">al </w:t>
      </w:r>
      <w:r w:rsidRPr="009C15B0">
        <w:rPr>
          <w:rFonts w:cs="Arial"/>
          <w:sz w:val="16"/>
          <w:szCs w:val="16"/>
          <w:lang w:val="es-CR" w:eastAsia="en-US"/>
        </w:rPr>
        <w:t xml:space="preserve">Informe MRE/DM-DGOI/196/02/05 </w:t>
      </w:r>
      <w:r w:rsidRPr="009C15B0">
        <w:rPr>
          <w:sz w:val="16"/>
          <w:szCs w:val="16"/>
          <w:lang w:val="es-CR" w:eastAsia="en-US"/>
        </w:rPr>
        <w:t>de 14 de febrero de 2005, recibido el 16 de febrero de 2005 en la Comisión Interamericana (expediente de trámite ante la Comisión, tomo VIII, folios 3237 a 3242)</w:t>
      </w:r>
      <w:r w:rsidRPr="009C15B0">
        <w:rPr>
          <w:rFonts w:cs="Verdana,Italic"/>
          <w:iCs/>
          <w:sz w:val="16"/>
          <w:szCs w:val="16"/>
          <w:lang w:val="es-CR" w:eastAsia="en-US"/>
        </w:rPr>
        <w:t>.</w:t>
      </w:r>
    </w:p>
  </w:footnote>
  <w:footnote w:id="23">
    <w:p w14:paraId="2C816D68" w14:textId="171F71C1" w:rsidR="007F7D87" w:rsidRPr="009C15B0" w:rsidRDefault="007F7D87" w:rsidP="001E6358">
      <w:pPr>
        <w:pStyle w:val="FootnoteText"/>
        <w:tabs>
          <w:tab w:val="left" w:pos="0"/>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xml:space="preserve"> CIDH,</w:t>
      </w:r>
      <w:r w:rsidRPr="009C15B0">
        <w:rPr>
          <w:i/>
          <w:sz w:val="16"/>
          <w:szCs w:val="16"/>
          <w:lang w:val="es-CR"/>
        </w:rPr>
        <w:t xml:space="preserve"> </w:t>
      </w:r>
      <w:r w:rsidRPr="009C15B0">
        <w:rPr>
          <w:rFonts w:cs="Verdana"/>
          <w:sz w:val="16"/>
          <w:szCs w:val="16"/>
          <w:lang w:val="es-CR"/>
        </w:rPr>
        <w:t>Informe de Admisibilidad No. 3/09, Petición 4408-02. Caso V.R.P. y V.P.C. Vs. Nicaragua, 11 de febrero de 2009</w:t>
      </w:r>
      <w:r w:rsidRPr="009C15B0">
        <w:rPr>
          <w:sz w:val="16"/>
          <w:szCs w:val="16"/>
          <w:lang w:val="es-CR"/>
        </w:rPr>
        <w:t>, párrs. 42 y 43 (expediente de trámite ante la Comisión, tomo XI, folios 4657 a 4669).</w:t>
      </w:r>
    </w:p>
  </w:footnote>
  <w:footnote w:id="24">
    <w:p w14:paraId="7C4EEDA5" w14:textId="4BDFBFCA" w:rsidR="007F7D87" w:rsidRPr="009C15B0" w:rsidRDefault="007F7D87" w:rsidP="001E6358">
      <w:pPr>
        <w:pStyle w:val="FootnoteText"/>
        <w:tabs>
          <w:tab w:val="left" w:pos="567"/>
          <w:tab w:val="left" w:pos="709"/>
        </w:tabs>
        <w:spacing w:after="60"/>
        <w:rPr>
          <w:sz w:val="16"/>
          <w:szCs w:val="16"/>
          <w:lang w:val="es-CR"/>
        </w:rPr>
      </w:pPr>
      <w:r w:rsidRPr="009C15B0">
        <w:rPr>
          <w:rStyle w:val="FootnoteReference"/>
          <w:sz w:val="16"/>
          <w:szCs w:val="16"/>
          <w:lang w:val="es-CR"/>
        </w:rPr>
        <w:footnoteRef/>
      </w:r>
      <w:r w:rsidRPr="00A24964">
        <w:rPr>
          <w:sz w:val="16"/>
          <w:szCs w:val="16"/>
          <w:lang w:val="en-US"/>
        </w:rPr>
        <w:t xml:space="preserve"> </w:t>
      </w:r>
      <w:r w:rsidRPr="00A24964">
        <w:rPr>
          <w:sz w:val="16"/>
          <w:szCs w:val="16"/>
          <w:lang w:val="en-US"/>
        </w:rPr>
        <w:tab/>
      </w:r>
      <w:r w:rsidRPr="00A24964">
        <w:rPr>
          <w:rFonts w:eastAsia="Verdana" w:cs="Verdana"/>
          <w:i/>
          <w:sz w:val="16"/>
          <w:szCs w:val="16"/>
          <w:lang w:val="en-US"/>
        </w:rPr>
        <w:t xml:space="preserve">Cfr. Caso Wong Ho Wing Vs. </w:t>
      </w:r>
      <w:r w:rsidRPr="009C15B0">
        <w:rPr>
          <w:rFonts w:eastAsia="Verdana" w:cs="Verdana"/>
          <w:i/>
          <w:sz w:val="16"/>
          <w:szCs w:val="16"/>
          <w:lang w:val="es-CR"/>
        </w:rPr>
        <w:t xml:space="preserve">Perú. Excepción Preliminar, Fondo, Reparaciones y Costas. </w:t>
      </w:r>
      <w:r w:rsidRPr="009C15B0">
        <w:rPr>
          <w:rFonts w:eastAsia="Verdana" w:cs="Verdana"/>
          <w:sz w:val="16"/>
          <w:szCs w:val="16"/>
          <w:lang w:val="es-CR"/>
        </w:rPr>
        <w:t>Sentencia de 30 de junio de 2015. Serie C No. 297,</w:t>
      </w:r>
      <w:r w:rsidRPr="009C15B0">
        <w:rPr>
          <w:rFonts w:eastAsia="Verdana" w:cs="Verdana"/>
          <w:i/>
          <w:sz w:val="16"/>
          <w:szCs w:val="16"/>
          <w:lang w:val="es-CR"/>
        </w:rPr>
        <w:t xml:space="preserve"> </w:t>
      </w:r>
      <w:r w:rsidRPr="009C15B0">
        <w:rPr>
          <w:rFonts w:eastAsia="Verdana" w:cs="Verdana"/>
          <w:sz w:val="16"/>
          <w:szCs w:val="16"/>
          <w:lang w:val="es-CR"/>
        </w:rPr>
        <w:t>párr. 25</w:t>
      </w:r>
      <w:r w:rsidRPr="009C15B0">
        <w:rPr>
          <w:color w:val="000000" w:themeColor="text1"/>
          <w:sz w:val="16"/>
          <w:szCs w:val="16"/>
          <w:lang w:val="es-CR"/>
        </w:rPr>
        <w:t>, y</w:t>
      </w:r>
      <w:r w:rsidRPr="009C15B0">
        <w:rPr>
          <w:i/>
          <w:color w:val="000000" w:themeColor="text1"/>
          <w:sz w:val="16"/>
          <w:szCs w:val="16"/>
          <w:lang w:val="es-CR"/>
        </w:rPr>
        <w:t xml:space="preserve"> Caso Favela Nova Brasilia Vs. Brasil, supra</w:t>
      </w:r>
      <w:r w:rsidRPr="009C15B0">
        <w:rPr>
          <w:color w:val="000000" w:themeColor="text1"/>
          <w:sz w:val="16"/>
          <w:szCs w:val="16"/>
          <w:lang w:val="es-CR"/>
        </w:rPr>
        <w:t>, párr. 85.</w:t>
      </w:r>
    </w:p>
  </w:footnote>
  <w:footnote w:id="25">
    <w:p w14:paraId="7AFFBBFD" w14:textId="16B3EC81"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i/>
          <w:sz w:val="16"/>
          <w:szCs w:val="16"/>
          <w:lang w:val="es-CR"/>
        </w:rPr>
        <w:t xml:space="preserve"> </w:t>
      </w:r>
      <w:r w:rsidRPr="009C15B0">
        <w:rPr>
          <w:i/>
          <w:sz w:val="16"/>
          <w:szCs w:val="16"/>
          <w:lang w:val="es-CR"/>
        </w:rPr>
        <w:tab/>
        <w:t>Cfr.,</w:t>
      </w:r>
      <w:r w:rsidRPr="009C15B0">
        <w:rPr>
          <w:sz w:val="16"/>
          <w:szCs w:val="16"/>
          <w:lang w:val="es-CR"/>
        </w:rPr>
        <w:t xml:space="preserve"> </w:t>
      </w:r>
      <w:r w:rsidRPr="009C15B0">
        <w:rPr>
          <w:i/>
          <w:sz w:val="16"/>
          <w:szCs w:val="16"/>
          <w:lang w:val="es-CR"/>
        </w:rPr>
        <w:t>mutatis mutandi</w:t>
      </w:r>
      <w:r w:rsidRPr="009C15B0">
        <w:rPr>
          <w:sz w:val="16"/>
          <w:szCs w:val="16"/>
          <w:lang w:val="es-CR"/>
        </w:rPr>
        <w:t xml:space="preserve">, </w:t>
      </w:r>
      <w:r w:rsidRPr="009C15B0">
        <w:rPr>
          <w:rFonts w:cs="Courier New"/>
          <w:i/>
          <w:sz w:val="16"/>
          <w:szCs w:val="16"/>
          <w:lang w:val="es-CR"/>
        </w:rPr>
        <w:t>Caso Duque Vs. Colombia. Excepciones Preliminares, Fondo, Reparaciones y Costas</w:t>
      </w:r>
      <w:r w:rsidRPr="009C15B0">
        <w:rPr>
          <w:rFonts w:cs="Courier New"/>
          <w:sz w:val="16"/>
          <w:szCs w:val="16"/>
          <w:lang w:val="es-CR"/>
        </w:rPr>
        <w:t>. Sentencia de 26 de febrero de 2016. Serie C No. 310, párr. 41.</w:t>
      </w:r>
    </w:p>
  </w:footnote>
  <w:footnote w:id="26">
    <w:p w14:paraId="3FDBCC3A" w14:textId="69CFABC2"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 Artículo 55 de la Convención Americana sobre Derechos Humanos.</w:t>
      </w:r>
      <w:r w:rsidRPr="009C15B0">
        <w:rPr>
          <w:sz w:val="16"/>
          <w:szCs w:val="16"/>
          <w:lang w:val="es-CR"/>
        </w:rPr>
        <w:t xml:space="preserve"> Opinión Consultiva OC-20/09 de 29 de septiembre de 2009. Serie A No. 20, párr. 32.</w:t>
      </w:r>
    </w:p>
  </w:footnote>
  <w:footnote w:id="27">
    <w:p w14:paraId="6E369586" w14:textId="2203930F"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En virtud del artículo 45 se establece que: “1. Todo Estado parte puede, en el momento del depósito de su instrumento de ratificación o adhesión de esta Convención, o en cualquier momento posterior, declarar que reconoce la competencia de la Comisión para recibir y examinar las comunicaciones en que un Estado parte alegue que otro Estado parte ha incurrido en violaciones de los derechos humanos establecidos en esta Convención”.</w:t>
      </w:r>
    </w:p>
  </w:footnote>
  <w:footnote w:id="28">
    <w:p w14:paraId="3F132852" w14:textId="25EA64E7" w:rsidR="007F7D87" w:rsidRPr="009C15B0" w:rsidRDefault="007F7D87" w:rsidP="001E6358">
      <w:pPr>
        <w:tabs>
          <w:tab w:val="left" w:pos="567"/>
        </w:tabs>
        <w:spacing w:after="60" w:line="240" w:lineRule="auto"/>
        <w:rPr>
          <w:sz w:val="16"/>
          <w:szCs w:val="16"/>
        </w:rPr>
      </w:pPr>
      <w:r w:rsidRPr="009C15B0">
        <w:rPr>
          <w:rStyle w:val="FootnoteReference"/>
          <w:sz w:val="16"/>
          <w:szCs w:val="16"/>
        </w:rPr>
        <w:footnoteRef/>
      </w:r>
      <w:r w:rsidRPr="00A24964">
        <w:rPr>
          <w:sz w:val="16"/>
          <w:szCs w:val="16"/>
          <w:lang w:val="pt-BR"/>
        </w:rPr>
        <w:t xml:space="preserve"> </w:t>
      </w:r>
      <w:r w:rsidRPr="00A24964">
        <w:rPr>
          <w:sz w:val="16"/>
          <w:szCs w:val="16"/>
          <w:lang w:val="pt-BR"/>
        </w:rPr>
        <w:tab/>
      </w:r>
      <w:r w:rsidRPr="00A24964">
        <w:rPr>
          <w:i/>
          <w:sz w:val="16"/>
          <w:szCs w:val="16"/>
          <w:lang w:val="pt-BR"/>
        </w:rPr>
        <w:t xml:space="preserve">Caso Masacre de Santo Domingo Vs. </w:t>
      </w:r>
      <w:r w:rsidRPr="009C15B0">
        <w:rPr>
          <w:i/>
          <w:sz w:val="16"/>
          <w:szCs w:val="16"/>
        </w:rPr>
        <w:t xml:space="preserve">Colombia. Excepciones Preliminares, Fondo y Reparaciones. </w:t>
      </w:r>
      <w:r w:rsidRPr="009C15B0">
        <w:rPr>
          <w:sz w:val="16"/>
          <w:szCs w:val="16"/>
        </w:rPr>
        <w:t xml:space="preserve">Sentencia de 30 de Noviembre de 2012. Serie C No. 259, párr. 24, y </w:t>
      </w:r>
      <w:r w:rsidRPr="009C15B0">
        <w:rPr>
          <w:i/>
          <w:sz w:val="16"/>
          <w:szCs w:val="16"/>
          <w:lang w:eastAsia="x-none"/>
        </w:rPr>
        <w:t xml:space="preserve">Caso Vásquez Durand y otros Vs. Ecuador. Excepciones Preliminares, Fondo, Reparaciones y Costas. </w:t>
      </w:r>
      <w:r w:rsidRPr="009C15B0">
        <w:rPr>
          <w:sz w:val="16"/>
          <w:szCs w:val="16"/>
          <w:lang w:eastAsia="x-none"/>
        </w:rPr>
        <w:t xml:space="preserve">Sentencia de 15 de febrero de 2017. Serie C No. 332, </w:t>
      </w:r>
      <w:r w:rsidRPr="009C15B0">
        <w:rPr>
          <w:sz w:val="16"/>
          <w:szCs w:val="16"/>
        </w:rPr>
        <w:t>párr. 30.</w:t>
      </w:r>
    </w:p>
  </w:footnote>
  <w:footnote w:id="29">
    <w:p w14:paraId="5CFEA854" w14:textId="6D6D1562"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xml:space="preserve">. </w:t>
      </w:r>
      <w:r w:rsidRPr="009C15B0">
        <w:rPr>
          <w:i/>
          <w:sz w:val="16"/>
          <w:szCs w:val="16"/>
          <w:lang w:val="es-CR"/>
        </w:rPr>
        <w:t>"Otros Tratados" Objeto de la Función Consultiva de la Corte</w:t>
      </w:r>
      <w:r w:rsidRPr="009C15B0">
        <w:rPr>
          <w:sz w:val="16"/>
          <w:szCs w:val="16"/>
          <w:lang w:val="es-CR"/>
        </w:rPr>
        <w:t xml:space="preserve"> (art. 64 Convención Americana sobre Derechos Humanos). Opinión Consultiva OC-1/82 del 24 de septiembre de 1982</w:t>
      </w:r>
      <w:r w:rsidRPr="009C15B0">
        <w:rPr>
          <w:i/>
          <w:sz w:val="16"/>
          <w:szCs w:val="16"/>
          <w:lang w:val="es-CR"/>
        </w:rPr>
        <w:t xml:space="preserve">. </w:t>
      </w:r>
      <w:r w:rsidRPr="009C15B0">
        <w:rPr>
          <w:sz w:val="16"/>
          <w:szCs w:val="16"/>
          <w:lang w:val="es-CR"/>
        </w:rPr>
        <w:t>Serie A No. 1</w:t>
      </w:r>
      <w:r w:rsidRPr="009C15B0">
        <w:rPr>
          <w:rFonts w:eastAsia="Calibri" w:cs="Verdana"/>
          <w:sz w:val="16"/>
          <w:szCs w:val="16"/>
          <w:lang w:val="es-CR" w:eastAsia="en-US"/>
        </w:rPr>
        <w:t>, párr. 41.</w:t>
      </w:r>
    </w:p>
  </w:footnote>
  <w:footnote w:id="30">
    <w:p w14:paraId="31657EC7" w14:textId="36F9864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Nicaragua ratificó la Convención sobre los Derechos del Niño el 5 de octubre de 1990.</w:t>
      </w:r>
    </w:p>
  </w:footnote>
  <w:footnote w:id="31">
    <w:p w14:paraId="308C96DA" w14:textId="0142E131"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Condición Jurídica y Derechos Humanos del Niño.</w:t>
      </w:r>
      <w:r w:rsidRPr="009C15B0">
        <w:rPr>
          <w:sz w:val="16"/>
          <w:szCs w:val="16"/>
          <w:lang w:val="es-CR"/>
        </w:rPr>
        <w:t xml:space="preserve"> Opinión Consultiva OC-17/02 de 28 de agosto de 2002. Serie A No. 17, párr. 29, y </w:t>
      </w:r>
      <w:r w:rsidRPr="009C15B0">
        <w:rPr>
          <w:rStyle w:val="Strong"/>
          <w:b w:val="0"/>
          <w:i/>
          <w:sz w:val="16"/>
          <w:szCs w:val="16"/>
          <w:lang w:val="es-CR"/>
        </w:rPr>
        <w:t>Derechos y garantías de niñas y niños en el contexto de la migración y/o en necesidad de protección internacional</w:t>
      </w:r>
      <w:r w:rsidRPr="009C15B0">
        <w:rPr>
          <w:rStyle w:val="Strong"/>
          <w:b w:val="0"/>
          <w:sz w:val="16"/>
          <w:szCs w:val="16"/>
          <w:lang w:val="es-CR"/>
        </w:rPr>
        <w:t>. Opinión Consultiva OC-21/14 de 19 de agosto de 2014. Serie A No. 21, párr. 57</w:t>
      </w:r>
      <w:r w:rsidRPr="009C15B0">
        <w:rPr>
          <w:sz w:val="16"/>
          <w:szCs w:val="16"/>
          <w:lang w:val="es-CR"/>
        </w:rPr>
        <w:t>.</w:t>
      </w:r>
    </w:p>
  </w:footnote>
  <w:footnote w:id="32">
    <w:p w14:paraId="1C83F819" w14:textId="49CA8156"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rStyle w:val="Strong"/>
          <w:b w:val="0"/>
          <w:i/>
          <w:sz w:val="16"/>
          <w:szCs w:val="16"/>
          <w:lang w:val="es-CR"/>
        </w:rPr>
        <w:t>Derechos y garantías de niñas y niños en el contexto de la migración y/o en necesidad de protección internacional</w:t>
      </w:r>
      <w:r w:rsidRPr="009C15B0">
        <w:rPr>
          <w:rStyle w:val="Strong"/>
          <w:b w:val="0"/>
          <w:sz w:val="16"/>
          <w:szCs w:val="16"/>
          <w:lang w:val="es-CR"/>
        </w:rPr>
        <w:t xml:space="preserve">. Opinión Consultiva OC-21/14, </w:t>
      </w:r>
      <w:r w:rsidRPr="009C15B0">
        <w:rPr>
          <w:rStyle w:val="Strong"/>
          <w:b w:val="0"/>
          <w:i/>
          <w:sz w:val="16"/>
          <w:szCs w:val="16"/>
          <w:lang w:val="es-CR"/>
        </w:rPr>
        <w:t>supra</w:t>
      </w:r>
      <w:r w:rsidRPr="009C15B0">
        <w:rPr>
          <w:rStyle w:val="Strong"/>
          <w:b w:val="0"/>
          <w:sz w:val="16"/>
          <w:szCs w:val="16"/>
          <w:lang w:val="es-CR"/>
        </w:rPr>
        <w:t>, párr. 60.</w:t>
      </w:r>
    </w:p>
  </w:footnote>
  <w:footnote w:id="33">
    <w:p w14:paraId="0DD194D4" w14:textId="37390F12"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i/>
          <w:sz w:val="16"/>
          <w:szCs w:val="16"/>
          <w:lang w:val="es-CR"/>
        </w:rPr>
        <w:t xml:space="preserve"> </w:t>
      </w:r>
      <w:r w:rsidRPr="009C15B0">
        <w:rPr>
          <w:i/>
          <w:sz w:val="16"/>
          <w:szCs w:val="16"/>
          <w:lang w:val="es-CR"/>
        </w:rPr>
        <w:tab/>
        <w:t>Cfr</w:t>
      </w:r>
      <w:r w:rsidRPr="009C15B0">
        <w:rPr>
          <w:sz w:val="16"/>
          <w:szCs w:val="16"/>
          <w:lang w:val="es-CR"/>
        </w:rPr>
        <w:t xml:space="preserve">. </w:t>
      </w:r>
      <w:r w:rsidRPr="009C15B0">
        <w:rPr>
          <w:i/>
          <w:sz w:val="16"/>
          <w:szCs w:val="16"/>
          <w:lang w:val="es-CR"/>
        </w:rPr>
        <w:t>Caso de los “Niños de la Calle” (Villagrán Morales y otros) Vs. Guatemala. Fondo.</w:t>
      </w:r>
      <w:r w:rsidRPr="009C15B0">
        <w:rPr>
          <w:sz w:val="16"/>
          <w:szCs w:val="16"/>
          <w:lang w:val="es-CR"/>
        </w:rPr>
        <w:t xml:space="preserve"> Sentencia de 19 de noviembre de 1999. Serie C No. 63, párr. 194, y </w:t>
      </w:r>
      <w:r w:rsidRPr="009C15B0">
        <w:rPr>
          <w:i/>
          <w:sz w:val="16"/>
          <w:szCs w:val="16"/>
          <w:lang w:val="es-CR"/>
        </w:rPr>
        <w:t xml:space="preserve">Caso Yarce y otras Vs. Colombia. Excepción Preliminar, Fondo, Reparaciones y Costas. </w:t>
      </w:r>
      <w:r w:rsidRPr="009C15B0">
        <w:rPr>
          <w:sz w:val="16"/>
          <w:szCs w:val="16"/>
          <w:lang w:val="es-CR"/>
        </w:rPr>
        <w:t>Sentencia de 22 de noviembre de 2016. Serie C No. 325, nota al pie 115</w:t>
      </w:r>
      <w:r w:rsidRPr="009C15B0">
        <w:rPr>
          <w:i/>
          <w:sz w:val="16"/>
          <w:szCs w:val="16"/>
          <w:lang w:val="es-CR"/>
        </w:rPr>
        <w:t>.</w:t>
      </w:r>
    </w:p>
  </w:footnote>
  <w:footnote w:id="34">
    <w:p w14:paraId="1205952D" w14:textId="623233C9" w:rsidR="007F7D87" w:rsidRPr="009C15B0" w:rsidRDefault="007F7D87" w:rsidP="001E6358">
      <w:pPr>
        <w:tabs>
          <w:tab w:val="left" w:pos="567"/>
        </w:tabs>
        <w:autoSpaceDE w:val="0"/>
        <w:autoSpaceDN w:val="0"/>
        <w:spacing w:after="60" w:line="240" w:lineRule="auto"/>
        <w:rPr>
          <w:sz w:val="16"/>
          <w:szCs w:val="16"/>
        </w:rPr>
      </w:pPr>
      <w:r w:rsidRPr="009C15B0">
        <w:rPr>
          <w:rStyle w:val="FootnoteReference"/>
          <w:sz w:val="16"/>
          <w:szCs w:val="16"/>
        </w:rPr>
        <w:footnoteRef/>
      </w:r>
      <w:r w:rsidRPr="009C15B0">
        <w:rPr>
          <w:sz w:val="16"/>
          <w:szCs w:val="16"/>
        </w:rPr>
        <w:t xml:space="preserve"> </w:t>
      </w:r>
      <w:r w:rsidRPr="009C15B0">
        <w:rPr>
          <w:sz w:val="16"/>
          <w:szCs w:val="16"/>
        </w:rPr>
        <w:tab/>
      </w:r>
      <w:r w:rsidRPr="009C15B0">
        <w:rPr>
          <w:i/>
          <w:iCs/>
          <w:sz w:val="16"/>
          <w:szCs w:val="16"/>
        </w:rPr>
        <w:t xml:space="preserve">Cfr. </w:t>
      </w:r>
      <w:r w:rsidRPr="009C15B0">
        <w:rPr>
          <w:i/>
          <w:sz w:val="16"/>
          <w:szCs w:val="16"/>
        </w:rPr>
        <w:t>Caso</w:t>
      </w:r>
      <w:r w:rsidRPr="009C15B0">
        <w:rPr>
          <w:sz w:val="16"/>
          <w:szCs w:val="16"/>
        </w:rPr>
        <w:t xml:space="preserve"> </w:t>
      </w:r>
      <w:r w:rsidRPr="009C15B0">
        <w:rPr>
          <w:i/>
          <w:sz w:val="16"/>
          <w:szCs w:val="16"/>
        </w:rPr>
        <w:t>de las Masacres de Ituango Vs. Colombia. Excepción Preliminar, Fondo, Reparaciones y Costas</w:t>
      </w:r>
      <w:r w:rsidRPr="009C15B0">
        <w:rPr>
          <w:sz w:val="16"/>
          <w:szCs w:val="16"/>
        </w:rPr>
        <w:t xml:space="preserve">. Sentencia de 1 de julio de 2006. Serie C No. 148, párr. 98, y </w:t>
      </w:r>
      <w:r w:rsidRPr="009C15B0">
        <w:rPr>
          <w:i/>
          <w:sz w:val="16"/>
          <w:szCs w:val="16"/>
        </w:rPr>
        <w:t xml:space="preserve">Caso I.V. Vs. Bolivia. Excepciones Preliminares, Fondo, Reparaciones y Costas. </w:t>
      </w:r>
      <w:r w:rsidRPr="009C15B0">
        <w:rPr>
          <w:sz w:val="16"/>
          <w:szCs w:val="16"/>
        </w:rPr>
        <w:t>Sentencia de 30 de noviembre de 2016. Serie C No. 329</w:t>
      </w:r>
      <w:r w:rsidRPr="009C15B0">
        <w:rPr>
          <w:sz w:val="16"/>
          <w:szCs w:val="16"/>
          <w:lang w:eastAsia="x-none"/>
        </w:rPr>
        <w:t>, párr. 41</w:t>
      </w:r>
      <w:r w:rsidRPr="009C15B0">
        <w:rPr>
          <w:i/>
          <w:sz w:val="16"/>
          <w:szCs w:val="16"/>
          <w:lang w:eastAsia="x-none"/>
        </w:rPr>
        <w:t>.</w:t>
      </w:r>
    </w:p>
  </w:footnote>
  <w:footnote w:id="35">
    <w:p w14:paraId="7B38942B" w14:textId="50756414"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CIDH, Informe de Fondo No. 4/16, párr. 153.</w:t>
      </w:r>
    </w:p>
  </w:footnote>
  <w:footnote w:id="36">
    <w:p w14:paraId="449937FF"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CIDH, Informe de Fondo No. 4/16, párr. 154.</w:t>
      </w:r>
    </w:p>
  </w:footnote>
  <w:footnote w:id="37">
    <w:p w14:paraId="45060D93" w14:textId="73C9E07E" w:rsidR="007F7D87" w:rsidRPr="009C15B0" w:rsidRDefault="007F7D87" w:rsidP="001E6358">
      <w:pPr>
        <w:pStyle w:val="FootnoteText"/>
        <w:tabs>
          <w:tab w:val="left" w:pos="567"/>
        </w:tabs>
        <w:spacing w:after="60"/>
        <w:rPr>
          <w:bCs/>
          <w:iCs/>
          <w:sz w:val="16"/>
          <w:szCs w:val="16"/>
          <w:lang w:val="es-CR" w:bidi="en-US"/>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rFonts w:eastAsia="Times"/>
          <w:i/>
          <w:sz w:val="16"/>
          <w:szCs w:val="16"/>
          <w:lang w:val="es-CR"/>
        </w:rPr>
        <w:t>Caso “Cinco Pensionistas” Vs. Perú. Fondo, Reparaciones y Costas.</w:t>
      </w:r>
      <w:r w:rsidRPr="009C15B0">
        <w:rPr>
          <w:rFonts w:eastAsia="Times"/>
          <w:sz w:val="16"/>
          <w:szCs w:val="16"/>
          <w:lang w:val="es-CR"/>
        </w:rPr>
        <w:t xml:space="preserve"> Sentencia de 28 de febrero de 2003. Serie C No. 98, </w:t>
      </w:r>
      <w:r w:rsidRPr="009C15B0">
        <w:rPr>
          <w:iCs/>
          <w:sz w:val="16"/>
          <w:szCs w:val="16"/>
          <w:lang w:val="es-CR" w:bidi="en-US"/>
        </w:rPr>
        <w:t>párr. 155, y</w:t>
      </w:r>
      <w:r w:rsidRPr="009C15B0">
        <w:rPr>
          <w:i/>
          <w:iCs/>
          <w:sz w:val="16"/>
          <w:szCs w:val="16"/>
          <w:lang w:val="es-CR" w:bidi="en-US"/>
        </w:rPr>
        <w:t xml:space="preserve"> </w:t>
      </w:r>
      <w:r w:rsidRPr="009C15B0">
        <w:rPr>
          <w:rFonts w:cs="Courier New"/>
          <w:bCs/>
          <w:i/>
          <w:sz w:val="16"/>
          <w:szCs w:val="16"/>
          <w:lang w:val="es-CR"/>
        </w:rPr>
        <w:t>Caso Acosta y otros Vs. Nicaragua, supra</w:t>
      </w:r>
      <w:r w:rsidRPr="009C15B0">
        <w:rPr>
          <w:rFonts w:cs="Courier New"/>
          <w:bCs/>
          <w:sz w:val="16"/>
          <w:szCs w:val="16"/>
          <w:lang w:val="es-CR"/>
        </w:rPr>
        <w:t>, párr.</w:t>
      </w:r>
      <w:r w:rsidRPr="009C15B0">
        <w:rPr>
          <w:rFonts w:cs="Courier New"/>
          <w:bCs/>
          <w:i/>
          <w:sz w:val="16"/>
          <w:szCs w:val="16"/>
          <w:lang w:val="es-CR"/>
        </w:rPr>
        <w:t xml:space="preserve"> </w:t>
      </w:r>
      <w:r w:rsidRPr="009C15B0">
        <w:rPr>
          <w:rFonts w:cs="Courier New"/>
          <w:bCs/>
          <w:sz w:val="16"/>
          <w:szCs w:val="16"/>
          <w:lang w:val="es-CR"/>
        </w:rPr>
        <w:t>30.</w:t>
      </w:r>
    </w:p>
  </w:footnote>
  <w:footnote w:id="38">
    <w:p w14:paraId="14439560" w14:textId="259C0446"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Caso González y otras (“Campo Algodonero”) Vs. México. Excepción Preliminar, Fondo, Reparaciones y Costas. </w:t>
      </w:r>
      <w:r w:rsidRPr="009C15B0">
        <w:rPr>
          <w:sz w:val="16"/>
          <w:szCs w:val="16"/>
          <w:lang w:val="es-CR"/>
        </w:rPr>
        <w:t>Sentencia de 16 de noviembre de 2009. Serie C No. 205, párr. 40</w:t>
      </w:r>
      <w:r w:rsidRPr="009C15B0">
        <w:rPr>
          <w:i/>
          <w:sz w:val="16"/>
          <w:szCs w:val="16"/>
          <w:lang w:val="es-CR"/>
        </w:rPr>
        <w:t xml:space="preserve">, </w:t>
      </w:r>
      <w:r w:rsidRPr="009C15B0">
        <w:rPr>
          <w:sz w:val="16"/>
          <w:szCs w:val="16"/>
          <w:lang w:val="es-CR"/>
        </w:rPr>
        <w:t>y</w:t>
      </w:r>
      <w:r w:rsidRPr="009C15B0">
        <w:rPr>
          <w:i/>
          <w:sz w:val="16"/>
          <w:szCs w:val="16"/>
          <w:lang w:val="es-CR"/>
        </w:rPr>
        <w:t xml:space="preserve"> Caso Favela Nova Brasilia Vs. Brasil, supra</w:t>
      </w:r>
      <w:r w:rsidRPr="009C15B0">
        <w:rPr>
          <w:sz w:val="16"/>
          <w:szCs w:val="16"/>
          <w:lang w:val="es-CR"/>
        </w:rPr>
        <w:t>, párr. 67.</w:t>
      </w:r>
    </w:p>
  </w:footnote>
  <w:footnote w:id="39">
    <w:p w14:paraId="7FC63699" w14:textId="2531E1BE" w:rsidR="007F7D87" w:rsidRPr="009C15B0" w:rsidRDefault="007F7D87" w:rsidP="001E6358">
      <w:pPr>
        <w:tabs>
          <w:tab w:val="left" w:pos="567"/>
        </w:tabs>
        <w:autoSpaceDE w:val="0"/>
        <w:autoSpaceDN w:val="0"/>
        <w:spacing w:after="60" w:line="240" w:lineRule="auto"/>
        <w:rPr>
          <w:i/>
          <w:sz w:val="16"/>
          <w:szCs w:val="16"/>
        </w:rPr>
      </w:pPr>
      <w:r w:rsidRPr="009C15B0">
        <w:rPr>
          <w:rStyle w:val="FootnoteReference"/>
          <w:rFonts w:eastAsia="Calibri"/>
          <w:sz w:val="16"/>
          <w:szCs w:val="16"/>
        </w:rPr>
        <w:footnoteRef/>
      </w:r>
      <w:r w:rsidRPr="009C15B0">
        <w:rPr>
          <w:sz w:val="16"/>
          <w:szCs w:val="16"/>
        </w:rPr>
        <w:tab/>
      </w:r>
      <w:r w:rsidRPr="009C15B0">
        <w:rPr>
          <w:i/>
          <w:sz w:val="16"/>
          <w:szCs w:val="16"/>
        </w:rPr>
        <w:t xml:space="preserve">Cfr. </w:t>
      </w:r>
      <w:r w:rsidRPr="009C15B0">
        <w:rPr>
          <w:rFonts w:cs="Courier New"/>
          <w:i/>
          <w:sz w:val="16"/>
          <w:szCs w:val="16"/>
        </w:rPr>
        <w:t>Caso Velásquez Rodríguez Vs. Honduras. Fondo, supra</w:t>
      </w:r>
      <w:r w:rsidRPr="009C15B0">
        <w:rPr>
          <w:rFonts w:cs="Courier New"/>
          <w:sz w:val="16"/>
          <w:szCs w:val="16"/>
        </w:rPr>
        <w:t>, párr. 140,</w:t>
      </w:r>
      <w:r w:rsidRPr="009C15B0">
        <w:rPr>
          <w:rFonts w:cs="Courier New"/>
          <w:i/>
          <w:sz w:val="16"/>
          <w:szCs w:val="16"/>
        </w:rPr>
        <w:t xml:space="preserve"> </w:t>
      </w:r>
      <w:r w:rsidRPr="009C15B0">
        <w:rPr>
          <w:sz w:val="16"/>
          <w:szCs w:val="16"/>
        </w:rPr>
        <w:t>y</w:t>
      </w:r>
      <w:r w:rsidRPr="009C15B0">
        <w:rPr>
          <w:i/>
          <w:sz w:val="16"/>
          <w:szCs w:val="16"/>
        </w:rPr>
        <w:t xml:space="preserve"> Caso Ortiz Hernández y otros Vs. Venezuela. Fondo, Reparaciones y Costas.</w:t>
      </w:r>
      <w:r w:rsidRPr="009C15B0">
        <w:rPr>
          <w:sz w:val="16"/>
          <w:szCs w:val="16"/>
        </w:rPr>
        <w:t xml:space="preserve"> Sentencia de 22 de agosto de 2017. Serie C No. 338, párr. 42.</w:t>
      </w:r>
    </w:p>
  </w:footnote>
  <w:footnote w:id="40">
    <w:p w14:paraId="72298AA8" w14:textId="54645495" w:rsidR="007F7D87" w:rsidRPr="009C15B0" w:rsidRDefault="007F7D87" w:rsidP="001E6358">
      <w:pPr>
        <w:pStyle w:val="FootnoteText"/>
        <w:tabs>
          <w:tab w:val="left" w:pos="567"/>
        </w:tabs>
        <w:spacing w:after="60"/>
        <w:rPr>
          <w:rFonts w:eastAsia="ヒラギノ角ゴ Pro W3"/>
          <w:sz w:val="16"/>
          <w:szCs w:val="16"/>
          <w:lang w:val="es-CR"/>
        </w:rPr>
      </w:pPr>
      <w:r w:rsidRPr="009C15B0">
        <w:rPr>
          <w:rStyle w:val="FootnoteReference"/>
          <w:rFonts w:eastAsia="Calibri"/>
          <w:sz w:val="16"/>
          <w:szCs w:val="16"/>
          <w:lang w:val="es-CR"/>
        </w:rPr>
        <w:footnoteRef/>
      </w:r>
      <w:r w:rsidRPr="009C15B0">
        <w:rPr>
          <w:sz w:val="16"/>
          <w:szCs w:val="16"/>
          <w:lang w:val="es-CR"/>
        </w:rPr>
        <w:t xml:space="preserve"> </w:t>
      </w:r>
      <w:r w:rsidRPr="009C15B0">
        <w:rPr>
          <w:sz w:val="16"/>
          <w:szCs w:val="16"/>
          <w:lang w:val="es-CR"/>
        </w:rPr>
        <w:tab/>
        <w:t>Los objetos de todas estas declaraciones se encuentran establecidos en la Resolución del Presidente de la Corte Interamericana de 21 de septiembre de 2017. Disponible en: http://www.corteidh.or.cr/docs/asuntos/vrp_21_09_17.pdf</w:t>
      </w:r>
    </w:p>
  </w:footnote>
  <w:footnote w:id="41">
    <w:p w14:paraId="3EB951A2" w14:textId="2028C164" w:rsidR="007F7D87" w:rsidRPr="009C15B0" w:rsidRDefault="007F7D87" w:rsidP="001E6358">
      <w:pPr>
        <w:tabs>
          <w:tab w:val="left" w:pos="567"/>
        </w:tabs>
        <w:spacing w:after="60" w:line="240" w:lineRule="auto"/>
        <w:rPr>
          <w:i/>
          <w:sz w:val="16"/>
          <w:szCs w:val="16"/>
        </w:rPr>
      </w:pPr>
      <w:r w:rsidRPr="009C15B0">
        <w:rPr>
          <w:rStyle w:val="FootnoteReference"/>
          <w:rFonts w:eastAsia="Calibri"/>
          <w:sz w:val="16"/>
          <w:szCs w:val="16"/>
        </w:rPr>
        <w:footnoteRef/>
      </w:r>
      <w:r w:rsidRPr="009C15B0">
        <w:rPr>
          <w:sz w:val="16"/>
          <w:szCs w:val="16"/>
          <w:vertAlign w:val="superscript"/>
        </w:rPr>
        <w:t xml:space="preserve"> </w:t>
      </w:r>
      <w:r w:rsidRPr="009C15B0">
        <w:rPr>
          <w:sz w:val="16"/>
          <w:szCs w:val="16"/>
        </w:rPr>
        <w:tab/>
      </w:r>
      <w:r w:rsidRPr="009C15B0">
        <w:rPr>
          <w:i/>
          <w:sz w:val="16"/>
          <w:szCs w:val="16"/>
        </w:rPr>
        <w:t>Cfr.</w:t>
      </w:r>
      <w:r w:rsidRPr="009C15B0">
        <w:rPr>
          <w:bCs/>
          <w:i/>
          <w:sz w:val="16"/>
          <w:szCs w:val="16"/>
        </w:rPr>
        <w:t xml:space="preserve"> </w:t>
      </w:r>
      <w:r w:rsidRPr="009C15B0">
        <w:rPr>
          <w:i/>
          <w:sz w:val="16"/>
          <w:szCs w:val="16"/>
        </w:rPr>
        <w:t xml:space="preserve">Caso de la “Panel Blanca” (Paniagua Morales y otros) Vs. Guatemala. Fondo. </w:t>
      </w:r>
      <w:r w:rsidRPr="009C15B0">
        <w:rPr>
          <w:sz w:val="16"/>
          <w:szCs w:val="16"/>
        </w:rPr>
        <w:t xml:space="preserve">Sentencia de 8 de marzo de 1998. Serie C No. 37, párrs. 69 a 76, </w:t>
      </w:r>
      <w:r w:rsidRPr="009C15B0">
        <w:rPr>
          <w:rFonts w:cs="Courier New"/>
          <w:sz w:val="16"/>
          <w:szCs w:val="16"/>
        </w:rPr>
        <w:t xml:space="preserve">y </w:t>
      </w:r>
      <w:r w:rsidRPr="009C15B0">
        <w:rPr>
          <w:rFonts w:cs="Courier New"/>
          <w:i/>
          <w:sz w:val="16"/>
          <w:szCs w:val="16"/>
        </w:rPr>
        <w:t>Caso Trabajadores Cesados de Petroperú y otros Vs. Perú, supra</w:t>
      </w:r>
      <w:r w:rsidRPr="009C15B0">
        <w:rPr>
          <w:rFonts w:cs="Courier New"/>
          <w:sz w:val="16"/>
          <w:szCs w:val="16"/>
        </w:rPr>
        <w:t>, párr. 79.</w:t>
      </w:r>
    </w:p>
  </w:footnote>
  <w:footnote w:id="42">
    <w:p w14:paraId="667D7E67" w14:textId="6A722B89" w:rsidR="007F7D87" w:rsidRPr="009C15B0" w:rsidRDefault="007F7D87" w:rsidP="001E6358">
      <w:pPr>
        <w:pStyle w:val="FootnoteText"/>
        <w:tabs>
          <w:tab w:val="left" w:pos="567"/>
        </w:tabs>
        <w:spacing w:after="60"/>
        <w:rPr>
          <w:rFonts w:eastAsiaTheme="minorHAnsi" w:cstheme="minorBidi"/>
          <w:i/>
          <w:sz w:val="16"/>
          <w:szCs w:val="16"/>
          <w:lang w:val="es-CR" w:eastAsia="en-US"/>
        </w:rPr>
      </w:pPr>
      <w:r w:rsidRPr="009C15B0">
        <w:rPr>
          <w:rStyle w:val="FootnoteReference"/>
          <w:rFonts w:eastAsia="Calibri"/>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Caso Loayza Tamayo Vs. Perú. Fondo. </w:t>
      </w:r>
      <w:r w:rsidRPr="009C15B0">
        <w:rPr>
          <w:sz w:val="16"/>
          <w:szCs w:val="16"/>
          <w:lang w:val="es-CR"/>
        </w:rPr>
        <w:t xml:space="preserve">Sentencia de 17 de septiembre de 1997. Serie C No. 33, párr. 43, y </w:t>
      </w:r>
      <w:r w:rsidRPr="009C15B0">
        <w:rPr>
          <w:rFonts w:eastAsiaTheme="minorHAnsi" w:cstheme="minorBidi"/>
          <w:i/>
          <w:sz w:val="16"/>
          <w:szCs w:val="16"/>
          <w:lang w:val="es-CR" w:eastAsia="en-US"/>
        </w:rPr>
        <w:t xml:space="preserve">Caso Pacheco León y otros Vs. Honduras. Fondo, Reparaciones y Costas. </w:t>
      </w:r>
      <w:r w:rsidRPr="009C15B0">
        <w:rPr>
          <w:rFonts w:eastAsiaTheme="minorHAnsi" w:cstheme="minorBidi"/>
          <w:sz w:val="16"/>
          <w:szCs w:val="16"/>
          <w:lang w:val="es-CR" w:eastAsia="en-US"/>
        </w:rPr>
        <w:t>Sentencia de 15 de noviembre 2017. Serie C No. 342, párr. 20.</w:t>
      </w:r>
    </w:p>
  </w:footnote>
  <w:footnote w:id="43">
    <w:p w14:paraId="77672B5A" w14:textId="555931DF"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Certificado de nacimiento de V.R.P. emitido por el Registro del Estado Civil de las Personas de Jinotega (expediente de prueba, tomo XV, anexo 2.a al sometimiento del caso, folio 6632).</w:t>
      </w:r>
    </w:p>
  </w:footnote>
  <w:footnote w:id="44">
    <w:p w14:paraId="4BF71827" w14:textId="03AD4E18"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Cédulas de identidad de H.J.R.P. y V.A.R.P. y licencia de conducir de N.R.P. (expediente de prueba, tomo XVI, anexos B.3, B.4 y B.5 al escrito de solicitudes, argumentos y pruebas, folios 7089 a 7092). Véase también, Informe del Ministerio de la Familia, Delegación Jinotega, emitido el 11 de julio de 2002 (expediente de prueba, tomo XV, anexo 1 al sometimiento del caso, folios 6621 a 6630).</w:t>
      </w:r>
    </w:p>
  </w:footnote>
  <w:footnote w:id="45">
    <w:p w14:paraId="61665EC4"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Informe del Ministerio de la Familia, Delegación Jinotega, emitido el 11 de julio de 2002 (expediente de prueba, tomo XV, anexo 1 al sometimiento del caso, folios 6621 a 6630), y Declaración rendida ante la Corte Interamericana por V.P.C. en la audiencia pública celebrada el 16 y 17 de octubre de 2017.</w:t>
      </w:r>
    </w:p>
  </w:footnote>
  <w:footnote w:id="46">
    <w:p w14:paraId="2F4E73CC"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Certificaciones emitidas por el Ministerio de Justicia (expediente de trámite ante la Comisión, tomo XI, folios 4132 y 4134), y Declaración rendida ante la Corte Interamericana por V.P.C. en la audiencia pública celebrada el 16 y 17 de octubre de 2017.</w:t>
      </w:r>
    </w:p>
  </w:footnote>
  <w:footnote w:id="47">
    <w:p w14:paraId="6CC1B36F" w14:textId="4195299C"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En el expediente interno se dejó constancia de “una [</w:t>
      </w:r>
      <w:r w:rsidRPr="009C15B0">
        <w:rPr>
          <w:i/>
          <w:sz w:val="16"/>
          <w:szCs w:val="16"/>
          <w:lang w:val="es-CR"/>
        </w:rPr>
        <w:t>sic</w:t>
      </w:r>
      <w:r w:rsidRPr="009C15B0">
        <w:rPr>
          <w:sz w:val="16"/>
          <w:szCs w:val="16"/>
          <w:lang w:val="es-CR"/>
        </w:rPr>
        <w:t>] volante que refiere que el acusado [H.R.A.], es un compañero de lucha al que se le estaba procesando injustamente, volante suscrita [</w:t>
      </w:r>
      <w:r w:rsidRPr="009C15B0">
        <w:rPr>
          <w:i/>
          <w:sz w:val="16"/>
          <w:szCs w:val="16"/>
          <w:lang w:val="es-CR"/>
        </w:rPr>
        <w:t>sic</w:t>
      </w:r>
      <w:r w:rsidRPr="009C15B0">
        <w:rPr>
          <w:sz w:val="16"/>
          <w:szCs w:val="16"/>
          <w:lang w:val="es-CR"/>
        </w:rPr>
        <w:t xml:space="preserve">] [por una persona], quien a la vez se presentó como testigo en el Tribunal de Jurados como miembro del Partido Frente Sandinista, declarando a favor del procesado”. Constancia del Juez Suplente de Distrito del Crimen de Jinotega, de fecha 1 de agosto de 2003 (expediente de trámite </w:t>
      </w:r>
      <w:r w:rsidRPr="009C15B0">
        <w:rPr>
          <w:rFonts w:cs="Verdana"/>
          <w:sz w:val="16"/>
          <w:szCs w:val="16"/>
          <w:lang w:val="es-CR"/>
        </w:rPr>
        <w:t>ante la Comisión</w:t>
      </w:r>
      <w:r w:rsidRPr="009C15B0">
        <w:rPr>
          <w:sz w:val="16"/>
          <w:szCs w:val="16"/>
          <w:lang w:val="es-CR"/>
        </w:rPr>
        <w:t>, tomo X, folio 3856).</w:t>
      </w:r>
    </w:p>
  </w:footnote>
  <w:footnote w:id="48">
    <w:p w14:paraId="6FBD36D8" w14:textId="126A1613"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Sentencia emitida por el Juzgado de Distrito para lo Civil de Jinotega el 31 de enero de 2002 (expediente de prueba, tomo XV, anexo 3 al sometimiento del caso, folios 6704 a 6706).</w:t>
      </w:r>
    </w:p>
  </w:footnote>
  <w:footnote w:id="49">
    <w:p w14:paraId="68997721" w14:textId="5FFA17BD"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xml:space="preserve">. Declaración </w:t>
      </w:r>
      <w:r w:rsidRPr="009C15B0">
        <w:rPr>
          <w:i/>
          <w:sz w:val="16"/>
          <w:szCs w:val="16"/>
          <w:lang w:val="es-CR"/>
        </w:rPr>
        <w:t>ad-inquirendum</w:t>
      </w:r>
      <w:r w:rsidRPr="009C15B0">
        <w:rPr>
          <w:sz w:val="16"/>
          <w:szCs w:val="16"/>
          <w:lang w:val="es-CR"/>
        </w:rPr>
        <w:t xml:space="preserve"> rendida por V.R.P. ante el Juez de Distrito Penal de Jinotega el 21 de noviembre de 2001 (expediente de prueba, tomo XVII, anexo 9 a la contestación, folios 8201 a 8202), y Declaración rendida ante la Corte Interamericana por V.R.P. en la audiencia privada celebrada el 16 de octubre de 2017. Véase también, Informe Psicológico N° 16275/01 del Instituto de Medicina Legal de la Corte Suprema de Justicia emitido el 27 de noviembre de 2001 (expediente de prueba, tomo XV, anexo 4 al sometimiento del caso, folios 6708 a 6709); Dictamen Médico Legal N° 16273/01 del Instituto de Medicina Legal de la Corte Suprema de Justicia emitido el 27 de noviembre de 2001 (expediente de prueba, tomo XV, anexo 4 al sometimiento del caso, folios 6710 a 6712), y Valoración mental de V.R.P. realizada en el Hospital Victoria de Jinotega el 26 de noviembre de 2001 (expediente de prueba, tomo XV, anexo 5 al sometimiento del caso, folio 6714).</w:t>
      </w:r>
    </w:p>
  </w:footnote>
  <w:footnote w:id="50">
    <w:p w14:paraId="627C1CA1"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xml:space="preserve"> Declaración testimonial rendida por Alejandro Anastasio Barahona ante el Juzgado de Distrito para lo Penal el 21 de noviembre de 2001 (expediente de prueba, tomo XVI, anexo E.8 al escrito de solicitudes, argumentos y pruebas, folios 7300 a 7301).</w:t>
      </w:r>
    </w:p>
  </w:footnote>
  <w:footnote w:id="51">
    <w:p w14:paraId="4E633F0E" w14:textId="21A5DF21"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xml:space="preserve"> Revisión ginecológica de 17 de octubre de 2001</w:t>
      </w:r>
      <w:r w:rsidRPr="009C15B0">
        <w:rPr>
          <w:i/>
          <w:sz w:val="16"/>
          <w:szCs w:val="16"/>
          <w:lang w:val="es-CR"/>
        </w:rPr>
        <w:t xml:space="preserve"> </w:t>
      </w:r>
      <w:r w:rsidRPr="009C15B0">
        <w:rPr>
          <w:sz w:val="16"/>
          <w:szCs w:val="16"/>
          <w:lang w:val="es-CR"/>
        </w:rPr>
        <w:t>(expediente de prueba, tomo XVI, anexo E.1 al escrito de solicitudes, argumentos y pruebas, folios 7272 a 7273); Declaración testimonial rendida por Yader Peralta Alarcón ante el Juzgado de Distrito para lo Penal el 21 de noviembre de 2001 (expediente de prueba, tomo XVI, anexo E.6 al escrito de solicitudes, argumentos y pruebas, folios 7293 a 7294), y Declaración testimonial rendida por Alejandro Anastasio Barahona ante el Juzgado de Distrito para lo Penal el 21 de noviembre de 2001 (expediente de prueba, tomo XVI, anexo E.8 al escrito de solicitudes, argumentos y pruebas, folios 7300 a 7301).</w:t>
      </w:r>
    </w:p>
  </w:footnote>
  <w:footnote w:id="52">
    <w:p w14:paraId="5076CB82" w14:textId="4C006264"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xml:space="preserve"> Epicrisis de 24 de octubre de 2001 (expediente de prueba, tomo XVI, anexo E.1 al escrito de solicitudes, argumentos y pruebas, folio 7268). Véase también, Dictamen Médico Legal N° 16273/01 del Instituto de Medicina Legal de la Corte Suprema de Justicia emitido el 27 de noviembre de 2001 (expediente de prueba, tomo XV, anexo 4 al sometimiento del caso, folios 6710 a 6712); Declaración rendida ante la Corte Interamericana por V.R.P. en la audiencia privada celebrada el 16 de octubre de 2017; Declaración rendida ante la Corte Interamericana por V.P.C. en la audiencia pública celebrada el 16 y 17 de octubre de 2017, y Declaración rendida ante fedatario público por H.J.R.P. el 9 de octubre de 2017 (expediente de prueba, tomo XVIII, </w:t>
      </w:r>
      <w:r w:rsidRPr="009C15B0">
        <w:rPr>
          <w:i/>
          <w:sz w:val="16"/>
          <w:szCs w:val="16"/>
          <w:lang w:val="es-CR"/>
        </w:rPr>
        <w:t>affidávits</w:t>
      </w:r>
      <w:r w:rsidRPr="009C15B0">
        <w:rPr>
          <w:sz w:val="16"/>
          <w:szCs w:val="16"/>
          <w:lang w:val="es-CR"/>
        </w:rPr>
        <w:t>, folio 8347).</w:t>
      </w:r>
    </w:p>
  </w:footnote>
  <w:footnote w:id="53">
    <w:p w14:paraId="1BA9FE28" w14:textId="28D22518"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xml:space="preserve"> Declaración testimonial rendida por Alejandro Anastasio Barahona ante el Juzgado de Distrito para lo Penal el 21 de noviembre de 2001 (expediente de prueba, tomo XVI, anexo E.8 al escrito de solicitudes, argumentos y pruebas, folio 7302), y Declaración testimonial rendida por Yader Peralta Alarcón ante el Juzgado de Distrito para lo Penal el 21 de noviembre de 2001 (expediente de prueba, tomo XVI, anexo E.6 al escrito de solicitudes, argumentos y pruebas, folio 7294).</w:t>
      </w:r>
    </w:p>
  </w:footnote>
  <w:footnote w:id="54">
    <w:p w14:paraId="63880531"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Declaración rendida ante la Corte Interamericana por V.P.C. en la audiencia pública celebrada el 16 y 17 de octubre de 2017, y Escrito de denuncia de 19 de noviembre de 2001 presentado al día siguiente (expediente de prueba, tomo XVI, anexo D.1 al escrito de solicitudes, argumentos y pruebas, folios 7122 a 7136).</w:t>
      </w:r>
    </w:p>
  </w:footnote>
  <w:footnote w:id="55">
    <w:p w14:paraId="743C1FA2" w14:textId="37BA0CDC"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De acuerdo al artículo 154 del Código de Instrucción Criminal: “[e]l ofendido o injuriado dará ante todo su declaración &lt;ad-inquirendum&gt;, bajo juramento, salvo el caso de imposibilidad, en que se diferirá aquella hasta que desaparezca el impedimento” (expediente de prueba, tomo XVII, anexo 2 a la contestación, folio 8048).</w:t>
      </w:r>
    </w:p>
  </w:footnote>
  <w:footnote w:id="56">
    <w:p w14:paraId="41968D33"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xml:space="preserve">. Declaración </w:t>
      </w:r>
      <w:r w:rsidRPr="009C15B0">
        <w:rPr>
          <w:i/>
          <w:sz w:val="16"/>
          <w:szCs w:val="16"/>
          <w:lang w:val="es-CR"/>
        </w:rPr>
        <w:t>ad-inquirendum</w:t>
      </w:r>
      <w:r w:rsidRPr="009C15B0">
        <w:rPr>
          <w:sz w:val="16"/>
          <w:szCs w:val="16"/>
          <w:lang w:val="es-CR"/>
        </w:rPr>
        <w:t xml:space="preserve"> rendida por V.R.P. ante el Juez de Distrito Penal de Jinotega el 21 de noviembre de 2001 (expediente de prueba, tomo XVII, anexo 9 a la contestación, folios 8201 a 8202).</w:t>
      </w:r>
    </w:p>
  </w:footnote>
  <w:footnote w:id="57">
    <w:p w14:paraId="2FDF8B93"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xml:space="preserve">. Declaración </w:t>
      </w:r>
      <w:r w:rsidRPr="009C15B0">
        <w:rPr>
          <w:i/>
          <w:sz w:val="16"/>
          <w:szCs w:val="16"/>
          <w:lang w:val="es-CR"/>
        </w:rPr>
        <w:t>ad-inquirendum</w:t>
      </w:r>
      <w:r w:rsidRPr="009C15B0">
        <w:rPr>
          <w:sz w:val="16"/>
          <w:szCs w:val="16"/>
          <w:lang w:val="es-CR"/>
        </w:rPr>
        <w:t xml:space="preserve"> rendida por V.P.C. ante el Juez de Distrito Penal de Jinotega el 21 de noviembre de 2001 (expediente de prueba, tomo XV, anexo 2.b al sometimiento del caso, folio 6634).</w:t>
      </w:r>
    </w:p>
  </w:footnote>
  <w:footnote w:id="58">
    <w:p w14:paraId="56F58725"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Auto emitido por el Juzgado de Distrito Penal de Jinotega el 21 de noviembre de 2001 (expediente de prueba, tomo XVII, anexo 31 a la contestación, folio 8275).</w:t>
      </w:r>
    </w:p>
  </w:footnote>
  <w:footnote w:id="59">
    <w:p w14:paraId="244E7048" w14:textId="60A2F893"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Declaración indagatoria rendida por H.R.A. el 21 de noviembre de 2001 (expediente de prueba, tomo XV, anexo 2.d al sometimiento del caso, folios 6639 a 6648).</w:t>
      </w:r>
    </w:p>
  </w:footnote>
  <w:footnote w:id="60">
    <w:p w14:paraId="70364BD3"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Comunicación de V.P.C. dirigida al Procurador Especial de la Niñez y Adolescencia el 9 de septiembre de 2002 (expediente de prueba, tomo XVI, anexo E.85 al escrito de solicitudes, argumentos y pruebas, folio 7586).</w:t>
      </w:r>
    </w:p>
  </w:footnote>
  <w:footnote w:id="61">
    <w:p w14:paraId="6E07DD67"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Presentación de V.P.C. ante la Comisión IDH del 20 de abril de 2009 (expediente de prueba, tomo XV, anexo 37 al sometimiento del caso, folio 7003).</w:t>
      </w:r>
    </w:p>
  </w:footnote>
  <w:footnote w:id="62">
    <w:p w14:paraId="3EC5AD15" w14:textId="61310348"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Auto emitido por el Juzgado de Distrito Penal de Jinotega el 21 de noviembre de 2001 (expediente de prueba, tomo XVII, anexo 31 a la contestación, folio 8275).</w:t>
      </w:r>
    </w:p>
  </w:footnote>
  <w:footnote w:id="63">
    <w:p w14:paraId="408DD16D" w14:textId="3057DBBD"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Constancia emitida por Radio Stereo Libre, 95.3FM, el 2 de agosto de 2003 (expediente de prueba, tomo XVI, anexo E.55 al escrito de solicitudes, argumentos y pruebas, folio 7492).</w:t>
      </w:r>
    </w:p>
  </w:footnote>
  <w:footnote w:id="64">
    <w:p w14:paraId="1BA8116D"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Informe del Estado de Nicaragua sobre el caso de la niña V.R.P., Petición N° P 4408/02, emitido el 13 de diciembre de 2005 (expediente de prueba, tomo XV, anexo 17 al sometimiento del caso, folio 6848).</w:t>
      </w:r>
    </w:p>
  </w:footnote>
  <w:footnote w:id="65">
    <w:p w14:paraId="19B1395F" w14:textId="6DFFFDA3"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Comunicación del Juzgado de Distrito Penal de Jinotega al Director del Hospital Victoria de Jinotega de 22 de noviembre de 2001 (expediente de prueba, tomo XVI, anexo E.9 al escrito de solicitudes, argumentos y pruebas, folio 7304).</w:t>
      </w:r>
    </w:p>
  </w:footnote>
  <w:footnote w:id="66">
    <w:p w14:paraId="3EF2C2E2" w14:textId="23EF40F3"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Comunicación del Director del Hospital Victoria de Jinotega al Juzgado de Distrito Penal de Jinotega de 22 de noviembre de 2001 (expediente de prueba, tomo XVI, anexo E.10 al escrito de solicitudes, argumentos y pruebas, folio 7306).</w:t>
      </w:r>
    </w:p>
  </w:footnote>
  <w:footnote w:id="67">
    <w:p w14:paraId="022B3BFC" w14:textId="64FD2682" w:rsidR="007F7D87" w:rsidRPr="009C15B0" w:rsidRDefault="007F7D87" w:rsidP="001E6358">
      <w:pPr>
        <w:tabs>
          <w:tab w:val="left" w:pos="567"/>
        </w:tabs>
        <w:spacing w:after="60" w:line="240" w:lineRule="auto"/>
        <w:rPr>
          <w:sz w:val="16"/>
          <w:szCs w:val="16"/>
        </w:rPr>
      </w:pPr>
      <w:r w:rsidRPr="009C15B0">
        <w:rPr>
          <w:rStyle w:val="FootnoteReference"/>
          <w:sz w:val="16"/>
          <w:szCs w:val="16"/>
        </w:rPr>
        <w:footnoteRef/>
      </w:r>
      <w:r w:rsidRPr="009C15B0">
        <w:rPr>
          <w:sz w:val="16"/>
          <w:szCs w:val="16"/>
        </w:rPr>
        <w:t xml:space="preserve"> </w:t>
      </w:r>
      <w:r w:rsidRPr="009C15B0">
        <w:rPr>
          <w:sz w:val="16"/>
          <w:szCs w:val="16"/>
        </w:rPr>
        <w:tab/>
      </w:r>
      <w:r w:rsidRPr="009C15B0">
        <w:rPr>
          <w:i/>
          <w:sz w:val="16"/>
          <w:szCs w:val="16"/>
        </w:rPr>
        <w:t>Cfr</w:t>
      </w:r>
      <w:r w:rsidRPr="009C15B0">
        <w:rPr>
          <w:sz w:val="16"/>
          <w:szCs w:val="16"/>
        </w:rPr>
        <w:t>. Acta judicial de 22 de noviembre de 2001 (expediente de prueba, tomo XVI, anexo E.11 al escrito de solicitudes, argumentos y pruebas, folios 7308 a 7309).</w:t>
      </w:r>
    </w:p>
  </w:footnote>
  <w:footnote w:id="68">
    <w:p w14:paraId="4FA8EAE4" w14:textId="14DC75AA"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Acta judicial de 22 de noviembre de 2001 (expediente de prueba, tomo XVI, anexo E.11 al escrito de solicitudes, argumentos y pruebas, folios 7308 a 7309).</w:t>
      </w:r>
      <w:r w:rsidRPr="009C15B0">
        <w:rPr>
          <w:i/>
          <w:sz w:val="16"/>
          <w:szCs w:val="16"/>
          <w:lang w:val="es-CR"/>
        </w:rPr>
        <w:t xml:space="preserve"> </w:t>
      </w:r>
      <w:r w:rsidRPr="009C15B0">
        <w:rPr>
          <w:sz w:val="16"/>
          <w:szCs w:val="16"/>
          <w:lang w:val="es-CR"/>
        </w:rPr>
        <w:t>Véase</w:t>
      </w:r>
      <w:r w:rsidRPr="009C15B0">
        <w:rPr>
          <w:i/>
          <w:sz w:val="16"/>
          <w:szCs w:val="16"/>
          <w:lang w:val="es-CR"/>
        </w:rPr>
        <w:t xml:space="preserve"> </w:t>
      </w:r>
      <w:r w:rsidRPr="009C15B0">
        <w:rPr>
          <w:sz w:val="16"/>
          <w:szCs w:val="16"/>
          <w:lang w:val="es-CR"/>
        </w:rPr>
        <w:t>también, Comunicación dirigida a la Jueza de Distrito del Crimen de Jinotega por parte del médico forense (expediente de prueba, tomo XV, anexo 2.e al sometimiento del caso, folio 6650).</w:t>
      </w:r>
    </w:p>
  </w:footnote>
  <w:footnote w:id="69">
    <w:p w14:paraId="1E481D73" w14:textId="3C1B21AF"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xml:space="preserve">. Presentación efectuada por la señora V.P.C. ante el director del Sistema Local de Atención Integral en Salud el 22 de noviembre de 2001 (expediente de prueba, tomo XV, anexo 9 al sometimiento del caso, folios 6769 a 6770), en la cual denunció que el médico habría manifestado a V.R.P. que “tenía que someterse al trato vulgar de él y que ni siquiera tenía derecho a dar[le] algún sedante”. Más aun, indicó que éste le dijo a la niña: “ya no llores más, las niñas del campo cuando vienen, estando solo yo, la niña y su madre, les digo que abran sus piernas y ellas se dejan […] si vaginalmente no te dejas, ya me parece ver cuando tenga que examinarte el ano”. Todo ello habría tenido lugar ante la presencia de otros profesionales médicos. </w:t>
      </w:r>
      <w:r w:rsidRPr="009C15B0">
        <w:rPr>
          <w:i/>
          <w:sz w:val="16"/>
          <w:szCs w:val="16"/>
          <w:lang w:val="es-CR"/>
        </w:rPr>
        <w:t>Cfr.</w:t>
      </w:r>
      <w:r w:rsidRPr="009C15B0">
        <w:rPr>
          <w:sz w:val="16"/>
          <w:szCs w:val="16"/>
          <w:lang w:val="es-CR"/>
        </w:rPr>
        <w:t xml:space="preserve"> Declaración rendida ante la Corte Interamericana por V.R.P. en la audiencia privada celebrada el 16 de octubre de 2017, y Declaración rendida ante la Corte Interamericana por V.P.C. en la audiencia pública celebrada el 16 y 17 de octubre de 2017.</w:t>
      </w:r>
    </w:p>
  </w:footnote>
  <w:footnote w:id="70">
    <w:p w14:paraId="4F9E8F7B"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Declaración rendida ante la Corte Interamericana por V.R.P. en la audiencia privada celebrada el 16 de octubre de 2017.</w:t>
      </w:r>
    </w:p>
  </w:footnote>
  <w:footnote w:id="71">
    <w:p w14:paraId="10F33F33" w14:textId="5916744E" w:rsidR="007F7D87" w:rsidRPr="009C15B0" w:rsidRDefault="007F7D87" w:rsidP="001E6358">
      <w:pPr>
        <w:pStyle w:val="FootnoteText"/>
        <w:tabs>
          <w:tab w:val="left" w:pos="567"/>
        </w:tabs>
        <w:spacing w:after="60"/>
        <w:rPr>
          <w:sz w:val="16"/>
          <w:szCs w:val="16"/>
          <w:lang w:val="es-CR"/>
        </w:rPr>
      </w:pPr>
      <w:r w:rsidRPr="009C15B0">
        <w:rPr>
          <w:rStyle w:val="FootnoteReference"/>
          <w:rFonts w:eastAsia="MS ????"/>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Declaración rendida ante la Corte Interamericana por V.P.C. en la audiencia pública celebrada el 16 y 17 de octubre de 2017; Declaración rendida ante la Corte Interamericana por V.R.P. en la audiencia privada celebrada el 16 de octubre de 2017, y Declaración testimonial de L.C. prestada el 23 de noviembre de 2001 (expediente de prueba, tomo XVI, anexo E.12 al escrito de solicitudes, argumentos y pruebas, folio 7313).</w:t>
      </w:r>
    </w:p>
  </w:footnote>
  <w:footnote w:id="72">
    <w:p w14:paraId="5ECC2F03" w14:textId="595BA316" w:rsidR="007F7D87" w:rsidRPr="009C15B0" w:rsidRDefault="007F7D87" w:rsidP="001E6358">
      <w:pPr>
        <w:pStyle w:val="FootnoteText"/>
        <w:tabs>
          <w:tab w:val="left" w:pos="567"/>
        </w:tabs>
        <w:spacing w:after="60"/>
        <w:rPr>
          <w:b/>
          <w:sz w:val="16"/>
          <w:szCs w:val="16"/>
          <w:lang w:val="es-CR"/>
        </w:rPr>
      </w:pPr>
      <w:r w:rsidRPr="009C15B0">
        <w:rPr>
          <w:rStyle w:val="FootnoteReference"/>
          <w:rFonts w:eastAsia="MS ????"/>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Declaración rendida ante la Corte Interamericana por V.P.C. en la audiencia pública celebrada el 16 y 17 de octubre de 2017, y Acta judicial de 22 de noviembre de 2001 (expediente de prueba, tomo XVI, anexo E.11 al escrito de solicitudes, argumentos y pruebas, folios 7308 a 7309).</w:t>
      </w:r>
    </w:p>
  </w:footnote>
  <w:footnote w:id="73">
    <w:p w14:paraId="5A347BBA"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Escrito presentado por V.P.C. ante el Juez del Distrito Criminal el 23 de noviembre de 2001 (expediente de prueba, tomo XVII, anexo 12 a la contestación, folios 8213 a 8214).</w:t>
      </w:r>
    </w:p>
  </w:footnote>
  <w:footnote w:id="74">
    <w:p w14:paraId="2A7B6F28" w14:textId="2B8C6FCA"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Auto emitido por el Juzgado de Distrito para lo Penal de Jinotega el 23 de noviembre de 2001 (expediente de prueba, tomo XVII, anexo 10 a la contestación, folio 8204).</w:t>
      </w:r>
    </w:p>
  </w:footnote>
  <w:footnote w:id="75">
    <w:p w14:paraId="5C640A2D" w14:textId="570723B1"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Declaración rendida ante la Corte Interamericana por V.R.P. en la audiencia privada celebrada el 16 de octubre de 2017, y Declaración rendida ante la Corte Interamericana por V.P.C. en la audiencia pública celebrada el 16 y 17 de octubre de 2017. Véase también, Presentación de V.P.C. ante la Comisión IDH de 27 de septiembre de 2007 (expediente de prueba, tomo XV, anexo 32 al sometimiento del caso, folio 6962).</w:t>
      </w:r>
    </w:p>
  </w:footnote>
  <w:footnote w:id="76">
    <w:p w14:paraId="04E7467B"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Valoración mental de V.R.P. realizada en el Hospital Victoria de Jinotega el 26 de noviembre de 2001 (expediente de prueba, tomo XV, anexo 5 al sometimiento del caso, folio 6714).</w:t>
      </w:r>
    </w:p>
  </w:footnote>
  <w:footnote w:id="77">
    <w:p w14:paraId="37877FE7"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Dictamen Médico Legal N° 16273/01 del Instituto de Medicina Legal de la Corte Suprema de Justicia emitido el 27 de noviembre de 2001 (expediente de prueba, tomo XV, anexo 4 al sometimiento del caso, folios 6710 a 6712).</w:t>
      </w:r>
    </w:p>
  </w:footnote>
  <w:footnote w:id="78">
    <w:p w14:paraId="644282A1"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Dictamen Médico Legal N° 16273/01 del Instituto de Medicina Legal de la Corte Suprema de Justicia emitido el 27 de noviembre de 2001 (expediente de prueba, tomo XV, anexo 4 al sometimiento del caso, folios 6710 a 6712).</w:t>
      </w:r>
    </w:p>
  </w:footnote>
  <w:footnote w:id="79">
    <w:p w14:paraId="669A3FCA"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Declaración rendida ante la Corte Interamericana por V.P.C. en la audiencia pública celebrada el 16 y 17 de octubre de 2017, y Presentación de V.P.C. ante la Comisión IDH de septiembre de 2007 (expediente de prueba, tomo XV, anexo 32 al sometimiento del caso, folios 6962 a 6963).</w:t>
      </w:r>
    </w:p>
  </w:footnote>
  <w:footnote w:id="80">
    <w:p w14:paraId="468E1867"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Dictamen Médico Legal N° 16273/01 del Instituto de Medicina Legal de la Corte Suprema de Justicia emitido el 27 de noviembre de 2001 (expediente de prueba, tomo XV, anexo 4 al sometimiento del caso, folios 6710 a 6712).</w:t>
      </w:r>
    </w:p>
  </w:footnote>
  <w:footnote w:id="81">
    <w:p w14:paraId="544AF019" w14:textId="315AA3F3"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Informe Psicológico N° 16275/01 del Instituto de Medicina Legal de la Corte Suprema de Justicia emitido el 27 de noviembre de 2001 (expediente de prueba, tomo XV, anexo 4 al sometimiento del caso, folios 6708 a 6709).</w:t>
      </w:r>
    </w:p>
  </w:footnote>
  <w:footnote w:id="82">
    <w:p w14:paraId="59E9D043"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Dictamen Médico Legal N° 16271-2001 a H.R.A. del Instituto de Medicina Legal de la Corte Suprema de Justicia emitido de 27 de noviembre de 2001 (expediente de prueba, tomo XVII, anexo 20 al escrito de contestación, folio 8244).</w:t>
      </w:r>
    </w:p>
  </w:footnote>
  <w:footnote w:id="83">
    <w:p w14:paraId="79E78ABB" w14:textId="7102F996"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Informe de seguimiento a la niña V.R.P. elaborado el 21 de febrero de 2002 por la Dra. María Delma Terán Caldera, médica psiquiatra del Hospital Victoria Motta, Jinotega (expediente de prueba, tomo XVII, anexo 17 al escrito de contestación, folios 8232 a 8233). Véase también, estudio de psiquiatría de 22 de abril de 2002 realizado en el Hospital Victoria Motta de Jinotega (expediente de prueba, tomo XVI, anexo E.3 al escrito de solicitudes, argumentos y pruebas, folio 7280).</w:t>
      </w:r>
    </w:p>
  </w:footnote>
  <w:footnote w:id="84">
    <w:p w14:paraId="42C21375"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Estudio de psiquiatría de 22 de abril de 2002 realizado en el Hospital Victoria de Jinotega (expediente de prueba, tomo XVII, anexo 18 al escrito de contestación, folios 8237 a 8239).</w:t>
      </w:r>
    </w:p>
  </w:footnote>
  <w:footnote w:id="85">
    <w:p w14:paraId="2A713C28" w14:textId="53D8F889"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Acta de Inspección Ocular Judicial y Reconstrucción de los Hechos emitida el 29 de noviembre de 2001 (expediente de prueba, tomo XV, anexo 15 al sometimiento del caso, folios 6836 a 6841).</w:t>
      </w:r>
    </w:p>
  </w:footnote>
  <w:footnote w:id="86">
    <w:p w14:paraId="551D9D67" w14:textId="45C3861F"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Acta de Inspección Ocular Judicial y Reconstrucción de los Hechos emitida el 29 de noviembre de 2001 (expediente de prueba, tomo XV, anexo 15 al sometimiento del caso, folio 6836).</w:t>
      </w:r>
    </w:p>
  </w:footnote>
  <w:footnote w:id="87">
    <w:p w14:paraId="6C2C4E35" w14:textId="78FD31BE"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Acta de Inspección Ocular Judicial y Reconstrucción de los Hechos emitida el 29 de noviembre de 2001 (expediente de prueba, tomo XV, anexo 15 al sometimiento del caso, folio 6838). Véase también, Declaración rendida ante la Corte Interamericana por V.R.P. en la audiencia privada celebrada el 16 de octubre de 2017, y Declaración rendida ante la Corte Interamericana por V.P.C. en la audiencia pública celebrada el 16 y 17 de octubre de 2017.</w:t>
      </w:r>
    </w:p>
  </w:footnote>
  <w:footnote w:id="88">
    <w:p w14:paraId="7AC146A1" w14:textId="246A481A"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Acta de Inspección Ocular Judicial y Reconstrucción de los Hechos emitida el 29 de noviembre de 2001 (expediente de prueba, tomo XV, anexo 15 al sometimiento del caso, folio 6839).</w:t>
      </w:r>
    </w:p>
  </w:footnote>
  <w:footnote w:id="89">
    <w:p w14:paraId="63BF8699" w14:textId="4B053EC1"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Sentencia Penal N° 714 emitida por el Juzgado de Distrito Penal de Jinotega el 30 de noviembre de 2001 (expediente de prueba, tomo XV, anexo 2.f al sometimiento del caso, folio 6661).</w:t>
      </w:r>
    </w:p>
  </w:footnote>
  <w:footnote w:id="90">
    <w:p w14:paraId="01D00D71" w14:textId="11C01F1B" w:rsidR="007F7D87" w:rsidRPr="009C15B0" w:rsidRDefault="007F7D87" w:rsidP="0074764E">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Sentencia Penal N° 714 emitida por el Juzgado de Distrito Penal de Jinotega el 30 de noviembre de 2001 (expediente de prueba, tomo XV, anexo 2.f al sometimiento del caso, folio 6661).</w:t>
      </w:r>
    </w:p>
  </w:footnote>
  <w:footnote w:id="91">
    <w:p w14:paraId="459B7C04" w14:textId="270FD910"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Sentencia Penal N° 714 emitida por el Juzgado de Distrito Penal de Jinotega el 30 de noviembre de 2001 (expediente de prueba, tomo XV, anexo 2.f al sometimiento del caso, folio 6661).</w:t>
      </w:r>
    </w:p>
  </w:footnote>
  <w:footnote w:id="92">
    <w:p w14:paraId="78F17686" w14:textId="42E634F5"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 xml:space="preserve">Esta sentencia fue apelada por la defensa del acusado. No obstante, dicho recurso fue rechazado por lo que la Sentencia Penal N° 714 fue confirmada. </w:t>
      </w:r>
      <w:r w:rsidRPr="009C15B0">
        <w:rPr>
          <w:i/>
          <w:sz w:val="16"/>
          <w:szCs w:val="16"/>
          <w:lang w:val="es-CR"/>
        </w:rPr>
        <w:t xml:space="preserve">Cfr. </w:t>
      </w:r>
      <w:r w:rsidRPr="009C15B0">
        <w:rPr>
          <w:sz w:val="16"/>
          <w:szCs w:val="16"/>
          <w:lang w:val="es-CR"/>
        </w:rPr>
        <w:t>Sentencia Penal N° 89 emitida por la Sala de lo Penal del Tribunal de Apelaciones de la Circunscripción Norte de Matagalpa el 10 de julio de 2002 (expediente de prueba, tomo XV, anexo 8 al sometimiento del caso, folios 6734 a 6767).</w:t>
      </w:r>
    </w:p>
  </w:footnote>
  <w:footnote w:id="93">
    <w:p w14:paraId="625CE10C" w14:textId="20ED5A68"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Sentencia Penal N° 714 emitida por el Juzgado de Distrito Penal de Jinotega el 30 de noviembre de 2001 (expediente de prueba, tomo XV, anexo 2.f al sometimiento del caso, folios 6652 a 6665).</w:t>
      </w:r>
    </w:p>
  </w:footnote>
  <w:footnote w:id="94">
    <w:p w14:paraId="203278A1"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Cédula judicial emitida por el Juzgado de Distrito Penal el 6 de diciembre de 2001 (expediente de prueba, tomo XV, anexo 2.h al sometimiento del caso, folio 6670).</w:t>
      </w:r>
    </w:p>
  </w:footnote>
  <w:footnote w:id="95">
    <w:p w14:paraId="4B4A8836"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Acta de desinsaculación de jurados de 9 de abril de 2002 (expediente de prueba, tomo XVII, anexo 38 a la contestación, folio 8310).</w:t>
      </w:r>
    </w:p>
  </w:footnote>
  <w:footnote w:id="96">
    <w:p w14:paraId="055863A6" w14:textId="5BC5E22C"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Auto emitido por el Juzgado Penal de Distrito de Jinotega el 10 de abril de 2002 (expediente de prueba, tomo XVII, anexo 21 a la contestación, folio 8247).</w:t>
      </w:r>
    </w:p>
  </w:footnote>
  <w:footnote w:id="97">
    <w:p w14:paraId="2AF39D97"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Acta de desinsaculación de jurados de 10 de abril de 2002 (expediente de prueba, tomo XVII, anexo 38 a la contestación, folio 8312).</w:t>
      </w:r>
    </w:p>
  </w:footnote>
  <w:footnote w:id="98">
    <w:p w14:paraId="5EF16BDE" w14:textId="5FCAD900"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Cédula Judicial emitida por el Juzgado de Distrito Penal el 10 de abril de 2002 (expediente de prueba, tomo XV, anexo 2.i al sometimiento del caso, folio 6673); Citación de jurados emitida por el Juzgado Penal de Distrito de Jinotega el 10 de abril de 2002 (expediente de prueba, tomo XV, anexo 2.j al sometimiento del caso, folio 6675); Presentación efectuada por la defensa del acusado ante el referido Juzgado el 10 de abril de 2002 (expediente de prueba, tomo XV, anexo 2.k al sometimiento del caso, folios 6677 a 6678), y Constancia médica (expediente de prueba, tomo XVII, anexo 22 a la contestación, folio 8249).</w:t>
      </w:r>
    </w:p>
  </w:footnote>
  <w:footnote w:id="99">
    <w:p w14:paraId="6EC3FE76"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Acta de desinsaculación de jurados de 11 de abril de 2002 (expediente de prueba, tomo XVII, anexo 38 a la contestación, folio 8314).</w:t>
      </w:r>
    </w:p>
  </w:footnote>
  <w:footnote w:id="100">
    <w:p w14:paraId="7005D466"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Citación de jurados emitida por el Juzgado Penal de Distrito de Jinotega el 11 de abril de 2002 (expediente de prueba, tomo XV, anexo 2.l al sometimiento del caso, folio 6680).</w:t>
      </w:r>
    </w:p>
  </w:footnote>
  <w:footnote w:id="101">
    <w:p w14:paraId="2AB23DAC" w14:textId="4CB212B6"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xml:space="preserve"> Escrito del abogado defensor presentado el 11 de abril de 2002 (expediente de prueba, tomo XVI, anexo E.49 al escrito de solicitudes, argumentos y pruebas, folio 7474).</w:t>
      </w:r>
    </w:p>
  </w:footnote>
  <w:footnote w:id="102">
    <w:p w14:paraId="12F4C9A0"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Escritos del abogado de la parte acusadora presentados el 12 de abril de 2002 (expediente de prueba, tomo XVI, anexos E.50 y E.51 al escrito de solicitudes, argumentos y pruebas, folios 7476 y 7479).</w:t>
      </w:r>
    </w:p>
  </w:footnote>
  <w:footnote w:id="103">
    <w:p w14:paraId="53E7C64E"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Auto emitido por el Juzgado Penal de Distrito de Jinotega el 12 de abril de 2002 (expediente de prueba, tomo XVII, anexo 39 a la contestación, folio 8318).</w:t>
      </w:r>
    </w:p>
  </w:footnote>
  <w:footnote w:id="104">
    <w:p w14:paraId="7DAF8D9A" w14:textId="3468A9C6"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Al respecto, el defensor de oficio del procesado solicitó que se le permitiera ser auxiliado por dos “doctores”, lo que le fue admitido y que “el [abogado acusador] expresó en esa ocasión de que si él podía estar asistido por dos abogados más, yo creo que le dije que sí, que por mí no había ningún problema, tratándose de la complejidad del caso, pero según recuerdo y creo no equivocarme la [jueza] le dijo al [abogado acusador], que no, y que iba a suspender el jurado, y quedamos de acuerdo en ese momento de que no iba a haber ningún problema”. Acta de declaración testifical del señor Juan Alberto Núñez Gano emitida el 9 de febrero de 2005 (expediente prueba, tomo XVI, anexo E.52 al escrito de solicitudes, argumentos y pruebas, folio 7481). En igual sentido, Auto emitido por el Juez del Distrito para lo Penal de Jinotega el 15 de abril de 2002 (expediente de prueba, tomo XVI, anexo D.2 al escrito de solicitudes, argumentos y pruebas, folios 7136 a 7137).</w:t>
      </w:r>
    </w:p>
  </w:footnote>
  <w:footnote w:id="105">
    <w:p w14:paraId="52D84308" w14:textId="0DB59692" w:rsidR="007F7D87" w:rsidRPr="009C15B0" w:rsidRDefault="007F7D87" w:rsidP="001E6358">
      <w:pPr>
        <w:tabs>
          <w:tab w:val="left" w:pos="567"/>
        </w:tabs>
        <w:spacing w:after="60" w:line="240" w:lineRule="auto"/>
        <w:rPr>
          <w:sz w:val="16"/>
          <w:szCs w:val="16"/>
        </w:rPr>
      </w:pPr>
      <w:r w:rsidRPr="009C15B0">
        <w:rPr>
          <w:rStyle w:val="FootnoteReference"/>
          <w:sz w:val="16"/>
          <w:szCs w:val="16"/>
        </w:rPr>
        <w:footnoteRef/>
      </w:r>
      <w:r w:rsidRPr="009C15B0">
        <w:rPr>
          <w:sz w:val="16"/>
          <w:szCs w:val="16"/>
        </w:rPr>
        <w:t xml:space="preserve"> </w:t>
      </w:r>
      <w:r w:rsidRPr="009C15B0">
        <w:rPr>
          <w:sz w:val="16"/>
          <w:szCs w:val="16"/>
        </w:rPr>
        <w:tab/>
      </w:r>
      <w:r w:rsidRPr="009C15B0">
        <w:rPr>
          <w:i/>
          <w:sz w:val="16"/>
          <w:szCs w:val="16"/>
        </w:rPr>
        <w:t>Cfr</w:t>
      </w:r>
      <w:r w:rsidRPr="009C15B0">
        <w:rPr>
          <w:sz w:val="16"/>
          <w:szCs w:val="16"/>
        </w:rPr>
        <w:t>. Acta de integración del jurado de 12 de abril de 2002 (expediente de prueba, tomo XV, anexo 2.l al sometimiento del caso, folio 6681). Véase también, Informe elaborado por el equipo de casuística del Despacho del Procurador Especial de la Niñez y la Adolescencia de la Procuraduría para la Defensa de los Derechos Humanos el 10 de marzo de 2003 (expediente de prueba, tomo XV, anexo 24 al sometimiento del caso, folio 6892).</w:t>
      </w:r>
    </w:p>
  </w:footnote>
  <w:footnote w:id="106">
    <w:p w14:paraId="4D906DEF"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Declaración rendida ante la Corte Interamericana por V.P.C. en la audiencia pública celebrada el 16 y 17 de octubre de 2017. Véase también, Presentación de V.P.C. ante la Comisión IDH de octubre de 2002 (expediente de prueba, tomo XV, anexo 7 al sometimiento del caso, folios 6723 a 6724).</w:t>
      </w:r>
    </w:p>
  </w:footnote>
  <w:footnote w:id="107">
    <w:p w14:paraId="38D65679" w14:textId="0C118F55"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Informe elaborado por el equipo de casuística del Despacho del Procurador Especial de la Niñez y la Adolescencia de la Procuraduría para la Defensa de los Derechos Humanos el 10 de marzo de 2003 (expediente de prueba, tomo XV, anexo 24 al sometimiento del caso, folio 6892).</w:t>
      </w:r>
    </w:p>
  </w:footnote>
  <w:footnote w:id="108">
    <w:p w14:paraId="11C021F9" w14:textId="3443C642"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Veredicto N° 33 emitido por el Tribunal de Jurados el 13 de abril de 2002 (expediente de prueba, tomo XV, anexo 2.m al sometimiento del caso, folio 6683).</w:t>
      </w:r>
    </w:p>
  </w:footnote>
  <w:footnote w:id="109">
    <w:p w14:paraId="12E401E9"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Orden de libertad emitido por el Juez del Distrito para lo Penal de Jinotega el 13 de abril de 2002 (expediente de prueba, tomo XV, anexo 2.n al sometimiento del caso, folio 6685).</w:t>
      </w:r>
    </w:p>
  </w:footnote>
  <w:footnote w:id="110">
    <w:p w14:paraId="502A00D0"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Denuncia presentada por las señoras V.P.C. y M.P.C. ante el Juzgado Local del Crimen de Jinotega el 15 de abril de 2002 (expediente de prueba, tomo XVI, anexo E.22 al escrito de solicitudes, argumentos y pruebas, folio 7375 y expediente de trámite ante la Comisión, tomo XI, folio 4047).</w:t>
      </w:r>
    </w:p>
  </w:footnote>
  <w:footnote w:id="111">
    <w:p w14:paraId="766E1C1A"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Incidente de nulidad interpuesto por la representación legal de la señora V.P.C. el 14 de abril de 2002 (expediente de prueba, tomo XV, anexo 2.o al sometimiento del caso, folios 6687 a 6689).</w:t>
      </w:r>
    </w:p>
  </w:footnote>
  <w:footnote w:id="112">
    <w:p w14:paraId="79390AE7" w14:textId="591EC82D"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Escrito presentado por el abogado acusador</w:t>
      </w:r>
      <w:r w:rsidRPr="009C15B0" w:rsidDel="0024226B">
        <w:rPr>
          <w:sz w:val="16"/>
          <w:szCs w:val="16"/>
          <w:lang w:val="es-CR"/>
        </w:rPr>
        <w:t xml:space="preserve"> </w:t>
      </w:r>
      <w:r w:rsidRPr="009C15B0">
        <w:rPr>
          <w:sz w:val="16"/>
          <w:szCs w:val="16"/>
          <w:lang w:val="es-CR"/>
        </w:rPr>
        <w:t>al Juez de Distrito del Crimen de Jinotega el 14 de abril de 2002 (expediente de prueba, tomo XVII, anexo 26 a la contestación, folios 8261 a 8262).</w:t>
      </w:r>
    </w:p>
  </w:footnote>
  <w:footnote w:id="113">
    <w:p w14:paraId="1C642AB1" w14:textId="24CBB875"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Auto emitido por el Juez del Distrito para lo Penal de Jinotega el 15 de abril de 2002 (expediente de prueba, tomo XVI, anexo D.2 al escrito de solicitudes, argumentos y pruebas, folios 7136 a 7137).</w:t>
      </w:r>
    </w:p>
  </w:footnote>
  <w:footnote w:id="114">
    <w:p w14:paraId="49C69BFF" w14:textId="09D73B04"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Escrito presentado por el abogado defensor el 16 de abril de 2002 (expediente de prueba, tomo XVI, anexo D.3 al escrito de solicitudes, argumentos y pruebas, folio 7140).</w:t>
      </w:r>
    </w:p>
  </w:footnote>
  <w:footnote w:id="115">
    <w:p w14:paraId="635B5B5A" w14:textId="0E7D43C4"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Auto emitido por el Juez Suplente del Distrito para lo Penal de Jinotega el 17 de abril de 2002 (expediente de prueba, tomo XVI, anexo D.4 al escrito de solicitudes, argumentos y pruebas, folio 7142).</w:t>
      </w:r>
    </w:p>
  </w:footnote>
  <w:footnote w:id="116">
    <w:p w14:paraId="42CC841B" w14:textId="0F25B2CF"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Escrito presentado por el abogado acusador el 17 de abril de 2002 (expediente de prueba, tomo XVI, anexo D.5 al escrito de solicitudes, argumentos y pruebas, folio 7144).</w:t>
      </w:r>
    </w:p>
  </w:footnote>
  <w:footnote w:id="117">
    <w:p w14:paraId="3AF4D5AD" w14:textId="00AB7DE2"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Escrito presentado por el abogado acusador el 22 de abril de 2002 (expediente de prueba, tomo XVI, anexo D.6 al escrito de solicitudes, argumentos y pruebas, folios 7146 a 7147).</w:t>
      </w:r>
    </w:p>
  </w:footnote>
  <w:footnote w:id="118">
    <w:p w14:paraId="5DB62DD4" w14:textId="48B2DAC0"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Escrito presentado por el abogado defensor el 26 de abril de 2002 (expediente de prueba, tomo XVI, anexo D.7 al escrito de solicitudes, argumentos y pruebas, folio 7149).</w:t>
      </w:r>
    </w:p>
  </w:footnote>
  <w:footnote w:id="119">
    <w:p w14:paraId="31091201" w14:textId="6C5AFE1A"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Auto emitido por el Juez de Distrito Civil de Jinotega el 29 de abril de 2002 (expediente de prueba, tomo XVI, anexo D.8 al escrito de solicitudes, argumentos y pruebas, folio 7151).</w:t>
      </w:r>
    </w:p>
  </w:footnote>
  <w:footnote w:id="120">
    <w:p w14:paraId="44049119" w14:textId="3421BDC8"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Escrito presentado por el abogado acusador el 2 de mayo de 2002 (expediente de prueba, tomo XVI, anexo D.9 al escrito de solicitudes, argumentos y pruebas, folios 7154 a 7155).</w:t>
      </w:r>
    </w:p>
  </w:footnote>
  <w:footnote w:id="121">
    <w:p w14:paraId="7E3F32A9" w14:textId="2CB8A1A4"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Auto emitido por la Juez del Distrito para lo Penal de Jinotega el 6 de mayo de 2002 (expediente de prueba, tomo XVI, anexo D.10 al escrito de solicitudes, argumentos y pruebas, folio 7157).</w:t>
      </w:r>
    </w:p>
  </w:footnote>
  <w:footnote w:id="122">
    <w:p w14:paraId="598781A4" w14:textId="0E7DB62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Escrito presentado por el abogado defensor el 6 de mayo de 2002 (expediente de prueba, tomo XVI, anexo D.11 al escrito de solicitudes, argumentos y pruebas, folios 7159 a 7161).</w:t>
      </w:r>
    </w:p>
  </w:footnote>
  <w:footnote w:id="123">
    <w:p w14:paraId="3E856158" w14:textId="4C1BAE69"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Auto emitido por la Juez del Distrito para lo Penal de Jinotega el 7 de mayo de 2002 (expediente de prueba, tomo XVI, anexo D.12 al escrito de solicitudes, argumentos y pruebas, folio 7163); Escrito presentado por el abogado defensor el 8 de mayo de 2002 (expediente de prueba, tomo XVI, anexo D.13 al escrito de solicitudes, argumentos y pruebas, folio 7165), y Escrito presentado por el abogado acusador el 8 de mayo de 2002 (expediente de prueba, tomo XVI, anexo D.14 al escrito de solicitudes, argumentos y pruebas, folios 7167 a 7168).</w:t>
      </w:r>
    </w:p>
  </w:footnote>
  <w:footnote w:id="124">
    <w:p w14:paraId="0C369657" w14:textId="33C22CCB" w:rsidR="007F7D87" w:rsidRPr="009C15B0" w:rsidRDefault="007F7D87" w:rsidP="001E6358">
      <w:pPr>
        <w:pStyle w:val="FootnoteText"/>
        <w:tabs>
          <w:tab w:val="left" w:pos="567"/>
        </w:tabs>
        <w:spacing w:after="60"/>
        <w:rPr>
          <w:i/>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Escrito presentado por el abogado acusador el 8 de mayo de 2002 (expediente de prueba, tomo XVI, anexo D.14 al escrito de solicitudes, argumentos y pruebas, folio 7167).</w:t>
      </w:r>
    </w:p>
  </w:footnote>
  <w:footnote w:id="125">
    <w:p w14:paraId="1DF454F9"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Presentación de la Fiscal de Jinotega ante el Juzgado para lo Penal de dicha circunscripción el 8 de mayo de 2002 (expediente de prueba, tomo XV, anexo 2.q al sometimiento del caso, folio 6694).</w:t>
      </w:r>
    </w:p>
  </w:footnote>
  <w:footnote w:id="126">
    <w:p w14:paraId="416C8C6E" w14:textId="349490FF"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Escrito presentado por el abogado defensor el 10 de mayo de 2002 (expediente de prueba, tomo XVI, anexo D.15 al escrito de solicitudes, argumentos y pruebas, folios 7170 a 7173).</w:t>
      </w:r>
    </w:p>
  </w:footnote>
  <w:footnote w:id="127">
    <w:p w14:paraId="7C5425BC" w14:textId="3DF5F552" w:rsidR="007F7D87" w:rsidRPr="009C15B0" w:rsidRDefault="007F7D87" w:rsidP="001E6358">
      <w:pPr>
        <w:tabs>
          <w:tab w:val="left" w:pos="567"/>
        </w:tabs>
        <w:spacing w:after="60" w:line="240" w:lineRule="auto"/>
        <w:rPr>
          <w:rFonts w:cs="Arial"/>
          <w:sz w:val="16"/>
          <w:szCs w:val="16"/>
        </w:rPr>
      </w:pPr>
      <w:r w:rsidRPr="009C15B0">
        <w:rPr>
          <w:rStyle w:val="FootnoteReference"/>
          <w:sz w:val="16"/>
          <w:szCs w:val="16"/>
        </w:rPr>
        <w:footnoteRef/>
      </w:r>
      <w:r w:rsidRPr="009C15B0">
        <w:rPr>
          <w:sz w:val="16"/>
          <w:szCs w:val="16"/>
        </w:rPr>
        <w:t xml:space="preserve"> </w:t>
      </w:r>
      <w:r w:rsidRPr="009C15B0">
        <w:rPr>
          <w:sz w:val="16"/>
          <w:szCs w:val="16"/>
        </w:rPr>
        <w:tab/>
      </w:r>
      <w:r w:rsidRPr="009C15B0">
        <w:rPr>
          <w:i/>
          <w:sz w:val="16"/>
          <w:szCs w:val="16"/>
        </w:rPr>
        <w:t>Cfr</w:t>
      </w:r>
      <w:r w:rsidRPr="009C15B0">
        <w:rPr>
          <w:sz w:val="16"/>
          <w:szCs w:val="16"/>
        </w:rPr>
        <w:t>. Sentencia emitida por el Juzgado de Distrito para lo Penal de Jinotega el 13 de mayo de 2002 (expediente de prueba, tomo XV, anexo 2.r al sometimiento del caso, folios 6696 a 6697).</w:t>
      </w:r>
    </w:p>
  </w:footnote>
  <w:footnote w:id="128">
    <w:p w14:paraId="43388BF7" w14:textId="03E43122"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Orden de captura dirigida al Director de Policía el 13 de mayo de 2002 (expediente de prueba, tomo XV, anexo 2.s al sometimiento del caso, folio 6700), y Respuesta a la Orden de Allanamiento y Detención (expediente de prueba, tomo XV, anexo 2.t al sometimiento del caso, folio 6702).</w:t>
      </w:r>
    </w:p>
  </w:footnote>
  <w:footnote w:id="129">
    <w:p w14:paraId="6B5E6782" w14:textId="786E3513"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Escrito presentado por el abogado defensor el 14 de mayo de 2002 (expediente de prueba, tomo XVI, anexo D.19 al escrito de solicitudes, argumentos y pruebas, folios 7182 a 7183).</w:t>
      </w:r>
    </w:p>
  </w:footnote>
  <w:footnote w:id="130">
    <w:p w14:paraId="1FB5CBD5" w14:textId="0D9E364A" w:rsidR="007F7D87" w:rsidRPr="009C15B0" w:rsidRDefault="007F7D87" w:rsidP="001E6358">
      <w:pPr>
        <w:pStyle w:val="FootnoteText"/>
        <w:tabs>
          <w:tab w:val="left" w:pos="567"/>
        </w:tabs>
        <w:spacing w:after="60"/>
        <w:rPr>
          <w:i/>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Escrito presentado por el abogado acusador el 14 de mayo de 2002 (expediente de prueba, tomo XVI, anexo D.20 al escrito de solicitudes, argumentos y pruebas, folios 7185 a 7186), y Auto emitido por la Juez del Distrito para lo Penal de Jinotega el 15 de mayo de 2002 (expediente de prueba, tomo XVI, anexo D.24 al escrito de solicitudes, argumentos y pruebas, folio 7197).</w:t>
      </w:r>
    </w:p>
  </w:footnote>
  <w:footnote w:id="131">
    <w:p w14:paraId="1C59698C" w14:textId="44193FDC"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Oficio a Juez del Distrito para lo Penal de Jinotega de 15 de mayo de 2002 (expediente de prueba, tomo XVI, anexo D.25 al escrito de solicitudes, argumentos y pruebas, folio 7200).</w:t>
      </w:r>
    </w:p>
  </w:footnote>
  <w:footnote w:id="132">
    <w:p w14:paraId="2D32D80F"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 xml:space="preserve">Escrito presentado el 23 de mayo de 2002 </w:t>
      </w:r>
      <w:r w:rsidRPr="009C15B0">
        <w:rPr>
          <w:rFonts w:cs="Arial"/>
          <w:sz w:val="16"/>
          <w:szCs w:val="16"/>
          <w:lang w:val="es-CR"/>
        </w:rPr>
        <w:t>(e</w:t>
      </w:r>
      <w:r w:rsidRPr="009C15B0">
        <w:rPr>
          <w:sz w:val="16"/>
          <w:szCs w:val="16"/>
          <w:lang w:val="es-CR"/>
        </w:rPr>
        <w:t>xpediente de trámite ante la Comisión, tomo VII, folios 2589 a 2591).</w:t>
      </w:r>
    </w:p>
  </w:footnote>
  <w:footnote w:id="133">
    <w:p w14:paraId="129773C5" w14:textId="65E7FA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Escrito presentado por V.P.C. el 29 de julio de 2002 (expediente de prueba, tomo XVI, anexo E.41 al escrito de solicitudes, argumentos y pruebas, folios 7453 a 7454).</w:t>
      </w:r>
    </w:p>
  </w:footnote>
  <w:footnote w:id="134">
    <w:p w14:paraId="57410882" w14:textId="20BC1265"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Sentencia N° 001 emitida por el Tribunal de Apelaciones de la Circunscripción Norte, Sala de lo Penal, el 13 de enero de 2003 (expediente de prueba, tomo XVII, anexo 4 a la contestación, folios 8165 a 8178), y Cédula Judicial emitida por el Tribunal de Apelaciones Circunscripción Norte el 17 de enero de 2003 (expediente de prueba, tomo XV, anexo 19 al sometimiento del caso, folio 6869).</w:t>
      </w:r>
    </w:p>
  </w:footnote>
  <w:footnote w:id="135">
    <w:p w14:paraId="74F0490D" w14:textId="043A589E"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Certificación emitida por la secretaria del Tribunal de Apelaciones Circunscripción Norte Sala Penal el 7 de octubre de 2002 (expediente de prueba, tomo XV, anexo 21 al sometimiento del caso, folio 6873).</w:t>
      </w:r>
    </w:p>
  </w:footnote>
  <w:footnote w:id="136">
    <w:p w14:paraId="412F7228" w14:textId="51D5AAD6"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Escrito presentado por el abogado acusador el 12 de mayo de 2003 (expediente de prueba, tomo XVI, anexo D.16 al escrito de solicitudes, argumentos y pruebas, folio 7175).</w:t>
      </w:r>
    </w:p>
  </w:footnote>
  <w:footnote w:id="137">
    <w:p w14:paraId="543B3AE0" w14:textId="7CEE0407" w:rsidR="007F7D87" w:rsidRPr="009C15B0" w:rsidRDefault="007F7D87" w:rsidP="001E6358">
      <w:pPr>
        <w:pStyle w:val="FootnoteText"/>
        <w:tabs>
          <w:tab w:val="left" w:pos="567"/>
        </w:tabs>
        <w:spacing w:after="60"/>
        <w:rPr>
          <w:i/>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Escrito presentado por el abogado acusador el 19 de mayo de 2003 (expediente de prueba, tomo XVI, anexo D.27 al escrito de solicitudes, argumentos y pruebas, folios 7205 a 7206).</w:t>
      </w:r>
    </w:p>
  </w:footnote>
  <w:footnote w:id="138">
    <w:p w14:paraId="7F4E951D" w14:textId="4F73E17B"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Escrito presentado por el abogado acusador el 7 de julio de 2003 (expediente de prueba, tomo XVI, anexo D.28 al escrito de solicitudes, argumentos y pruebas, folio 7208).</w:t>
      </w:r>
    </w:p>
  </w:footnote>
  <w:footnote w:id="139">
    <w:p w14:paraId="04BB6F67" w14:textId="6BE72D94"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Escrito presentado por el abogado defensor el 11 de julio de 2003 (expediente de prueba, tomo XVI, anexo D.29 al escrito de solicitudes, argumentos y pruebas, folio 7210).</w:t>
      </w:r>
    </w:p>
  </w:footnote>
  <w:footnote w:id="140">
    <w:p w14:paraId="25AD6B41" w14:textId="234F38B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Auto emitido por el Juez Suplente del Distrito para lo Penal de Jinotega el 12 de agosto de 2003 (expediente de prueba, tomo XVI, anexo D.31 al escrito de solicitudes, argumentos y pruebas, folio 7214).</w:t>
      </w:r>
    </w:p>
  </w:footnote>
  <w:footnote w:id="141">
    <w:p w14:paraId="08F8763B" w14:textId="6ACFE4D6"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Escrito presentado por el abogado acusador el 16 de octubre de 2003 (expediente de prueba, tomo XVI, anexo D.32 al escrito de solicitudes, argumentos y pruebas, folio 7217).</w:t>
      </w:r>
    </w:p>
  </w:footnote>
  <w:footnote w:id="142">
    <w:p w14:paraId="3EDC7233" w14:textId="1F622990"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Escrito presentado por el abogado acusador el 26 de noviembre de 2003 (expediente de prueba, tomo XVI, anexo D.33 al escrito de solicitudes, argumentos y pruebas, folio 7219).</w:t>
      </w:r>
    </w:p>
  </w:footnote>
  <w:footnote w:id="143">
    <w:p w14:paraId="2A15F448" w14:textId="432394AA"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Informe del Estado de Nicaragua sobre el caso de la niña V.R.P., Petición N° P 4408/02, presentado el 13 de diciembre de 2005 (expediente de prueba, tomo XV, anexo 17 al sometimiento del caso, folios 6852 a 6853), y Auto emitido por el Juzgado de Distrito civil suplente y de Distrito Penal por Ministerio de Ley de 1 de marzo de 2004 (expediente de prueba, tomo XVI, anexo D.36 al escrito de solicitudes, argumentos y pruebas, folio 7245).</w:t>
      </w:r>
    </w:p>
  </w:footnote>
  <w:footnote w:id="144">
    <w:p w14:paraId="27493B42"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Presentación efectuada por la señora V.P.C. ante la Presidencia de la Corte Suprema de Justicia el 23 de septiembre de 2004 (expediente de prueba, tomo XV, anexo 26 al sometimiento del caso, folios 6901 a 6902).</w:t>
      </w:r>
    </w:p>
  </w:footnote>
  <w:footnote w:id="145">
    <w:p w14:paraId="3F73294B" w14:textId="0E1C8B33"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Carta remitida por V.P.C. a la Presidente de la Corte Suprema de Justicia el 4 de octubre de 2004 (expediente de prueba, tomo XVI, anexo D.37 al escrito de solicitudes, argumentos y pruebas, folios 7248 a 7249).</w:t>
      </w:r>
    </w:p>
  </w:footnote>
  <w:footnote w:id="146">
    <w:p w14:paraId="400405AD" w14:textId="2B586705"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Carta remitida por V.P.C. al Juez de Distrito del Crimen el 9 de noviembre de 2004 (expediente de prueba, tomo XVI, anexo D.38 al escrito de solicitudes, argumentos y pruebas, folios 7251 a 7252), y Carta remitida por V.P.C. al Juez de Distrito del Crimen el 30 de noviembre de 2004 (expediente de prueba, tomo XVI, anexo D.34 al escrito de solicitudes, argumentos y pruebas, folios 7221 a 7225).</w:t>
      </w:r>
    </w:p>
  </w:footnote>
  <w:footnote w:id="147">
    <w:p w14:paraId="755A991B" w14:textId="01E8273D"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Auto emitido por el Juzgado de Distrito Penal de Juicio de Jinotega el 13 de enero de 2005 (expediente de prueba, tomo XVI, anexo D.39 al escrito de solicitudes, argumentos y pruebas, folio 7254), e Informe del Estado de Nicaragua sobre el caso de la niña V.R.P., Petición N° P 4408/02, presentado el 13 de diciembre de 2005 (expediente de prueba, tomo XV, anexo 17 al sometimiento del caso, folios 6852 a 6853).</w:t>
      </w:r>
    </w:p>
  </w:footnote>
  <w:footnote w:id="148">
    <w:p w14:paraId="2FB0AA27" w14:textId="3E90105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Acta de inspección ocular realizada por el Juzgado de Distrito para lo Penal de Jinotega el 4 de febrero de 2005 (expediente de pruebas, tomo XVII, anexo 37 a la contestación, folio 8307).</w:t>
      </w:r>
    </w:p>
  </w:footnote>
  <w:footnote w:id="149">
    <w:p w14:paraId="277C7210" w14:textId="0958F1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Acta de inspección ocular en vídeo emitida por el Juzgado de Distrito para lo Penal de Jinotega el 9 de febrero de 2005 (expediente de pruebas, tomo XVI, anexo E.54 al escrito de argumentos, solicitudes y pruebas, folios 7487 a 7490).</w:t>
      </w:r>
    </w:p>
  </w:footnote>
  <w:footnote w:id="150">
    <w:p w14:paraId="6C3085C2"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Sentencia emitida por el Juzgado de Distrito para lo Penal de Juicio de Jinotega el 9 de agosto de 2005 (expediente de prueba, tomo XV, anexo 29 al sometimiento del caso, folios 6915 a 6928).</w:t>
      </w:r>
    </w:p>
  </w:footnote>
  <w:footnote w:id="151">
    <w:p w14:paraId="1C885B4A" w14:textId="054A01E0"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Apelación presentado por el fiscal auxiliar del Ministerio Público el día 25 de agosto de 2005 (expediente de prueba, tomo XV, anexo 30 al sometimiento del caso, folio 6930).</w:t>
      </w:r>
    </w:p>
  </w:footnote>
  <w:footnote w:id="152">
    <w:p w14:paraId="3622EA71"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Sentencia emitida por la Sala Penal del Tribunal de Apelaciones de la Circunscripción Norte de Matagalpa el 24 de octubre de 2007 (expediente de prueba, tomo XV, anexo 31 al sometimiento del caso, folios 6932 a 6952).</w:t>
      </w:r>
    </w:p>
  </w:footnote>
  <w:footnote w:id="153">
    <w:p w14:paraId="7488D29B" w14:textId="14570DFE"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i/>
          <w:sz w:val="16"/>
          <w:szCs w:val="16"/>
          <w:lang w:val="es-CR"/>
        </w:rPr>
        <w:t xml:space="preserve"> </w:t>
      </w:r>
      <w:r w:rsidRPr="009C15B0">
        <w:rPr>
          <w:i/>
          <w:sz w:val="16"/>
          <w:szCs w:val="16"/>
          <w:lang w:val="es-CR"/>
        </w:rPr>
        <w:tab/>
      </w:r>
      <w:r w:rsidRPr="009C15B0">
        <w:rPr>
          <w:sz w:val="16"/>
          <w:szCs w:val="16"/>
          <w:lang w:val="es-CR"/>
        </w:rPr>
        <w:t>Constancia emitida por la Sala Penal Tribunal de Apelaciones Circunscripción Norte el 24 de enero de 2007 (expediente de prueba, tomo XVI, anexo D.42 al escrito de solicitudes, argumentos y pruebas, folio 7265).</w:t>
      </w:r>
    </w:p>
  </w:footnote>
  <w:footnote w:id="154">
    <w:p w14:paraId="4004712E" w14:textId="74677C68"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Sentencia emitida por la Sala Penal del Tribunal de Apelaciones de la Circunscripción Norte de Matagalpa el 24 de octubre de 2007 (expediente de prueba, tomo XV, anexo 31 al sometimiento del caso, folios 6932 a 6952).</w:t>
      </w:r>
    </w:p>
  </w:footnote>
  <w:footnote w:id="155">
    <w:p w14:paraId="0576C8B5"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Acta de certificado de defunción de H.R.A. (expediente de prueba, tomo XVII, anexo 43 a la contestación, folio 8344).</w:t>
      </w:r>
    </w:p>
  </w:footnote>
  <w:footnote w:id="156">
    <w:p w14:paraId="38FE76CF"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Presentación efectuada por la señora V.P.C. ante el director del Sistema Local de Atención Integral en Salud el 22 de noviembre de 2001 (expediente de prueba, tomo XV, anexo 9 al sometimiento del caso, folios 6769 a 6770).</w:t>
      </w:r>
    </w:p>
  </w:footnote>
  <w:footnote w:id="157">
    <w:p w14:paraId="1520BFBD"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Oficio del SILAIS Jinotega remitido el 26 de noviembre de 2001 (expediente de prueba, tomo XX, anexo 7.b de la prueba para mejor resolver, folio 9705).</w:t>
      </w:r>
    </w:p>
  </w:footnote>
  <w:footnote w:id="158">
    <w:p w14:paraId="246875A7"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Denuncia presentada ante la Corte Suprema de Justicia el 30 de abril de 2002 (expediente de trámite ante la Comisión, tomo VII, folios 2819 a 2820).</w:t>
      </w:r>
    </w:p>
  </w:footnote>
  <w:footnote w:id="159">
    <w:p w14:paraId="56763FCA"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Denuncia presentada ante la Corte Suprema de Justicia el 22 de julio de 2002 (expediente de prueba, tomo XVI, anexo E.27 al escrito de solicitudes, argumentos y pruebas, folios 7403 a 7404).</w:t>
      </w:r>
    </w:p>
  </w:footnote>
  <w:footnote w:id="160">
    <w:p w14:paraId="117A0419" w14:textId="7206785C"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Presentación efectuada por la representante legal de la señora V.P.C. ante la Comisión Disciplinaria de la Corte Suprema de Justicia el 1 de julio de 2003 (expediente de prueba, tomo XV, anexo 25 al sometimiento del caso, folios 6895 a 6899).</w:t>
      </w:r>
    </w:p>
  </w:footnote>
  <w:footnote w:id="161">
    <w:p w14:paraId="75C2EDA5"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Denuncia presentada ante el Fiscal General de la República el 17 de julio de 2002 (expediente de pruebas, tomo XVI, anexo E.34 al escrito de solicitudes, argumentos y pruebas, folios 7432 a 7433).</w:t>
      </w:r>
    </w:p>
  </w:footnote>
  <w:footnote w:id="162">
    <w:p w14:paraId="2CABB7E5"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Escrito presentado ante el Fiscal General de la República el 29 de julio de 2002 (expediente de pruebas, tomo XVI, anexo E.35 al escrito de solicitudes, argumentos y pruebas, folios 7435 a 7436).</w:t>
      </w:r>
    </w:p>
  </w:footnote>
  <w:footnote w:id="163">
    <w:p w14:paraId="52BAA3C8"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Escrito presentado ante el Fiscal General de la República el 26 de agosto de 2002 (expediente de pruebas, tomo XVI, anexo E.42 al escrito de solicitudes, argumentos y pruebas, folio 7456).</w:t>
      </w:r>
    </w:p>
  </w:footnote>
  <w:footnote w:id="164">
    <w:p w14:paraId="7DA421AC" w14:textId="77777777" w:rsidR="007F7D87" w:rsidRPr="009C15B0" w:rsidRDefault="007F7D87" w:rsidP="001E6358">
      <w:pPr>
        <w:tabs>
          <w:tab w:val="left" w:pos="567"/>
        </w:tabs>
        <w:spacing w:after="60" w:line="240" w:lineRule="auto"/>
        <w:rPr>
          <w:sz w:val="16"/>
          <w:szCs w:val="16"/>
        </w:rPr>
      </w:pPr>
      <w:r w:rsidRPr="009C15B0">
        <w:rPr>
          <w:rStyle w:val="FootnoteReference"/>
          <w:sz w:val="16"/>
          <w:szCs w:val="16"/>
        </w:rPr>
        <w:footnoteRef/>
      </w:r>
      <w:r w:rsidRPr="009C15B0">
        <w:rPr>
          <w:sz w:val="16"/>
          <w:szCs w:val="16"/>
        </w:rPr>
        <w:t xml:space="preserve"> </w:t>
      </w:r>
      <w:r w:rsidRPr="009C15B0">
        <w:rPr>
          <w:sz w:val="16"/>
          <w:szCs w:val="16"/>
        </w:rPr>
        <w:tab/>
      </w:r>
      <w:r w:rsidRPr="009C15B0">
        <w:rPr>
          <w:i/>
          <w:sz w:val="16"/>
          <w:szCs w:val="16"/>
        </w:rPr>
        <w:t xml:space="preserve">Cfr. </w:t>
      </w:r>
      <w:r w:rsidRPr="009C15B0">
        <w:rPr>
          <w:sz w:val="16"/>
          <w:szCs w:val="16"/>
        </w:rPr>
        <w:t>Denuncia presentada ante la Inspectoría de la Fiscalía General de la República el 21 de octubre de 2002 (expediente de trámite ante la Comisión, tomo VII, folios 2814 a 2818).</w:t>
      </w:r>
    </w:p>
  </w:footnote>
  <w:footnote w:id="165">
    <w:p w14:paraId="32AC6870"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xml:space="preserve"> Constancia emitida por la Inspectoría General del Ministerio Público el 15 de febrero de 2017 (expediente de prueba, tomo XX, anexo 7.c de la prueba para mejor resolver, folio 9730).</w:t>
      </w:r>
    </w:p>
  </w:footnote>
  <w:footnote w:id="166">
    <w:p w14:paraId="1B2F53AD" w14:textId="77777777" w:rsidR="007F7D87" w:rsidRPr="009C15B0" w:rsidRDefault="007F7D87" w:rsidP="001E6358">
      <w:pPr>
        <w:tabs>
          <w:tab w:val="left" w:pos="567"/>
        </w:tabs>
        <w:spacing w:after="60" w:line="240" w:lineRule="auto"/>
        <w:rPr>
          <w:sz w:val="16"/>
          <w:szCs w:val="16"/>
        </w:rPr>
      </w:pPr>
      <w:r w:rsidRPr="009C15B0">
        <w:rPr>
          <w:rStyle w:val="FootnoteReference"/>
          <w:sz w:val="16"/>
          <w:szCs w:val="16"/>
        </w:rPr>
        <w:footnoteRef/>
      </w:r>
      <w:r w:rsidRPr="009C15B0">
        <w:rPr>
          <w:sz w:val="16"/>
          <w:szCs w:val="16"/>
        </w:rPr>
        <w:t xml:space="preserve"> </w:t>
      </w:r>
      <w:r w:rsidRPr="009C15B0">
        <w:rPr>
          <w:sz w:val="16"/>
          <w:szCs w:val="16"/>
        </w:rPr>
        <w:tab/>
      </w:r>
      <w:r w:rsidRPr="009C15B0">
        <w:rPr>
          <w:i/>
          <w:sz w:val="16"/>
          <w:szCs w:val="16"/>
        </w:rPr>
        <w:t xml:space="preserve">Cfr. </w:t>
      </w:r>
      <w:r w:rsidRPr="009C15B0">
        <w:rPr>
          <w:sz w:val="16"/>
          <w:szCs w:val="16"/>
        </w:rPr>
        <w:t>Denuncia presentada ante la Corte Suprema de Justicia el 8 de noviembre de 2002 (expediente de prueba, tomo XX, anexo 7.a de la prueba para mejor resolver, folios 9649 a 9661).</w:t>
      </w:r>
    </w:p>
  </w:footnote>
  <w:footnote w:id="167">
    <w:p w14:paraId="01A9D62A"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Oficio dirigido al Fiscal General de la República (expediente de prueba, tomo XX, anexo 7.a de la prueba para mejor resolver, folio 9665).</w:t>
      </w:r>
    </w:p>
  </w:footnote>
  <w:footnote w:id="168">
    <w:p w14:paraId="6B89B337"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Denuncia interpuesta por la señora V.P.C. ante la Comisión Disciplinaria de la Corte Suprema de Justicia el 8 de noviembre de 2002 (expediente de prueba, tomo XV, anexo 23 al sometimiento del caso, folios 6881 a 6888).</w:t>
      </w:r>
    </w:p>
  </w:footnote>
  <w:footnote w:id="169">
    <w:p w14:paraId="1CAD3A66"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Decisión adoptada por la Comisión Disciplinaria de la Corte Suprema de Justicia el 24 de febrero de 2003 (expediente de prueba, tomo XX, anexo 7.a de la prueba para mejor resolver, folio 9686).</w:t>
      </w:r>
    </w:p>
  </w:footnote>
  <w:footnote w:id="170">
    <w:p w14:paraId="3CA60BFC" w14:textId="1755EA62"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En el mes de diciembre de 2001 la fiscal auxiliar departamental interpuso una acción penal contra la señora V.P.C. por calumnias. No hay constancia sobre el trámite de este proceso.</w:t>
      </w:r>
      <w:r w:rsidRPr="009C15B0">
        <w:rPr>
          <w:i/>
          <w:sz w:val="16"/>
          <w:szCs w:val="16"/>
          <w:lang w:val="es-CR"/>
        </w:rPr>
        <w:t xml:space="preserve"> Cfr. </w:t>
      </w:r>
      <w:r w:rsidRPr="009C15B0">
        <w:rPr>
          <w:sz w:val="16"/>
          <w:szCs w:val="16"/>
          <w:lang w:val="es-CR"/>
        </w:rPr>
        <w:t xml:space="preserve">Boleta de citación judicial dirigida a V.P.C. para que comparezca a prestar declaración, de 19 de diciembre de 2001 (expediente de prueba, tomo XVI, anexos E.75 y E.76 al escrito de solicitudes, argumentos y pruebas, folios 7553 y 7555). Véase también, Escrito de V.P.C. dirigido a la Comisión, de 16 de abril de 2009 (expediente de prueba, tomo XV, anexo 37 al sometimiento del caso, folio 7006), y Declaración rendida ante fedatario público por N.R.P. el 10 de octubre de 2017 (expediente de prueba, tomo XVIII, </w:t>
      </w:r>
      <w:r w:rsidRPr="009C15B0">
        <w:rPr>
          <w:i/>
          <w:sz w:val="16"/>
          <w:szCs w:val="16"/>
          <w:lang w:val="es-CR"/>
        </w:rPr>
        <w:t xml:space="preserve">affidávits, </w:t>
      </w:r>
      <w:r w:rsidRPr="009C15B0">
        <w:rPr>
          <w:sz w:val="16"/>
          <w:szCs w:val="16"/>
          <w:lang w:val="es-CR"/>
        </w:rPr>
        <w:t>folio 8379).</w:t>
      </w:r>
    </w:p>
  </w:footnote>
  <w:footnote w:id="171">
    <w:p w14:paraId="49268D7A" w14:textId="7DBDAE2C" w:rsidR="007F7D87" w:rsidRPr="009C15B0" w:rsidRDefault="007F7D87" w:rsidP="001E6358">
      <w:pPr>
        <w:tabs>
          <w:tab w:val="left" w:pos="567"/>
        </w:tabs>
        <w:autoSpaceDE w:val="0"/>
        <w:autoSpaceDN w:val="0"/>
        <w:spacing w:after="60" w:line="240" w:lineRule="auto"/>
        <w:rPr>
          <w:sz w:val="16"/>
          <w:szCs w:val="16"/>
        </w:rPr>
      </w:pPr>
      <w:r w:rsidRPr="009C15B0">
        <w:rPr>
          <w:rStyle w:val="FootnoteReference"/>
          <w:sz w:val="16"/>
          <w:szCs w:val="16"/>
        </w:rPr>
        <w:footnoteRef/>
      </w:r>
      <w:r w:rsidRPr="009C15B0">
        <w:rPr>
          <w:sz w:val="16"/>
          <w:szCs w:val="16"/>
        </w:rPr>
        <w:t xml:space="preserve"> </w:t>
      </w:r>
      <w:r w:rsidRPr="009C15B0">
        <w:rPr>
          <w:sz w:val="16"/>
          <w:szCs w:val="16"/>
        </w:rPr>
        <w:tab/>
      </w:r>
      <w:r w:rsidRPr="009C15B0">
        <w:rPr>
          <w:rFonts w:cs="Arial"/>
          <w:sz w:val="16"/>
          <w:szCs w:val="16"/>
        </w:rPr>
        <w:t xml:space="preserve">El 25 de abril de 2002 el médico forense presentó una acción penal contra la señora V.P.C. por injurias, con motivo de las denuncias realizadas por ésta tras el intento de realizar el examen médico a la niña V.R.P. Dicha causa concluyó en “caducidad a la instancia”. </w:t>
      </w:r>
      <w:r w:rsidRPr="009C15B0">
        <w:rPr>
          <w:i/>
          <w:sz w:val="16"/>
          <w:szCs w:val="16"/>
        </w:rPr>
        <w:t xml:space="preserve">Cfr. </w:t>
      </w:r>
      <w:r w:rsidRPr="009C15B0">
        <w:rPr>
          <w:rFonts w:cs="Arial"/>
          <w:sz w:val="16"/>
          <w:szCs w:val="16"/>
        </w:rPr>
        <w:t>Escrito presentado el 25 de abril de 2002 (expediente de trámite ante la Comisión, tomo VII, folios 2491 a 2493), y</w:t>
      </w:r>
      <w:r w:rsidRPr="009C15B0">
        <w:rPr>
          <w:i/>
          <w:sz w:val="16"/>
          <w:szCs w:val="16"/>
        </w:rPr>
        <w:t xml:space="preserve"> </w:t>
      </w:r>
      <w:r w:rsidRPr="009C15B0">
        <w:rPr>
          <w:sz w:val="16"/>
          <w:szCs w:val="16"/>
        </w:rPr>
        <w:t xml:space="preserve">Constancia del Juzgado Local Penal de Jinotega de 23 de julio de 2009 (expediente de trámite ante la Comisión, tomo XI, folio 4036). A su vez, el 21 de mayo de 2002 el médico forense presentó una acción penal en contra de V.P.C. por calumnias. </w:t>
      </w:r>
      <w:r w:rsidRPr="009C15B0">
        <w:rPr>
          <w:rFonts w:cs="Arial"/>
          <w:sz w:val="16"/>
          <w:szCs w:val="16"/>
        </w:rPr>
        <w:t xml:space="preserve">El abogado del denunciante fue el hermano del médico forense. </w:t>
      </w:r>
      <w:r w:rsidRPr="009C15B0">
        <w:rPr>
          <w:sz w:val="16"/>
          <w:szCs w:val="16"/>
        </w:rPr>
        <w:t xml:space="preserve">No hay constancia sobre el trámite de este proceso. </w:t>
      </w:r>
      <w:r w:rsidRPr="009C15B0">
        <w:rPr>
          <w:i/>
          <w:sz w:val="16"/>
          <w:szCs w:val="16"/>
        </w:rPr>
        <w:t>Cfr</w:t>
      </w:r>
      <w:r w:rsidRPr="009C15B0">
        <w:rPr>
          <w:sz w:val="16"/>
          <w:szCs w:val="16"/>
        </w:rPr>
        <w:t>. Escrito presentado el</w:t>
      </w:r>
      <w:r w:rsidRPr="009C15B0">
        <w:rPr>
          <w:rFonts w:cs="Arial"/>
          <w:sz w:val="16"/>
          <w:szCs w:val="16"/>
        </w:rPr>
        <w:t xml:space="preserve"> </w:t>
      </w:r>
      <w:r w:rsidRPr="009C15B0">
        <w:rPr>
          <w:sz w:val="16"/>
          <w:szCs w:val="16"/>
        </w:rPr>
        <w:t xml:space="preserve">21 de mayo de 2002 (expediente de prueba, tomo XV, anexo 35 al sometimiento del caso, folios 6987 a 6990). El 22 de mayo de 2002 el médico forense presentó una acción penal contra la madre de V.P.C. por injurias y calumnias, por haber “hablado mal de él ante la Juez de Distrito del Crimen” en su declaración testimonial. </w:t>
      </w:r>
      <w:r w:rsidRPr="009C15B0">
        <w:rPr>
          <w:i/>
          <w:sz w:val="16"/>
          <w:szCs w:val="16"/>
        </w:rPr>
        <w:t xml:space="preserve">Cfr. </w:t>
      </w:r>
      <w:r w:rsidRPr="009C15B0">
        <w:rPr>
          <w:sz w:val="16"/>
          <w:szCs w:val="16"/>
        </w:rPr>
        <w:t>Comunicación de la peticionaria dirigida a la Comisión de 16 de abril de 2009 (expediente de prueba, tomo XV, anexo 37 al sometimiento del caso, folio 7027). La causa concluyó en “caducidad a la instancia”.</w:t>
      </w:r>
      <w:r w:rsidRPr="009C15B0">
        <w:rPr>
          <w:i/>
          <w:sz w:val="16"/>
          <w:szCs w:val="16"/>
        </w:rPr>
        <w:t xml:space="preserve"> Cfr. </w:t>
      </w:r>
      <w:r w:rsidRPr="009C15B0">
        <w:rPr>
          <w:sz w:val="16"/>
          <w:szCs w:val="16"/>
        </w:rPr>
        <w:t>Constancia del Juzgado Local Penal de Jinotega de 23 de julio de 2009 (expediente de trámite ante la Comisión, tomo XI, folio 4037).</w:t>
      </w:r>
    </w:p>
  </w:footnote>
  <w:footnote w:id="172">
    <w:p w14:paraId="670E4D5F" w14:textId="1A4B3A6D"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 xml:space="preserve">El 7 de mayo de 2002 una persona que formó parte del </w:t>
      </w:r>
      <w:r w:rsidRPr="009C15B0">
        <w:rPr>
          <w:rFonts w:cs="Arial"/>
          <w:sz w:val="16"/>
          <w:szCs w:val="16"/>
          <w:lang w:val="es-CR"/>
        </w:rPr>
        <w:t>Tribunal</w:t>
      </w:r>
      <w:r w:rsidRPr="009C15B0">
        <w:rPr>
          <w:sz w:val="16"/>
          <w:szCs w:val="16"/>
          <w:lang w:val="es-CR"/>
        </w:rPr>
        <w:t xml:space="preserve"> de Jurados presentó una acción penal en contra de V.P.C. y de dos periodistas por el delito de calumnia, con motivo de las denuncias por cohecho realizadas por ésta y su publicación en la prensa. En dicha causa nombró como su abogado al hermano del médico forense. </w:t>
      </w:r>
      <w:r w:rsidRPr="009C15B0">
        <w:rPr>
          <w:i/>
          <w:sz w:val="16"/>
          <w:szCs w:val="16"/>
          <w:lang w:val="es-CR"/>
        </w:rPr>
        <w:t>Cfr</w:t>
      </w:r>
      <w:r w:rsidRPr="009C15B0">
        <w:rPr>
          <w:sz w:val="16"/>
          <w:szCs w:val="16"/>
          <w:lang w:val="es-CR"/>
        </w:rPr>
        <w:t xml:space="preserve">. Escrito presentado ante el Juez Local para lo Criminal de Jinotega el 7 de mayo de 2001 (expediente de prueba, tomo XV, anexo 34 al sometimiento del caso, folios 6980 a 6982). Los </w:t>
      </w:r>
      <w:r w:rsidRPr="009C15B0">
        <w:rPr>
          <w:rFonts w:cs="Arial"/>
          <w:sz w:val="16"/>
          <w:szCs w:val="16"/>
          <w:lang w:val="es-CR"/>
        </w:rPr>
        <w:t>periodistas</w:t>
      </w:r>
      <w:r w:rsidRPr="009C15B0">
        <w:rPr>
          <w:sz w:val="16"/>
          <w:szCs w:val="16"/>
          <w:lang w:val="es-CR"/>
        </w:rPr>
        <w:t xml:space="preserve"> llegaron a una mediación, en la cual se comprometieron a no involucrar a la denunciante en su información periodística.</w:t>
      </w:r>
      <w:r w:rsidRPr="009C15B0">
        <w:rPr>
          <w:i/>
          <w:sz w:val="16"/>
          <w:szCs w:val="16"/>
          <w:lang w:val="es-CR"/>
        </w:rPr>
        <w:t xml:space="preserve"> Cfr. </w:t>
      </w:r>
      <w:r w:rsidRPr="009C15B0">
        <w:rPr>
          <w:sz w:val="16"/>
          <w:szCs w:val="16"/>
          <w:lang w:val="es-CR"/>
        </w:rPr>
        <w:t xml:space="preserve">Acta de trámite de mediación de 14 de mayo de 2002 (expediente de trámite ante la Comisión, tomo VII, folio 2584). El 17 de diciembre de 2004 se declaró la caducidad de la instancia por falta de impulso procesal </w:t>
      </w:r>
      <w:r w:rsidRPr="009C15B0">
        <w:rPr>
          <w:rFonts w:cs="Arial"/>
          <w:sz w:val="16"/>
          <w:szCs w:val="16"/>
          <w:lang w:val="es-CR"/>
        </w:rPr>
        <w:t>de</w:t>
      </w:r>
      <w:r w:rsidRPr="009C15B0">
        <w:rPr>
          <w:sz w:val="16"/>
          <w:szCs w:val="16"/>
          <w:lang w:val="es-CR"/>
        </w:rPr>
        <w:t xml:space="preserve"> las partes y archivo de la denuncia por calumnias contra V.P.C.</w:t>
      </w:r>
      <w:r w:rsidRPr="009C15B0">
        <w:rPr>
          <w:i/>
          <w:sz w:val="16"/>
          <w:szCs w:val="16"/>
          <w:lang w:val="es-CR"/>
        </w:rPr>
        <w:t xml:space="preserve"> Cfr. </w:t>
      </w:r>
      <w:r w:rsidRPr="009C15B0">
        <w:rPr>
          <w:sz w:val="16"/>
          <w:szCs w:val="16"/>
          <w:lang w:val="es-CR"/>
        </w:rPr>
        <w:t>Oficio del Juez Local Penal de Jinotega de 1 de febrero de 2005 (expediente de prueba, tomo XV, anexo 36 al sometimiento del caso, folio 6992).</w:t>
      </w:r>
    </w:p>
  </w:footnote>
  <w:footnote w:id="173">
    <w:p w14:paraId="2ABB1D5D" w14:textId="134AF7E4"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rFonts w:cs="Arial"/>
          <w:sz w:val="16"/>
          <w:szCs w:val="16"/>
          <w:lang w:val="es-CR"/>
        </w:rPr>
        <w:t xml:space="preserve">El 8 de mayo de 2002 la jueza de derecho y presidenta del Tribunal de Jurados presentó una acción penal en contra de la señora V.P.C. y su hermana, </w:t>
      </w:r>
      <w:r w:rsidRPr="009C15B0">
        <w:rPr>
          <w:sz w:val="16"/>
          <w:szCs w:val="16"/>
          <w:lang w:val="es-CR"/>
        </w:rPr>
        <w:t>por</w:t>
      </w:r>
      <w:r w:rsidRPr="009C15B0">
        <w:rPr>
          <w:rFonts w:cs="Arial"/>
          <w:sz w:val="16"/>
          <w:szCs w:val="16"/>
          <w:lang w:val="es-CR"/>
        </w:rPr>
        <w:t xml:space="preserve"> injurias y calumnias. </w:t>
      </w:r>
      <w:r w:rsidRPr="009C15B0">
        <w:rPr>
          <w:i/>
          <w:sz w:val="16"/>
          <w:szCs w:val="16"/>
          <w:lang w:val="es-CR"/>
        </w:rPr>
        <w:t xml:space="preserve">Cfr. </w:t>
      </w:r>
      <w:r w:rsidRPr="009C15B0">
        <w:rPr>
          <w:sz w:val="16"/>
          <w:szCs w:val="16"/>
          <w:lang w:val="es-CR"/>
        </w:rPr>
        <w:t>Escrito presentado</w:t>
      </w:r>
      <w:r w:rsidRPr="009C15B0">
        <w:rPr>
          <w:rFonts w:cs="Arial"/>
          <w:sz w:val="16"/>
          <w:szCs w:val="16"/>
          <w:lang w:val="es-CR"/>
        </w:rPr>
        <w:t xml:space="preserve"> el 8 de mayo de 2002 (expediente de prueba, tomo XV, anexo 34 al sometimiento del caso, folios 6983 a 6985). El abogado de la denunciante fue también abogado defensor de H.R.A. </w:t>
      </w:r>
      <w:r w:rsidRPr="009C15B0">
        <w:rPr>
          <w:sz w:val="16"/>
          <w:szCs w:val="16"/>
          <w:lang w:val="es-CR"/>
        </w:rPr>
        <w:t xml:space="preserve">El 25 de agosto de 2003 </w:t>
      </w:r>
      <w:r w:rsidRPr="009C15B0">
        <w:rPr>
          <w:rFonts w:cs="Arial"/>
          <w:sz w:val="16"/>
          <w:szCs w:val="16"/>
          <w:lang w:val="es-CR"/>
        </w:rPr>
        <w:t>se habría archivado la referida acción por falta de impulso procesal.</w:t>
      </w:r>
      <w:r w:rsidRPr="009C15B0">
        <w:rPr>
          <w:i/>
          <w:sz w:val="16"/>
          <w:szCs w:val="16"/>
          <w:lang w:val="es-CR"/>
        </w:rPr>
        <w:t xml:space="preserve"> Cfr. </w:t>
      </w:r>
      <w:r w:rsidRPr="009C15B0">
        <w:rPr>
          <w:sz w:val="16"/>
          <w:szCs w:val="16"/>
          <w:lang w:val="es-CR"/>
        </w:rPr>
        <w:t>Oficio del Juez Local Penal de Jinotega de 1 de febrero de 2005 (expediente de prueba, tomo XV, anexo 36 al sometimiento del caso, folio 6992).</w:t>
      </w:r>
    </w:p>
  </w:footnote>
  <w:footnote w:id="174">
    <w:p w14:paraId="409E6618" w14:textId="3A9D8503"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Declaración indagatoria rendida por H.R.A. el 21 de noviembre de 2001 (expediente de prueba, tomo XV, anexo 2.d al sometimiento del caso, folios 6640 y 6644), y Presentación efectuada por la representante legal de la señora V.P.C. ante la Comisión Disciplinaria de la Corte Suprema de Justicia el 1 de julio de 2003 (expediente de prueba, tomo XV, anexo 25 al sometimiento del caso, folio 6897).</w:t>
      </w:r>
    </w:p>
  </w:footnote>
  <w:footnote w:id="175">
    <w:p w14:paraId="17BF6E47"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xml:space="preserve"> Informe de movimientos migratorios de V.P.C. y V.R.P. emitido por el Director de la Dirección de Migraciones de Nicaragua el 6 de mayo de 2014 (expediente de prueba, tomo XVII, anexo 41 a la contestación, folios 8334 a 8336).</w:t>
      </w:r>
    </w:p>
  </w:footnote>
  <w:footnote w:id="176">
    <w:p w14:paraId="25F65F2E" w14:textId="62EF0F21"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Presentación efectuada por la representante legal de la señora V.P.C. ante la Comisión Disciplinaria de la Corte Suprema de Justicia el 1 de julio de 2003 (expediente de prueba, tomo XV, anexo 25 al sometimiento del caso, folios 6897 a 6898); Resolución de la Corte de Inmigración de Miami, Florida, de 23 de septiembre de 2003 (expediente de prueba, tomo XV, anexo 40 al sometimiento del caso, folios 7055 a 7058), y Resoluciones de la Corte de Inmigración de Miami, Florida, de 22 de marzo de 2005 (expediente de prueba, tomo XV, anexo 39 al sometimiento del caso, folios 7050 a 7053).</w:t>
      </w:r>
    </w:p>
  </w:footnote>
  <w:footnote w:id="177">
    <w:p w14:paraId="77AE22D4" w14:textId="753152A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Oficio de Kristi House, organización no gubernamental sin fines de lucro en Miami, Florida, de 3 de enero de 2005 (expediente de prueba, tomo XV, anexo 41 al sometimiento del caso, folio 7060).</w:t>
      </w:r>
    </w:p>
  </w:footnote>
  <w:footnote w:id="178">
    <w:p w14:paraId="6E7B04EA" w14:textId="3895E7A4"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Comunicación de la peticionaria a la Comisión de 24 de noviembre de 2003 (expediente de prueba, tomo XV, anexo 38 al sometimiento del caso, folio 7048).</w:t>
      </w:r>
    </w:p>
  </w:footnote>
  <w:footnote w:id="179">
    <w:p w14:paraId="0078866A" w14:textId="05E678D4"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Constancia de hospitalización de V.R.P. en Miami Children´s Hospital de 3 de abril de 2008 (expediente de prueba, tomo XVI, anexo E.20 al escrito de solicitudes, argumentos y pruebas, folio 7359), y Declaración rendida ante la Corte Interamericana por V.P.C. en la audiencia pública celebrada el 16 y 17 de octubre de 2017.</w:t>
      </w:r>
    </w:p>
  </w:footnote>
  <w:footnote w:id="180">
    <w:p w14:paraId="2AC9384C" w14:textId="26F1AB5F"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 xml:space="preserve">Informe psicológico del Instituto de Medicina Legal, Corte Suprema de Justicia de Nicaragua, de 27 de noviembre de 2001 (expediente de trámite </w:t>
      </w:r>
      <w:r w:rsidRPr="009C15B0">
        <w:rPr>
          <w:rFonts w:cs="Verdana"/>
          <w:sz w:val="16"/>
          <w:szCs w:val="16"/>
          <w:lang w:val="es-CR"/>
        </w:rPr>
        <w:t>ante la Comisión</w:t>
      </w:r>
      <w:r w:rsidRPr="009C15B0">
        <w:rPr>
          <w:sz w:val="16"/>
          <w:szCs w:val="16"/>
          <w:lang w:val="es-CR"/>
        </w:rPr>
        <w:t>, tomo III, folio 1099);</w:t>
      </w:r>
      <w:r w:rsidRPr="009C15B0">
        <w:rPr>
          <w:rFonts w:cs="Arial-BoldItalicMT"/>
          <w:bCs/>
          <w:iCs/>
          <w:sz w:val="16"/>
          <w:szCs w:val="16"/>
          <w:lang w:val="es-CR"/>
        </w:rPr>
        <w:t xml:space="preserve"> Diagnóstico psiquiátrico de 25 de enero de 2002 </w:t>
      </w:r>
      <w:r w:rsidRPr="009C15B0">
        <w:rPr>
          <w:sz w:val="16"/>
          <w:szCs w:val="16"/>
          <w:lang w:val="es-CR"/>
        </w:rPr>
        <w:t>(expediente de prueba, tomo XVI, anexo E.5 al escrito de solicitudes, argumentos y pruebas, folios 7289 a 7290); Informe de seguimiento a la niña V.R.P. elaborado el 21 de febrero de 2002 por la Dra. María Delma Terán Caldera, médica psiquiatra del Hospital Victoria Motta, Jinotega (expediente de prueba, tomo XVII, anexo 17 al escrito de contestación, folios 8232 a 8233), e Informe psicosocial realizado en el hogar de V.P.C. por el Ministerio de la Familia a los efectos del juicio de disolución de vínculo matrimonial entre V.P.C. y H.R.A. de 11 de julio de 2002 (expediente de trámite ante la Comisión, tomo VIII, folios 3281 a 3290).</w:t>
      </w:r>
    </w:p>
  </w:footnote>
  <w:footnote w:id="181">
    <w:p w14:paraId="04818066"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xml:space="preserve"> Informe de movimientos migratorios de V.P.C. y V.R.P. emitido por el Director de la Dirección de Migraciones de Nicaragua el 6 de mayo de 2014 (expediente de prueba, tomo XVII, anexo 41 a la contestación, folios 8334 a 8336).</w:t>
      </w:r>
    </w:p>
  </w:footnote>
  <w:footnote w:id="182">
    <w:p w14:paraId="77277E4A" w14:textId="5C4FE3EF"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Los artículos 5.1 y 5.2 de la Convención disponen que: “[t]oda persona tiene derecho a que se respete su integridad física, psíquica y moral” y “Nadie debe ser sometido a torturas ni a penas o tratos crueles, inhumanos o degradantes”.</w:t>
      </w:r>
    </w:p>
  </w:footnote>
  <w:footnote w:id="183">
    <w:p w14:paraId="4124CC0A" w14:textId="0979A39E" w:rsidR="007F7D87" w:rsidRPr="009C15B0" w:rsidRDefault="007F7D87" w:rsidP="001E6358">
      <w:pPr>
        <w:pStyle w:val="FootnoteText"/>
        <w:tabs>
          <w:tab w:val="left" w:pos="567"/>
          <w:tab w:val="left" w:pos="720"/>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El artículo 11.2</w:t>
      </w:r>
      <w:r w:rsidRPr="009C15B0">
        <w:rPr>
          <w:rFonts w:cs="Tahoma"/>
          <w:sz w:val="16"/>
          <w:szCs w:val="16"/>
          <w:lang w:val="es-CR"/>
        </w:rPr>
        <w:t xml:space="preserve"> </w:t>
      </w:r>
      <w:r w:rsidRPr="009C15B0">
        <w:rPr>
          <w:sz w:val="16"/>
          <w:szCs w:val="16"/>
          <w:lang w:val="es-CR"/>
        </w:rPr>
        <w:t xml:space="preserve">de la Convención establece que: </w:t>
      </w:r>
      <w:r w:rsidRPr="009C15B0">
        <w:rPr>
          <w:rFonts w:cs="Tahoma"/>
          <w:sz w:val="16"/>
          <w:szCs w:val="16"/>
          <w:lang w:val="es-CR"/>
        </w:rPr>
        <w:t>“</w:t>
      </w:r>
      <w:r w:rsidRPr="009C15B0">
        <w:rPr>
          <w:sz w:val="16"/>
          <w:szCs w:val="16"/>
          <w:lang w:val="es-CR"/>
        </w:rPr>
        <w:t>[n]adie puede ser objeto de injerencias arbitrarias o abusivas en su vida privada, en la de su familia, en su domicilio o en su correspondencia, ni de ataques ilegales a su honra o reputación”.</w:t>
      </w:r>
    </w:p>
  </w:footnote>
  <w:footnote w:id="184">
    <w:p w14:paraId="3BB47420"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El artículo 19</w:t>
      </w:r>
      <w:r w:rsidRPr="009C15B0">
        <w:rPr>
          <w:rFonts w:cs="Tahoma"/>
          <w:sz w:val="16"/>
          <w:szCs w:val="16"/>
          <w:lang w:val="es-CR"/>
        </w:rPr>
        <w:t xml:space="preserve"> </w:t>
      </w:r>
      <w:r w:rsidRPr="009C15B0">
        <w:rPr>
          <w:sz w:val="16"/>
          <w:szCs w:val="16"/>
          <w:lang w:val="es-CR"/>
        </w:rPr>
        <w:t xml:space="preserve">de la Convención dispone que: </w:t>
      </w:r>
      <w:r w:rsidRPr="009C15B0">
        <w:rPr>
          <w:rFonts w:cs="Tahoma"/>
          <w:sz w:val="16"/>
          <w:szCs w:val="16"/>
          <w:lang w:val="es-CR"/>
        </w:rPr>
        <w:t>“</w:t>
      </w:r>
      <w:r w:rsidRPr="009C15B0">
        <w:rPr>
          <w:sz w:val="16"/>
          <w:szCs w:val="16"/>
          <w:lang w:val="es-CR"/>
        </w:rPr>
        <w:t>[t]odo niño tiene derecho a las medidas de protección que su condición de menor requieren por parte de su familia, de la sociedad y del Estado”.</w:t>
      </w:r>
    </w:p>
  </w:footnote>
  <w:footnote w:id="185">
    <w:p w14:paraId="1027D4D2" w14:textId="4403491E"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El artículo 24 de la Convención establece que: “[t]odas las personas son iguales ante la ley. En consecuencia, tienen derecho, sin discriminación, a igual protección de la ley”.</w:t>
      </w:r>
    </w:p>
  </w:footnote>
  <w:footnote w:id="186">
    <w:p w14:paraId="14D7B6F6" w14:textId="3E4B7E5B"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El artículo 8.1 de la Convención dispone que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187">
    <w:p w14:paraId="3292ABD9" w14:textId="1020297E"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El artículo 25 de la Convención establece, en lo pertinente, que:</w:t>
      </w:r>
    </w:p>
    <w:p w14:paraId="3FD76B50" w14:textId="77777777" w:rsidR="007F7D87" w:rsidRPr="009C15B0" w:rsidRDefault="007F7D87" w:rsidP="001E6358">
      <w:pPr>
        <w:pStyle w:val="FootnoteText"/>
        <w:tabs>
          <w:tab w:val="left" w:pos="567"/>
        </w:tabs>
        <w:spacing w:after="60"/>
        <w:ind w:left="567"/>
        <w:rPr>
          <w:sz w:val="16"/>
          <w:szCs w:val="16"/>
          <w:lang w:val="es-CR"/>
        </w:rPr>
      </w:pPr>
      <w:r w:rsidRPr="009C15B0">
        <w:rPr>
          <w:sz w:val="16"/>
          <w:szCs w:val="16"/>
          <w:lang w:val="es-CR"/>
        </w:rPr>
        <w:t>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p w14:paraId="463CC0D7" w14:textId="77777777" w:rsidR="007F7D87" w:rsidRPr="009C15B0" w:rsidRDefault="007F7D87" w:rsidP="001E6358">
      <w:pPr>
        <w:pStyle w:val="FootnoteText"/>
        <w:tabs>
          <w:tab w:val="left" w:pos="567"/>
        </w:tabs>
        <w:spacing w:after="60"/>
        <w:ind w:left="567"/>
        <w:rPr>
          <w:sz w:val="16"/>
          <w:szCs w:val="16"/>
          <w:lang w:val="es-CR"/>
        </w:rPr>
      </w:pPr>
      <w:r w:rsidRPr="009C15B0">
        <w:rPr>
          <w:sz w:val="16"/>
          <w:szCs w:val="16"/>
          <w:lang w:val="es-CR"/>
        </w:rPr>
        <w:t>2. Los Estados Partes se comprometen: a) a garantizar que la autoridad competente prevista por el sistema legal del Estado decidirá sobre los derechos de toda persona que interponga tal recurso.</w:t>
      </w:r>
    </w:p>
  </w:footnote>
  <w:footnote w:id="188">
    <w:p w14:paraId="23BEDDB6" w14:textId="20482551"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El artículo 1.</w:t>
      </w:r>
      <w:r w:rsidRPr="009C15B0">
        <w:rPr>
          <w:rFonts w:cs="Tahoma"/>
          <w:sz w:val="16"/>
          <w:szCs w:val="16"/>
          <w:lang w:val="es-CR"/>
        </w:rPr>
        <w:t xml:space="preserve">1 </w:t>
      </w:r>
      <w:r w:rsidRPr="009C15B0">
        <w:rPr>
          <w:sz w:val="16"/>
          <w:szCs w:val="16"/>
          <w:lang w:val="es-CR"/>
        </w:rPr>
        <w:t>de la Convención</w:t>
      </w:r>
      <w:r w:rsidRPr="009C15B0">
        <w:rPr>
          <w:rFonts w:cs="Tahoma"/>
          <w:sz w:val="16"/>
          <w:szCs w:val="16"/>
          <w:lang w:val="es-CR"/>
        </w:rPr>
        <w:t xml:space="preserve"> fija que: “</w:t>
      </w:r>
      <w:r w:rsidRPr="009C15B0">
        <w:rPr>
          <w:sz w:val="16"/>
          <w:szCs w:val="16"/>
          <w:lang w:val="es-CR"/>
        </w:rPr>
        <w:t>[l]os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189">
    <w:p w14:paraId="6C4C4E48" w14:textId="0ACC6B0C"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El artículo 7.b) de la Convención de Belém do Pará establece que: “[l]os Estados Partes condenan todas las formas de violencia contra la mujer y convienen en adoptar, por todos los medios apropiados y sin dilaciones, políticas orientadas a prevenir, sancionar y erradicar dicha violencia y en llevar a cabo lo siguiente: […] b. actuar con la debida diligencia para prevenir, investigar y sancionar la violencia contra la mujer”.</w:t>
      </w:r>
    </w:p>
  </w:footnote>
  <w:footnote w:id="190">
    <w:p w14:paraId="4663FEB7"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Aun cuando la Corte utilizará el término niña durante el desarrollo de la presente Sentencia, por tratarse el caso de una niña quien fue víctima de violencia sexual, los criterios jurisprudenciales que se desarrollen a lo largo de la misma, serán aplicables tanto a niñas, como a niños y adolescentes, sin distinción alguna.</w:t>
      </w:r>
    </w:p>
  </w:footnote>
  <w:footnote w:id="191">
    <w:p w14:paraId="052F9551" w14:textId="36FF6992" w:rsidR="007F7D87" w:rsidRPr="009C15B0" w:rsidRDefault="007F7D87" w:rsidP="001E6358">
      <w:pPr>
        <w:tabs>
          <w:tab w:val="left" w:pos="567"/>
        </w:tabs>
        <w:spacing w:after="60" w:line="240" w:lineRule="auto"/>
        <w:rPr>
          <w:bCs/>
          <w:i/>
          <w:sz w:val="16"/>
          <w:szCs w:val="16"/>
        </w:rPr>
      </w:pPr>
      <w:r w:rsidRPr="009C15B0">
        <w:rPr>
          <w:rStyle w:val="FootnoteReference"/>
          <w:rFonts w:eastAsia="MS Mincho"/>
          <w:sz w:val="16"/>
          <w:szCs w:val="16"/>
        </w:rPr>
        <w:footnoteRef/>
      </w:r>
      <w:r w:rsidRPr="009C15B0">
        <w:rPr>
          <w:sz w:val="16"/>
          <w:szCs w:val="16"/>
        </w:rPr>
        <w:t xml:space="preserve"> </w:t>
      </w:r>
      <w:r w:rsidRPr="009C15B0">
        <w:rPr>
          <w:sz w:val="16"/>
          <w:szCs w:val="16"/>
        </w:rPr>
        <w:tab/>
      </w:r>
      <w:r w:rsidRPr="009C15B0">
        <w:rPr>
          <w:i/>
          <w:sz w:val="16"/>
          <w:szCs w:val="16"/>
        </w:rPr>
        <w:t xml:space="preserve">Cfr. </w:t>
      </w:r>
      <w:r w:rsidRPr="009C15B0">
        <w:rPr>
          <w:bCs/>
          <w:i/>
          <w:sz w:val="16"/>
          <w:szCs w:val="16"/>
        </w:rPr>
        <w:t>Caso Velásquez Rodríguez Vs. Honduras. Excepciones Preliminares, supra</w:t>
      </w:r>
      <w:r w:rsidRPr="009C15B0">
        <w:rPr>
          <w:bCs/>
          <w:sz w:val="16"/>
          <w:szCs w:val="16"/>
        </w:rPr>
        <w:t>, párr. 91</w:t>
      </w:r>
      <w:r w:rsidRPr="009C15B0">
        <w:rPr>
          <w:sz w:val="16"/>
          <w:szCs w:val="16"/>
        </w:rPr>
        <w:t>,</w:t>
      </w:r>
      <w:r w:rsidRPr="009C15B0">
        <w:rPr>
          <w:i/>
          <w:sz w:val="16"/>
          <w:szCs w:val="16"/>
        </w:rPr>
        <w:t xml:space="preserve"> </w:t>
      </w:r>
      <w:r w:rsidRPr="009C15B0">
        <w:rPr>
          <w:sz w:val="16"/>
          <w:szCs w:val="16"/>
        </w:rPr>
        <w:t>y</w:t>
      </w:r>
      <w:r w:rsidRPr="009C15B0">
        <w:rPr>
          <w:i/>
          <w:sz w:val="16"/>
          <w:szCs w:val="16"/>
        </w:rPr>
        <w:t xml:space="preserve"> </w:t>
      </w:r>
      <w:r w:rsidRPr="009C15B0">
        <w:rPr>
          <w:bCs/>
          <w:i/>
          <w:sz w:val="16"/>
          <w:szCs w:val="16"/>
        </w:rPr>
        <w:t xml:space="preserve">Caso Gutiérrez Hernández y otros Vs. Guatemala. Excepciones Preliminares, Fondo, Reparaciones y Costas. </w:t>
      </w:r>
      <w:r w:rsidRPr="009C15B0">
        <w:rPr>
          <w:bCs/>
          <w:sz w:val="16"/>
          <w:szCs w:val="16"/>
        </w:rPr>
        <w:t>Sentencia de 24 de agosto de 2017. Serie C No. 339</w:t>
      </w:r>
      <w:r w:rsidRPr="009C15B0">
        <w:rPr>
          <w:sz w:val="16"/>
          <w:szCs w:val="16"/>
        </w:rPr>
        <w:t>, párr. 147</w:t>
      </w:r>
      <w:r w:rsidRPr="009C15B0">
        <w:rPr>
          <w:i/>
          <w:sz w:val="16"/>
          <w:szCs w:val="16"/>
        </w:rPr>
        <w:t>.</w:t>
      </w:r>
    </w:p>
  </w:footnote>
  <w:footnote w:id="192">
    <w:p w14:paraId="34F0E98D" w14:textId="7C9388D3" w:rsidR="007F7D87" w:rsidRPr="009C15B0" w:rsidRDefault="007F7D87" w:rsidP="001E6358">
      <w:pPr>
        <w:tabs>
          <w:tab w:val="left" w:pos="567"/>
        </w:tabs>
        <w:spacing w:after="60" w:line="240" w:lineRule="auto"/>
        <w:rPr>
          <w:sz w:val="16"/>
          <w:szCs w:val="16"/>
        </w:rPr>
      </w:pPr>
      <w:r w:rsidRPr="009C15B0">
        <w:rPr>
          <w:rStyle w:val="FootnoteReference"/>
          <w:rFonts w:eastAsia="MS Mincho"/>
          <w:sz w:val="16"/>
          <w:szCs w:val="16"/>
        </w:rPr>
        <w:footnoteRef/>
      </w:r>
      <w:r w:rsidRPr="009C15B0">
        <w:rPr>
          <w:sz w:val="16"/>
          <w:szCs w:val="16"/>
        </w:rPr>
        <w:t xml:space="preserve"> </w:t>
      </w:r>
      <w:r w:rsidRPr="009C15B0">
        <w:rPr>
          <w:sz w:val="16"/>
          <w:szCs w:val="16"/>
        </w:rPr>
        <w:tab/>
      </w:r>
      <w:r w:rsidRPr="009C15B0">
        <w:rPr>
          <w:i/>
          <w:sz w:val="16"/>
          <w:szCs w:val="16"/>
        </w:rPr>
        <w:t>Cfr.</w:t>
      </w:r>
      <w:r w:rsidRPr="009C15B0">
        <w:rPr>
          <w:sz w:val="16"/>
          <w:szCs w:val="16"/>
        </w:rPr>
        <w:t xml:space="preserve"> </w:t>
      </w:r>
      <w:r w:rsidRPr="009C15B0">
        <w:rPr>
          <w:i/>
          <w:iCs/>
          <w:sz w:val="16"/>
          <w:szCs w:val="16"/>
        </w:rPr>
        <w:t xml:space="preserve">Caso Bulacio Vs. Argentina. Fondo, Reparaciones y Costas. </w:t>
      </w:r>
      <w:r w:rsidRPr="009C15B0">
        <w:rPr>
          <w:iCs/>
          <w:sz w:val="16"/>
          <w:szCs w:val="16"/>
        </w:rPr>
        <w:t>Sentencia de 18 de Septiembre de 2003. Serie C No. 100,</w:t>
      </w:r>
      <w:r w:rsidRPr="009C15B0">
        <w:rPr>
          <w:i/>
          <w:iCs/>
          <w:sz w:val="16"/>
          <w:szCs w:val="16"/>
        </w:rPr>
        <w:t xml:space="preserve"> </w:t>
      </w:r>
      <w:r w:rsidRPr="009C15B0">
        <w:rPr>
          <w:sz w:val="16"/>
          <w:szCs w:val="16"/>
        </w:rPr>
        <w:t>párr. 114, y</w:t>
      </w:r>
      <w:r w:rsidRPr="009C15B0">
        <w:rPr>
          <w:i/>
          <w:sz w:val="16"/>
          <w:szCs w:val="16"/>
        </w:rPr>
        <w:t xml:space="preserve"> Caso Gutiérrez Hernández y otros Vs. Guatemala, supra</w:t>
      </w:r>
      <w:r w:rsidRPr="009C15B0">
        <w:rPr>
          <w:sz w:val="16"/>
          <w:szCs w:val="16"/>
        </w:rPr>
        <w:t>, párr. 147.</w:t>
      </w:r>
    </w:p>
  </w:footnote>
  <w:footnote w:id="193">
    <w:p w14:paraId="7EF1E622" w14:textId="3584654A" w:rsidR="007F7D87" w:rsidRPr="009C15B0" w:rsidRDefault="007F7D87" w:rsidP="001E6358">
      <w:pPr>
        <w:pStyle w:val="FootnoteText"/>
        <w:tabs>
          <w:tab w:val="left" w:pos="567"/>
        </w:tabs>
        <w:spacing w:after="60"/>
        <w:rPr>
          <w:sz w:val="16"/>
          <w:szCs w:val="16"/>
          <w:lang w:val="es-CR"/>
        </w:rPr>
      </w:pPr>
      <w:r w:rsidRPr="009C15B0">
        <w:rPr>
          <w:rStyle w:val="FootnoteReference"/>
          <w:rFonts w:eastAsia="MS Mincho"/>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Caso Velásquez Rodríguez Vs. Honduras. Fondo, supra</w:t>
      </w:r>
      <w:r w:rsidRPr="009C15B0">
        <w:rPr>
          <w:sz w:val="16"/>
          <w:szCs w:val="16"/>
          <w:lang w:val="es-CR"/>
        </w:rPr>
        <w:t xml:space="preserve">, párr. 177, y </w:t>
      </w:r>
      <w:r w:rsidRPr="009C15B0">
        <w:rPr>
          <w:i/>
          <w:sz w:val="16"/>
          <w:szCs w:val="16"/>
          <w:lang w:val="es-CR"/>
        </w:rPr>
        <w:t>Caso Velásquez Paiz y otros Vs. Guatemala</w:t>
      </w:r>
      <w:r w:rsidRPr="009C15B0">
        <w:rPr>
          <w:sz w:val="16"/>
          <w:szCs w:val="16"/>
          <w:lang w:val="es-CR"/>
        </w:rPr>
        <w:t xml:space="preserve">. </w:t>
      </w:r>
      <w:r w:rsidRPr="009C15B0">
        <w:rPr>
          <w:i/>
          <w:sz w:val="16"/>
          <w:szCs w:val="16"/>
          <w:lang w:val="es-CR"/>
        </w:rPr>
        <w:t>Excepciones Preliminares, Fondo, Reparaciones y Costas.</w:t>
      </w:r>
      <w:r w:rsidRPr="009C15B0">
        <w:rPr>
          <w:sz w:val="16"/>
          <w:szCs w:val="16"/>
          <w:lang w:val="es-CR"/>
        </w:rPr>
        <w:t xml:space="preserve"> Sentencia de 19 de noviembre de 2015. Serie C No. 307, párr. 143.</w:t>
      </w:r>
    </w:p>
  </w:footnote>
  <w:footnote w:id="194">
    <w:p w14:paraId="2116A189" w14:textId="2C33D628" w:rsidR="007F7D87" w:rsidRPr="009C15B0" w:rsidRDefault="007F7D87" w:rsidP="001E6358">
      <w:pPr>
        <w:tabs>
          <w:tab w:val="left" w:pos="567"/>
        </w:tabs>
        <w:spacing w:after="60" w:line="240" w:lineRule="auto"/>
        <w:rPr>
          <w:sz w:val="16"/>
          <w:szCs w:val="16"/>
        </w:rPr>
      </w:pPr>
      <w:r w:rsidRPr="009C15B0">
        <w:rPr>
          <w:rStyle w:val="FootnoteReference"/>
          <w:rFonts w:eastAsia="MS Mincho"/>
          <w:sz w:val="16"/>
          <w:szCs w:val="16"/>
        </w:rPr>
        <w:footnoteRef/>
      </w:r>
      <w:r w:rsidRPr="009C15B0">
        <w:rPr>
          <w:sz w:val="16"/>
          <w:szCs w:val="16"/>
        </w:rPr>
        <w:tab/>
      </w:r>
      <w:r w:rsidRPr="009C15B0">
        <w:rPr>
          <w:i/>
          <w:sz w:val="16"/>
          <w:szCs w:val="16"/>
        </w:rPr>
        <w:t>Cfr.</w:t>
      </w:r>
      <w:r w:rsidRPr="009C15B0">
        <w:rPr>
          <w:sz w:val="16"/>
          <w:szCs w:val="16"/>
        </w:rPr>
        <w:t xml:space="preserve"> </w:t>
      </w:r>
      <w:r w:rsidRPr="009C15B0">
        <w:rPr>
          <w:bCs/>
          <w:i/>
          <w:sz w:val="16"/>
          <w:szCs w:val="16"/>
        </w:rPr>
        <w:t xml:space="preserve">Caso de las Hermanas Serrano Cruz Vs. El Salvador. Fondo, Reparaciones y Costas. </w:t>
      </w:r>
      <w:r w:rsidRPr="009C15B0">
        <w:rPr>
          <w:bCs/>
          <w:sz w:val="16"/>
          <w:szCs w:val="16"/>
        </w:rPr>
        <w:t>Sentencia de 1 de marzo de 2005. Serie C No. 120</w:t>
      </w:r>
      <w:r w:rsidRPr="009C15B0">
        <w:rPr>
          <w:bCs/>
          <w:i/>
          <w:sz w:val="16"/>
          <w:szCs w:val="16"/>
        </w:rPr>
        <w:t xml:space="preserve">, </w:t>
      </w:r>
      <w:r w:rsidRPr="009C15B0">
        <w:rPr>
          <w:sz w:val="16"/>
          <w:szCs w:val="16"/>
        </w:rPr>
        <w:t xml:space="preserve">párr. 83, y </w:t>
      </w:r>
      <w:r w:rsidRPr="009C15B0">
        <w:rPr>
          <w:rFonts w:eastAsiaTheme="minorHAnsi" w:cstheme="minorBidi"/>
          <w:i/>
          <w:sz w:val="16"/>
          <w:szCs w:val="16"/>
          <w:lang w:eastAsia="en-US"/>
        </w:rPr>
        <w:t>Caso Pacheco León y otros Vs. Honduras, supra</w:t>
      </w:r>
      <w:r w:rsidRPr="009C15B0">
        <w:rPr>
          <w:rFonts w:eastAsiaTheme="minorHAnsi" w:cstheme="minorBidi"/>
          <w:sz w:val="16"/>
          <w:szCs w:val="16"/>
          <w:lang w:eastAsia="en-US"/>
        </w:rPr>
        <w:t>, párr. 75.</w:t>
      </w:r>
    </w:p>
  </w:footnote>
  <w:footnote w:id="195">
    <w:p w14:paraId="7FDA5D44"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Caso Fernández Ortega y otros Vs. México. Excepción Preliminar, Fondo, Reparaciones y Costas. </w:t>
      </w:r>
      <w:r w:rsidRPr="009C15B0">
        <w:rPr>
          <w:sz w:val="16"/>
          <w:szCs w:val="16"/>
          <w:lang w:val="es-CR"/>
        </w:rPr>
        <w:t xml:space="preserve">Sentencia de 30 de agosto de 2010. Serie C No. 215, párr. 193, y </w:t>
      </w:r>
      <w:r w:rsidRPr="009C15B0">
        <w:rPr>
          <w:i/>
          <w:sz w:val="16"/>
          <w:szCs w:val="16"/>
          <w:lang w:val="es-CR"/>
        </w:rPr>
        <w:t>Caso Gutiérrez Hernández y otros Vs. Guatemala, supra</w:t>
      </w:r>
      <w:r w:rsidRPr="009C15B0">
        <w:rPr>
          <w:rStyle w:val="Strong"/>
          <w:b w:val="0"/>
          <w:sz w:val="16"/>
          <w:szCs w:val="16"/>
          <w:shd w:val="clear" w:color="auto" w:fill="FFFFFF"/>
          <w:lang w:val="es-CR"/>
        </w:rPr>
        <w:t>,</w:t>
      </w:r>
      <w:r w:rsidRPr="009C15B0">
        <w:rPr>
          <w:i/>
          <w:sz w:val="16"/>
          <w:szCs w:val="16"/>
          <w:lang w:val="es-CR"/>
        </w:rPr>
        <w:t xml:space="preserve"> </w:t>
      </w:r>
      <w:r w:rsidRPr="009C15B0">
        <w:rPr>
          <w:sz w:val="16"/>
          <w:szCs w:val="16"/>
          <w:lang w:val="es-CR"/>
        </w:rPr>
        <w:t>párr. 149.</w:t>
      </w:r>
    </w:p>
  </w:footnote>
  <w:footnote w:id="196">
    <w:p w14:paraId="4DF1BF84" w14:textId="59E8E439"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Caso González y otras (“Campo Algodonero”) Vs. </w:t>
      </w:r>
      <w:r w:rsidRPr="00C946D6">
        <w:rPr>
          <w:i/>
          <w:sz w:val="16"/>
          <w:szCs w:val="16"/>
          <w:lang w:val="pt-BR"/>
        </w:rPr>
        <w:t>México, supra</w:t>
      </w:r>
      <w:r w:rsidRPr="00C946D6">
        <w:rPr>
          <w:sz w:val="16"/>
          <w:szCs w:val="16"/>
          <w:lang w:val="pt-BR"/>
        </w:rPr>
        <w:t>, párr. 258</w:t>
      </w:r>
      <w:r w:rsidRPr="00C946D6">
        <w:rPr>
          <w:i/>
          <w:sz w:val="16"/>
          <w:szCs w:val="16"/>
          <w:lang w:val="pt-BR"/>
        </w:rPr>
        <w:t xml:space="preserve">, </w:t>
      </w:r>
      <w:r w:rsidRPr="00C946D6">
        <w:rPr>
          <w:sz w:val="16"/>
          <w:szCs w:val="16"/>
          <w:lang w:val="pt-BR"/>
        </w:rPr>
        <w:t xml:space="preserve">y </w:t>
      </w:r>
      <w:r w:rsidRPr="00C946D6">
        <w:rPr>
          <w:i/>
          <w:sz w:val="16"/>
          <w:szCs w:val="16"/>
          <w:lang w:val="pt-BR"/>
        </w:rPr>
        <w:t>Caso Favela Nova Brasilia Vs. Brasil, supra</w:t>
      </w:r>
      <w:r w:rsidRPr="00C946D6">
        <w:rPr>
          <w:sz w:val="16"/>
          <w:szCs w:val="16"/>
          <w:lang w:val="pt-BR"/>
        </w:rPr>
        <w:t xml:space="preserve">, </w:t>
      </w:r>
      <w:r w:rsidRPr="00C946D6">
        <w:rPr>
          <w:rFonts w:cs="Verdana"/>
          <w:sz w:val="16"/>
          <w:szCs w:val="16"/>
          <w:lang w:val="pt-BR"/>
        </w:rPr>
        <w:t xml:space="preserve">párr. </w:t>
      </w:r>
      <w:r w:rsidRPr="009C15B0">
        <w:rPr>
          <w:rFonts w:cs="Verdana"/>
          <w:sz w:val="16"/>
          <w:szCs w:val="16"/>
          <w:lang w:val="es-CR"/>
        </w:rPr>
        <w:t>243</w:t>
      </w:r>
      <w:r w:rsidRPr="009C15B0">
        <w:rPr>
          <w:sz w:val="16"/>
          <w:szCs w:val="16"/>
          <w:lang w:val="es-CR"/>
        </w:rPr>
        <w:t>.</w:t>
      </w:r>
    </w:p>
  </w:footnote>
  <w:footnote w:id="197">
    <w:p w14:paraId="4E4D023E" w14:textId="2E71C1BA"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rFonts w:cs="Verdana"/>
          <w:sz w:val="16"/>
          <w:szCs w:val="16"/>
          <w:lang w:val="es-CR"/>
        </w:rPr>
        <w:t>Entre otros, en una investigación penal por violencia sexual es necesario que: i) la declaración de la víctima se realice en un ambiente cómodo y seguro, que le brinde privacidad y confianza; ii) la declaración de la víctima se registre de forma tal que se evite o limite la necesidad de su repetición; iii) se brinde atención médica, sanitaria y psicológica a la víctima, tanto de emergencia como de forma continuada si así se requiere, mediante un protocolo de atención cuyo objetivo sea reducir las consecuencias de la violación; iv) se realice inmediatamente un examen médico y psicológico completo y detallado por personal idóneo y capacitado, en lo posible del sexo que la víctima indique, ofreciéndole que sea acompañada por alguien de su confianza si así lo desea; v) se documenten y coordinen los actos investigativos y se maneje diligentemente la prueba, tomando muestras suficientes, realizando estudios para determinar la posible autoría del hecho, asegurando otras pruebas como la ropa de la víctima, investigando de forma inmediata el lugar de los hechos y garantizando la correcta cadena de custodia; vi) se brinde acceso a asistencia jurídica gratuita a la víctima durante todas las etapas del proceso</w:t>
      </w:r>
      <w:r w:rsidRPr="009C15B0">
        <w:rPr>
          <w:sz w:val="16"/>
          <w:szCs w:val="16"/>
          <w:lang w:val="es-CR"/>
        </w:rPr>
        <w:t>, y vii) se brinde atención médica, sanitaria y psicológica a la víctima, tanto de emergencia como de forma continuada si así se requiere, mediante un protocolo de atención cuyo objetivo sea reducir las consecuencias de la violación. Asimismo, en casos de supuestos actos de violencia contra la mujer, la investigación penal debe incluir una perspectiva de género y realizarse por funcionarios capacitados en casos similares y en atención a víctimas de discriminación y violencia por razón de género</w:t>
      </w:r>
      <w:r w:rsidRPr="009C15B0">
        <w:rPr>
          <w:rFonts w:cs="Verdana"/>
          <w:bCs/>
          <w:sz w:val="16"/>
          <w:szCs w:val="16"/>
          <w:lang w:val="es-CR"/>
        </w:rPr>
        <w:t xml:space="preserve">. </w:t>
      </w:r>
      <w:r w:rsidRPr="009C15B0">
        <w:rPr>
          <w:i/>
          <w:sz w:val="16"/>
          <w:szCs w:val="16"/>
          <w:lang w:val="es-CR"/>
        </w:rPr>
        <w:t>Cfr. Caso González y otras (“Campo Algodonero”) Vs. México, supra</w:t>
      </w:r>
      <w:r w:rsidRPr="009C15B0">
        <w:rPr>
          <w:sz w:val="16"/>
          <w:szCs w:val="16"/>
          <w:lang w:val="es-CR"/>
        </w:rPr>
        <w:t>, párr. 455;</w:t>
      </w:r>
      <w:r w:rsidRPr="009C15B0">
        <w:rPr>
          <w:i/>
          <w:sz w:val="16"/>
          <w:szCs w:val="16"/>
          <w:lang w:val="es-CR"/>
        </w:rPr>
        <w:t xml:space="preserve"> Caso Fernández Ortega y otros Vs. México, supra</w:t>
      </w:r>
      <w:r w:rsidRPr="009C15B0">
        <w:rPr>
          <w:sz w:val="16"/>
          <w:szCs w:val="16"/>
          <w:lang w:val="es-CR"/>
        </w:rPr>
        <w:t>, párrs</w:t>
      </w:r>
      <w:r w:rsidRPr="009C15B0">
        <w:rPr>
          <w:i/>
          <w:sz w:val="16"/>
          <w:szCs w:val="16"/>
          <w:lang w:val="es-CR"/>
        </w:rPr>
        <w:t xml:space="preserve">. </w:t>
      </w:r>
      <w:r w:rsidRPr="009C15B0">
        <w:rPr>
          <w:sz w:val="16"/>
          <w:szCs w:val="16"/>
          <w:lang w:val="es-CR"/>
        </w:rPr>
        <w:t>194, 251 y 252;</w:t>
      </w:r>
      <w:r w:rsidRPr="009C15B0">
        <w:rPr>
          <w:i/>
          <w:sz w:val="16"/>
          <w:szCs w:val="16"/>
          <w:lang w:val="es-CR"/>
        </w:rPr>
        <w:t xml:space="preserve"> Caso Espinoza Gonzáles Vs. Perú. Excepciones Preliminares, Fondo, Reparaciones y Costas. </w:t>
      </w:r>
      <w:r w:rsidRPr="009C15B0">
        <w:rPr>
          <w:sz w:val="16"/>
          <w:szCs w:val="16"/>
          <w:lang w:val="es-CR"/>
        </w:rPr>
        <w:t>Sentencia de 20 de noviembre de 2014. Serie C No. 289, párrs. 242 y 252</w:t>
      </w:r>
      <w:r w:rsidRPr="009C15B0">
        <w:rPr>
          <w:i/>
          <w:sz w:val="16"/>
          <w:szCs w:val="16"/>
          <w:lang w:val="es-CR"/>
        </w:rPr>
        <w:t xml:space="preserve">, </w:t>
      </w:r>
      <w:r w:rsidRPr="009C15B0">
        <w:rPr>
          <w:sz w:val="16"/>
          <w:szCs w:val="16"/>
          <w:lang w:val="es-CR"/>
        </w:rPr>
        <w:t>y</w:t>
      </w:r>
      <w:r w:rsidRPr="009C15B0">
        <w:rPr>
          <w:i/>
          <w:sz w:val="16"/>
          <w:szCs w:val="16"/>
          <w:lang w:val="es-CR"/>
        </w:rPr>
        <w:t xml:space="preserve"> Caso Favela Nova Brasilia Vs. Brasil, supra</w:t>
      </w:r>
      <w:r w:rsidRPr="009C15B0">
        <w:rPr>
          <w:sz w:val="16"/>
          <w:szCs w:val="16"/>
          <w:lang w:val="es-CR"/>
        </w:rPr>
        <w:t>, párr. 254.</w:t>
      </w:r>
    </w:p>
  </w:footnote>
  <w:footnote w:id="198">
    <w:p w14:paraId="7B5BF5D0" w14:textId="7CFDE46A" w:rsidR="007F7D87" w:rsidRPr="009C15B0" w:rsidRDefault="007F7D87" w:rsidP="001E6358">
      <w:pPr>
        <w:tabs>
          <w:tab w:val="left" w:pos="567"/>
        </w:tabs>
        <w:spacing w:after="60" w:line="240" w:lineRule="auto"/>
        <w:rPr>
          <w:i/>
          <w:sz w:val="16"/>
          <w:szCs w:val="16"/>
        </w:rPr>
      </w:pPr>
      <w:r w:rsidRPr="009C15B0">
        <w:rPr>
          <w:rStyle w:val="FootnoteReference"/>
          <w:sz w:val="16"/>
          <w:szCs w:val="16"/>
        </w:rPr>
        <w:footnoteRef/>
      </w:r>
      <w:r w:rsidRPr="009C15B0">
        <w:rPr>
          <w:sz w:val="16"/>
          <w:szCs w:val="16"/>
        </w:rPr>
        <w:t xml:space="preserve"> </w:t>
      </w:r>
      <w:r w:rsidRPr="009C15B0">
        <w:rPr>
          <w:sz w:val="16"/>
          <w:szCs w:val="16"/>
        </w:rPr>
        <w:tab/>
      </w:r>
      <w:r w:rsidRPr="009C15B0">
        <w:rPr>
          <w:i/>
          <w:sz w:val="16"/>
          <w:szCs w:val="16"/>
          <w:lang w:eastAsia="x-none"/>
        </w:rPr>
        <w:t>Cfr. Caso de los “Niños de la Calle” (Villagrán Morales y otros) Vs. Guatemala. Fondo, supra</w:t>
      </w:r>
      <w:r w:rsidRPr="009C15B0">
        <w:rPr>
          <w:sz w:val="16"/>
          <w:szCs w:val="16"/>
          <w:lang w:eastAsia="x-none"/>
        </w:rPr>
        <w:t>, párrs. 194 a 195, y</w:t>
      </w:r>
      <w:r w:rsidRPr="009C15B0">
        <w:rPr>
          <w:i/>
          <w:sz w:val="16"/>
          <w:szCs w:val="16"/>
          <w:lang w:eastAsia="x-none"/>
        </w:rPr>
        <w:t xml:space="preserve"> Caso Familia Pacheco Tineo Vs. Bolivia. Excepciones Preliminares, Fondo, Reparaciones y Costas. </w:t>
      </w:r>
      <w:r w:rsidRPr="009C15B0">
        <w:rPr>
          <w:sz w:val="16"/>
          <w:szCs w:val="16"/>
          <w:lang w:eastAsia="x-none"/>
        </w:rPr>
        <w:t>Sentencia de 25 de noviembre de 2013. Serie C No. 272, párr. 217</w:t>
      </w:r>
      <w:r w:rsidRPr="009C15B0">
        <w:rPr>
          <w:i/>
          <w:sz w:val="16"/>
          <w:szCs w:val="16"/>
          <w:lang w:eastAsia="x-none"/>
        </w:rPr>
        <w:t>.</w:t>
      </w:r>
    </w:p>
  </w:footnote>
  <w:footnote w:id="199">
    <w:p w14:paraId="11F21EFB" w14:textId="43EC2150"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El artículo</w:t>
      </w:r>
      <w:r w:rsidRPr="009C15B0">
        <w:rPr>
          <w:bCs/>
          <w:sz w:val="16"/>
          <w:szCs w:val="16"/>
          <w:lang w:val="es-CR"/>
        </w:rPr>
        <w:t xml:space="preserve"> 2 de la Convención sobre los Derechos del Niño prevé la obligación de los Estados de respetar los derechos enunciados en dicho instrumento y de asegurar su aplicación a cada niña y niño sujeto a su jurisdicción, sin distinción alguna, lo cual</w:t>
      </w:r>
      <w:r w:rsidRPr="009C15B0">
        <w:rPr>
          <w:sz w:val="16"/>
          <w:szCs w:val="16"/>
          <w:lang w:val="es-CR"/>
        </w:rPr>
        <w:t xml:space="preserve"> “exige que los Estados identifiquen activamente a los niños y grupos de niños cuando el reconocimiento y la efectividad de sus derechos pueda exigir la adopción de medidas especiales”. </w:t>
      </w:r>
      <w:r w:rsidRPr="009C15B0">
        <w:rPr>
          <w:sz w:val="16"/>
          <w:szCs w:val="16"/>
          <w:shd w:val="clear" w:color="auto" w:fill="FFFFFF"/>
          <w:lang w:val="es-CR"/>
        </w:rPr>
        <w:t xml:space="preserve">Comité de los Derechos del Niño, </w:t>
      </w:r>
      <w:r w:rsidRPr="009C15B0">
        <w:rPr>
          <w:i/>
          <w:sz w:val="16"/>
          <w:szCs w:val="16"/>
          <w:lang w:val="es-CR"/>
        </w:rPr>
        <w:t>Observación General Nº 5: Medidas generales de aplicación de la Convención sobre los Derechos del Niño (artículos 4, 42 y párrafo 6 del artículo 44)</w:t>
      </w:r>
      <w:r w:rsidRPr="009C15B0">
        <w:rPr>
          <w:sz w:val="16"/>
          <w:szCs w:val="16"/>
          <w:lang w:val="es-CR"/>
        </w:rPr>
        <w:t xml:space="preserve">, UN Doc. CRC/GC/2003/5, 27 de noviembre de 2003, párr. 12, y Comité de los Derechos del Niño, </w:t>
      </w:r>
      <w:r w:rsidRPr="009C15B0">
        <w:rPr>
          <w:i/>
          <w:sz w:val="16"/>
          <w:szCs w:val="16"/>
          <w:lang w:val="es-CR"/>
        </w:rPr>
        <w:t>Observación General Nº 13:</w:t>
      </w:r>
      <w:r w:rsidRPr="009C15B0">
        <w:rPr>
          <w:sz w:val="16"/>
          <w:szCs w:val="16"/>
          <w:lang w:val="es-CR"/>
        </w:rPr>
        <w:t xml:space="preserve"> </w:t>
      </w:r>
      <w:r w:rsidRPr="009C15B0">
        <w:rPr>
          <w:i/>
          <w:sz w:val="16"/>
          <w:szCs w:val="16"/>
          <w:lang w:val="es-CR"/>
        </w:rPr>
        <w:t>Derecho del niño a no ser objeto de ninguna forma de violencia</w:t>
      </w:r>
      <w:r w:rsidRPr="009C15B0">
        <w:rPr>
          <w:sz w:val="16"/>
          <w:szCs w:val="16"/>
          <w:lang w:val="es-CR"/>
        </w:rPr>
        <w:t>, UN Doc. CRC/C/GC/13, 18 de abril de 2011, párr. 60.</w:t>
      </w:r>
    </w:p>
  </w:footnote>
  <w:footnote w:id="200">
    <w:p w14:paraId="109B44C0" w14:textId="04FCB130"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 xml:space="preserve">El párrafo 1 del artículo 3 </w:t>
      </w:r>
      <w:r w:rsidRPr="009C15B0">
        <w:rPr>
          <w:bCs/>
          <w:sz w:val="16"/>
          <w:szCs w:val="16"/>
          <w:lang w:val="es-CR"/>
        </w:rPr>
        <w:t xml:space="preserve">de la Convención sobre los Derechos del Niño </w:t>
      </w:r>
      <w:r w:rsidRPr="009C15B0">
        <w:rPr>
          <w:sz w:val="16"/>
          <w:szCs w:val="16"/>
          <w:lang w:val="es-CR"/>
        </w:rPr>
        <w:t xml:space="preserve">obliga a que el interés superior de la niña o del niño sea una consideración primordial en todas las medidas que les conciernen. </w:t>
      </w:r>
      <w:r w:rsidRPr="009C15B0">
        <w:rPr>
          <w:i/>
          <w:sz w:val="16"/>
          <w:szCs w:val="16"/>
          <w:lang w:val="es-CR"/>
        </w:rPr>
        <w:t>Cfr</w:t>
      </w:r>
      <w:r w:rsidRPr="009C15B0">
        <w:rPr>
          <w:sz w:val="16"/>
          <w:szCs w:val="16"/>
          <w:lang w:val="es-CR"/>
        </w:rPr>
        <w:t xml:space="preserve">. </w:t>
      </w:r>
      <w:r w:rsidRPr="009C15B0">
        <w:rPr>
          <w:sz w:val="16"/>
          <w:szCs w:val="16"/>
          <w:shd w:val="clear" w:color="auto" w:fill="FFFFFF"/>
          <w:lang w:val="es-CR"/>
        </w:rPr>
        <w:t xml:space="preserve">Comité de los Derechos del Niño, </w:t>
      </w:r>
      <w:r w:rsidRPr="009C15B0">
        <w:rPr>
          <w:i/>
          <w:sz w:val="16"/>
          <w:szCs w:val="16"/>
          <w:lang w:val="es-CR"/>
        </w:rPr>
        <w:t>Observación General Nº 5: Medidas generales de aplicación de la Convención sobre los Derechos del Niño (artículos 4, 42 y párrafo 6 del artículo 44)</w:t>
      </w:r>
      <w:r w:rsidRPr="009C15B0">
        <w:rPr>
          <w:sz w:val="16"/>
          <w:szCs w:val="16"/>
          <w:lang w:val="es-CR"/>
        </w:rPr>
        <w:t xml:space="preserve">, </w:t>
      </w:r>
      <w:r w:rsidRPr="009C15B0">
        <w:rPr>
          <w:i/>
          <w:sz w:val="16"/>
          <w:szCs w:val="16"/>
          <w:lang w:val="es-CR"/>
        </w:rPr>
        <w:t>supra</w:t>
      </w:r>
      <w:r w:rsidRPr="009C15B0">
        <w:rPr>
          <w:sz w:val="16"/>
          <w:szCs w:val="16"/>
          <w:lang w:val="es-CR"/>
        </w:rPr>
        <w:t xml:space="preserve">, párr. 12; Comité de los Derechos del Niño, </w:t>
      </w:r>
      <w:r w:rsidRPr="009C15B0">
        <w:rPr>
          <w:i/>
          <w:sz w:val="16"/>
          <w:szCs w:val="16"/>
          <w:lang w:val="es-CR"/>
        </w:rPr>
        <w:t>Observación General Nº 13:</w:t>
      </w:r>
      <w:r w:rsidRPr="009C15B0">
        <w:rPr>
          <w:sz w:val="16"/>
          <w:szCs w:val="16"/>
          <w:lang w:val="es-CR"/>
        </w:rPr>
        <w:t xml:space="preserve"> </w:t>
      </w:r>
      <w:r w:rsidRPr="009C15B0">
        <w:rPr>
          <w:i/>
          <w:sz w:val="16"/>
          <w:szCs w:val="16"/>
          <w:lang w:val="es-CR"/>
        </w:rPr>
        <w:t>Derecho del niño a no ser objeto de ninguna forma de violencia</w:t>
      </w:r>
      <w:r w:rsidRPr="009C15B0">
        <w:rPr>
          <w:sz w:val="16"/>
          <w:szCs w:val="16"/>
          <w:lang w:val="es-CR"/>
        </w:rPr>
        <w:t xml:space="preserve">, </w:t>
      </w:r>
      <w:r w:rsidRPr="009C15B0">
        <w:rPr>
          <w:i/>
          <w:sz w:val="16"/>
          <w:szCs w:val="16"/>
          <w:lang w:val="es-CR"/>
        </w:rPr>
        <w:t>supra</w:t>
      </w:r>
      <w:r w:rsidRPr="009C15B0">
        <w:rPr>
          <w:sz w:val="16"/>
          <w:szCs w:val="16"/>
          <w:lang w:val="es-CR"/>
        </w:rPr>
        <w:t xml:space="preserve">, párr. 61, y </w:t>
      </w:r>
      <w:r w:rsidRPr="009C15B0">
        <w:rPr>
          <w:sz w:val="16"/>
          <w:szCs w:val="16"/>
          <w:shd w:val="clear" w:color="auto" w:fill="FFFFFF"/>
          <w:lang w:val="es-CR"/>
        </w:rPr>
        <w:t>Comité de los Derechos del Niño</w:t>
      </w:r>
      <w:r w:rsidRPr="009C15B0">
        <w:rPr>
          <w:sz w:val="16"/>
          <w:szCs w:val="16"/>
          <w:lang w:val="es-CR"/>
        </w:rPr>
        <w:t xml:space="preserve">, </w:t>
      </w:r>
      <w:r w:rsidRPr="009C15B0">
        <w:rPr>
          <w:i/>
          <w:sz w:val="16"/>
          <w:szCs w:val="16"/>
          <w:lang w:val="es-CR"/>
        </w:rPr>
        <w:t>Observación general N</w:t>
      </w:r>
      <w:r w:rsidRPr="009C15B0">
        <w:rPr>
          <w:rFonts w:eastAsia="Calibri"/>
          <w:i/>
          <w:sz w:val="16"/>
          <w:szCs w:val="16"/>
          <w:lang w:val="es-CR"/>
        </w:rPr>
        <w:t>º</w:t>
      </w:r>
      <w:r w:rsidRPr="009C15B0">
        <w:rPr>
          <w:i/>
          <w:sz w:val="16"/>
          <w:szCs w:val="16"/>
          <w:lang w:val="es-CR"/>
        </w:rPr>
        <w:t xml:space="preserve"> 14 sobre el derecho del niño a que su interés superior sea una consideración primordial (artículo 3, párrafo 1)</w:t>
      </w:r>
      <w:r w:rsidRPr="009C15B0">
        <w:rPr>
          <w:sz w:val="16"/>
          <w:szCs w:val="16"/>
          <w:lang w:val="es-CR"/>
        </w:rPr>
        <w:t>, UN Doc. CRC/C/CG/14, 29 de mayo de 2013.</w:t>
      </w:r>
    </w:p>
  </w:footnote>
  <w:footnote w:id="201">
    <w:p w14:paraId="2FA92AC1" w14:textId="2A017499"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El artículo</w:t>
      </w:r>
      <w:r w:rsidRPr="009C15B0">
        <w:rPr>
          <w:bCs/>
          <w:sz w:val="16"/>
          <w:szCs w:val="16"/>
          <w:lang w:val="es-CR"/>
        </w:rPr>
        <w:t xml:space="preserve"> 6 de la Convención sobre los Derechos del Niño reconoce </w:t>
      </w:r>
      <w:r w:rsidRPr="009C15B0">
        <w:rPr>
          <w:sz w:val="16"/>
          <w:szCs w:val="16"/>
          <w:lang w:val="es-CR"/>
        </w:rPr>
        <w:t xml:space="preserve">el derecho intrínseco de la niña y del niño a la vida y la obligación de los Estados Partes de garantizar en la máxima medida posible su supervivencia y desarrollo en su sentido más amplio, como concepto holístico que abarca el desarrollo físico, mental, espiritual, moral, psicológico y social de la niña y del niño. </w:t>
      </w:r>
      <w:r w:rsidRPr="009C15B0">
        <w:rPr>
          <w:i/>
          <w:sz w:val="16"/>
          <w:szCs w:val="16"/>
          <w:lang w:val="es-CR"/>
        </w:rPr>
        <w:t>Cfr</w:t>
      </w:r>
      <w:r w:rsidRPr="009C15B0">
        <w:rPr>
          <w:sz w:val="16"/>
          <w:szCs w:val="16"/>
          <w:lang w:val="es-CR"/>
        </w:rPr>
        <w:t xml:space="preserve">. </w:t>
      </w:r>
      <w:r w:rsidRPr="009C15B0">
        <w:rPr>
          <w:sz w:val="16"/>
          <w:szCs w:val="16"/>
          <w:shd w:val="clear" w:color="auto" w:fill="FFFFFF"/>
          <w:lang w:val="es-CR"/>
        </w:rPr>
        <w:t xml:space="preserve">Comité de los Derechos del Niño, </w:t>
      </w:r>
      <w:r w:rsidRPr="009C15B0">
        <w:rPr>
          <w:i/>
          <w:sz w:val="16"/>
          <w:szCs w:val="16"/>
          <w:lang w:val="es-CR"/>
        </w:rPr>
        <w:t>Observación General Nº 5: Medidas generales de aplicación de la Convención sobre los Derechos del Niño (artículos 4, 42 y párrafo 6 del artículo 44)</w:t>
      </w:r>
      <w:r w:rsidRPr="009C15B0">
        <w:rPr>
          <w:sz w:val="16"/>
          <w:szCs w:val="16"/>
          <w:lang w:val="es-CR"/>
        </w:rPr>
        <w:t xml:space="preserve">, </w:t>
      </w:r>
      <w:r w:rsidRPr="009C15B0">
        <w:rPr>
          <w:i/>
          <w:sz w:val="16"/>
          <w:szCs w:val="16"/>
          <w:lang w:val="es-CR"/>
        </w:rPr>
        <w:t>supra</w:t>
      </w:r>
      <w:r w:rsidRPr="009C15B0">
        <w:rPr>
          <w:sz w:val="16"/>
          <w:szCs w:val="16"/>
          <w:lang w:val="es-CR"/>
        </w:rPr>
        <w:t xml:space="preserve">, párr. 12, y Comité de los Derechos del Niño, </w:t>
      </w:r>
      <w:r w:rsidRPr="009C15B0">
        <w:rPr>
          <w:i/>
          <w:sz w:val="16"/>
          <w:szCs w:val="16"/>
          <w:lang w:val="es-CR"/>
        </w:rPr>
        <w:t>Observación General Nº 13:</w:t>
      </w:r>
      <w:r w:rsidRPr="009C15B0">
        <w:rPr>
          <w:sz w:val="16"/>
          <w:szCs w:val="16"/>
          <w:lang w:val="es-CR"/>
        </w:rPr>
        <w:t xml:space="preserve"> </w:t>
      </w:r>
      <w:r w:rsidRPr="009C15B0">
        <w:rPr>
          <w:i/>
          <w:sz w:val="16"/>
          <w:szCs w:val="16"/>
          <w:lang w:val="es-CR"/>
        </w:rPr>
        <w:t>Derecho del niño a no ser objeto de ninguna forma de violencia</w:t>
      </w:r>
      <w:r w:rsidRPr="009C15B0">
        <w:rPr>
          <w:sz w:val="16"/>
          <w:szCs w:val="16"/>
          <w:lang w:val="es-CR"/>
        </w:rPr>
        <w:t xml:space="preserve">, </w:t>
      </w:r>
      <w:r w:rsidRPr="009C15B0">
        <w:rPr>
          <w:i/>
          <w:sz w:val="16"/>
          <w:szCs w:val="16"/>
          <w:lang w:val="es-CR"/>
        </w:rPr>
        <w:t>supra</w:t>
      </w:r>
      <w:r w:rsidRPr="009C15B0">
        <w:rPr>
          <w:sz w:val="16"/>
          <w:szCs w:val="16"/>
          <w:lang w:val="es-CR"/>
        </w:rPr>
        <w:t>, párr. 62.</w:t>
      </w:r>
    </w:p>
  </w:footnote>
  <w:footnote w:id="202">
    <w:p w14:paraId="07DA0003" w14:textId="54C6D5A0"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 xml:space="preserve">El </w:t>
      </w:r>
      <w:r w:rsidRPr="009C15B0">
        <w:rPr>
          <w:bCs/>
          <w:sz w:val="16"/>
          <w:szCs w:val="16"/>
          <w:lang w:val="es-CR"/>
        </w:rPr>
        <w:t xml:space="preserve">artículo 12 de la Convención sobre los Derechos del Niño establece el derecho del niño a expresar su opinión libremente en “todos los asuntos que afectan al niño” y a que se tengan debidamente en cuenta esas opiniones, teniendo en cuenta su edad y grado de madurez. </w:t>
      </w:r>
      <w:r w:rsidRPr="009C15B0">
        <w:rPr>
          <w:bCs/>
          <w:i/>
          <w:sz w:val="16"/>
          <w:szCs w:val="16"/>
          <w:lang w:val="es-CR"/>
        </w:rPr>
        <w:t>Cfr.</w:t>
      </w:r>
      <w:r w:rsidRPr="009C15B0">
        <w:rPr>
          <w:b/>
          <w:bCs/>
          <w:i/>
          <w:sz w:val="16"/>
          <w:szCs w:val="16"/>
          <w:lang w:val="es-CR"/>
        </w:rPr>
        <w:t xml:space="preserve"> </w:t>
      </w:r>
      <w:r w:rsidRPr="009C15B0">
        <w:rPr>
          <w:sz w:val="16"/>
          <w:szCs w:val="16"/>
          <w:shd w:val="clear" w:color="auto" w:fill="FFFFFF"/>
          <w:lang w:val="es-CR"/>
        </w:rPr>
        <w:t xml:space="preserve">Comité de los Derechos del Niño, </w:t>
      </w:r>
      <w:r w:rsidRPr="009C15B0">
        <w:rPr>
          <w:i/>
          <w:sz w:val="16"/>
          <w:szCs w:val="16"/>
          <w:lang w:val="es-CR"/>
        </w:rPr>
        <w:t>Observación General Nº 5: Medidas generales de aplicación de la Convención sobre los Derechos del Niño (artículos 4, 42 y párrafo 6 del artículo 44)</w:t>
      </w:r>
      <w:r w:rsidRPr="009C15B0">
        <w:rPr>
          <w:sz w:val="16"/>
          <w:szCs w:val="16"/>
          <w:lang w:val="es-CR"/>
        </w:rPr>
        <w:t xml:space="preserve">, </w:t>
      </w:r>
      <w:r w:rsidRPr="009C15B0">
        <w:rPr>
          <w:i/>
          <w:sz w:val="16"/>
          <w:szCs w:val="16"/>
          <w:lang w:val="es-CR"/>
        </w:rPr>
        <w:t>supra</w:t>
      </w:r>
      <w:r w:rsidRPr="009C15B0">
        <w:rPr>
          <w:sz w:val="16"/>
          <w:szCs w:val="16"/>
          <w:lang w:val="es-CR"/>
        </w:rPr>
        <w:t xml:space="preserve">, párr. 12; </w:t>
      </w:r>
      <w:r w:rsidRPr="009C15B0">
        <w:rPr>
          <w:sz w:val="16"/>
          <w:szCs w:val="16"/>
          <w:shd w:val="clear" w:color="auto" w:fill="FFFFFF"/>
          <w:lang w:val="es-CR"/>
        </w:rPr>
        <w:t>Comité de los Derechos del Niño</w:t>
      </w:r>
      <w:r w:rsidRPr="009C15B0">
        <w:rPr>
          <w:sz w:val="16"/>
          <w:szCs w:val="16"/>
          <w:lang w:val="es-CR"/>
        </w:rPr>
        <w:t xml:space="preserve">, </w:t>
      </w:r>
      <w:r w:rsidRPr="009C15B0">
        <w:rPr>
          <w:i/>
          <w:sz w:val="16"/>
          <w:szCs w:val="16"/>
          <w:lang w:val="es-CR"/>
        </w:rPr>
        <w:t xml:space="preserve">Observación General Nº 12: El derecho del niño a ser escuchado, </w:t>
      </w:r>
      <w:r w:rsidRPr="009C15B0">
        <w:rPr>
          <w:sz w:val="16"/>
          <w:szCs w:val="16"/>
          <w:lang w:val="es-CR"/>
        </w:rPr>
        <w:t xml:space="preserve">UN Doc. CRC/C/GC/12, 20 de julio de 2009, y Comité de los Derechos del Niño, </w:t>
      </w:r>
      <w:r w:rsidRPr="009C15B0">
        <w:rPr>
          <w:i/>
          <w:sz w:val="16"/>
          <w:szCs w:val="16"/>
          <w:lang w:val="es-CR"/>
        </w:rPr>
        <w:t>Observación General Nº 13:</w:t>
      </w:r>
      <w:r w:rsidRPr="009C15B0">
        <w:rPr>
          <w:sz w:val="16"/>
          <w:szCs w:val="16"/>
          <w:lang w:val="es-CR"/>
        </w:rPr>
        <w:t xml:space="preserve"> </w:t>
      </w:r>
      <w:r w:rsidRPr="009C15B0">
        <w:rPr>
          <w:i/>
          <w:sz w:val="16"/>
          <w:szCs w:val="16"/>
          <w:lang w:val="es-CR"/>
        </w:rPr>
        <w:t>Derecho del niño a no ser objeto de ninguna forma de violencia</w:t>
      </w:r>
      <w:r w:rsidRPr="009C15B0">
        <w:rPr>
          <w:sz w:val="16"/>
          <w:szCs w:val="16"/>
          <w:lang w:val="es-CR"/>
        </w:rPr>
        <w:t xml:space="preserve">, </w:t>
      </w:r>
      <w:r w:rsidRPr="009C15B0">
        <w:rPr>
          <w:i/>
          <w:sz w:val="16"/>
          <w:szCs w:val="16"/>
          <w:lang w:val="es-CR"/>
        </w:rPr>
        <w:t>supra</w:t>
      </w:r>
      <w:r w:rsidRPr="009C15B0">
        <w:rPr>
          <w:sz w:val="16"/>
          <w:szCs w:val="16"/>
          <w:lang w:val="es-CR"/>
        </w:rPr>
        <w:t>, párr. 63.</w:t>
      </w:r>
    </w:p>
  </w:footnote>
  <w:footnote w:id="203">
    <w:p w14:paraId="78CB1C4F" w14:textId="77777777" w:rsidR="007F7D87" w:rsidRPr="009C15B0" w:rsidRDefault="007F7D87" w:rsidP="001E6358">
      <w:pPr>
        <w:pStyle w:val="ListParagraph"/>
        <w:tabs>
          <w:tab w:val="left" w:pos="567"/>
          <w:tab w:val="left" w:pos="810"/>
        </w:tabs>
        <w:spacing w:after="60" w:line="240" w:lineRule="auto"/>
        <w:ind w:left="0" w:right="23"/>
        <w:rPr>
          <w:sz w:val="16"/>
          <w:szCs w:val="16"/>
        </w:rPr>
      </w:pPr>
      <w:r w:rsidRPr="009C15B0">
        <w:rPr>
          <w:rStyle w:val="FootnoteReference"/>
          <w:sz w:val="16"/>
          <w:szCs w:val="16"/>
        </w:rPr>
        <w:footnoteRef/>
      </w:r>
      <w:r w:rsidRPr="009C15B0">
        <w:rPr>
          <w:sz w:val="16"/>
          <w:szCs w:val="16"/>
        </w:rPr>
        <w:t xml:space="preserve"> </w:t>
      </w:r>
      <w:r w:rsidRPr="009C15B0">
        <w:rPr>
          <w:sz w:val="16"/>
          <w:szCs w:val="16"/>
        </w:rPr>
        <w:tab/>
        <w:t xml:space="preserve">El Comité de los Derechos del Niño ha señalado que “[a] nivel universal, se consideran vulnerables todos los niños hasta los 18 años de edad, porque no ha concluido aún su crecimiento y desarrollo neurológico, psicológico, social y físico. Los lactantes y los niños pequeños son los más vulnerables debido a la inmadurez de su cerebro, todavía en desarrollo, y a su completa dependencia de los adultos. Aunque corren peligro los niños de ambos sexos, la violencia suele tener un componente de género”. Comité de los Derechos del Niño, </w:t>
      </w:r>
      <w:r w:rsidRPr="009C15B0">
        <w:rPr>
          <w:i/>
          <w:sz w:val="16"/>
          <w:szCs w:val="16"/>
        </w:rPr>
        <w:t>Observación General Nº 13:</w:t>
      </w:r>
      <w:r w:rsidRPr="009C15B0">
        <w:rPr>
          <w:sz w:val="16"/>
          <w:szCs w:val="16"/>
        </w:rPr>
        <w:t xml:space="preserve"> </w:t>
      </w:r>
      <w:r w:rsidRPr="009C15B0">
        <w:rPr>
          <w:i/>
          <w:sz w:val="16"/>
          <w:szCs w:val="16"/>
        </w:rPr>
        <w:t>Derecho del niño a no ser objeto de ninguna forma de violencia</w:t>
      </w:r>
      <w:r w:rsidRPr="009C15B0">
        <w:rPr>
          <w:sz w:val="16"/>
          <w:szCs w:val="16"/>
        </w:rPr>
        <w:t xml:space="preserve">, </w:t>
      </w:r>
      <w:r w:rsidRPr="009C15B0">
        <w:rPr>
          <w:i/>
          <w:sz w:val="16"/>
          <w:szCs w:val="16"/>
        </w:rPr>
        <w:t>supra</w:t>
      </w:r>
      <w:r w:rsidRPr="009C15B0">
        <w:rPr>
          <w:sz w:val="16"/>
          <w:szCs w:val="16"/>
        </w:rPr>
        <w:t>, párr. 72.f).</w:t>
      </w:r>
    </w:p>
  </w:footnote>
  <w:footnote w:id="204">
    <w:p w14:paraId="01C8170C" w14:textId="77603607" w:rsidR="007F7D87" w:rsidRPr="009C15B0" w:rsidRDefault="007F7D87" w:rsidP="001E6358">
      <w:pPr>
        <w:pStyle w:val="ListParagraph"/>
        <w:tabs>
          <w:tab w:val="left" w:pos="567"/>
          <w:tab w:val="left" w:pos="810"/>
        </w:tabs>
        <w:spacing w:after="60" w:line="240" w:lineRule="auto"/>
        <w:ind w:left="0" w:right="23"/>
        <w:rPr>
          <w:sz w:val="16"/>
          <w:szCs w:val="16"/>
        </w:rPr>
      </w:pPr>
      <w:r w:rsidRPr="009C15B0">
        <w:rPr>
          <w:rStyle w:val="FootnoteReference"/>
          <w:sz w:val="16"/>
          <w:szCs w:val="16"/>
        </w:rPr>
        <w:footnoteRef/>
      </w:r>
      <w:r w:rsidRPr="009C15B0">
        <w:rPr>
          <w:sz w:val="16"/>
          <w:szCs w:val="16"/>
        </w:rPr>
        <w:t xml:space="preserve"> </w:t>
      </w:r>
      <w:r w:rsidRPr="009C15B0">
        <w:rPr>
          <w:sz w:val="16"/>
          <w:szCs w:val="16"/>
        </w:rPr>
        <w:tab/>
      </w:r>
      <w:r w:rsidRPr="009C15B0">
        <w:rPr>
          <w:i/>
          <w:sz w:val="16"/>
          <w:szCs w:val="16"/>
        </w:rPr>
        <w:t>Cfr. Condición Jurídica y Derechos Humanos del Niño.</w:t>
      </w:r>
      <w:r w:rsidRPr="009C15B0">
        <w:rPr>
          <w:sz w:val="16"/>
          <w:szCs w:val="16"/>
        </w:rPr>
        <w:t xml:space="preserve"> Opinión Consultiva OC-17/02, </w:t>
      </w:r>
      <w:r w:rsidRPr="009C15B0">
        <w:rPr>
          <w:i/>
          <w:sz w:val="16"/>
          <w:szCs w:val="16"/>
        </w:rPr>
        <w:t>supra</w:t>
      </w:r>
      <w:r w:rsidRPr="009C15B0">
        <w:rPr>
          <w:sz w:val="16"/>
          <w:szCs w:val="16"/>
        </w:rPr>
        <w:t xml:space="preserve">, párr. 61, y </w:t>
      </w:r>
      <w:r w:rsidRPr="009C15B0">
        <w:rPr>
          <w:rStyle w:val="Strong"/>
          <w:b w:val="0"/>
          <w:i/>
          <w:sz w:val="16"/>
          <w:szCs w:val="16"/>
        </w:rPr>
        <w:t>Derechos y garantías de niñas y niños en el contexto de la migración y/o en necesidad de protección internacional</w:t>
      </w:r>
      <w:r w:rsidRPr="009C15B0">
        <w:rPr>
          <w:rStyle w:val="Strong"/>
          <w:b w:val="0"/>
          <w:sz w:val="16"/>
          <w:szCs w:val="16"/>
        </w:rPr>
        <w:t xml:space="preserve">. Opinión Consultiva OC-21/14, </w:t>
      </w:r>
      <w:r w:rsidRPr="009C15B0">
        <w:rPr>
          <w:rStyle w:val="Strong"/>
          <w:b w:val="0"/>
          <w:i/>
          <w:sz w:val="16"/>
          <w:szCs w:val="16"/>
        </w:rPr>
        <w:t>supra</w:t>
      </w:r>
      <w:r w:rsidRPr="009C15B0">
        <w:rPr>
          <w:rStyle w:val="Strong"/>
          <w:b w:val="0"/>
          <w:sz w:val="16"/>
          <w:szCs w:val="16"/>
        </w:rPr>
        <w:t>, párr. 71</w:t>
      </w:r>
      <w:r w:rsidRPr="009C15B0">
        <w:rPr>
          <w:sz w:val="16"/>
          <w:szCs w:val="16"/>
        </w:rPr>
        <w:t>.</w:t>
      </w:r>
    </w:p>
  </w:footnote>
  <w:footnote w:id="205">
    <w:p w14:paraId="7428CDDF" w14:textId="3ED97022" w:rsidR="007F7D87" w:rsidRPr="009C15B0" w:rsidRDefault="007F7D87" w:rsidP="001E6358">
      <w:pPr>
        <w:tabs>
          <w:tab w:val="left" w:pos="567"/>
        </w:tabs>
        <w:spacing w:after="60" w:line="240" w:lineRule="auto"/>
        <w:rPr>
          <w:sz w:val="16"/>
          <w:szCs w:val="16"/>
        </w:rPr>
      </w:pPr>
      <w:r w:rsidRPr="009C15B0">
        <w:rPr>
          <w:rStyle w:val="FootnoteReference"/>
          <w:rFonts w:eastAsia="MS ????"/>
          <w:sz w:val="16"/>
          <w:szCs w:val="16"/>
        </w:rPr>
        <w:footnoteRef/>
      </w:r>
      <w:r w:rsidRPr="009C15B0">
        <w:rPr>
          <w:sz w:val="16"/>
          <w:szCs w:val="16"/>
        </w:rPr>
        <w:t xml:space="preserve"> </w:t>
      </w:r>
      <w:r w:rsidRPr="009C15B0">
        <w:rPr>
          <w:sz w:val="16"/>
          <w:szCs w:val="16"/>
        </w:rPr>
        <w:tab/>
        <w:t xml:space="preserve">Al respecto, la Declaración sobre la eliminación de la violencia contra la mujer, adoptada por la Asamblea General de la Organización de Naciones Unidas en su resolución 48/104 del 20 de diciembre de 1993, sostiene en su Preámbulo que “la violencia contra la mujer constituye una manifestación de relaciones de poder históricamente desiguales entre el hombre y la mujer, que han conducido a la dominación de la mujer y a la discriminación en su contra por parte del hombre e impedido el adelanto pleno de la mujer, y que la violencia contra la mujer es uno de los mecanismos sociales fundamentales por los que se fuerza a la mujer a una situación de subordinación respecto del hombre”. Asimismo, la Relatora Especial de Naciones Unidas sobre la violencia contra la mujer, sus causas y consecuencias señaló los factores de discriminación histórica que afirman la situación de mayor vulnerabilidad de las mujeres frente a hechos de violencia, al indicar que “[l]a Convención sobre la Eliminación de Todas las Formas de Discriminación contra la Mujer y la Declaración sobre la Eliminación de la Violencia contra la Mujer proporcionan un marco internacional integral en el que la violencia de género contra la mujer es la manifestación de las relaciones de poder históricamente desiguales entre hombres y mujeres. […] La persistencia de la violencia de género sistémica contra la mujer, incluso en Estados que han proclamado la tolerancia cero respecto de la violencia contra la mujer, indica que la violencia de género está profundamente arraigada en nuestras sociedades, que siguen siendo predominantemente patriarcales, y se acepta porque ‘simplemente, las cosas son así’”. </w:t>
      </w:r>
      <w:r w:rsidRPr="009C15B0">
        <w:rPr>
          <w:i/>
          <w:sz w:val="16"/>
          <w:szCs w:val="16"/>
        </w:rPr>
        <w:t>Informe de la Relatora Especial sobre la violencia contra la mujer, sus causas y consecuencias</w:t>
      </w:r>
      <w:r w:rsidRPr="009C15B0">
        <w:rPr>
          <w:sz w:val="16"/>
          <w:szCs w:val="16"/>
        </w:rPr>
        <w:t>, 13 de junio de 2017, UN Doc. A/HRC/35/30, párrs. 21 y 100. En igual sentido, se ha manifestado el Comité para la Eliminación de la Discriminación contra la mujer, al sostener que: “la violencia por razón de género contra la mujer es uno de los medios sociales, políticos y económicos fundamentales a través de los cuales se perpetúa la posición subordinada de la mujer con respecto al hombre y sus papeles estereotipados”. Comité para la Eliminación de la Discriminación contra la mujer,</w:t>
      </w:r>
      <w:r w:rsidRPr="009C15B0">
        <w:rPr>
          <w:i/>
          <w:sz w:val="16"/>
          <w:szCs w:val="16"/>
        </w:rPr>
        <w:t xml:space="preserve"> Recomendación General N° 35: sobre la violencia por razón de género contra la mujer, por la que se actualiza la Recomendación General N° 19</w:t>
      </w:r>
      <w:r w:rsidRPr="009C15B0">
        <w:rPr>
          <w:sz w:val="16"/>
          <w:szCs w:val="16"/>
        </w:rPr>
        <w:t>, 26 de julio 2017, UN Doc. CEDAW/C/GC/35, párr. 10.</w:t>
      </w:r>
    </w:p>
  </w:footnote>
  <w:footnote w:id="206">
    <w:p w14:paraId="5C6ECBCA" w14:textId="726F7AC8" w:rsidR="007F7D87" w:rsidRPr="009C15B0" w:rsidRDefault="007F7D87" w:rsidP="001E6358">
      <w:pPr>
        <w:pStyle w:val="FootnoteText"/>
        <w:tabs>
          <w:tab w:val="left" w:pos="567"/>
        </w:tabs>
        <w:spacing w:after="60"/>
        <w:rPr>
          <w:i/>
          <w:sz w:val="16"/>
          <w:szCs w:val="16"/>
          <w:lang w:val="es-CR"/>
        </w:rPr>
      </w:pPr>
      <w:r w:rsidRPr="009C15B0">
        <w:rPr>
          <w:rStyle w:val="FootnoteReference"/>
          <w:rFonts w:eastAsia="MS ????"/>
          <w:sz w:val="16"/>
          <w:szCs w:val="16"/>
          <w:lang w:val="es-CR"/>
        </w:rPr>
        <w:footnoteRef/>
      </w:r>
      <w:r w:rsidRPr="009C15B0">
        <w:rPr>
          <w:sz w:val="16"/>
          <w:szCs w:val="16"/>
          <w:lang w:val="es-CR"/>
        </w:rPr>
        <w:t xml:space="preserve"> </w:t>
      </w:r>
      <w:r w:rsidRPr="009C15B0">
        <w:rPr>
          <w:sz w:val="16"/>
          <w:szCs w:val="16"/>
          <w:lang w:val="es-CR"/>
        </w:rPr>
        <w:tab/>
        <w:t xml:space="preserve">El Comité de los Derechos del Niño ha indicado que el componente de género implícito en todas las formas de violencia determina que “las niñas pueden sufrir más violencia sexual en el hogar que los niños”. Comité de los Derechos del Niño, </w:t>
      </w:r>
      <w:r w:rsidRPr="009C15B0">
        <w:rPr>
          <w:i/>
          <w:sz w:val="16"/>
          <w:szCs w:val="16"/>
          <w:lang w:val="es-CR"/>
        </w:rPr>
        <w:t>Observación General Nº 13:</w:t>
      </w:r>
      <w:r w:rsidRPr="009C15B0">
        <w:rPr>
          <w:sz w:val="16"/>
          <w:szCs w:val="16"/>
          <w:lang w:val="es-CR"/>
        </w:rPr>
        <w:t xml:space="preserve"> </w:t>
      </w:r>
      <w:r w:rsidRPr="009C15B0">
        <w:rPr>
          <w:i/>
          <w:sz w:val="16"/>
          <w:szCs w:val="16"/>
          <w:lang w:val="es-CR"/>
        </w:rPr>
        <w:t>Derecho del niño a no ser objeto de ninguna forma de violencia</w:t>
      </w:r>
      <w:r w:rsidRPr="009C15B0">
        <w:rPr>
          <w:sz w:val="16"/>
          <w:szCs w:val="16"/>
          <w:lang w:val="es-CR"/>
        </w:rPr>
        <w:t xml:space="preserve">, </w:t>
      </w:r>
      <w:r w:rsidRPr="009C15B0">
        <w:rPr>
          <w:i/>
          <w:sz w:val="16"/>
          <w:szCs w:val="16"/>
          <w:lang w:val="es-CR"/>
        </w:rPr>
        <w:t>supra</w:t>
      </w:r>
      <w:r w:rsidRPr="009C15B0">
        <w:rPr>
          <w:sz w:val="16"/>
          <w:szCs w:val="16"/>
          <w:lang w:val="es-CR"/>
        </w:rPr>
        <w:t xml:space="preserve">, párr. 19. En el caso de Nicaragua, según los datos aportados por el Modelo de atención integral a víctimas de violencia de género en Nicaragua, citando cifras del Instituto de Medicina Legal, “la violencia intrafamiliar y sexual por las dimensiones en que se manifiesta, debe considerarse como un problema de salud pública, lo que se expresa en los siguientes indicadores del año 2011: [… e]l 84% de las víctimas de [violencia sexual] son menores de 18 años. […] Las estadísticas de las Comisarías de la Mujer y la Niñez indican que los departamentos donde más prevalece la violencia contra las mujeres, niñas y niños son Managua, Chinandega, Matagalpa, León, Granada, Carazo, Masaya, Esteli, Jinotega, RAAN y RAAS”. UNFPA, Modelo de atención integral a víctimas de violencia de género en Nicaragua, Managua, 2012 (expediente de prueba, tomo XXI, anexo 9.d a la prueba para mejor resolver, folio 10976). Asimismo, según datos de UNICEF, “[e]n Nicaragua las niñas y adolescentes están en mayor riesgo de ser víctimas de violencia sexual. El Instituto de Medicina Legal reportó 6.069 casos de violencia sexual en 2013. El 88% de las víctimas eran mujeres y el 82% eran niños y adolescentes. El 51% niños de 13 años de edad, y el 83% eran niñas”. </w:t>
      </w:r>
      <w:r w:rsidRPr="009C15B0">
        <w:rPr>
          <w:i/>
          <w:sz w:val="16"/>
          <w:szCs w:val="16"/>
          <w:lang w:val="es-CR"/>
        </w:rPr>
        <w:t>Cfr.</w:t>
      </w:r>
      <w:r w:rsidRPr="009C15B0">
        <w:rPr>
          <w:sz w:val="16"/>
          <w:szCs w:val="16"/>
          <w:lang w:val="es-CR"/>
        </w:rPr>
        <w:t xml:space="preserve"> UNICEF, “La violencia existe aun cuando no la puedas ver. Iniciativas de fin a la violencia”, disponible en http://www.unicef.org.ni/publicacion/180/iniciativas-de-fin-la-violencia-en-nicaragua/ </w:t>
      </w:r>
    </w:p>
  </w:footnote>
  <w:footnote w:id="207">
    <w:p w14:paraId="218CE4D1" w14:textId="115D342C"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 Condición Jurídica y Derechos Humanos del Niño.</w:t>
      </w:r>
      <w:r w:rsidRPr="009C15B0">
        <w:rPr>
          <w:sz w:val="16"/>
          <w:szCs w:val="16"/>
          <w:lang w:val="es-CR"/>
        </w:rPr>
        <w:t xml:space="preserve"> Opinión Consultiva OC-17/02, </w:t>
      </w:r>
      <w:r w:rsidRPr="009C15B0">
        <w:rPr>
          <w:i/>
          <w:sz w:val="16"/>
          <w:szCs w:val="16"/>
          <w:lang w:val="es-CR"/>
        </w:rPr>
        <w:t>supra</w:t>
      </w:r>
      <w:r w:rsidRPr="009C15B0">
        <w:rPr>
          <w:sz w:val="16"/>
          <w:szCs w:val="16"/>
          <w:lang w:val="es-CR"/>
        </w:rPr>
        <w:t xml:space="preserve">, párr. 96, y </w:t>
      </w:r>
      <w:r w:rsidRPr="009C15B0">
        <w:rPr>
          <w:rStyle w:val="Strong"/>
          <w:b w:val="0"/>
          <w:i/>
          <w:sz w:val="16"/>
          <w:szCs w:val="16"/>
          <w:lang w:val="es-CR"/>
        </w:rPr>
        <w:t>Derechos y garantías de niñas y niños en el contexto de la migración y/o en necesidad de protección internacional</w:t>
      </w:r>
      <w:r w:rsidRPr="009C15B0">
        <w:rPr>
          <w:rStyle w:val="Strong"/>
          <w:b w:val="0"/>
          <w:sz w:val="16"/>
          <w:szCs w:val="16"/>
          <w:lang w:val="es-CR"/>
        </w:rPr>
        <w:t xml:space="preserve">. Opinión Consultiva OC-21/14, </w:t>
      </w:r>
      <w:r w:rsidRPr="009C15B0">
        <w:rPr>
          <w:rStyle w:val="Strong"/>
          <w:b w:val="0"/>
          <w:i/>
          <w:sz w:val="16"/>
          <w:szCs w:val="16"/>
          <w:lang w:val="es-CR"/>
        </w:rPr>
        <w:t>supra</w:t>
      </w:r>
      <w:r w:rsidRPr="009C15B0">
        <w:rPr>
          <w:rStyle w:val="Strong"/>
          <w:b w:val="0"/>
          <w:sz w:val="16"/>
          <w:szCs w:val="16"/>
          <w:lang w:val="es-CR"/>
        </w:rPr>
        <w:t>, párr. 114</w:t>
      </w:r>
      <w:r w:rsidRPr="009C15B0">
        <w:rPr>
          <w:sz w:val="16"/>
          <w:szCs w:val="16"/>
          <w:lang w:val="es-CR"/>
        </w:rPr>
        <w:t>.</w:t>
      </w:r>
    </w:p>
  </w:footnote>
  <w:footnote w:id="208">
    <w:p w14:paraId="7F3A8301" w14:textId="0BFFB19A"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 Condición Jurídica y Derechos Humanos del Niño.</w:t>
      </w:r>
      <w:r w:rsidRPr="009C15B0">
        <w:rPr>
          <w:sz w:val="16"/>
          <w:szCs w:val="16"/>
          <w:lang w:val="es-CR"/>
        </w:rPr>
        <w:t xml:space="preserve"> Opinión Consultiva OC-17/02, </w:t>
      </w:r>
      <w:r w:rsidRPr="009C15B0">
        <w:rPr>
          <w:i/>
          <w:sz w:val="16"/>
          <w:szCs w:val="16"/>
          <w:lang w:val="es-CR"/>
        </w:rPr>
        <w:t>supra</w:t>
      </w:r>
      <w:r w:rsidRPr="009C15B0">
        <w:rPr>
          <w:sz w:val="16"/>
          <w:szCs w:val="16"/>
          <w:lang w:val="es-CR"/>
        </w:rPr>
        <w:t xml:space="preserve">, párrs. 96 y 98, y </w:t>
      </w:r>
      <w:r w:rsidRPr="009C15B0">
        <w:rPr>
          <w:rStyle w:val="Strong"/>
          <w:b w:val="0"/>
          <w:i/>
          <w:sz w:val="16"/>
          <w:szCs w:val="16"/>
          <w:lang w:val="es-CR"/>
        </w:rPr>
        <w:t>Derechos y garantías de niñas y niños en el contexto de la migración y/o en necesidad de protección internacional</w:t>
      </w:r>
      <w:r w:rsidRPr="009C15B0">
        <w:rPr>
          <w:rStyle w:val="Strong"/>
          <w:b w:val="0"/>
          <w:sz w:val="16"/>
          <w:szCs w:val="16"/>
          <w:lang w:val="es-CR"/>
        </w:rPr>
        <w:t xml:space="preserve">. Opinión Consultiva OC-21/14, </w:t>
      </w:r>
      <w:r w:rsidRPr="009C15B0">
        <w:rPr>
          <w:rStyle w:val="Strong"/>
          <w:b w:val="0"/>
          <w:i/>
          <w:sz w:val="16"/>
          <w:szCs w:val="16"/>
          <w:lang w:val="es-CR"/>
        </w:rPr>
        <w:t>supra</w:t>
      </w:r>
      <w:r w:rsidRPr="009C15B0">
        <w:rPr>
          <w:sz w:val="16"/>
          <w:szCs w:val="16"/>
          <w:lang w:val="es-CR"/>
        </w:rPr>
        <w:t>, párr. 115.</w:t>
      </w:r>
    </w:p>
  </w:footnote>
  <w:footnote w:id="209">
    <w:p w14:paraId="02C0AC90"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El artículo 12 de la Convención sobre los Derechos del Niño dispone que:</w:t>
      </w:r>
    </w:p>
    <w:p w14:paraId="34A8B2B5" w14:textId="77777777" w:rsidR="007F7D87" w:rsidRPr="009C15B0" w:rsidRDefault="007F7D87" w:rsidP="001E6358">
      <w:pPr>
        <w:pStyle w:val="FootnoteText"/>
        <w:tabs>
          <w:tab w:val="left" w:pos="567"/>
        </w:tabs>
        <w:spacing w:after="60"/>
        <w:ind w:left="567"/>
        <w:rPr>
          <w:sz w:val="16"/>
          <w:szCs w:val="16"/>
          <w:lang w:val="es-CR"/>
        </w:rPr>
      </w:pPr>
      <w:r w:rsidRPr="009C15B0">
        <w:rPr>
          <w:sz w:val="16"/>
          <w:szCs w:val="16"/>
          <w:lang w:val="es-CR"/>
        </w:rPr>
        <w:t>1. Los Estados Partes garantizarán al niño que esté en condiciones de formarse un juicio propio el derecho de expresar su opinión libremente en todos los asuntos que afectan al niño, teniéndose debidamente en cuenta las opiniones del niño, en función de la edad y madurez del niño.</w:t>
      </w:r>
    </w:p>
    <w:p w14:paraId="46DC8B8B" w14:textId="77777777" w:rsidR="007F7D87" w:rsidRPr="009C15B0" w:rsidRDefault="007F7D87" w:rsidP="001E6358">
      <w:pPr>
        <w:pStyle w:val="FootnoteText"/>
        <w:tabs>
          <w:tab w:val="left" w:pos="567"/>
        </w:tabs>
        <w:spacing w:after="60"/>
        <w:ind w:left="567"/>
        <w:rPr>
          <w:sz w:val="16"/>
          <w:szCs w:val="16"/>
          <w:lang w:val="es-CR"/>
        </w:rPr>
      </w:pPr>
      <w:r w:rsidRPr="009C15B0">
        <w:rPr>
          <w:sz w:val="16"/>
          <w:szCs w:val="16"/>
          <w:lang w:val="es-CR"/>
        </w:rPr>
        <w:t>2. Con tal fin, se dará en particular al niño oportunidad de ser escuchado, en todo procedimiento judicial o administrativo que afecte al niño, ya sea directamente o por medio de un representante o de un órgano apropiado, en consonancia con las normas de procedimiento de la ley nacional.</w:t>
      </w:r>
    </w:p>
    <w:p w14:paraId="15E23069" w14:textId="29487D69" w:rsidR="007F7D87" w:rsidRPr="009C15B0" w:rsidRDefault="007F7D87" w:rsidP="001E6358">
      <w:pPr>
        <w:pStyle w:val="FootnoteText"/>
        <w:tabs>
          <w:tab w:val="left" w:pos="567"/>
        </w:tabs>
        <w:spacing w:after="60"/>
        <w:rPr>
          <w:sz w:val="16"/>
          <w:szCs w:val="16"/>
          <w:lang w:val="es-CR"/>
        </w:rPr>
      </w:pPr>
      <w:r w:rsidRPr="009C15B0">
        <w:rPr>
          <w:bCs/>
          <w:sz w:val="16"/>
          <w:szCs w:val="16"/>
          <w:lang w:val="es-CR"/>
        </w:rPr>
        <w:t xml:space="preserve">Véase también, </w:t>
      </w:r>
      <w:r w:rsidRPr="009C15B0">
        <w:rPr>
          <w:sz w:val="16"/>
          <w:szCs w:val="16"/>
          <w:shd w:val="clear" w:color="auto" w:fill="FFFFFF"/>
          <w:lang w:val="es-CR"/>
        </w:rPr>
        <w:t>Comité de los Derechos del Niño</w:t>
      </w:r>
      <w:r w:rsidRPr="009C15B0">
        <w:rPr>
          <w:sz w:val="16"/>
          <w:szCs w:val="16"/>
          <w:lang w:val="es-CR"/>
        </w:rPr>
        <w:t xml:space="preserve">, </w:t>
      </w:r>
      <w:r w:rsidRPr="009C15B0">
        <w:rPr>
          <w:i/>
          <w:sz w:val="16"/>
          <w:szCs w:val="16"/>
          <w:lang w:val="es-CR"/>
        </w:rPr>
        <w:t>Observación General Nº 12: El derecho del niño a ser escuchado, supra</w:t>
      </w:r>
      <w:r w:rsidRPr="009C15B0">
        <w:rPr>
          <w:sz w:val="16"/>
          <w:szCs w:val="16"/>
          <w:lang w:val="es-CR"/>
        </w:rPr>
        <w:t>, párrs. 62 a 64, en la cual se señala que “[e]l niño víctima y el niño testigo de un delito deben tener la oportunidad de ejercer plenamente su derecho a expresar libremente sus opiniones de conformidad con la resolución 2005/20 del Consejo Económico y Social, ‘Directrices sobre la justicia en asuntos concernientes a los niños víctimas y testigos de delitos’”.</w:t>
      </w:r>
    </w:p>
  </w:footnote>
  <w:footnote w:id="210">
    <w:p w14:paraId="2167E89D" w14:textId="09400BF3" w:rsidR="007F7D87" w:rsidRPr="009C15B0" w:rsidRDefault="007F7D87" w:rsidP="001E6358">
      <w:pPr>
        <w:tabs>
          <w:tab w:val="left" w:pos="567"/>
        </w:tabs>
        <w:spacing w:after="60" w:line="240" w:lineRule="auto"/>
        <w:rPr>
          <w:sz w:val="16"/>
          <w:szCs w:val="16"/>
        </w:rPr>
      </w:pPr>
      <w:r w:rsidRPr="009C15B0">
        <w:rPr>
          <w:rStyle w:val="FootnoteReference"/>
          <w:sz w:val="16"/>
          <w:szCs w:val="16"/>
        </w:rPr>
        <w:footnoteRef/>
      </w:r>
      <w:r w:rsidRPr="009C15B0">
        <w:rPr>
          <w:sz w:val="16"/>
          <w:szCs w:val="16"/>
        </w:rPr>
        <w:t xml:space="preserve"> </w:t>
      </w:r>
      <w:r w:rsidRPr="009C15B0">
        <w:rPr>
          <w:sz w:val="16"/>
          <w:szCs w:val="16"/>
        </w:rPr>
        <w:tab/>
      </w:r>
      <w:r w:rsidRPr="009C15B0">
        <w:rPr>
          <w:i/>
          <w:sz w:val="16"/>
          <w:szCs w:val="16"/>
        </w:rPr>
        <w:t>Cfr. Condición Jurídica y Derechos Humanos del Niño.</w:t>
      </w:r>
      <w:r w:rsidRPr="009C15B0">
        <w:rPr>
          <w:sz w:val="16"/>
          <w:szCs w:val="16"/>
        </w:rPr>
        <w:t xml:space="preserve"> Opinión Consultiva OC-17/02, </w:t>
      </w:r>
      <w:r w:rsidRPr="009C15B0">
        <w:rPr>
          <w:i/>
          <w:sz w:val="16"/>
          <w:szCs w:val="16"/>
        </w:rPr>
        <w:t>supra</w:t>
      </w:r>
      <w:r w:rsidRPr="009C15B0">
        <w:rPr>
          <w:sz w:val="16"/>
          <w:szCs w:val="16"/>
        </w:rPr>
        <w:t xml:space="preserve">, párr. 99, y </w:t>
      </w:r>
      <w:r w:rsidRPr="009C15B0">
        <w:rPr>
          <w:rStyle w:val="Strong"/>
          <w:b w:val="0"/>
          <w:i/>
          <w:sz w:val="16"/>
          <w:szCs w:val="16"/>
        </w:rPr>
        <w:t>Derechos y garantías de niñas y niños en el contexto de la migración y/o en necesidad de protección internacional</w:t>
      </w:r>
      <w:r w:rsidRPr="009C15B0">
        <w:rPr>
          <w:rStyle w:val="Strong"/>
          <w:b w:val="0"/>
          <w:sz w:val="16"/>
          <w:szCs w:val="16"/>
        </w:rPr>
        <w:t xml:space="preserve">. Opinión Consultiva OC-21/14, </w:t>
      </w:r>
      <w:r w:rsidRPr="009C15B0">
        <w:rPr>
          <w:rStyle w:val="Strong"/>
          <w:b w:val="0"/>
          <w:i/>
          <w:sz w:val="16"/>
          <w:szCs w:val="16"/>
        </w:rPr>
        <w:t>supra</w:t>
      </w:r>
      <w:r w:rsidRPr="009C15B0">
        <w:rPr>
          <w:sz w:val="16"/>
          <w:szCs w:val="16"/>
        </w:rPr>
        <w:t>, párr. 122.</w:t>
      </w:r>
    </w:p>
  </w:footnote>
  <w:footnote w:id="211">
    <w:p w14:paraId="2A5398EB" w14:textId="7218640B" w:rsidR="007F7D87" w:rsidRPr="009C15B0" w:rsidRDefault="007F7D87" w:rsidP="001E6358">
      <w:pPr>
        <w:tabs>
          <w:tab w:val="left" w:pos="567"/>
        </w:tabs>
        <w:spacing w:after="60" w:line="240" w:lineRule="auto"/>
        <w:rPr>
          <w:sz w:val="16"/>
          <w:szCs w:val="16"/>
        </w:rPr>
      </w:pPr>
      <w:r w:rsidRPr="009C15B0">
        <w:rPr>
          <w:rStyle w:val="FootnoteReference"/>
          <w:sz w:val="16"/>
          <w:szCs w:val="16"/>
        </w:rPr>
        <w:footnoteRef/>
      </w:r>
      <w:r w:rsidRPr="009C15B0">
        <w:rPr>
          <w:sz w:val="16"/>
          <w:szCs w:val="16"/>
        </w:rPr>
        <w:t xml:space="preserve"> </w:t>
      </w:r>
      <w:r w:rsidRPr="009C15B0">
        <w:rPr>
          <w:sz w:val="16"/>
          <w:szCs w:val="16"/>
        </w:rPr>
        <w:tab/>
        <w:t>Declaración pericial rendida por Miguel Cillero Bruñol ante la Corte Interamericana en la audiencia pública celebrada el 16 y 17 de octubre de 2017.</w:t>
      </w:r>
    </w:p>
  </w:footnote>
  <w:footnote w:id="212">
    <w:p w14:paraId="641E2697" w14:textId="0E2C2135"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 xml:space="preserve">Consejo Económico y Social, Resolución 2005/20, </w:t>
      </w:r>
      <w:r w:rsidRPr="009C15B0">
        <w:rPr>
          <w:i/>
          <w:sz w:val="16"/>
          <w:szCs w:val="16"/>
          <w:lang w:val="es-CR"/>
        </w:rPr>
        <w:t>Directrices sobre la justicia en asuntos concernientes a los niños víctimas y testigos de delitos</w:t>
      </w:r>
      <w:r w:rsidRPr="009C15B0">
        <w:rPr>
          <w:sz w:val="16"/>
          <w:szCs w:val="16"/>
          <w:lang w:val="es-CR"/>
        </w:rPr>
        <w:t>, UN Doc. E/2005/INF/2/Add.1, 22 de julio de 2005, directrices 19 y 20;</w:t>
      </w:r>
      <w:r w:rsidRPr="009C15B0">
        <w:rPr>
          <w:i/>
          <w:sz w:val="16"/>
          <w:szCs w:val="16"/>
          <w:lang w:val="es-CR"/>
        </w:rPr>
        <w:t xml:space="preserve"> </w:t>
      </w:r>
      <w:r w:rsidRPr="009C15B0">
        <w:rPr>
          <w:sz w:val="16"/>
          <w:szCs w:val="16"/>
          <w:shd w:val="clear" w:color="auto" w:fill="FFFFFF"/>
          <w:lang w:val="es-CR"/>
        </w:rPr>
        <w:t xml:space="preserve">Comité de los Derechos del Niño, </w:t>
      </w:r>
      <w:r w:rsidRPr="009C15B0">
        <w:rPr>
          <w:i/>
          <w:sz w:val="16"/>
          <w:szCs w:val="16"/>
          <w:lang w:val="es-CR"/>
        </w:rPr>
        <w:t>Observación General Nº 5: Medidas generales de aplicación de la Convención sobre los Derechos del Niño (artículos 4, 42 y párrafo 6 del artículo 44)</w:t>
      </w:r>
      <w:r w:rsidRPr="009C15B0">
        <w:rPr>
          <w:sz w:val="16"/>
          <w:szCs w:val="16"/>
          <w:lang w:val="es-CR"/>
        </w:rPr>
        <w:t xml:space="preserve">, </w:t>
      </w:r>
      <w:r w:rsidRPr="009C15B0">
        <w:rPr>
          <w:i/>
          <w:sz w:val="16"/>
          <w:szCs w:val="16"/>
          <w:lang w:val="es-CR"/>
        </w:rPr>
        <w:t>supra</w:t>
      </w:r>
      <w:r w:rsidRPr="009C15B0">
        <w:rPr>
          <w:bCs/>
          <w:sz w:val="16"/>
          <w:szCs w:val="16"/>
          <w:lang w:val="es-CR"/>
        </w:rPr>
        <w:t xml:space="preserve">, párr. 24, y </w:t>
      </w:r>
      <w:r w:rsidRPr="009C15B0">
        <w:rPr>
          <w:sz w:val="16"/>
          <w:szCs w:val="16"/>
          <w:shd w:val="clear" w:color="auto" w:fill="FFFFFF"/>
          <w:lang w:val="es-CR"/>
        </w:rPr>
        <w:t>Comité de los Derechos del Niño</w:t>
      </w:r>
      <w:r w:rsidRPr="009C15B0">
        <w:rPr>
          <w:sz w:val="16"/>
          <w:szCs w:val="16"/>
          <w:lang w:val="es-CR"/>
        </w:rPr>
        <w:t xml:space="preserve">, </w:t>
      </w:r>
      <w:r w:rsidRPr="009C15B0">
        <w:rPr>
          <w:i/>
          <w:sz w:val="16"/>
          <w:szCs w:val="16"/>
          <w:lang w:val="es-CR"/>
        </w:rPr>
        <w:t>Observación General Nº 12: El derecho del niño a ser escuchado, supra</w:t>
      </w:r>
      <w:r w:rsidRPr="009C15B0">
        <w:rPr>
          <w:bCs/>
          <w:sz w:val="16"/>
          <w:szCs w:val="16"/>
          <w:lang w:val="es-CR"/>
        </w:rPr>
        <w:t>, párr. 64.</w:t>
      </w:r>
    </w:p>
  </w:footnote>
  <w:footnote w:id="213">
    <w:p w14:paraId="73BB6A09" w14:textId="72372399" w:rsidR="007F7D87" w:rsidRPr="009C15B0" w:rsidRDefault="007F7D87" w:rsidP="001E6358">
      <w:pPr>
        <w:tabs>
          <w:tab w:val="left" w:pos="567"/>
        </w:tabs>
        <w:spacing w:after="60" w:line="240" w:lineRule="auto"/>
        <w:rPr>
          <w:sz w:val="16"/>
          <w:szCs w:val="16"/>
        </w:rPr>
      </w:pPr>
      <w:r w:rsidRPr="009C15B0">
        <w:rPr>
          <w:rStyle w:val="FootnoteReference"/>
          <w:rFonts w:eastAsia="Calibri"/>
          <w:sz w:val="16"/>
          <w:szCs w:val="16"/>
        </w:rPr>
        <w:footnoteRef/>
      </w:r>
      <w:r w:rsidRPr="009C15B0">
        <w:rPr>
          <w:sz w:val="16"/>
          <w:szCs w:val="16"/>
        </w:rPr>
        <w:t xml:space="preserve"> </w:t>
      </w:r>
      <w:r w:rsidRPr="009C15B0">
        <w:rPr>
          <w:sz w:val="16"/>
          <w:szCs w:val="16"/>
        </w:rPr>
        <w:tab/>
        <w:t xml:space="preserve">En este sentido, véase: </w:t>
      </w:r>
      <w:r w:rsidRPr="009C15B0">
        <w:rPr>
          <w:bCs/>
          <w:sz w:val="16"/>
          <w:szCs w:val="16"/>
        </w:rPr>
        <w:t xml:space="preserve">Consejo de Derechos Humanos, UN Doc. A/HRC/25/L.10, 25 de marzo de 2014, </w:t>
      </w:r>
      <w:r w:rsidRPr="009C15B0">
        <w:rPr>
          <w:sz w:val="16"/>
          <w:szCs w:val="16"/>
        </w:rPr>
        <w:t>punto 9 [“Reafirma la necesidad de respetar todas las seguridades y salvaguardias jurídicas en todas las etapas de todos los procesos judiciales que afectan a niños, incluidas las debidas garantías procesales, el derecho a la intimidad, la garantía de la asistencia jurídica y otra asistencia adecuada, en condiciones iguales o menos estrictas que las aplicables a los adultos, y el derecho a recurrir las decisiones ante una autoridad judicial superior”] y punto 13.k [“Velando por que todos los niños tengan acceso a asistencia jurídica y de otra índole adecuadas, por ejemplo apoyando el establecimiento de sistemas de asistencia letrada adaptados a los niños”];</w:t>
      </w:r>
      <w:r w:rsidRPr="009C15B0">
        <w:rPr>
          <w:bCs/>
          <w:sz w:val="16"/>
          <w:szCs w:val="16"/>
        </w:rPr>
        <w:t xml:space="preserve">Comité de los Derechos del Niño, </w:t>
      </w:r>
      <w:r w:rsidRPr="009C15B0">
        <w:rPr>
          <w:bCs/>
          <w:i/>
          <w:sz w:val="16"/>
          <w:szCs w:val="16"/>
        </w:rPr>
        <w:t>Observación General Nº 12: El derecho del niño a ser escuchado, supra</w:t>
      </w:r>
      <w:r w:rsidRPr="009C15B0">
        <w:rPr>
          <w:bCs/>
          <w:sz w:val="16"/>
          <w:szCs w:val="16"/>
        </w:rPr>
        <w:t>, párr. 64</w:t>
      </w:r>
      <w:r w:rsidRPr="009C15B0">
        <w:rPr>
          <w:sz w:val="16"/>
          <w:szCs w:val="16"/>
        </w:rPr>
        <w:t xml:space="preserve"> [“El derecho del niño víctima y testigo también está vinculado al derecho a ser informado de cuestiones tales como la disponibilidad de servicios médicos, psicológicos y sociales, el papel del niño víctima y/o testigo, la forma en que se realizará el ´interrogatorio´, los mecanismos de apoyo a disposición del niño cuando haga una denuncia y participe en la investigación y en el proceso judicial, las fechas y los lugares específicos de las vistas, la disponibilidad de medidas de protección, las posibilidades de recibir reparación y las disposiciones relativas a la apelación”]; </w:t>
      </w:r>
      <w:r w:rsidRPr="009C15B0">
        <w:rPr>
          <w:sz w:val="16"/>
          <w:szCs w:val="16"/>
          <w:shd w:val="clear" w:color="auto" w:fill="FFFFFF"/>
        </w:rPr>
        <w:t xml:space="preserve">Comité de los Derechos del Niño, </w:t>
      </w:r>
      <w:r w:rsidRPr="009C15B0">
        <w:rPr>
          <w:i/>
          <w:sz w:val="16"/>
          <w:szCs w:val="16"/>
        </w:rPr>
        <w:t>Observación General Nº 5: Medidas generales de aplicación de la Convención sobre los Derechos del Niño (artículos 4, 42 y párrafo 6 del artículo 44)</w:t>
      </w:r>
      <w:r w:rsidRPr="009C15B0">
        <w:rPr>
          <w:sz w:val="16"/>
          <w:szCs w:val="16"/>
        </w:rPr>
        <w:t xml:space="preserve">, </w:t>
      </w:r>
      <w:r w:rsidRPr="009C15B0">
        <w:rPr>
          <w:i/>
          <w:sz w:val="16"/>
          <w:szCs w:val="16"/>
        </w:rPr>
        <w:t>supra,</w:t>
      </w:r>
      <w:r w:rsidRPr="009C15B0">
        <w:rPr>
          <w:sz w:val="16"/>
          <w:szCs w:val="16"/>
        </w:rPr>
        <w:t xml:space="preserve"> párr. 24 [“Para que los derechos cobren sentido, se debe disponer de recursos efectivos para reparar sus violaciones. Esta exigencia está implícita en la Convención, y se hace referencia a ella sistemáticamente en los otros seis principales instrumentos internacionales relativos a los derechos humanos. La situación especial y dependiente de los niños les crea dificultades reales cuando los niños quieren interponer recursos por la violación de sus derechos. Por consiguiente, los Estados deben tratar particularmente de lograr que los niños y sus representantes puedan recurrir a procedimientos eficaces que tengan en cuenta las circunstancias de los niños. Ello debería incluir el suministro de información adaptada a las necesidades del niño, el asesoramiento, la promoción, incluido el apoyo a la autopromoción, y el acceso a procedimientos independientes de denuncia y a los tribunales con la asistencia letrada y de otra índole necesaria”]; </w:t>
      </w:r>
      <w:r w:rsidRPr="009C15B0">
        <w:rPr>
          <w:sz w:val="16"/>
          <w:szCs w:val="16"/>
          <w:shd w:val="clear" w:color="auto" w:fill="FFFFFF"/>
        </w:rPr>
        <w:t>Comité de los Derechos del Niño</w:t>
      </w:r>
      <w:r w:rsidRPr="009C15B0">
        <w:rPr>
          <w:sz w:val="16"/>
          <w:szCs w:val="16"/>
        </w:rPr>
        <w:t xml:space="preserve">, </w:t>
      </w:r>
      <w:r w:rsidRPr="009C15B0">
        <w:rPr>
          <w:i/>
          <w:sz w:val="16"/>
          <w:szCs w:val="16"/>
        </w:rPr>
        <w:t>Observación General N° 14 sobre el derecho del niño a que su interés superior sea una consideración primordial (artículo 3, párrafo 1)</w:t>
      </w:r>
      <w:r w:rsidRPr="009C15B0">
        <w:rPr>
          <w:sz w:val="16"/>
          <w:szCs w:val="16"/>
        </w:rPr>
        <w:t xml:space="preserve">, UN Doc. CRC/C/GC/14, 29 de mayo de 2013, párr. 96 [“El niño necesitará representación letrada adecuada cuando los tribunales y órganos equivalentes hayan de evaluar y determinar oficialmente su interés superior. En particular, cuando se someta a un niño a un procedimiento judicial o administrativo que conlleve la determinación de su interés superior, el niño debe disponer de representación letrada, además de un curador o representante de su opinión, cuando pueda haber un conflicto entre las partes en la decisión”], y </w:t>
      </w:r>
      <w:r w:rsidRPr="009C15B0">
        <w:rPr>
          <w:sz w:val="16"/>
          <w:szCs w:val="16"/>
          <w:shd w:val="clear" w:color="auto" w:fill="FFFFFF"/>
        </w:rPr>
        <w:t>Comité de los Derechos del Niño</w:t>
      </w:r>
      <w:r w:rsidRPr="009C15B0">
        <w:rPr>
          <w:sz w:val="16"/>
          <w:szCs w:val="16"/>
        </w:rPr>
        <w:t xml:space="preserve">, </w:t>
      </w:r>
      <w:r w:rsidRPr="009C15B0">
        <w:rPr>
          <w:i/>
          <w:sz w:val="16"/>
          <w:szCs w:val="16"/>
        </w:rPr>
        <w:t>Observación General N° 20 sobre</w:t>
      </w:r>
      <w:r w:rsidRPr="009C15B0">
        <w:rPr>
          <w:bCs/>
          <w:sz w:val="16"/>
          <w:szCs w:val="16"/>
        </w:rPr>
        <w:t xml:space="preserve"> </w:t>
      </w:r>
      <w:r w:rsidRPr="009C15B0">
        <w:rPr>
          <w:bCs/>
          <w:i/>
          <w:sz w:val="16"/>
          <w:szCs w:val="16"/>
        </w:rPr>
        <w:t>la efectividad de los derechos del niño durante la adolescencia</w:t>
      </w:r>
      <w:r w:rsidRPr="009C15B0">
        <w:rPr>
          <w:sz w:val="16"/>
          <w:szCs w:val="16"/>
        </w:rPr>
        <w:t xml:space="preserve">, UN Doc. CRC/C/GC/20, 6 de diciembre de 2016, párr. 23 [“De conformidad con el artículo 12 de la Convención, los Estados partes deben adoptar medidas para garantizar el derecho de los adolescentes a expresar sus opiniones sobre todas las cuestiones que los afecten, en función de su edad y madurez, y velar por que estas se tengan debidamente en cuenta, por ejemplo, en decisiones relativas a su educación, salud, sexualidad, vida familiar y a los procedimientos judiciales y administrativos. […] Como complemento de las medidas, es necesario introducir mecanismos de denuncia y reparación seguros y accesibles con competencia para examinar las denuncias formuladas por los adolescentes y brindarles acceso a servicios jurídicos gratuitos o subvencionados y otros tipos de asistencia apropiada”], y </w:t>
      </w:r>
      <w:r w:rsidRPr="009C15B0">
        <w:rPr>
          <w:bCs/>
          <w:sz w:val="16"/>
          <w:szCs w:val="16"/>
        </w:rPr>
        <w:t xml:space="preserve">UNICEF-UNODC, </w:t>
      </w:r>
      <w:r w:rsidRPr="009C15B0">
        <w:rPr>
          <w:bCs/>
          <w:i/>
          <w:sz w:val="16"/>
          <w:szCs w:val="16"/>
        </w:rPr>
        <w:t>Manual sobre la justicia en asuntos concernientes a los niños víctimas y testigos de delitos para uso de profesionales y encargados de la formulación de políticas</w:t>
      </w:r>
      <w:r w:rsidRPr="009C15B0">
        <w:rPr>
          <w:bCs/>
          <w:sz w:val="16"/>
          <w:szCs w:val="16"/>
        </w:rPr>
        <w:t xml:space="preserve">, 2010, </w:t>
      </w:r>
      <w:r w:rsidRPr="009C15B0">
        <w:rPr>
          <w:sz w:val="16"/>
          <w:szCs w:val="16"/>
        </w:rPr>
        <w:t>págs. 54-5 [“La asistencia para los niños víctimas y testigos de delitos durante los procedimientos debería incluir el acceso a la asistencia jurídica. [E]l derecho de los niños víctimas y testigos de delitos a recibir asistencia eficaz es algo más que la presencia de estas personas de apoyo. […] La mayoría de los países de derecho civil reconocen el derecho de los niños víctimas a la asistencia jurídica. La asistencia es gratuita para los beneficiarios que no pueden permitirse pagar a un abogado”].</w:t>
      </w:r>
    </w:p>
  </w:footnote>
  <w:footnote w:id="214">
    <w:p w14:paraId="5FC01C0D" w14:textId="2C59C0DD" w:rsidR="007F7D87" w:rsidRPr="009C15B0" w:rsidRDefault="007F7D87" w:rsidP="001E6358">
      <w:pPr>
        <w:pStyle w:val="FootnoteText"/>
        <w:tabs>
          <w:tab w:val="left" w:pos="567"/>
        </w:tabs>
        <w:spacing w:after="60"/>
        <w:rPr>
          <w:sz w:val="16"/>
          <w:szCs w:val="16"/>
          <w:lang w:val="es-CR"/>
        </w:rPr>
      </w:pPr>
      <w:r w:rsidRPr="009C15B0">
        <w:rPr>
          <w:rStyle w:val="FootnoteReference"/>
          <w:rFonts w:eastAsia="Calibri"/>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 xml:space="preserve">UNODC, </w:t>
      </w:r>
      <w:r w:rsidRPr="009C15B0">
        <w:rPr>
          <w:i/>
          <w:sz w:val="16"/>
          <w:szCs w:val="16"/>
          <w:lang w:val="es-CR"/>
        </w:rPr>
        <w:t>Principios y directrices de las Naciones Unidas sobre el acceso a la asistencia jurídica en los sistemas de justicia penal</w:t>
      </w:r>
      <w:r w:rsidRPr="009C15B0">
        <w:rPr>
          <w:sz w:val="16"/>
          <w:szCs w:val="16"/>
          <w:lang w:val="es-CR"/>
        </w:rPr>
        <w:t xml:space="preserve">, 2013, </w:t>
      </w:r>
      <w:r w:rsidRPr="009C15B0">
        <w:rPr>
          <w:iCs/>
          <w:sz w:val="16"/>
          <w:szCs w:val="16"/>
          <w:lang w:val="es-CR"/>
        </w:rPr>
        <w:t>Principio 2</w:t>
      </w:r>
      <w:r w:rsidRPr="009C15B0">
        <w:rPr>
          <w:i/>
          <w:iCs/>
          <w:sz w:val="16"/>
          <w:szCs w:val="16"/>
          <w:lang w:val="es-CR"/>
        </w:rPr>
        <w:t xml:space="preserve"> </w:t>
      </w:r>
      <w:r w:rsidRPr="009C15B0">
        <w:rPr>
          <w:iCs/>
          <w:sz w:val="16"/>
          <w:szCs w:val="16"/>
          <w:lang w:val="es-CR"/>
        </w:rPr>
        <w:t>[“</w:t>
      </w:r>
      <w:r w:rsidRPr="009C15B0">
        <w:rPr>
          <w:i/>
          <w:iCs/>
          <w:sz w:val="16"/>
          <w:szCs w:val="16"/>
          <w:lang w:val="es-CR"/>
        </w:rPr>
        <w:t>Responsabilidades del Estado</w:t>
      </w:r>
      <w:r w:rsidRPr="009C15B0">
        <w:rPr>
          <w:sz w:val="16"/>
          <w:szCs w:val="16"/>
          <w:lang w:val="es-CR"/>
        </w:rPr>
        <w:t xml:space="preserve">. 15. Los Estados deben considerar la prestación de asistencia jurídica como un deber y una responsabilidad. Con ese fin, deben, cuando sea el caso, estudiar la posibilidad de promulgar legislación y reglamentos específicos y velar por que exista un sistema de asistencia jurídica completo que sea asequible, eficaz, sostenible y digno de crédito. Los Estados deben asignar al sistema de asistencia jurídica los recursos humanos y financieros necesarios”], y </w:t>
      </w:r>
      <w:r w:rsidRPr="009C15B0">
        <w:rPr>
          <w:iCs/>
          <w:sz w:val="16"/>
          <w:szCs w:val="16"/>
          <w:lang w:val="es-CR"/>
        </w:rPr>
        <w:t>Directriz 1 [“</w:t>
      </w:r>
      <w:r w:rsidRPr="009C15B0">
        <w:rPr>
          <w:i/>
          <w:iCs/>
          <w:sz w:val="16"/>
          <w:szCs w:val="16"/>
          <w:lang w:val="es-CR"/>
        </w:rPr>
        <w:t>Prestación de la asistencia jurídica</w:t>
      </w:r>
      <w:r w:rsidRPr="009C15B0">
        <w:rPr>
          <w:sz w:val="16"/>
          <w:szCs w:val="16"/>
          <w:lang w:val="es-CR"/>
        </w:rPr>
        <w:t xml:space="preserve">. 41. Cuando los Estados aplican condiciones relativas a los medios de vida de las personas para determinar si tienen derecho a recibir asistencia jurídica, deben asegurarse de que: […] c) Las personas que requieran asistencia jurídica urgente en las comisarías, los centros de detención o los tribunales reciban una asistencia jurídica preliminar hasta que se determine si tienen derecho a esa asistencia. </w:t>
      </w:r>
      <w:r w:rsidRPr="009C15B0">
        <w:rPr>
          <w:bCs/>
          <w:sz w:val="16"/>
          <w:szCs w:val="16"/>
          <w:lang w:val="es-CR"/>
        </w:rPr>
        <w:t>Los niños están siempre exentos de la condición relativa a los medios de vida”</w:t>
      </w:r>
      <w:r w:rsidRPr="009C15B0">
        <w:rPr>
          <w:sz w:val="16"/>
          <w:szCs w:val="16"/>
          <w:lang w:val="es-CR"/>
        </w:rPr>
        <w:t>].</w:t>
      </w:r>
    </w:p>
  </w:footnote>
  <w:footnote w:id="215">
    <w:p w14:paraId="68010140" w14:textId="485D9E1E"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Declaración pericial rendida ante la Corte Interamericana por Miguel Cillero Bruñol en la audiencia pública celebrada el 16 y 17 de octubre de 2017.</w:t>
      </w:r>
    </w:p>
  </w:footnote>
  <w:footnote w:id="216">
    <w:p w14:paraId="0999EEFC" w14:textId="77646114"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 Caso Rosendo Cantú y otra Vs. México.</w:t>
      </w:r>
      <w:r w:rsidRPr="009C15B0">
        <w:rPr>
          <w:sz w:val="16"/>
          <w:szCs w:val="16"/>
          <w:lang w:val="es-CR"/>
        </w:rPr>
        <w:t xml:space="preserve"> </w:t>
      </w:r>
      <w:r w:rsidRPr="009C15B0">
        <w:rPr>
          <w:i/>
          <w:sz w:val="16"/>
          <w:szCs w:val="16"/>
          <w:lang w:val="es-CR"/>
        </w:rPr>
        <w:t>Excepción Preliminar, Fondo, Reparaciones y Costas</w:t>
      </w:r>
      <w:r w:rsidRPr="009C15B0">
        <w:rPr>
          <w:sz w:val="16"/>
          <w:szCs w:val="16"/>
          <w:lang w:val="es-CR"/>
        </w:rPr>
        <w:t xml:space="preserve">. Sentencia de 31 de agosto de 2010. Serie C No. 216, párr. 201, y Consejo Económico y Social, Resolución 2005/20, </w:t>
      </w:r>
      <w:r w:rsidRPr="009C15B0">
        <w:rPr>
          <w:i/>
          <w:sz w:val="16"/>
          <w:szCs w:val="16"/>
          <w:lang w:val="es-CR"/>
        </w:rPr>
        <w:t>Directrices sobre la justicia en asuntos concernientes a los niños víctimas y testigos de delitos</w:t>
      </w:r>
      <w:r w:rsidRPr="009C15B0">
        <w:rPr>
          <w:sz w:val="16"/>
          <w:szCs w:val="16"/>
          <w:lang w:val="es-CR"/>
        </w:rPr>
        <w:t>, UN Doc. E/2005/INF/2/Add.1, 22 de julio de 2005, directriz 31.b). Véase también,</w:t>
      </w:r>
      <w:r w:rsidRPr="009C15B0">
        <w:rPr>
          <w:i/>
          <w:sz w:val="16"/>
          <w:szCs w:val="16"/>
          <w:lang w:val="es-CR"/>
        </w:rPr>
        <w:t xml:space="preserve"> </w:t>
      </w:r>
      <w:r w:rsidRPr="009C15B0">
        <w:rPr>
          <w:sz w:val="16"/>
          <w:szCs w:val="16"/>
          <w:lang w:val="es-CR"/>
        </w:rPr>
        <w:t>Declaraciones periciales rendidas ante la Corte Interamericana por Enrique Oscar Stola y Miguel Cillero Bruñol en la audiencia pública celebrada el 16 y 17 de octubre de 2017.</w:t>
      </w:r>
    </w:p>
  </w:footnote>
  <w:footnote w:id="217">
    <w:p w14:paraId="71720140" w14:textId="7F21DC69" w:rsidR="007F7D87" w:rsidRPr="009C15B0" w:rsidRDefault="007F7D87" w:rsidP="001E6358">
      <w:pPr>
        <w:tabs>
          <w:tab w:val="left" w:pos="567"/>
        </w:tabs>
        <w:spacing w:after="60" w:line="240" w:lineRule="auto"/>
        <w:rPr>
          <w:i/>
          <w:sz w:val="16"/>
          <w:szCs w:val="16"/>
        </w:rPr>
      </w:pPr>
      <w:r w:rsidRPr="009C15B0">
        <w:rPr>
          <w:rStyle w:val="FootnoteReference"/>
          <w:sz w:val="16"/>
          <w:szCs w:val="16"/>
        </w:rPr>
        <w:footnoteRef/>
      </w:r>
      <w:r w:rsidRPr="009C15B0">
        <w:rPr>
          <w:sz w:val="16"/>
          <w:szCs w:val="16"/>
        </w:rPr>
        <w:t xml:space="preserve"> </w:t>
      </w:r>
      <w:r w:rsidRPr="009C15B0">
        <w:rPr>
          <w:sz w:val="16"/>
          <w:szCs w:val="16"/>
        </w:rPr>
        <w:tab/>
      </w:r>
      <w:r w:rsidRPr="009C15B0">
        <w:rPr>
          <w:i/>
          <w:sz w:val="16"/>
          <w:szCs w:val="16"/>
        </w:rPr>
        <w:t xml:space="preserve">Cfr. Caso del Penal Miguel Castro Castro Vs. Perú. Fondo, Reparaciones y Costas. </w:t>
      </w:r>
      <w:r w:rsidRPr="009C15B0">
        <w:rPr>
          <w:sz w:val="16"/>
          <w:szCs w:val="16"/>
        </w:rPr>
        <w:t>Sentencia de 25 de noviembre de 2006. Serie C No. 160, párr. 311,</w:t>
      </w:r>
      <w:r w:rsidRPr="009C15B0">
        <w:rPr>
          <w:i/>
          <w:sz w:val="16"/>
          <w:szCs w:val="16"/>
        </w:rPr>
        <w:t xml:space="preserve"> </w:t>
      </w:r>
      <w:r w:rsidRPr="009C15B0">
        <w:rPr>
          <w:sz w:val="16"/>
          <w:szCs w:val="16"/>
        </w:rPr>
        <w:t>y</w:t>
      </w:r>
      <w:r w:rsidRPr="009C15B0">
        <w:rPr>
          <w:i/>
          <w:sz w:val="16"/>
          <w:szCs w:val="16"/>
        </w:rPr>
        <w:t xml:space="preserve"> Caso Favela Nova Brasilia Vs. Brasil, supra</w:t>
      </w:r>
      <w:r w:rsidRPr="009C15B0">
        <w:rPr>
          <w:sz w:val="16"/>
          <w:szCs w:val="16"/>
        </w:rPr>
        <w:t>, párr. 255.</w:t>
      </w:r>
    </w:p>
  </w:footnote>
  <w:footnote w:id="218">
    <w:p w14:paraId="3DA6EDEF" w14:textId="3C464D10"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Declaración pericial rendida ante la Corte Interamericana por Enrique Oscar Stola en la audiencia pública celebrada el 16 y 17 de octubre de 2017.</w:t>
      </w:r>
    </w:p>
  </w:footnote>
  <w:footnote w:id="219">
    <w:p w14:paraId="5AA89845" w14:textId="411C8953"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 xml:space="preserve">Comité de los Derechos del Niño, </w:t>
      </w:r>
      <w:r w:rsidRPr="009C15B0">
        <w:rPr>
          <w:i/>
          <w:sz w:val="16"/>
          <w:szCs w:val="16"/>
          <w:lang w:val="es-CR"/>
        </w:rPr>
        <w:t>Observación General Nº 13:</w:t>
      </w:r>
      <w:r w:rsidRPr="009C15B0">
        <w:rPr>
          <w:sz w:val="16"/>
          <w:szCs w:val="16"/>
          <w:lang w:val="es-CR"/>
        </w:rPr>
        <w:t xml:space="preserve"> </w:t>
      </w:r>
      <w:r w:rsidRPr="009C15B0">
        <w:rPr>
          <w:i/>
          <w:sz w:val="16"/>
          <w:szCs w:val="16"/>
          <w:lang w:val="es-CR"/>
        </w:rPr>
        <w:t>Derecho del niño a no ser objeto de ninguna forma de violencia</w:t>
      </w:r>
      <w:r w:rsidRPr="009C15B0">
        <w:rPr>
          <w:sz w:val="16"/>
          <w:szCs w:val="16"/>
          <w:lang w:val="es-CR"/>
        </w:rPr>
        <w:t xml:space="preserve">, </w:t>
      </w:r>
      <w:r w:rsidRPr="009C15B0">
        <w:rPr>
          <w:i/>
          <w:sz w:val="16"/>
          <w:szCs w:val="16"/>
          <w:lang w:val="es-CR"/>
        </w:rPr>
        <w:t>supra</w:t>
      </w:r>
      <w:r w:rsidRPr="009C15B0">
        <w:rPr>
          <w:sz w:val="16"/>
          <w:szCs w:val="16"/>
          <w:lang w:val="es-CR"/>
        </w:rPr>
        <w:t>, párr. 57.b)</w:t>
      </w:r>
    </w:p>
  </w:footnote>
  <w:footnote w:id="220">
    <w:p w14:paraId="4802C310" w14:textId="70072BD6"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xml:space="preserve"> Consejo Económico y Social, Resolución 2005/20, </w:t>
      </w:r>
      <w:r w:rsidRPr="009C15B0">
        <w:rPr>
          <w:i/>
          <w:sz w:val="16"/>
          <w:szCs w:val="16"/>
          <w:lang w:val="es-CR"/>
        </w:rPr>
        <w:t>Directrices sobre la justicia en asuntos concernientes a los niños víctimas y testigos de delitos</w:t>
      </w:r>
      <w:r w:rsidRPr="009C15B0">
        <w:rPr>
          <w:sz w:val="16"/>
          <w:szCs w:val="16"/>
          <w:lang w:val="es-CR"/>
        </w:rPr>
        <w:t xml:space="preserve">, UN Doc. E/2005/INF/2/Add.1, 22 de julio de 2005, directriz 23, y UNODC, </w:t>
      </w:r>
      <w:r w:rsidRPr="009C15B0">
        <w:rPr>
          <w:i/>
          <w:sz w:val="16"/>
          <w:szCs w:val="16"/>
          <w:lang w:val="es-CR"/>
        </w:rPr>
        <w:t>Principios y directrices de las Naciones Unidas sobre el acceso a la asistencia jurídica en los sistemas de justicia penal</w:t>
      </w:r>
      <w:r w:rsidRPr="009C15B0">
        <w:rPr>
          <w:sz w:val="16"/>
          <w:szCs w:val="16"/>
          <w:lang w:val="es-CR"/>
        </w:rPr>
        <w:t>, 2013, directriz 11.c). Véase también, Declaración pericial rendida ante la Corte Interamericana por Miguel Cillero Bruñol en la audiencia pública celebrada el 16 y 17 de octubre de 2017.</w:t>
      </w:r>
    </w:p>
  </w:footnote>
  <w:footnote w:id="221">
    <w:p w14:paraId="4617603A" w14:textId="732BCE58"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 xml:space="preserve">La Corte ha señalado que, en casos de violencia contra la mujer, </w:t>
      </w:r>
      <w:r w:rsidRPr="009C15B0">
        <w:rPr>
          <w:rFonts w:eastAsia="Batang"/>
          <w:sz w:val="16"/>
          <w:szCs w:val="16"/>
          <w:lang w:val="es-CR"/>
        </w:rPr>
        <w:t xml:space="preserve">al tomar conocimiento de los actos alegados, </w:t>
      </w:r>
      <w:r w:rsidRPr="009C15B0">
        <w:rPr>
          <w:sz w:val="16"/>
          <w:szCs w:val="16"/>
          <w:lang w:val="es-CR"/>
        </w:rPr>
        <w:t xml:space="preserve">es necesario que </w:t>
      </w:r>
      <w:r w:rsidRPr="009C15B0">
        <w:rPr>
          <w:rFonts w:eastAsia="Batang"/>
          <w:sz w:val="16"/>
          <w:szCs w:val="16"/>
          <w:lang w:val="es-CR"/>
        </w:rPr>
        <w:t xml:space="preserve">se realice inmediatamente un examen médico y psicológico completo y detallado por personal idóneo y capacitado, en lo posible del sexo que la víctima indique, ofreciéndole que sea acompañada por alguien de su confianza si así lo desea. Dicho examen deberá ser realizado de conformidad con protocolos dirigidos específicamente a documentar evidencias en casos de violencia de género. </w:t>
      </w:r>
      <w:r w:rsidRPr="009C15B0">
        <w:rPr>
          <w:i/>
          <w:sz w:val="16"/>
          <w:szCs w:val="16"/>
          <w:lang w:val="es-CR"/>
        </w:rPr>
        <w:t>Cfr. Caso Fernández Ortega y otros Vs. México, supra</w:t>
      </w:r>
      <w:r w:rsidRPr="009C15B0">
        <w:rPr>
          <w:sz w:val="16"/>
          <w:szCs w:val="16"/>
          <w:lang w:val="es-CR"/>
        </w:rPr>
        <w:t xml:space="preserve">, párr. 194, y </w:t>
      </w:r>
      <w:r w:rsidRPr="009C15B0">
        <w:rPr>
          <w:i/>
          <w:sz w:val="16"/>
          <w:szCs w:val="16"/>
          <w:lang w:val="es-CR"/>
        </w:rPr>
        <w:t>Caso Favela Nova Brasilia Vs. Brasil, supra</w:t>
      </w:r>
      <w:r w:rsidRPr="009C15B0">
        <w:rPr>
          <w:sz w:val="16"/>
          <w:szCs w:val="16"/>
          <w:lang w:val="es-CR"/>
        </w:rPr>
        <w:t>, párr. 254.</w:t>
      </w:r>
      <w:r w:rsidRPr="009C15B0">
        <w:rPr>
          <w:i/>
          <w:sz w:val="16"/>
          <w:szCs w:val="16"/>
          <w:lang w:val="es-CR"/>
        </w:rPr>
        <w:t xml:space="preserve"> </w:t>
      </w:r>
      <w:r w:rsidRPr="009C15B0">
        <w:rPr>
          <w:sz w:val="16"/>
          <w:szCs w:val="16"/>
          <w:lang w:val="es-CR"/>
        </w:rPr>
        <w:t>Véase también,</w:t>
      </w:r>
      <w:r w:rsidRPr="009C15B0">
        <w:rPr>
          <w:i/>
          <w:sz w:val="16"/>
          <w:szCs w:val="16"/>
          <w:lang w:val="es-CR"/>
        </w:rPr>
        <w:t xml:space="preserve"> </w:t>
      </w:r>
      <w:r w:rsidRPr="009C15B0">
        <w:rPr>
          <w:sz w:val="16"/>
          <w:szCs w:val="16"/>
          <w:lang w:val="es-CR"/>
        </w:rPr>
        <w:t xml:space="preserve">Organización Mundial de la Salud, </w:t>
      </w:r>
      <w:r w:rsidRPr="009C15B0">
        <w:rPr>
          <w:i/>
          <w:sz w:val="16"/>
          <w:szCs w:val="16"/>
          <w:lang w:val="es-CR"/>
        </w:rPr>
        <w:t>Guidelines for medico-legal care for victims of sexual violence</w:t>
      </w:r>
      <w:r w:rsidRPr="009C15B0">
        <w:rPr>
          <w:sz w:val="16"/>
          <w:szCs w:val="16"/>
          <w:lang w:val="es-CR"/>
        </w:rPr>
        <w:t xml:space="preserve">, 2003, págs. </w:t>
      </w:r>
      <w:r w:rsidRPr="00C946D6">
        <w:rPr>
          <w:sz w:val="16"/>
          <w:szCs w:val="16"/>
          <w:lang w:val="en-US"/>
        </w:rPr>
        <w:t xml:space="preserve">81 y 82 </w:t>
      </w:r>
      <w:r w:rsidRPr="00C946D6">
        <w:rPr>
          <w:rStyle w:val="shorttext"/>
          <w:sz w:val="16"/>
          <w:szCs w:val="16"/>
          <w:lang w:val="en-US"/>
        </w:rPr>
        <w:t xml:space="preserve">y </w:t>
      </w:r>
      <w:r w:rsidRPr="00C946D6">
        <w:rPr>
          <w:i/>
          <w:sz w:val="16"/>
          <w:szCs w:val="16"/>
          <w:lang w:val="en-US"/>
        </w:rPr>
        <w:t xml:space="preserve">Responding to children and adolescents who have been sexually abused. </w:t>
      </w:r>
      <w:r w:rsidRPr="009C15B0">
        <w:rPr>
          <w:i/>
          <w:sz w:val="16"/>
          <w:szCs w:val="16"/>
          <w:lang w:val="es-CR"/>
        </w:rPr>
        <w:t>WHO Clinical Guidelines</w:t>
      </w:r>
      <w:r w:rsidRPr="009C15B0">
        <w:rPr>
          <w:sz w:val="16"/>
          <w:szCs w:val="16"/>
          <w:lang w:val="es-CR"/>
        </w:rPr>
        <w:t>, 2017, pág. 18.</w:t>
      </w:r>
    </w:p>
  </w:footnote>
  <w:footnote w:id="222">
    <w:p w14:paraId="09D35C4D" w14:textId="497744A5"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xml:space="preserve"> Comité de los Derechos del Niño, </w:t>
      </w:r>
      <w:r w:rsidRPr="009C15B0">
        <w:rPr>
          <w:i/>
          <w:sz w:val="16"/>
          <w:szCs w:val="16"/>
          <w:lang w:val="es-CR"/>
        </w:rPr>
        <w:t>Observación General Nº 13: Derecho del niño a no ser objeto de ninguna forma de violencia, supra</w:t>
      </w:r>
      <w:r w:rsidRPr="009C15B0">
        <w:rPr>
          <w:sz w:val="16"/>
          <w:szCs w:val="16"/>
          <w:lang w:val="es-CR"/>
        </w:rPr>
        <w:t>, párr. 54.b).</w:t>
      </w:r>
    </w:p>
  </w:footnote>
  <w:footnote w:id="223">
    <w:p w14:paraId="0C88B78A" w14:textId="458C799E"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xml:space="preserve"> Consejo Económico y Social, Resolución 2005/20, </w:t>
      </w:r>
      <w:r w:rsidRPr="009C15B0">
        <w:rPr>
          <w:i/>
          <w:sz w:val="16"/>
          <w:szCs w:val="16"/>
          <w:lang w:val="es-CR"/>
        </w:rPr>
        <w:t>Directrices sobre la justicia en asuntos concernientes a los niños víctimas y testigos de delitos</w:t>
      </w:r>
      <w:r w:rsidRPr="009C15B0">
        <w:rPr>
          <w:sz w:val="16"/>
          <w:szCs w:val="16"/>
          <w:lang w:val="es-CR"/>
        </w:rPr>
        <w:t xml:space="preserve">, UN Doc. E/2005/INF/2/Add.1, 22 de julio de 2005, directrices 8, 10 a 14, 16, 17, 19, 21 a 31 y 40; Comité de los Derechos del Niño, </w:t>
      </w:r>
      <w:r w:rsidRPr="009C15B0">
        <w:rPr>
          <w:i/>
          <w:sz w:val="16"/>
          <w:szCs w:val="16"/>
          <w:lang w:val="es-CR"/>
        </w:rPr>
        <w:t>Observación General Nº 13:</w:t>
      </w:r>
      <w:r w:rsidRPr="009C15B0">
        <w:rPr>
          <w:sz w:val="16"/>
          <w:szCs w:val="16"/>
          <w:lang w:val="es-CR"/>
        </w:rPr>
        <w:t xml:space="preserve"> </w:t>
      </w:r>
      <w:r w:rsidRPr="009C15B0">
        <w:rPr>
          <w:i/>
          <w:sz w:val="16"/>
          <w:szCs w:val="16"/>
          <w:lang w:val="es-CR"/>
        </w:rPr>
        <w:t>Derecho del niño a no ser objeto de ninguna forma de violencia</w:t>
      </w:r>
      <w:r w:rsidRPr="009C15B0">
        <w:rPr>
          <w:sz w:val="16"/>
          <w:szCs w:val="16"/>
          <w:lang w:val="es-CR"/>
        </w:rPr>
        <w:t xml:space="preserve">, </w:t>
      </w:r>
      <w:r w:rsidRPr="009C15B0">
        <w:rPr>
          <w:i/>
          <w:sz w:val="16"/>
          <w:szCs w:val="16"/>
          <w:lang w:val="es-CR"/>
        </w:rPr>
        <w:t>supra</w:t>
      </w:r>
      <w:r w:rsidRPr="009C15B0">
        <w:rPr>
          <w:sz w:val="16"/>
          <w:szCs w:val="16"/>
          <w:lang w:val="es-CR"/>
        </w:rPr>
        <w:t xml:space="preserve">, párrs. </w:t>
      </w:r>
      <w:r w:rsidRPr="00C946D6">
        <w:rPr>
          <w:sz w:val="16"/>
          <w:szCs w:val="16"/>
          <w:lang w:val="en-US"/>
        </w:rPr>
        <w:t>51 y 54, y Organización Mundial de la Salud,</w:t>
      </w:r>
      <w:r w:rsidRPr="00C946D6">
        <w:rPr>
          <w:i/>
          <w:sz w:val="16"/>
          <w:szCs w:val="16"/>
          <w:lang w:val="en-US"/>
        </w:rPr>
        <w:t xml:space="preserve"> Responding to children and adolescents who have been sexually abused. WHO Clinical Guidelines</w:t>
      </w:r>
      <w:r w:rsidRPr="00C946D6">
        <w:rPr>
          <w:sz w:val="16"/>
          <w:szCs w:val="16"/>
          <w:lang w:val="en-US"/>
        </w:rPr>
        <w:t xml:space="preserve">, 2017, págs. </w:t>
      </w:r>
      <w:r w:rsidRPr="009C15B0">
        <w:rPr>
          <w:sz w:val="16"/>
          <w:szCs w:val="16"/>
          <w:lang w:val="es-CR"/>
        </w:rPr>
        <w:t>15 a 22.</w:t>
      </w:r>
    </w:p>
  </w:footnote>
  <w:footnote w:id="224">
    <w:p w14:paraId="39BE429D" w14:textId="5FDE08C0"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 Caso Rosendo Cantú y otra Vs. México, supra</w:t>
      </w:r>
      <w:r w:rsidRPr="009C15B0">
        <w:rPr>
          <w:sz w:val="16"/>
          <w:szCs w:val="16"/>
          <w:lang w:val="es-CR"/>
        </w:rPr>
        <w:t xml:space="preserve">, párr. 201, y </w:t>
      </w:r>
      <w:r w:rsidRPr="009C15B0">
        <w:rPr>
          <w:rStyle w:val="Strong"/>
          <w:b w:val="0"/>
          <w:i/>
          <w:sz w:val="16"/>
          <w:szCs w:val="16"/>
          <w:lang w:val="es-CR"/>
        </w:rPr>
        <w:t>Derechos y garantías de niñas y niños en el contexto de la migración y/o en necesidad de protección internacional</w:t>
      </w:r>
      <w:r w:rsidRPr="009C15B0">
        <w:rPr>
          <w:rStyle w:val="Strong"/>
          <w:b w:val="0"/>
          <w:sz w:val="16"/>
          <w:szCs w:val="16"/>
          <w:lang w:val="es-CR"/>
        </w:rPr>
        <w:t xml:space="preserve">. Opinión Consultiva OC-21/14, </w:t>
      </w:r>
      <w:r w:rsidRPr="009C15B0">
        <w:rPr>
          <w:rStyle w:val="Strong"/>
          <w:b w:val="0"/>
          <w:i/>
          <w:sz w:val="16"/>
          <w:szCs w:val="16"/>
          <w:lang w:val="es-CR"/>
        </w:rPr>
        <w:t>supra</w:t>
      </w:r>
      <w:r w:rsidRPr="009C15B0">
        <w:rPr>
          <w:rFonts w:eastAsia="Arial" w:cs="Arial"/>
          <w:sz w:val="16"/>
          <w:szCs w:val="16"/>
          <w:lang w:val="es-CR"/>
        </w:rPr>
        <w:t>, párr. 123.</w:t>
      </w:r>
      <w:r w:rsidRPr="009C15B0">
        <w:rPr>
          <w:sz w:val="16"/>
          <w:szCs w:val="16"/>
          <w:shd w:val="clear" w:color="auto" w:fill="FFFFFF"/>
          <w:lang w:val="es-CR"/>
        </w:rPr>
        <w:t xml:space="preserve"> Véase también, Comité de los Derechos del Niño</w:t>
      </w:r>
      <w:r w:rsidRPr="009C15B0">
        <w:rPr>
          <w:sz w:val="16"/>
          <w:szCs w:val="16"/>
          <w:lang w:val="es-CR"/>
        </w:rPr>
        <w:t xml:space="preserve">, </w:t>
      </w:r>
      <w:r w:rsidRPr="009C15B0">
        <w:rPr>
          <w:i/>
          <w:sz w:val="16"/>
          <w:szCs w:val="16"/>
          <w:lang w:val="es-CR"/>
        </w:rPr>
        <w:t>Observación General Nº 12: El derecho del niño a ser escuchado, supra</w:t>
      </w:r>
      <w:r w:rsidRPr="009C15B0">
        <w:rPr>
          <w:sz w:val="16"/>
          <w:szCs w:val="16"/>
          <w:lang w:val="es-CR"/>
        </w:rPr>
        <w:t xml:space="preserve">, párr. 34, y Comité de los Derechos del Niño, </w:t>
      </w:r>
      <w:r w:rsidRPr="009C15B0">
        <w:rPr>
          <w:i/>
          <w:sz w:val="16"/>
          <w:szCs w:val="16"/>
          <w:lang w:val="es-CR"/>
        </w:rPr>
        <w:t>Observación General Nº 13:</w:t>
      </w:r>
      <w:r w:rsidRPr="009C15B0">
        <w:rPr>
          <w:sz w:val="16"/>
          <w:szCs w:val="16"/>
          <w:lang w:val="es-CR"/>
        </w:rPr>
        <w:t xml:space="preserve"> </w:t>
      </w:r>
      <w:r w:rsidRPr="009C15B0">
        <w:rPr>
          <w:i/>
          <w:sz w:val="16"/>
          <w:szCs w:val="16"/>
          <w:lang w:val="es-CR"/>
        </w:rPr>
        <w:t>Derecho del niño a no ser objeto de ninguna forma de violencia, supra</w:t>
      </w:r>
      <w:r w:rsidRPr="009C15B0">
        <w:rPr>
          <w:sz w:val="16"/>
          <w:szCs w:val="16"/>
          <w:lang w:val="es-CR"/>
        </w:rPr>
        <w:t>, párrs. 51 y 54.b).</w:t>
      </w:r>
    </w:p>
  </w:footnote>
  <w:footnote w:id="225">
    <w:p w14:paraId="6BF3911F" w14:textId="4CF33D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 Directrices sobre la justicia en asuntos concernientes a los niños víctimas y testigos de delitos</w:t>
      </w:r>
      <w:r w:rsidRPr="009C15B0">
        <w:rPr>
          <w:sz w:val="16"/>
          <w:szCs w:val="16"/>
          <w:lang w:val="es-CR"/>
        </w:rPr>
        <w:t xml:space="preserve">, UN Doc. E/2005/INF/2/Add.1, 22 de julio de 2005, directriz 10, y Comité de los Derechos del Niño, </w:t>
      </w:r>
      <w:r w:rsidRPr="009C15B0">
        <w:rPr>
          <w:i/>
          <w:sz w:val="16"/>
          <w:szCs w:val="16"/>
          <w:lang w:val="es-CR"/>
        </w:rPr>
        <w:t>Observación General Nº 13:</w:t>
      </w:r>
      <w:r w:rsidRPr="009C15B0">
        <w:rPr>
          <w:sz w:val="16"/>
          <w:szCs w:val="16"/>
          <w:lang w:val="es-CR"/>
        </w:rPr>
        <w:t xml:space="preserve"> </w:t>
      </w:r>
      <w:r w:rsidRPr="009C15B0">
        <w:rPr>
          <w:i/>
          <w:sz w:val="16"/>
          <w:szCs w:val="16"/>
          <w:lang w:val="es-CR"/>
        </w:rPr>
        <w:t>Derecho del niño a no ser objeto de ninguna forma de violencia</w:t>
      </w:r>
      <w:r w:rsidRPr="009C15B0">
        <w:rPr>
          <w:sz w:val="16"/>
          <w:szCs w:val="16"/>
          <w:lang w:val="es-CR"/>
        </w:rPr>
        <w:t xml:space="preserve">, </w:t>
      </w:r>
      <w:r w:rsidRPr="009C15B0">
        <w:rPr>
          <w:i/>
          <w:sz w:val="16"/>
          <w:szCs w:val="16"/>
          <w:lang w:val="es-CR"/>
        </w:rPr>
        <w:t>supra</w:t>
      </w:r>
      <w:r w:rsidRPr="009C15B0">
        <w:rPr>
          <w:sz w:val="16"/>
          <w:szCs w:val="16"/>
          <w:lang w:val="es-CR"/>
        </w:rPr>
        <w:t>, párr. 54.b).</w:t>
      </w:r>
    </w:p>
  </w:footnote>
  <w:footnote w:id="226">
    <w:p w14:paraId="36282A06" w14:textId="44E6481F"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 Directrices sobre la justicia en asuntos concernientes a los niños víctimas y testigos de delitos</w:t>
      </w:r>
      <w:r w:rsidRPr="009C15B0">
        <w:rPr>
          <w:sz w:val="16"/>
          <w:szCs w:val="16"/>
          <w:lang w:val="es-CR"/>
        </w:rPr>
        <w:t>, UN Doc. E/2005/INF/2/Add.1, 22 de julio de 2005, directrices 19 y 30.b).</w:t>
      </w:r>
    </w:p>
  </w:footnote>
  <w:footnote w:id="227">
    <w:p w14:paraId="530E490A" w14:textId="4D586AD2" w:rsidR="007F7D87" w:rsidRPr="00C946D6" w:rsidRDefault="007F7D87" w:rsidP="001E6358">
      <w:pPr>
        <w:pStyle w:val="FootnoteText"/>
        <w:tabs>
          <w:tab w:val="left" w:pos="567"/>
        </w:tabs>
        <w:spacing w:after="60"/>
        <w:rPr>
          <w:sz w:val="16"/>
          <w:szCs w:val="16"/>
          <w:lang w:val="en-US"/>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xml:space="preserve"> Comité de los Derechos del Niño, </w:t>
      </w:r>
      <w:r w:rsidRPr="009C15B0">
        <w:rPr>
          <w:i/>
          <w:sz w:val="16"/>
          <w:szCs w:val="16"/>
          <w:lang w:val="es-CR"/>
        </w:rPr>
        <w:t>Observación General Nº 13:</w:t>
      </w:r>
      <w:r w:rsidRPr="009C15B0">
        <w:rPr>
          <w:sz w:val="16"/>
          <w:szCs w:val="16"/>
          <w:lang w:val="es-CR"/>
        </w:rPr>
        <w:t xml:space="preserve"> </w:t>
      </w:r>
      <w:r w:rsidRPr="009C15B0">
        <w:rPr>
          <w:i/>
          <w:sz w:val="16"/>
          <w:szCs w:val="16"/>
          <w:lang w:val="es-CR"/>
        </w:rPr>
        <w:t>Derecho del niño a no ser objeto de ninguna forma de violencia</w:t>
      </w:r>
      <w:r w:rsidRPr="009C15B0">
        <w:rPr>
          <w:sz w:val="16"/>
          <w:szCs w:val="16"/>
          <w:lang w:val="es-CR"/>
        </w:rPr>
        <w:t xml:space="preserve">, </w:t>
      </w:r>
      <w:r w:rsidRPr="009C15B0">
        <w:rPr>
          <w:i/>
          <w:sz w:val="16"/>
          <w:szCs w:val="16"/>
          <w:lang w:val="es-CR"/>
        </w:rPr>
        <w:t>supra</w:t>
      </w:r>
      <w:r w:rsidRPr="009C15B0">
        <w:rPr>
          <w:sz w:val="16"/>
          <w:szCs w:val="16"/>
          <w:lang w:val="es-CR"/>
        </w:rPr>
        <w:t xml:space="preserve">, párr. </w:t>
      </w:r>
      <w:r w:rsidRPr="00C946D6">
        <w:rPr>
          <w:sz w:val="16"/>
          <w:szCs w:val="16"/>
          <w:lang w:val="en-US"/>
        </w:rPr>
        <w:t>51.</w:t>
      </w:r>
    </w:p>
  </w:footnote>
  <w:footnote w:id="228">
    <w:p w14:paraId="6614F3D3" w14:textId="5406D69A"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C946D6">
        <w:rPr>
          <w:sz w:val="16"/>
          <w:szCs w:val="16"/>
          <w:lang w:val="en-US"/>
        </w:rPr>
        <w:t xml:space="preserve"> </w:t>
      </w:r>
      <w:r w:rsidRPr="00C946D6">
        <w:rPr>
          <w:sz w:val="16"/>
          <w:szCs w:val="16"/>
          <w:lang w:val="en-US"/>
        </w:rPr>
        <w:tab/>
      </w:r>
      <w:r w:rsidRPr="00C946D6">
        <w:rPr>
          <w:i/>
          <w:sz w:val="16"/>
          <w:szCs w:val="16"/>
          <w:lang w:val="en-US"/>
        </w:rPr>
        <w:t>Cfr.</w:t>
      </w:r>
      <w:r w:rsidRPr="00C946D6">
        <w:rPr>
          <w:sz w:val="16"/>
          <w:szCs w:val="16"/>
          <w:lang w:val="en-US"/>
        </w:rPr>
        <w:t xml:space="preserve"> Organización Mundial de la Salud,</w:t>
      </w:r>
      <w:r w:rsidRPr="00C946D6" w:rsidDel="00EA458A">
        <w:rPr>
          <w:i/>
          <w:sz w:val="16"/>
          <w:szCs w:val="16"/>
          <w:lang w:val="en-US"/>
        </w:rPr>
        <w:t xml:space="preserve"> </w:t>
      </w:r>
      <w:r w:rsidRPr="00C946D6">
        <w:rPr>
          <w:i/>
          <w:sz w:val="16"/>
          <w:szCs w:val="16"/>
          <w:lang w:val="en-US"/>
        </w:rPr>
        <w:t xml:space="preserve">Responding to children and adolescents who have been sexually abused. </w:t>
      </w:r>
      <w:r w:rsidRPr="009C15B0">
        <w:rPr>
          <w:i/>
          <w:sz w:val="16"/>
          <w:szCs w:val="16"/>
          <w:lang w:val="es-CR"/>
        </w:rPr>
        <w:t>WHO Clinical Guidelines</w:t>
      </w:r>
      <w:r w:rsidRPr="009C15B0">
        <w:rPr>
          <w:sz w:val="16"/>
          <w:szCs w:val="16"/>
          <w:lang w:val="es-CR"/>
        </w:rPr>
        <w:t>, 2017, págs. 20 y 21.</w:t>
      </w:r>
    </w:p>
  </w:footnote>
  <w:footnote w:id="229">
    <w:p w14:paraId="6B806BEE" w14:textId="70D1F52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xml:space="preserve"> Consejo Económico y Social, Resolución 2005/20, </w:t>
      </w:r>
      <w:r w:rsidRPr="009C15B0">
        <w:rPr>
          <w:i/>
          <w:sz w:val="16"/>
          <w:szCs w:val="16"/>
          <w:lang w:val="es-CR"/>
        </w:rPr>
        <w:t>Directrices sobre la justicia en asuntos concernientes a los niños víctimas y testigos de delitos</w:t>
      </w:r>
      <w:r w:rsidRPr="009C15B0">
        <w:rPr>
          <w:sz w:val="16"/>
          <w:szCs w:val="16"/>
          <w:lang w:val="es-CR"/>
        </w:rPr>
        <w:t xml:space="preserve">, UN Doc. E/2005/INF/2/Add.1, 22 de julio de 2005, directriz 31.c). Véase también, UNICEF y Asociación por los Derechos Civiles (ADC), </w:t>
      </w:r>
      <w:r w:rsidRPr="009C15B0">
        <w:rPr>
          <w:i/>
          <w:sz w:val="16"/>
          <w:szCs w:val="16"/>
          <w:lang w:val="es-CR"/>
        </w:rPr>
        <w:t>Guía de buenas prácticas para el abordaje de niños/as, adolescentes víctimas o testigos de abuso sexual y otros delitos</w:t>
      </w:r>
      <w:r w:rsidRPr="009C15B0">
        <w:rPr>
          <w:sz w:val="16"/>
          <w:szCs w:val="16"/>
          <w:lang w:val="es-CR"/>
        </w:rPr>
        <w:t>, septiembre de 2013, págs. 41 a 42.</w:t>
      </w:r>
    </w:p>
  </w:footnote>
  <w:footnote w:id="230">
    <w:p w14:paraId="3B255A5D" w14:textId="2B34532D" w:rsidR="007F7D87" w:rsidRPr="007F7D87" w:rsidRDefault="007F7D87" w:rsidP="001E6358">
      <w:pPr>
        <w:pStyle w:val="FootnoteText"/>
        <w:tabs>
          <w:tab w:val="left" w:pos="567"/>
        </w:tabs>
        <w:spacing w:after="60"/>
        <w:rPr>
          <w:i/>
          <w:sz w:val="16"/>
          <w:szCs w:val="16"/>
          <w:highlight w:val="green"/>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La Corte ha señalado, en casos de mujeres adultas, que es necesario que la declaración de una víctima de actos de violencia o violación sexual se realice en un ambiente cómodo y seguro, que le brinde privacidad y confianza, y que la declaración se registre de forma tal que se evite o limite la necesidad de su repetición.</w:t>
      </w:r>
      <w:r w:rsidRPr="009C15B0">
        <w:rPr>
          <w:b/>
          <w:sz w:val="16"/>
          <w:szCs w:val="16"/>
          <w:lang w:val="es-CR"/>
        </w:rPr>
        <w:t xml:space="preserve"> </w:t>
      </w:r>
      <w:r w:rsidRPr="009C15B0">
        <w:rPr>
          <w:sz w:val="16"/>
          <w:szCs w:val="16"/>
          <w:lang w:val="es-CR"/>
        </w:rPr>
        <w:t xml:space="preserve">Dicha declaración deberá contener, con el consentimiento de la víctima: i) la fecha, hora y lugar del acto de violencia sexual perpetrado, incluyendo la descripción del lugar donde ocurrió el acto; ii) el nombre, identidad y número de agresores; iii) la naturaleza de los contactos físicos de los que habría sido víctima; iv) si existió uso de armas o retenedores; v) el uso de medicación, drogas, alcohol u otras substancias; vi) la forma en la que la ropa fue removida, de ser el caso; vii) los detalles sobre las actividades sexuales perpetradas o intentadas en contra de la víctima; viii) si existió el uso de preservativos o lubricantes; ix) si existieron otras conductas que podrían alterar la evidencia, y x) detalles sobre los síntomas que ha padecido la víctima desde ese momento. </w:t>
      </w:r>
      <w:r w:rsidRPr="009C15B0">
        <w:rPr>
          <w:i/>
          <w:sz w:val="16"/>
          <w:szCs w:val="16"/>
          <w:lang w:val="es-CR"/>
        </w:rPr>
        <w:t>Cfr. Caso Fernández Ortega y otros Vs. México, supra</w:t>
      </w:r>
      <w:r w:rsidRPr="009C15B0">
        <w:rPr>
          <w:sz w:val="16"/>
          <w:szCs w:val="16"/>
          <w:lang w:val="es-CR"/>
        </w:rPr>
        <w:t xml:space="preserve">, párr. 194, y </w:t>
      </w:r>
      <w:r w:rsidRPr="009C15B0">
        <w:rPr>
          <w:i/>
          <w:sz w:val="16"/>
          <w:szCs w:val="16"/>
          <w:lang w:val="es-CR"/>
        </w:rPr>
        <w:t>Caso Espinoza Gonzáles Vs. Perú, supra</w:t>
      </w:r>
      <w:r w:rsidRPr="009C15B0">
        <w:rPr>
          <w:sz w:val="16"/>
          <w:szCs w:val="16"/>
          <w:lang w:val="es-CR"/>
        </w:rPr>
        <w:t xml:space="preserve">, párr. 249. Véase también, Organización Mundial de la Salud, </w:t>
      </w:r>
      <w:r w:rsidRPr="009C15B0">
        <w:rPr>
          <w:i/>
          <w:sz w:val="16"/>
          <w:szCs w:val="16"/>
          <w:lang w:val="es-CR"/>
        </w:rPr>
        <w:t>Guidelines for medico-legal care for victims of sexual violence</w:t>
      </w:r>
      <w:r w:rsidRPr="009C15B0">
        <w:rPr>
          <w:sz w:val="16"/>
          <w:szCs w:val="16"/>
          <w:lang w:val="es-CR"/>
        </w:rPr>
        <w:t>, 2003</w:t>
      </w:r>
      <w:r w:rsidRPr="009C15B0">
        <w:rPr>
          <w:i/>
          <w:sz w:val="16"/>
          <w:szCs w:val="16"/>
          <w:lang w:val="es-CR"/>
        </w:rPr>
        <w:t>,</w:t>
      </w:r>
      <w:r w:rsidRPr="009C15B0">
        <w:rPr>
          <w:sz w:val="16"/>
          <w:szCs w:val="16"/>
          <w:lang w:val="es-CR"/>
        </w:rPr>
        <w:t xml:space="preserve"> </w:t>
      </w:r>
      <w:r w:rsidRPr="009C15B0">
        <w:rPr>
          <w:rStyle w:val="shorttext"/>
          <w:sz w:val="16"/>
          <w:szCs w:val="16"/>
          <w:lang w:val="es-CR"/>
        </w:rPr>
        <w:t xml:space="preserve">págs. 36 y 37. La Corte estima que, si bien estos estándares pueden ser aplicables a casos de violencia contra las niñas, niños y adolescentes, existen otros criterios reforzados a tener en cuenta al entrevistarlos como, por ejemplo, el deber de no revictimización. </w:t>
      </w:r>
      <w:r w:rsidRPr="007F7D87">
        <w:rPr>
          <w:rStyle w:val="shorttext"/>
          <w:sz w:val="16"/>
          <w:szCs w:val="16"/>
          <w:lang w:val="es-CR"/>
        </w:rPr>
        <w:t xml:space="preserve">Véase a este respecto, </w:t>
      </w:r>
      <w:r w:rsidRPr="007F7D87">
        <w:rPr>
          <w:sz w:val="16"/>
          <w:szCs w:val="16"/>
          <w:lang w:val="es-CR"/>
        </w:rPr>
        <w:t>Organización Mundial de la Salud,</w:t>
      </w:r>
      <w:r w:rsidRPr="007F7D87">
        <w:rPr>
          <w:i/>
          <w:sz w:val="16"/>
          <w:szCs w:val="16"/>
          <w:lang w:val="es-CR"/>
        </w:rPr>
        <w:t xml:space="preserve"> Responding to children and adolescents who have been sexually abused. WHO Clinical Guidelines</w:t>
      </w:r>
      <w:r w:rsidRPr="007F7D87">
        <w:rPr>
          <w:sz w:val="16"/>
          <w:szCs w:val="16"/>
          <w:lang w:val="es-CR"/>
        </w:rPr>
        <w:t>, 2017, pág. 20.</w:t>
      </w:r>
    </w:p>
  </w:footnote>
  <w:footnote w:id="231">
    <w:p w14:paraId="23087662" w14:textId="094C4310"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C946D6">
        <w:rPr>
          <w:sz w:val="16"/>
          <w:szCs w:val="16"/>
          <w:lang w:val="pt-BR"/>
        </w:rPr>
        <w:t xml:space="preserve"> </w:t>
      </w:r>
      <w:r w:rsidRPr="00C946D6">
        <w:rPr>
          <w:sz w:val="16"/>
          <w:szCs w:val="16"/>
          <w:lang w:val="pt-BR"/>
        </w:rPr>
        <w:tab/>
      </w:r>
      <w:r w:rsidRPr="00C946D6">
        <w:rPr>
          <w:i/>
          <w:sz w:val="16"/>
          <w:szCs w:val="16"/>
          <w:lang w:val="pt-BR"/>
        </w:rPr>
        <w:t>Cfr</w:t>
      </w:r>
      <w:r w:rsidRPr="00C946D6">
        <w:rPr>
          <w:sz w:val="16"/>
          <w:szCs w:val="16"/>
          <w:lang w:val="pt-BR"/>
        </w:rPr>
        <w:t xml:space="preserve">. </w:t>
      </w:r>
      <w:r w:rsidRPr="00C946D6">
        <w:rPr>
          <w:i/>
          <w:sz w:val="16"/>
          <w:szCs w:val="16"/>
          <w:lang w:val="pt-BR"/>
        </w:rPr>
        <w:t xml:space="preserve">Caso Rosendo Cantú Vs. </w:t>
      </w:r>
      <w:r w:rsidRPr="009C15B0">
        <w:rPr>
          <w:i/>
          <w:sz w:val="16"/>
          <w:szCs w:val="16"/>
          <w:lang w:val="es-CR"/>
        </w:rPr>
        <w:t>México, supra,</w:t>
      </w:r>
      <w:r w:rsidRPr="009C15B0">
        <w:rPr>
          <w:sz w:val="16"/>
          <w:szCs w:val="16"/>
          <w:lang w:val="es-CR"/>
        </w:rPr>
        <w:t xml:space="preserve"> párr. 201; Comité de los Derechos del Niño, </w:t>
      </w:r>
      <w:r w:rsidRPr="009C15B0">
        <w:rPr>
          <w:i/>
          <w:sz w:val="16"/>
          <w:szCs w:val="16"/>
          <w:lang w:val="es-CR"/>
        </w:rPr>
        <w:t>Observación General Nº 12: El derecho del niño a ser escuchado,</w:t>
      </w:r>
      <w:r w:rsidRPr="009C15B0">
        <w:rPr>
          <w:sz w:val="16"/>
          <w:szCs w:val="16"/>
          <w:lang w:val="es-CR"/>
        </w:rPr>
        <w:t xml:space="preserve"> </w:t>
      </w:r>
      <w:r w:rsidRPr="009C15B0">
        <w:rPr>
          <w:i/>
          <w:sz w:val="16"/>
          <w:szCs w:val="16"/>
          <w:lang w:val="es-CR"/>
        </w:rPr>
        <w:t>supra</w:t>
      </w:r>
      <w:r w:rsidRPr="009C15B0">
        <w:rPr>
          <w:sz w:val="16"/>
          <w:szCs w:val="16"/>
          <w:lang w:val="es-CR"/>
        </w:rPr>
        <w:t xml:space="preserve">, párr. 24; Consejo Económico y Social, Resolución 2005/20, </w:t>
      </w:r>
      <w:r w:rsidRPr="009C15B0">
        <w:rPr>
          <w:i/>
          <w:sz w:val="16"/>
          <w:szCs w:val="16"/>
          <w:lang w:val="es-CR"/>
        </w:rPr>
        <w:t>Directrices sobre la justicia en asuntos concernientes a los niños víctimas y testigos de delitos</w:t>
      </w:r>
      <w:r w:rsidRPr="009C15B0">
        <w:rPr>
          <w:sz w:val="16"/>
          <w:szCs w:val="16"/>
          <w:lang w:val="es-CR"/>
        </w:rPr>
        <w:t>, UN Doc. E/2005/INF/2/Add.1, 22 de julio de 2005, directrices 23 y 31.a), y Organización Mundial de la Salud,</w:t>
      </w:r>
      <w:r w:rsidRPr="009C15B0">
        <w:rPr>
          <w:i/>
          <w:sz w:val="16"/>
          <w:szCs w:val="16"/>
          <w:lang w:val="es-CR"/>
        </w:rPr>
        <w:t xml:space="preserve"> Responding to children and adolescents who have been sexually abused. WHO Clinical Guidelines</w:t>
      </w:r>
      <w:r w:rsidRPr="009C15B0">
        <w:rPr>
          <w:sz w:val="16"/>
          <w:szCs w:val="16"/>
          <w:lang w:val="es-CR"/>
        </w:rPr>
        <w:t>, 2017, pág. 20.</w:t>
      </w:r>
    </w:p>
  </w:footnote>
  <w:footnote w:id="232">
    <w:p w14:paraId="30349C3F" w14:textId="54772FE8"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 Directrices sobre la justicia en asuntos concernientes a los niños víctimas y testigos de delitos</w:t>
      </w:r>
      <w:r w:rsidRPr="009C15B0">
        <w:rPr>
          <w:sz w:val="16"/>
          <w:szCs w:val="16"/>
          <w:lang w:val="es-CR"/>
        </w:rPr>
        <w:t>, UN Doc. E/2005/INF/2/Add.1, 22 de julio de 2005, directriz 30.d).</w:t>
      </w:r>
    </w:p>
  </w:footnote>
  <w:footnote w:id="233">
    <w:p w14:paraId="6E07A194" w14:textId="7EA1AB79" w:rsidR="007F7D87" w:rsidRPr="009C15B0" w:rsidRDefault="007F7D87" w:rsidP="001E6358">
      <w:pPr>
        <w:pStyle w:val="FootnoteText"/>
        <w:tabs>
          <w:tab w:val="left" w:pos="567"/>
        </w:tabs>
        <w:spacing w:after="60"/>
        <w:rPr>
          <w:sz w:val="16"/>
          <w:szCs w:val="16"/>
          <w:lang w:val="es-CR"/>
        </w:rPr>
      </w:pPr>
      <w:r w:rsidRPr="009C15B0">
        <w:rPr>
          <w:rStyle w:val="FootnoteReference"/>
          <w:rFonts w:eastAsia="Calibri"/>
          <w:sz w:val="16"/>
          <w:szCs w:val="16"/>
          <w:lang w:val="es-CR"/>
        </w:rPr>
        <w:footnoteRef/>
      </w:r>
      <w:r w:rsidRPr="009C15B0">
        <w:rPr>
          <w:sz w:val="16"/>
          <w:szCs w:val="16"/>
          <w:lang w:val="es-CR"/>
        </w:rPr>
        <w:t xml:space="preserve"> </w:t>
      </w:r>
      <w:r w:rsidRPr="009C15B0">
        <w:rPr>
          <w:sz w:val="16"/>
          <w:szCs w:val="16"/>
          <w:lang w:val="es-CR"/>
        </w:rPr>
        <w:tab/>
        <w:t>En Argentina, la utilización de la Cámara de Gesell se incorporó al Código Procesal Penal con los artículos 250 bis y 250 ter mediante Ley 25.852, sancionada el 4 de diciembre de 2003, promulgada el 6 de enero de 2004. Véase también, UNICEF y Asociación por los Derechos Civiles (ADC),</w:t>
      </w:r>
      <w:r w:rsidRPr="009C15B0">
        <w:rPr>
          <w:i/>
          <w:iCs/>
          <w:sz w:val="16"/>
          <w:szCs w:val="16"/>
          <w:lang w:val="es-CR"/>
        </w:rPr>
        <w:t xml:space="preserve"> Guía de buenas prácticas para el abordaje de niños/as adolescentes víctimas o testigos de abuso sexual y otros delitos</w:t>
      </w:r>
      <w:r w:rsidRPr="009C15B0">
        <w:rPr>
          <w:sz w:val="16"/>
          <w:szCs w:val="16"/>
          <w:lang w:val="es-CR"/>
        </w:rPr>
        <w:t>, septiembre de 2013.</w:t>
      </w:r>
    </w:p>
  </w:footnote>
  <w:footnote w:id="234">
    <w:p w14:paraId="35CE9517" w14:textId="17422A0D" w:rsidR="007F7D87" w:rsidRPr="009C15B0" w:rsidRDefault="007F7D87" w:rsidP="001E6358">
      <w:pPr>
        <w:pStyle w:val="FootnoteText"/>
        <w:tabs>
          <w:tab w:val="left" w:pos="567"/>
        </w:tabs>
        <w:spacing w:after="60"/>
        <w:rPr>
          <w:sz w:val="16"/>
          <w:szCs w:val="16"/>
          <w:lang w:val="es-CR"/>
        </w:rPr>
      </w:pPr>
      <w:r w:rsidRPr="009C15B0">
        <w:rPr>
          <w:rStyle w:val="FootnoteReference"/>
          <w:rFonts w:eastAsia="Calibri"/>
          <w:sz w:val="16"/>
          <w:szCs w:val="16"/>
          <w:lang w:val="es-CR"/>
        </w:rPr>
        <w:footnoteRef/>
      </w:r>
      <w:r w:rsidRPr="009C15B0">
        <w:rPr>
          <w:sz w:val="16"/>
          <w:szCs w:val="16"/>
          <w:lang w:val="es-CR"/>
        </w:rPr>
        <w:t xml:space="preserve"> </w:t>
      </w:r>
      <w:r w:rsidRPr="009C15B0">
        <w:rPr>
          <w:sz w:val="16"/>
          <w:szCs w:val="16"/>
          <w:lang w:val="es-CR"/>
        </w:rPr>
        <w:tab/>
        <w:t>En Bolivia, se reguló el uso de la Cámara de Gesell a través de la Ley integral contra la trata y tráfico de personas, Ley N° 263, de 31 de julio de 2012, específicamente a través de los artículos 29.2) y 30.7).</w:t>
      </w:r>
    </w:p>
  </w:footnote>
  <w:footnote w:id="235">
    <w:p w14:paraId="480BF964" w14:textId="10191041" w:rsidR="007F7D87" w:rsidRPr="009C15B0" w:rsidRDefault="007F7D87" w:rsidP="001E6358">
      <w:pPr>
        <w:tabs>
          <w:tab w:val="left" w:pos="567"/>
        </w:tabs>
        <w:spacing w:after="60" w:line="240" w:lineRule="auto"/>
        <w:rPr>
          <w:sz w:val="16"/>
          <w:szCs w:val="16"/>
        </w:rPr>
      </w:pPr>
      <w:r w:rsidRPr="009C15B0">
        <w:rPr>
          <w:rStyle w:val="FootnoteReference"/>
          <w:rFonts w:eastAsia="Calibri"/>
          <w:sz w:val="16"/>
          <w:szCs w:val="16"/>
        </w:rPr>
        <w:footnoteRef/>
      </w:r>
      <w:r w:rsidRPr="009C15B0">
        <w:rPr>
          <w:sz w:val="16"/>
          <w:szCs w:val="16"/>
        </w:rPr>
        <w:t xml:space="preserve"> </w:t>
      </w:r>
      <w:r w:rsidRPr="009C15B0">
        <w:rPr>
          <w:sz w:val="16"/>
          <w:szCs w:val="16"/>
        </w:rPr>
        <w:tab/>
        <w:t>En Brasil, se utiliza el circuito cerrado de televisión (CCTV). En 2003, en la Vara da Infância e Juventude de Porto Alegre, Rio Grande do Sul, se inició la experiencia del "</w:t>
      </w:r>
      <w:r w:rsidRPr="009C15B0">
        <w:rPr>
          <w:i/>
          <w:iCs/>
          <w:sz w:val="16"/>
          <w:szCs w:val="16"/>
        </w:rPr>
        <w:t>Depoimento Sem Dano</w:t>
      </w:r>
      <w:r w:rsidRPr="009C15B0">
        <w:rPr>
          <w:sz w:val="16"/>
          <w:szCs w:val="16"/>
        </w:rPr>
        <w:t>". El 23 de noviembre de 2010 el Conselho Nacional de Justiça emitió la Recomendação Nº 33, en la cual se recomienda la utilización del “</w:t>
      </w:r>
      <w:r w:rsidRPr="009C15B0">
        <w:rPr>
          <w:rFonts w:cs="Helvetica"/>
          <w:sz w:val="16"/>
          <w:szCs w:val="16"/>
          <w:shd w:val="clear" w:color="auto" w:fill="FFFFFF"/>
        </w:rPr>
        <w:t>Depoimento Especial” en los procesos judiciales para niñas, niños y adolescentes víctimas o testigos de violencia.</w:t>
      </w:r>
      <w:r w:rsidRPr="009C15B0">
        <w:rPr>
          <w:sz w:val="16"/>
          <w:szCs w:val="16"/>
        </w:rPr>
        <w:t xml:space="preserve"> El 4 de abril de 2017 Brasil sancionó la Ley N° 13.431 que regula la escucha especializada en el “</w:t>
      </w:r>
      <w:r w:rsidRPr="009C15B0">
        <w:rPr>
          <w:i/>
          <w:iCs/>
          <w:sz w:val="16"/>
          <w:szCs w:val="16"/>
        </w:rPr>
        <w:t>Depoimento especial</w:t>
      </w:r>
      <w:r w:rsidRPr="009C15B0">
        <w:rPr>
          <w:sz w:val="16"/>
          <w:szCs w:val="16"/>
        </w:rPr>
        <w:t>”.</w:t>
      </w:r>
    </w:p>
  </w:footnote>
  <w:footnote w:id="236">
    <w:p w14:paraId="0E6B4121" w14:textId="24A91545" w:rsidR="007F7D87" w:rsidRPr="009C15B0" w:rsidRDefault="007F7D87" w:rsidP="001E6358">
      <w:pPr>
        <w:tabs>
          <w:tab w:val="left" w:pos="567"/>
        </w:tabs>
        <w:spacing w:after="60" w:line="240" w:lineRule="auto"/>
        <w:rPr>
          <w:sz w:val="16"/>
          <w:szCs w:val="16"/>
        </w:rPr>
      </w:pPr>
      <w:r w:rsidRPr="009C15B0">
        <w:rPr>
          <w:rStyle w:val="FootnoteReference"/>
          <w:rFonts w:eastAsia="Calibri"/>
          <w:sz w:val="16"/>
          <w:szCs w:val="16"/>
        </w:rPr>
        <w:footnoteRef/>
      </w:r>
      <w:r w:rsidRPr="009C15B0">
        <w:rPr>
          <w:sz w:val="16"/>
          <w:szCs w:val="16"/>
        </w:rPr>
        <w:t xml:space="preserve"> </w:t>
      </w:r>
      <w:r w:rsidRPr="009C15B0">
        <w:rPr>
          <w:sz w:val="16"/>
          <w:szCs w:val="16"/>
        </w:rPr>
        <w:tab/>
        <w:t>En Chile, se implementó en el año 2012 como proyecto piloto la primera Cámara de Gesell. El 9 de enero de 2018 se promulgó la Ley N° 21.057 que estableció las entrevistas grabadas en video y otras medidas de resguardo para personas menores de edad víctimas de delitos sexuales.</w:t>
      </w:r>
    </w:p>
  </w:footnote>
  <w:footnote w:id="237">
    <w:p w14:paraId="43AE539F" w14:textId="0BE656F7" w:rsidR="007F7D87" w:rsidRPr="009C15B0" w:rsidRDefault="007F7D87" w:rsidP="001E6358">
      <w:pPr>
        <w:pStyle w:val="FootnoteText"/>
        <w:tabs>
          <w:tab w:val="left" w:pos="567"/>
        </w:tabs>
        <w:spacing w:after="60"/>
        <w:rPr>
          <w:sz w:val="16"/>
          <w:szCs w:val="16"/>
          <w:lang w:val="es-CR"/>
        </w:rPr>
      </w:pPr>
      <w:r w:rsidRPr="009C15B0">
        <w:rPr>
          <w:rStyle w:val="FootnoteReference"/>
          <w:rFonts w:eastAsia="Calibri"/>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xml:space="preserve"> En Colombia, la Cámara de Gesell y la videograbación fue implementada el 12 de julio de 2013, mediante Ley N° 1652.</w:t>
      </w:r>
    </w:p>
  </w:footnote>
  <w:footnote w:id="238">
    <w:p w14:paraId="2F7E5045" w14:textId="0A9112E2" w:rsidR="007F7D87" w:rsidRPr="009C15B0" w:rsidRDefault="007F7D87" w:rsidP="001E6358">
      <w:pPr>
        <w:pStyle w:val="FootnoteText"/>
        <w:tabs>
          <w:tab w:val="left" w:pos="567"/>
        </w:tabs>
        <w:spacing w:after="60"/>
        <w:rPr>
          <w:sz w:val="16"/>
          <w:szCs w:val="16"/>
          <w:u w:val="single"/>
          <w:lang w:val="es-CR" w:eastAsia="es-CR"/>
        </w:rPr>
      </w:pPr>
      <w:r w:rsidRPr="009C15B0">
        <w:rPr>
          <w:rStyle w:val="FootnoteReference"/>
          <w:rFonts w:eastAsia="Calibri"/>
          <w:sz w:val="16"/>
          <w:szCs w:val="16"/>
          <w:lang w:val="es-CR"/>
        </w:rPr>
        <w:footnoteRef/>
      </w:r>
      <w:r w:rsidRPr="009C15B0">
        <w:rPr>
          <w:sz w:val="16"/>
          <w:szCs w:val="16"/>
          <w:lang w:val="es-CR"/>
        </w:rPr>
        <w:t xml:space="preserve"> </w:t>
      </w:r>
      <w:r w:rsidRPr="009C15B0">
        <w:rPr>
          <w:sz w:val="16"/>
          <w:szCs w:val="16"/>
          <w:lang w:val="es-CR"/>
        </w:rPr>
        <w:tab/>
        <w:t>En Costa Rica, la Cámara de Gesell fue implementada desde el año 2005. Asimismo, mediante la Circular N° 24 – 2012 de 14 de febrero de 2012, la Corte Suprema de Justicia aprobó el Manual de Uso de las Cámaras de Gesell. Además, posee un Protocolo para utilizar en sala de entrevistas.</w:t>
      </w:r>
    </w:p>
  </w:footnote>
  <w:footnote w:id="239">
    <w:p w14:paraId="1BDA3E5C" w14:textId="2C1F1A5A" w:rsidR="007F7D87" w:rsidRPr="009C15B0" w:rsidRDefault="007F7D87" w:rsidP="001E6358">
      <w:pPr>
        <w:pStyle w:val="FootnoteText"/>
        <w:tabs>
          <w:tab w:val="left" w:pos="567"/>
        </w:tabs>
        <w:spacing w:after="60"/>
        <w:rPr>
          <w:sz w:val="16"/>
          <w:szCs w:val="16"/>
          <w:lang w:val="es-CR"/>
        </w:rPr>
      </w:pPr>
      <w:r w:rsidRPr="009C15B0">
        <w:rPr>
          <w:rStyle w:val="FootnoteReference"/>
          <w:rFonts w:eastAsia="Calibri"/>
          <w:sz w:val="16"/>
          <w:szCs w:val="16"/>
          <w:lang w:val="es-CR"/>
        </w:rPr>
        <w:footnoteRef/>
      </w:r>
      <w:r w:rsidRPr="009C15B0">
        <w:rPr>
          <w:sz w:val="16"/>
          <w:szCs w:val="16"/>
          <w:lang w:val="es-CR"/>
        </w:rPr>
        <w:t xml:space="preserve"> </w:t>
      </w:r>
      <w:r w:rsidRPr="009C15B0">
        <w:rPr>
          <w:sz w:val="16"/>
          <w:szCs w:val="16"/>
          <w:lang w:val="es-CR"/>
        </w:rPr>
        <w:tab/>
        <w:t>En Ecuador, en el año 2014, el Consejo de la Judicatura mediante Resolución 117-2014 estableció el “Protocolo para el uso de la Cámara de Gesell”.</w:t>
      </w:r>
    </w:p>
  </w:footnote>
  <w:footnote w:id="240">
    <w:p w14:paraId="1E971A5A" w14:textId="5D4A9EFC" w:rsidR="007F7D87" w:rsidRPr="009C15B0" w:rsidRDefault="007F7D87" w:rsidP="001E6358">
      <w:pPr>
        <w:pStyle w:val="FootnoteText"/>
        <w:tabs>
          <w:tab w:val="left" w:pos="567"/>
        </w:tabs>
        <w:spacing w:after="60"/>
        <w:rPr>
          <w:sz w:val="16"/>
          <w:szCs w:val="16"/>
          <w:lang w:val="es-CR"/>
        </w:rPr>
      </w:pPr>
      <w:r w:rsidRPr="009C15B0">
        <w:rPr>
          <w:rStyle w:val="FootnoteReference"/>
          <w:rFonts w:eastAsia="Calibri"/>
          <w:sz w:val="16"/>
          <w:szCs w:val="16"/>
          <w:lang w:val="es-CR"/>
        </w:rPr>
        <w:footnoteRef/>
      </w:r>
      <w:r w:rsidRPr="009C15B0">
        <w:rPr>
          <w:sz w:val="16"/>
          <w:szCs w:val="16"/>
          <w:lang w:val="es-CR"/>
        </w:rPr>
        <w:t xml:space="preserve"> </w:t>
      </w:r>
      <w:r w:rsidRPr="009C15B0">
        <w:rPr>
          <w:sz w:val="16"/>
          <w:szCs w:val="16"/>
          <w:lang w:val="es-CR"/>
        </w:rPr>
        <w:tab/>
        <w:t>En 2009, El Salvador inauguró su primera Cámara de Gesell.</w:t>
      </w:r>
    </w:p>
  </w:footnote>
  <w:footnote w:id="241">
    <w:p w14:paraId="25DABAC0" w14:textId="37BB2221" w:rsidR="007F7D87" w:rsidRPr="009C15B0" w:rsidRDefault="007F7D87" w:rsidP="001E6358">
      <w:pPr>
        <w:pStyle w:val="FootnoteText"/>
        <w:tabs>
          <w:tab w:val="left" w:pos="567"/>
        </w:tabs>
        <w:spacing w:after="60"/>
        <w:rPr>
          <w:sz w:val="16"/>
          <w:szCs w:val="16"/>
          <w:lang w:val="es-CR"/>
        </w:rPr>
      </w:pPr>
      <w:r w:rsidRPr="009C15B0">
        <w:rPr>
          <w:rStyle w:val="FootnoteReference"/>
          <w:rFonts w:eastAsia="Calibri"/>
          <w:sz w:val="16"/>
          <w:szCs w:val="16"/>
          <w:lang w:val="es-CR"/>
        </w:rPr>
        <w:footnoteRef/>
      </w:r>
      <w:r w:rsidRPr="009C15B0">
        <w:rPr>
          <w:sz w:val="16"/>
          <w:szCs w:val="16"/>
          <w:lang w:val="es-CR"/>
        </w:rPr>
        <w:t xml:space="preserve"> </w:t>
      </w:r>
      <w:r w:rsidRPr="009C15B0">
        <w:rPr>
          <w:sz w:val="16"/>
          <w:szCs w:val="16"/>
          <w:lang w:val="es-CR"/>
        </w:rPr>
        <w:tab/>
        <w:t>Desde 2013, la Corte Suprema de Justicia de Guatemala, mediante Acuerdo Número 16-2013, dictó el Instructivo para el uso y funcionamiento de la Cámara de Gesell, Circuito cerrado y otras herramientas para recibir las declaraciones de niños, niñas y adolescentes víctimas y/o testigos.</w:t>
      </w:r>
    </w:p>
  </w:footnote>
  <w:footnote w:id="242">
    <w:p w14:paraId="533B193D" w14:textId="2F721027" w:rsidR="007F7D87" w:rsidRPr="009C15B0" w:rsidRDefault="007F7D87" w:rsidP="001E6358">
      <w:pPr>
        <w:pStyle w:val="FootnoteText"/>
        <w:tabs>
          <w:tab w:val="left" w:pos="567"/>
        </w:tabs>
        <w:spacing w:after="60"/>
        <w:rPr>
          <w:sz w:val="16"/>
          <w:szCs w:val="16"/>
          <w:lang w:val="es-CR"/>
        </w:rPr>
      </w:pPr>
      <w:r w:rsidRPr="009C15B0">
        <w:rPr>
          <w:rStyle w:val="FootnoteReference"/>
          <w:rFonts w:eastAsia="Calibri"/>
          <w:sz w:val="16"/>
          <w:szCs w:val="16"/>
          <w:lang w:val="es-CR"/>
        </w:rPr>
        <w:footnoteRef/>
      </w:r>
      <w:r w:rsidRPr="009C15B0">
        <w:rPr>
          <w:sz w:val="16"/>
          <w:szCs w:val="16"/>
          <w:lang w:val="es-CR"/>
        </w:rPr>
        <w:t xml:space="preserve"> </w:t>
      </w:r>
      <w:r w:rsidRPr="009C15B0">
        <w:rPr>
          <w:sz w:val="16"/>
          <w:szCs w:val="16"/>
          <w:lang w:val="es-CR"/>
        </w:rPr>
        <w:tab/>
        <w:t>En 2015, mediante Decreto N° 22-2015, Honduras reformó su Código Procesal Penal, el cual en su artículo 237.b) dispuso que: “[l]a participación de las personas en el proceso en condición de vulnerabilidad será llevada a cabo en espacio o sala con espejo unidireccional o especialmente acondicionada o en la Cámara de Gesell u otros medios análogos, con la facilitación de un profesional de la psicología y, en aquellos lugares donde no se encuentren, por un profesional instruido en la materia y un traductor en aquellos casos que resulte necesario. Estas diligencias serán grabadas, realizadas o registradas a través de circuito cerrado de televisión, Cámara de Gesell u otros medios análogos y grabados o registrados por cualquier medio audiovisual o técnico. La práctica de esta diligencia se realizará con las formalidades de la prueba anticipada”.</w:t>
      </w:r>
    </w:p>
  </w:footnote>
  <w:footnote w:id="243">
    <w:p w14:paraId="158F04A8" w14:textId="454680D7" w:rsidR="007F7D87" w:rsidRPr="009C15B0" w:rsidRDefault="007F7D87" w:rsidP="001E6358">
      <w:pPr>
        <w:pStyle w:val="FootnoteText"/>
        <w:tabs>
          <w:tab w:val="left" w:pos="567"/>
        </w:tabs>
        <w:spacing w:after="60"/>
        <w:rPr>
          <w:sz w:val="16"/>
          <w:szCs w:val="16"/>
          <w:lang w:val="es-CR"/>
        </w:rPr>
      </w:pPr>
      <w:r w:rsidRPr="009C15B0">
        <w:rPr>
          <w:rStyle w:val="FootnoteReference"/>
          <w:rFonts w:eastAsia="Calibri"/>
          <w:sz w:val="16"/>
          <w:szCs w:val="16"/>
          <w:lang w:val="es-CR"/>
        </w:rPr>
        <w:footnoteRef/>
      </w:r>
      <w:r w:rsidRPr="009C15B0">
        <w:rPr>
          <w:sz w:val="16"/>
          <w:szCs w:val="16"/>
          <w:lang w:val="es-CR"/>
        </w:rPr>
        <w:t xml:space="preserve"> </w:t>
      </w:r>
      <w:r w:rsidRPr="009C15B0">
        <w:rPr>
          <w:sz w:val="16"/>
          <w:szCs w:val="16"/>
          <w:lang w:val="es-CR"/>
        </w:rPr>
        <w:tab/>
        <w:t>En México, según información del Consejo de la Judicatura Federal, algunos centros de justicia del país cuentan con salas especializadas con Cámara de Gesell. Por otra parte, la legislación mexicana relacionada con delitos de trata menciona la comparecencia de las víctimas a través de la Cámara de Gesell, en el artículo 74 de la Ley General para Prevenir, Sancionar y Erradicar los Delitos en Materia de Trata de Personas y para la Protección y Asistencia a las Víctimas de estos Delitos de 14 de junio de 2012.</w:t>
      </w:r>
    </w:p>
  </w:footnote>
  <w:footnote w:id="244">
    <w:p w14:paraId="1D440990" w14:textId="4420EEE1" w:rsidR="007F7D87" w:rsidRPr="009C15B0" w:rsidRDefault="007F7D87" w:rsidP="001E6358">
      <w:pPr>
        <w:tabs>
          <w:tab w:val="left" w:pos="567"/>
        </w:tabs>
        <w:spacing w:after="60" w:line="240" w:lineRule="auto"/>
        <w:rPr>
          <w:sz w:val="16"/>
          <w:szCs w:val="16"/>
        </w:rPr>
      </w:pPr>
      <w:r w:rsidRPr="009C15B0">
        <w:rPr>
          <w:rStyle w:val="FootnoteReference"/>
          <w:rFonts w:eastAsia="Calibri"/>
          <w:sz w:val="16"/>
          <w:szCs w:val="16"/>
        </w:rPr>
        <w:footnoteRef/>
      </w:r>
      <w:r w:rsidRPr="009C15B0">
        <w:rPr>
          <w:sz w:val="16"/>
          <w:szCs w:val="16"/>
        </w:rPr>
        <w:t xml:space="preserve"> </w:t>
      </w:r>
      <w:r w:rsidRPr="009C15B0">
        <w:rPr>
          <w:sz w:val="16"/>
          <w:szCs w:val="16"/>
        </w:rPr>
        <w:tab/>
        <w:t>En Nicaragua, se creó la primera Cámara de Gesell en el año 2012 en la Región Autónoma del Atlántico Norte.</w:t>
      </w:r>
    </w:p>
  </w:footnote>
  <w:footnote w:id="245">
    <w:p w14:paraId="562F88F7" w14:textId="147A2AD6" w:rsidR="007F7D87" w:rsidRPr="009C15B0" w:rsidRDefault="007F7D87" w:rsidP="001E6358">
      <w:pPr>
        <w:pStyle w:val="FootnoteText"/>
        <w:tabs>
          <w:tab w:val="left" w:pos="567"/>
        </w:tabs>
        <w:spacing w:after="60"/>
        <w:rPr>
          <w:sz w:val="16"/>
          <w:szCs w:val="16"/>
          <w:lang w:val="es-CR"/>
        </w:rPr>
      </w:pPr>
      <w:r w:rsidRPr="009C15B0">
        <w:rPr>
          <w:rStyle w:val="FootnoteReference"/>
          <w:rFonts w:eastAsia="Calibri"/>
          <w:sz w:val="16"/>
          <w:szCs w:val="16"/>
          <w:lang w:val="es-CR"/>
        </w:rPr>
        <w:footnoteRef/>
      </w:r>
      <w:r w:rsidRPr="009C15B0">
        <w:rPr>
          <w:sz w:val="16"/>
          <w:szCs w:val="16"/>
          <w:lang w:val="es-CR"/>
        </w:rPr>
        <w:t xml:space="preserve"> </w:t>
      </w:r>
      <w:r w:rsidRPr="009C15B0">
        <w:rPr>
          <w:sz w:val="16"/>
          <w:szCs w:val="16"/>
          <w:lang w:val="es-CR"/>
        </w:rPr>
        <w:tab/>
        <w:t>En Paraguay, el Centro de Atención a Víctimas que cumple, de acuerdo a la ley orgánica del Ministerio Público N° 1562/00, “todas las funciones de asistencia a las personas ofendidas por los hechos punibles, a los efectos de encarar el correspondiente proceso criminal”, cuenta con cuatro Cámaras de Gesell. Asimismo, según la Oficina técnico forense de la Corte Suprema de Justicia de Paraguay, “[l]a Cámara Gesell tiene por finalidad evitar la re-victimización de las personas en estado de vulnerabilidad, dando así cumplimiento a lo preceptuado en el marco de la Acordada N° 633 [2010] que ratifica las Cien Reglas de Brasilia, para producir eficazmente los anticipos jurisdiccionales de pruebas y/o toma de declaración en juicios orales, evitando así las reiteradas declaraciones de dichas personas con las consecuencias que se mencionan antecedentemente”.</w:t>
      </w:r>
    </w:p>
  </w:footnote>
  <w:footnote w:id="246">
    <w:p w14:paraId="20CA210E" w14:textId="1EF746B4" w:rsidR="007F7D87" w:rsidRPr="009C15B0" w:rsidRDefault="007F7D87" w:rsidP="001E6358">
      <w:pPr>
        <w:pStyle w:val="FootnoteText"/>
        <w:tabs>
          <w:tab w:val="left" w:pos="567"/>
        </w:tabs>
        <w:spacing w:after="60"/>
        <w:rPr>
          <w:sz w:val="16"/>
          <w:szCs w:val="16"/>
          <w:lang w:val="es-CR"/>
        </w:rPr>
      </w:pPr>
      <w:r w:rsidRPr="009C15B0">
        <w:rPr>
          <w:rStyle w:val="FootnoteReference"/>
          <w:rFonts w:eastAsia="Calibri"/>
          <w:sz w:val="16"/>
          <w:szCs w:val="16"/>
          <w:lang w:val="es-CR"/>
        </w:rPr>
        <w:footnoteRef/>
      </w:r>
      <w:r w:rsidRPr="009C15B0">
        <w:rPr>
          <w:sz w:val="16"/>
          <w:szCs w:val="16"/>
          <w:lang w:val="es-CR"/>
        </w:rPr>
        <w:t xml:space="preserve"> </w:t>
      </w:r>
      <w:r w:rsidRPr="009C15B0">
        <w:rPr>
          <w:sz w:val="16"/>
          <w:szCs w:val="16"/>
          <w:lang w:val="es-CR"/>
        </w:rPr>
        <w:tab/>
        <w:t>En Perú, el Ministerio Público elaboró en el año 2016 una Guía del procedimiento de entrevista única a víctimas en el marco de la Ley N° 30364 para prevenir, sancionar y erradicar la violencia contra las mujeres y los integrantes del grupo familiar; y, a niños y adolescentes varones víctimas de violencia. Dicha ley, sancionada el 23 de noviembre de 2015, en su artículo 242, dispone que las declaraciones de las niñas, niños y adolescentes serán realizadas con la intervención de psicólogos especializados en Cámaras de Gesell o salas de entrevistas implementadas por el Ministerio Público y que las mismas serán filmadas y grabadas a fin de evitar la revictimización de los agraviados.</w:t>
      </w:r>
    </w:p>
  </w:footnote>
  <w:footnote w:id="247">
    <w:p w14:paraId="0562D135" w14:textId="104ED605" w:rsidR="007F7D87" w:rsidRPr="009C15B0" w:rsidRDefault="007F7D87" w:rsidP="001E6358">
      <w:pPr>
        <w:pStyle w:val="FootnoteText"/>
        <w:tabs>
          <w:tab w:val="left" w:pos="567"/>
        </w:tabs>
        <w:spacing w:after="60"/>
        <w:rPr>
          <w:sz w:val="16"/>
          <w:szCs w:val="16"/>
          <w:lang w:val="es-CR"/>
        </w:rPr>
      </w:pPr>
      <w:r w:rsidRPr="009C15B0">
        <w:rPr>
          <w:rStyle w:val="FootnoteReference"/>
          <w:rFonts w:eastAsia="Calibri"/>
          <w:sz w:val="16"/>
          <w:szCs w:val="16"/>
          <w:lang w:val="es-CR"/>
        </w:rPr>
        <w:footnoteRef/>
      </w:r>
      <w:r w:rsidRPr="009C15B0">
        <w:rPr>
          <w:sz w:val="16"/>
          <w:szCs w:val="16"/>
          <w:lang w:val="es-CR"/>
        </w:rPr>
        <w:t xml:space="preserve"> </w:t>
      </w:r>
      <w:r w:rsidRPr="009C15B0">
        <w:rPr>
          <w:sz w:val="16"/>
          <w:szCs w:val="16"/>
          <w:lang w:val="es-CR"/>
        </w:rPr>
        <w:tab/>
        <w:t>Desde el 20 de diciembre de 2007, la Suprema Corte de Justicia de la República Dominicana mediante Resolución N° 3687-2007, cuyo objeto es la adopción de reglas mínimas de procedimiento para obtener las declaraciones de la persona menor de edad víctima, testigo o coimputada en un proceso penal ordinario, dispuso la implementación de la Cámara de Gesell y Circuito Cerrado de Televisión.</w:t>
      </w:r>
    </w:p>
  </w:footnote>
  <w:footnote w:id="248">
    <w:p w14:paraId="3B009DCB" w14:textId="31FF597F" w:rsidR="007F7D87" w:rsidRPr="009C15B0" w:rsidRDefault="007F7D87" w:rsidP="001E6358">
      <w:pPr>
        <w:pStyle w:val="FootnoteText"/>
        <w:tabs>
          <w:tab w:val="left" w:pos="567"/>
        </w:tabs>
        <w:spacing w:after="60"/>
        <w:rPr>
          <w:sz w:val="16"/>
          <w:szCs w:val="16"/>
          <w:lang w:val="es-CR"/>
        </w:rPr>
      </w:pPr>
      <w:r w:rsidRPr="009C15B0">
        <w:rPr>
          <w:rStyle w:val="FootnoteReference"/>
          <w:rFonts w:eastAsia="Calibri"/>
          <w:sz w:val="16"/>
          <w:szCs w:val="16"/>
          <w:lang w:val="es-CR"/>
        </w:rPr>
        <w:footnoteRef/>
      </w:r>
      <w:r w:rsidRPr="009C15B0">
        <w:rPr>
          <w:sz w:val="16"/>
          <w:szCs w:val="16"/>
          <w:lang w:val="es-CR"/>
        </w:rPr>
        <w:t xml:space="preserve"> </w:t>
      </w:r>
      <w:r w:rsidRPr="009C15B0">
        <w:rPr>
          <w:sz w:val="16"/>
          <w:szCs w:val="16"/>
          <w:lang w:val="es-CR"/>
        </w:rPr>
        <w:tab/>
        <w:t>En Uruguay, el Código del Proceso Penal, aprobado por Ley Nº 19.293 de 19 de diciembre de 2014, establece en sus artículos 160 y 164, relativos a los testigos menores de dieciocho años de edad y a la declaración de la víctima, que a los efectos de contemplar sus derechos y brindar su testimonio en el proceso deberán adoptarse una o más de las siguientes medidas, entre ellas, “pantallas de cristal para ocultar al testigo del imputado u otros elementos que constituyan barrera física con el mismo efecto [o] prestar testimonio desde una sala adyacente al tribunal a través de un circuito cerrado de televisión u otra tecnología con similar efecto”. Existen Cámara de Gesell en las instalaciones del Instituto Técnico Forense, los Juzgados Letrados de Familia Especializados y el Departamento de Asistencia Social.</w:t>
      </w:r>
    </w:p>
  </w:footnote>
  <w:footnote w:id="249">
    <w:p w14:paraId="4FE8AE33" w14:textId="07A8F24B" w:rsidR="007F7D87" w:rsidRPr="009C15B0" w:rsidRDefault="007F7D87" w:rsidP="001E6358">
      <w:pPr>
        <w:tabs>
          <w:tab w:val="left" w:pos="567"/>
        </w:tabs>
        <w:spacing w:after="60" w:line="240" w:lineRule="auto"/>
        <w:rPr>
          <w:sz w:val="16"/>
          <w:szCs w:val="16"/>
        </w:rPr>
      </w:pPr>
      <w:r w:rsidRPr="009C15B0">
        <w:rPr>
          <w:rStyle w:val="FootnoteReference"/>
          <w:sz w:val="16"/>
          <w:szCs w:val="16"/>
        </w:rPr>
        <w:footnoteRef/>
      </w:r>
      <w:r w:rsidRPr="009C15B0">
        <w:rPr>
          <w:sz w:val="16"/>
          <w:szCs w:val="16"/>
        </w:rPr>
        <w:t xml:space="preserve"> </w:t>
      </w:r>
      <w:r w:rsidRPr="009C15B0">
        <w:rPr>
          <w:sz w:val="16"/>
          <w:szCs w:val="16"/>
        </w:rPr>
        <w:tab/>
      </w:r>
      <w:r w:rsidRPr="009C15B0">
        <w:rPr>
          <w:i/>
          <w:sz w:val="16"/>
          <w:szCs w:val="16"/>
        </w:rPr>
        <w:t>Cfr.</w:t>
      </w:r>
      <w:r w:rsidRPr="009C15B0">
        <w:rPr>
          <w:sz w:val="16"/>
          <w:szCs w:val="16"/>
        </w:rPr>
        <w:t xml:space="preserve"> Declaración pericial rendida por Miguel Cillero Bruñol ante la Corte Interamericana en la audiencia pública celebrada el 16 y 17 de octubre de 2017, y Organización Mundial de la Salud,</w:t>
      </w:r>
      <w:r w:rsidRPr="009C15B0">
        <w:rPr>
          <w:i/>
          <w:sz w:val="16"/>
          <w:szCs w:val="16"/>
        </w:rPr>
        <w:t xml:space="preserve"> Responding to children and adolescents who have been sexually abused. WHO Clinical Guidelines</w:t>
      </w:r>
      <w:r w:rsidRPr="009C15B0">
        <w:rPr>
          <w:sz w:val="16"/>
          <w:szCs w:val="16"/>
        </w:rPr>
        <w:t>, 2017, pág. 21.</w:t>
      </w:r>
    </w:p>
  </w:footnote>
  <w:footnote w:id="250">
    <w:p w14:paraId="2C6FC886" w14:textId="4EFB43A9"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xml:space="preserve"> Declaración pericial rendida ante la Corte Interamericana por Miguel Cillero Bruñol en la audiencia pública celebrada el 16 y 17 de octubre de 2017.</w:t>
      </w:r>
    </w:p>
  </w:footnote>
  <w:footnote w:id="251">
    <w:p w14:paraId="576C8908" w14:textId="4BD5E9CD" w:rsidR="007F7D87" w:rsidRPr="00E93F30" w:rsidRDefault="007F7D87" w:rsidP="001E6358">
      <w:pPr>
        <w:pStyle w:val="FootnoteText"/>
        <w:tabs>
          <w:tab w:val="left" w:pos="567"/>
        </w:tabs>
        <w:spacing w:after="60"/>
        <w:rPr>
          <w:sz w:val="16"/>
          <w:szCs w:val="16"/>
          <w:lang w:val="en-US"/>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 xml:space="preserve">De conformidad con la Organización Mundial de la Salud, los exámenes físicos a cargo de especialistas en salud deben procurar minimizar daños adicionales, traumas, temor, estrés, y respetar la autonomía y derechos de los niños, niñas y adolescentes. </w:t>
      </w:r>
      <w:r w:rsidRPr="00C946D6">
        <w:rPr>
          <w:i/>
          <w:sz w:val="16"/>
          <w:szCs w:val="16"/>
          <w:lang w:val="en-US"/>
        </w:rPr>
        <w:t xml:space="preserve">Cfr. </w:t>
      </w:r>
      <w:r w:rsidRPr="00C946D6">
        <w:rPr>
          <w:sz w:val="16"/>
          <w:szCs w:val="16"/>
          <w:lang w:val="en-US"/>
        </w:rPr>
        <w:t>Organización Mundial de la Salud,</w:t>
      </w:r>
      <w:r w:rsidRPr="00C946D6">
        <w:rPr>
          <w:i/>
          <w:sz w:val="16"/>
          <w:szCs w:val="16"/>
          <w:lang w:val="en-US"/>
        </w:rPr>
        <w:t xml:space="preserve"> Responding to children and adolescents who have been sexually abused. </w:t>
      </w:r>
      <w:r w:rsidRPr="009C15B0">
        <w:rPr>
          <w:i/>
          <w:sz w:val="16"/>
          <w:szCs w:val="16"/>
          <w:lang w:val="es-CR"/>
        </w:rPr>
        <w:t>WHO Clinical Guidelines</w:t>
      </w:r>
      <w:r w:rsidRPr="009C15B0">
        <w:rPr>
          <w:sz w:val="16"/>
          <w:szCs w:val="16"/>
          <w:lang w:val="es-CR"/>
        </w:rPr>
        <w:t xml:space="preserve">, 2017, págs. 20 a 21. Véase también, UNICEF y Asociación por los Derechos Civiles (ADC), </w:t>
      </w:r>
      <w:r w:rsidRPr="009C15B0">
        <w:rPr>
          <w:i/>
          <w:sz w:val="16"/>
          <w:szCs w:val="16"/>
          <w:lang w:val="es-CR"/>
        </w:rPr>
        <w:t>Guía de buenas prácticas para el abordaje de niños/as, adolescentes víctimas o testigos de abuso sexual y otros delitos</w:t>
      </w:r>
      <w:r w:rsidRPr="009C15B0">
        <w:rPr>
          <w:sz w:val="16"/>
          <w:szCs w:val="16"/>
          <w:lang w:val="es-CR"/>
        </w:rPr>
        <w:t xml:space="preserve">, septiembre de 2013, págs. </w:t>
      </w:r>
      <w:r w:rsidRPr="00E93F30">
        <w:rPr>
          <w:sz w:val="16"/>
          <w:szCs w:val="16"/>
          <w:lang w:val="en-US"/>
        </w:rPr>
        <w:t>33 a 34.</w:t>
      </w:r>
    </w:p>
  </w:footnote>
  <w:footnote w:id="252">
    <w:p w14:paraId="79D1D544" w14:textId="6877307E"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C946D6">
        <w:rPr>
          <w:sz w:val="16"/>
          <w:szCs w:val="16"/>
          <w:lang w:val="en-US"/>
        </w:rPr>
        <w:t xml:space="preserve"> </w:t>
      </w:r>
      <w:r w:rsidRPr="00C946D6">
        <w:rPr>
          <w:sz w:val="16"/>
          <w:szCs w:val="16"/>
          <w:lang w:val="en-US"/>
        </w:rPr>
        <w:tab/>
      </w:r>
      <w:r w:rsidRPr="00C946D6">
        <w:rPr>
          <w:i/>
          <w:sz w:val="16"/>
          <w:szCs w:val="16"/>
          <w:lang w:val="en-US"/>
        </w:rPr>
        <w:t xml:space="preserve">Cfr. </w:t>
      </w:r>
      <w:r w:rsidRPr="00C946D6">
        <w:rPr>
          <w:sz w:val="16"/>
          <w:szCs w:val="16"/>
          <w:lang w:val="en-US"/>
        </w:rPr>
        <w:t>Organización Mundial de la Salud,</w:t>
      </w:r>
      <w:r w:rsidRPr="00C946D6">
        <w:rPr>
          <w:i/>
          <w:sz w:val="16"/>
          <w:szCs w:val="16"/>
          <w:lang w:val="en-US"/>
        </w:rPr>
        <w:t xml:space="preserve"> Responding to children and adolescents who have been sexually abused. </w:t>
      </w:r>
      <w:r w:rsidRPr="009C15B0">
        <w:rPr>
          <w:i/>
          <w:sz w:val="16"/>
          <w:szCs w:val="16"/>
          <w:lang w:val="es-CR"/>
        </w:rPr>
        <w:t>WHO Clinical Guidelines</w:t>
      </w:r>
      <w:r w:rsidRPr="009C15B0">
        <w:rPr>
          <w:sz w:val="16"/>
          <w:szCs w:val="16"/>
          <w:lang w:val="es-CR"/>
        </w:rPr>
        <w:t>, 2017, pág. 21.</w:t>
      </w:r>
    </w:p>
  </w:footnote>
  <w:footnote w:id="253">
    <w:p w14:paraId="01EF77FC" w14:textId="173046B1"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xml:space="preserve"> Declaración pericial rendida ante la Corte Interamericana por Miguel Cillero Bruñol en la audiencia pública celebrada el 16 y 17 de octubre de 2017.</w:t>
      </w:r>
    </w:p>
  </w:footnote>
  <w:footnote w:id="254">
    <w:p w14:paraId="129625BD" w14:textId="7A1E645F"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xml:space="preserve"> Consejo Económico y Social, Resolución 2005/20, </w:t>
      </w:r>
      <w:r w:rsidRPr="009C15B0">
        <w:rPr>
          <w:i/>
          <w:sz w:val="16"/>
          <w:szCs w:val="16"/>
          <w:lang w:val="es-CR"/>
        </w:rPr>
        <w:t>Directrices sobre la justicia en asuntos concernientes a los niños víctimas y testigos de delitos</w:t>
      </w:r>
      <w:r w:rsidRPr="009C15B0">
        <w:rPr>
          <w:sz w:val="16"/>
          <w:szCs w:val="16"/>
          <w:lang w:val="es-CR"/>
        </w:rPr>
        <w:t>, UN Doc. E/2005/INF/2/Add.1, 22 de julio de 2005, directrices 19 y 30.d); Organización Mundial de la Salud</w:t>
      </w:r>
      <w:r w:rsidRPr="009C15B0">
        <w:rPr>
          <w:i/>
          <w:sz w:val="16"/>
          <w:szCs w:val="16"/>
          <w:lang w:val="es-CR"/>
        </w:rPr>
        <w:t>, Responding to children and adolescents who have been sexually abused. WHO Clinical Guidelines</w:t>
      </w:r>
      <w:r w:rsidRPr="009C15B0">
        <w:rPr>
          <w:sz w:val="16"/>
          <w:szCs w:val="16"/>
          <w:lang w:val="es-CR"/>
        </w:rPr>
        <w:t xml:space="preserve">, 2017, pág. 21, y Declaración pericial rendida por Miguel Cillero Bruñol ante la Corte Interamericana en la audiencia pública celebrada el 16 y 17 de octubre de 2017. Véase también, UNICEF y Asociación por los Derechos Civiles (ADC), </w:t>
      </w:r>
      <w:r w:rsidRPr="009C15B0">
        <w:rPr>
          <w:i/>
          <w:sz w:val="16"/>
          <w:szCs w:val="16"/>
          <w:lang w:val="es-CR"/>
        </w:rPr>
        <w:t>Guía de buenas prácticas para el abordaje de niños/as, adolescentes víctimas o testigos de abuso sexual y otros delitos</w:t>
      </w:r>
      <w:r w:rsidRPr="009C15B0">
        <w:rPr>
          <w:sz w:val="16"/>
          <w:szCs w:val="16"/>
          <w:lang w:val="es-CR"/>
        </w:rPr>
        <w:t>, septiembre de 2013, págs. 33 a 34.</w:t>
      </w:r>
    </w:p>
  </w:footnote>
  <w:footnote w:id="255">
    <w:p w14:paraId="25326FDF" w14:textId="5C5A949E"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 Caso Espinoza Gonzáles Vs. Perú, supra</w:t>
      </w:r>
      <w:r w:rsidRPr="009C15B0">
        <w:rPr>
          <w:sz w:val="16"/>
          <w:szCs w:val="16"/>
          <w:lang w:val="es-CR"/>
        </w:rPr>
        <w:t>, párr. 256. Véase también,</w:t>
      </w:r>
      <w:r w:rsidRPr="009C15B0">
        <w:rPr>
          <w:i/>
          <w:sz w:val="16"/>
          <w:szCs w:val="16"/>
          <w:lang w:val="es-CR"/>
        </w:rPr>
        <w:t xml:space="preserve"> </w:t>
      </w:r>
      <w:r w:rsidRPr="009C15B0">
        <w:rPr>
          <w:sz w:val="16"/>
          <w:szCs w:val="16"/>
          <w:lang w:val="es-CR"/>
        </w:rPr>
        <w:t xml:space="preserve">Organización Mundial de la Salud, </w:t>
      </w:r>
      <w:r w:rsidRPr="009C15B0">
        <w:rPr>
          <w:i/>
          <w:sz w:val="16"/>
          <w:szCs w:val="16"/>
          <w:lang w:val="es-CR"/>
        </w:rPr>
        <w:t>Guidelines for medico-legal care for victims of sexual violence</w:t>
      </w:r>
      <w:r w:rsidRPr="009C15B0">
        <w:rPr>
          <w:sz w:val="16"/>
          <w:szCs w:val="16"/>
          <w:lang w:val="es-CR"/>
        </w:rPr>
        <w:t>,</w:t>
      </w:r>
      <w:r w:rsidRPr="009C15B0">
        <w:rPr>
          <w:i/>
          <w:sz w:val="16"/>
          <w:szCs w:val="16"/>
          <w:lang w:val="es-CR"/>
        </w:rPr>
        <w:t xml:space="preserve"> </w:t>
      </w:r>
      <w:r w:rsidRPr="009C15B0">
        <w:rPr>
          <w:sz w:val="16"/>
          <w:szCs w:val="16"/>
          <w:lang w:val="es-CR"/>
        </w:rPr>
        <w:t>2003</w:t>
      </w:r>
      <w:r w:rsidRPr="009C15B0">
        <w:rPr>
          <w:i/>
          <w:sz w:val="16"/>
          <w:szCs w:val="16"/>
          <w:lang w:val="es-CR"/>
        </w:rPr>
        <w:t>,</w:t>
      </w:r>
      <w:r w:rsidRPr="009C15B0">
        <w:rPr>
          <w:sz w:val="16"/>
          <w:szCs w:val="16"/>
          <w:lang w:val="es-CR"/>
        </w:rPr>
        <w:t xml:space="preserve"> </w:t>
      </w:r>
      <w:r w:rsidRPr="009C15B0">
        <w:rPr>
          <w:rStyle w:val="shorttext"/>
          <w:sz w:val="16"/>
          <w:szCs w:val="16"/>
          <w:lang w:val="es-CR"/>
        </w:rPr>
        <w:t>págs. 18, 43 y 58</w:t>
      </w:r>
      <w:r w:rsidRPr="009C15B0">
        <w:rPr>
          <w:sz w:val="16"/>
          <w:szCs w:val="16"/>
          <w:lang w:val="es-CR"/>
        </w:rPr>
        <w:t>.</w:t>
      </w:r>
    </w:p>
  </w:footnote>
  <w:footnote w:id="256">
    <w:p w14:paraId="1AFA77EF" w14:textId="4A970E6C"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xml:space="preserve"> Comité de los Derechos del Niño, </w:t>
      </w:r>
      <w:r w:rsidRPr="009C15B0">
        <w:rPr>
          <w:i/>
          <w:sz w:val="16"/>
          <w:szCs w:val="16"/>
          <w:lang w:val="es-CR"/>
        </w:rPr>
        <w:t>Observación General Nº 13:</w:t>
      </w:r>
      <w:r w:rsidRPr="009C15B0">
        <w:rPr>
          <w:sz w:val="16"/>
          <w:szCs w:val="16"/>
          <w:lang w:val="es-CR"/>
        </w:rPr>
        <w:t xml:space="preserve"> </w:t>
      </w:r>
      <w:r w:rsidRPr="009C15B0">
        <w:rPr>
          <w:i/>
          <w:sz w:val="16"/>
          <w:szCs w:val="16"/>
          <w:lang w:val="es-CR"/>
        </w:rPr>
        <w:t>Derecho del niño a no ser objeto de ninguna forma de violencia</w:t>
      </w:r>
      <w:r w:rsidRPr="009C15B0">
        <w:rPr>
          <w:sz w:val="16"/>
          <w:szCs w:val="16"/>
          <w:lang w:val="es-CR"/>
        </w:rPr>
        <w:t xml:space="preserve">, </w:t>
      </w:r>
      <w:r w:rsidRPr="009C15B0">
        <w:rPr>
          <w:i/>
          <w:sz w:val="16"/>
          <w:szCs w:val="16"/>
          <w:lang w:val="es-CR"/>
        </w:rPr>
        <w:t>supra</w:t>
      </w:r>
      <w:r w:rsidRPr="009C15B0">
        <w:rPr>
          <w:sz w:val="16"/>
          <w:szCs w:val="16"/>
          <w:lang w:val="es-CR"/>
        </w:rPr>
        <w:t>, párrs. 52 y 53.</w:t>
      </w:r>
    </w:p>
  </w:footnote>
  <w:footnote w:id="257">
    <w:p w14:paraId="15D7CEF6" w14:textId="76BCD08B" w:rsidR="007F7D87" w:rsidRPr="009C15B0" w:rsidRDefault="007F7D87" w:rsidP="001E6358">
      <w:pPr>
        <w:pStyle w:val="FootnoteText"/>
        <w:tabs>
          <w:tab w:val="left" w:pos="567"/>
        </w:tabs>
        <w:spacing w:after="60"/>
        <w:rPr>
          <w:sz w:val="16"/>
          <w:szCs w:val="16"/>
          <w:lang w:val="es-CR"/>
        </w:rPr>
      </w:pPr>
      <w:r w:rsidRPr="009C15B0">
        <w:rPr>
          <w:rStyle w:val="FootnoteReference"/>
          <w:rFonts w:eastAsia="MS ????"/>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xml:space="preserve">. Comité de los Derechos del Niño, </w:t>
      </w:r>
      <w:r w:rsidRPr="009C15B0">
        <w:rPr>
          <w:i/>
          <w:sz w:val="16"/>
          <w:szCs w:val="16"/>
          <w:lang w:val="es-CR"/>
        </w:rPr>
        <w:t>Observación General Nº 13:</w:t>
      </w:r>
      <w:r w:rsidRPr="009C15B0">
        <w:rPr>
          <w:sz w:val="16"/>
          <w:szCs w:val="16"/>
          <w:lang w:val="es-CR"/>
        </w:rPr>
        <w:t xml:space="preserve"> </w:t>
      </w:r>
      <w:r w:rsidRPr="009C15B0">
        <w:rPr>
          <w:i/>
          <w:sz w:val="16"/>
          <w:szCs w:val="16"/>
          <w:lang w:val="es-CR"/>
        </w:rPr>
        <w:t>Derecho del niño a no ser objeto de ninguna forma de violencia</w:t>
      </w:r>
      <w:r w:rsidRPr="009C15B0">
        <w:rPr>
          <w:sz w:val="16"/>
          <w:szCs w:val="16"/>
          <w:lang w:val="es-CR"/>
        </w:rPr>
        <w:t xml:space="preserve">, </w:t>
      </w:r>
      <w:r w:rsidRPr="009C15B0">
        <w:rPr>
          <w:i/>
          <w:sz w:val="16"/>
          <w:szCs w:val="16"/>
          <w:lang w:val="es-CR"/>
        </w:rPr>
        <w:t>supra</w:t>
      </w:r>
      <w:r w:rsidRPr="009C15B0">
        <w:rPr>
          <w:sz w:val="16"/>
          <w:szCs w:val="16"/>
          <w:lang w:val="es-CR"/>
        </w:rPr>
        <w:t>, párrs. 15, 59 y 62.</w:t>
      </w:r>
    </w:p>
  </w:footnote>
  <w:footnote w:id="258">
    <w:p w14:paraId="132B839E" w14:textId="31DE33CC" w:rsidR="007F7D87" w:rsidRPr="009C15B0" w:rsidRDefault="007F7D87" w:rsidP="001E6358">
      <w:pPr>
        <w:pStyle w:val="FootnoteText"/>
        <w:tabs>
          <w:tab w:val="left" w:pos="567"/>
          <w:tab w:val="left" w:pos="709"/>
        </w:tabs>
        <w:spacing w:after="60"/>
        <w:rPr>
          <w:sz w:val="16"/>
          <w:szCs w:val="16"/>
          <w:lang w:val="es-CR"/>
        </w:rPr>
      </w:pPr>
      <w:r w:rsidRPr="009C15B0">
        <w:rPr>
          <w:rStyle w:val="FootnoteReference"/>
          <w:rFonts w:eastAsia="MS Mincho"/>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 Caso Fernández Ortega y otros Vs. México, supra</w:t>
      </w:r>
      <w:r w:rsidRPr="009C15B0">
        <w:rPr>
          <w:sz w:val="16"/>
          <w:szCs w:val="16"/>
          <w:lang w:val="es-CR"/>
        </w:rPr>
        <w:t xml:space="preserve">, párr. 196, y </w:t>
      </w:r>
      <w:r w:rsidRPr="009C15B0">
        <w:rPr>
          <w:i/>
          <w:sz w:val="16"/>
          <w:szCs w:val="16"/>
          <w:lang w:val="es-CR"/>
        </w:rPr>
        <w:t>Caso Espinoza Gonzáles Vs. Perú, supra</w:t>
      </w:r>
      <w:r w:rsidRPr="009C15B0">
        <w:rPr>
          <w:sz w:val="16"/>
          <w:szCs w:val="16"/>
          <w:lang w:val="es-CR"/>
        </w:rPr>
        <w:t>, párr. 256.</w:t>
      </w:r>
    </w:p>
  </w:footnote>
  <w:footnote w:id="259">
    <w:p w14:paraId="07650C7C" w14:textId="7AFD9B34" w:rsidR="007F7D87" w:rsidRPr="009C15B0" w:rsidRDefault="007F7D87" w:rsidP="001E6358">
      <w:pPr>
        <w:tabs>
          <w:tab w:val="left" w:pos="567"/>
        </w:tabs>
        <w:autoSpaceDE w:val="0"/>
        <w:autoSpaceDN w:val="0"/>
        <w:spacing w:after="60" w:line="240" w:lineRule="auto"/>
        <w:rPr>
          <w:rFonts w:cs="Arial"/>
          <w:sz w:val="16"/>
          <w:szCs w:val="16"/>
        </w:rPr>
      </w:pPr>
      <w:r w:rsidRPr="009C15B0">
        <w:rPr>
          <w:rStyle w:val="FootnoteReference"/>
          <w:sz w:val="16"/>
          <w:szCs w:val="16"/>
        </w:rPr>
        <w:footnoteRef/>
      </w:r>
      <w:r w:rsidRPr="009C15B0">
        <w:rPr>
          <w:sz w:val="16"/>
          <w:szCs w:val="16"/>
        </w:rPr>
        <w:t xml:space="preserve"> </w:t>
      </w:r>
      <w:r w:rsidRPr="009C15B0">
        <w:rPr>
          <w:sz w:val="16"/>
          <w:szCs w:val="16"/>
        </w:rPr>
        <w:tab/>
        <w:t xml:space="preserve">La señora V.P.C. declaró ante esta Corte que el examen médico forense fue ordenado por la jueza, a pesar de que la madre le explicó sobre la existencia de una epicrisis del hospital, ante lo cual la jueza ordenó la diligencia con la presencia de una junta médica. </w:t>
      </w:r>
      <w:r w:rsidRPr="009C15B0">
        <w:rPr>
          <w:i/>
          <w:sz w:val="16"/>
          <w:szCs w:val="16"/>
        </w:rPr>
        <w:t>Cfr.</w:t>
      </w:r>
      <w:r w:rsidRPr="009C15B0">
        <w:rPr>
          <w:sz w:val="16"/>
          <w:szCs w:val="16"/>
        </w:rPr>
        <w:t xml:space="preserve"> Declaración rendida por V.P.C. ante la Corte Interamericana en la audiencia pública celebrada el 16 y 17 de octubre de 2017. Asimismo, el perito Miguel Cillero Bruñol señaló que:</w:t>
      </w:r>
      <w:r w:rsidRPr="009C15B0">
        <w:rPr>
          <w:rFonts w:cs="Arial"/>
          <w:sz w:val="16"/>
          <w:szCs w:val="16"/>
        </w:rPr>
        <w:t xml:space="preserve"> </w:t>
      </w:r>
      <w:r w:rsidRPr="009C15B0">
        <w:rPr>
          <w:sz w:val="16"/>
          <w:szCs w:val="16"/>
        </w:rPr>
        <w:t>“se repite dos veces más el mismo examen, lo cual también es contrario a todos los estándares, teniendo como base que ya existía desde el comienzo un informe privado, el cual toda la normativa internacional recomienda y la normativa de la OMS, que basta un examen que sea con los protocolos adecuados y es responsabilidad del Estado que ese examen aunque se haga en un recinto privado, sea válido para todo el juicio y no tenga que someterse a la víctima a ningún tipo de nuevo procedimiento”. Declaración pericial rendida por Miguel Cillero Bruñol ante la Corte Interamericana en la audiencia pública celebrada el 16 y 17 de octubre de 2017.</w:t>
      </w:r>
    </w:p>
  </w:footnote>
  <w:footnote w:id="260">
    <w:p w14:paraId="4A9C9A7B" w14:textId="664CD7A3"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 xml:space="preserve">Es preciso resaltar que, para el segundo examen médico que no se pudo concretar, se designó a una forense suplente mujer, conforme a lo solicitado por V.P.C., quien sería una médica forense de la Comisaría de la Mujer y la Niñez con experiencia en víctimas de abuso sexual. </w:t>
      </w:r>
      <w:r w:rsidRPr="009C15B0">
        <w:rPr>
          <w:i/>
          <w:sz w:val="16"/>
          <w:szCs w:val="16"/>
          <w:lang w:val="es-CR"/>
        </w:rPr>
        <w:t>Cfr.</w:t>
      </w:r>
      <w:r w:rsidRPr="009C15B0">
        <w:rPr>
          <w:sz w:val="16"/>
          <w:szCs w:val="16"/>
          <w:lang w:val="es-CR"/>
        </w:rPr>
        <w:t xml:space="preserve"> Solicitud de la Fiscal Departamental de Jinotega de 23 de noviembre de 2001 (expediente de prueba, tomo XVII, anexo 12 al escrito de contestación, folio 8215). Asimismo, el examen médico legal realizado en Managua estuvo a cargo de una médica forense, bajo sedación.</w:t>
      </w:r>
    </w:p>
  </w:footnote>
  <w:footnote w:id="261">
    <w:p w14:paraId="74DF4BAE" w14:textId="2B840EE0"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xml:space="preserve">. Acta judicial de 22 de noviembre de 2001 (expediente de prueba, tomo XVI, anexo E.11 al escrito de solicitudes, argumentos y pruebas, folios 7308 a 7309). La señora V.P.C. declaró ante esta Corte que la psiquiatra estuvo presente durante la primera diligencia médica, por pedido propio. Sin embargo, de dicha declaración se desprende que el actuar de la psiquiatra se limitó a señalar a la jueza, ante los alegados maltratos del médico forense que “no p[odían] hacerle esto [a la niña]”. </w:t>
      </w:r>
      <w:r w:rsidRPr="009C15B0">
        <w:rPr>
          <w:i/>
          <w:sz w:val="16"/>
          <w:szCs w:val="16"/>
          <w:lang w:val="es-CR"/>
        </w:rPr>
        <w:t>Cfr.</w:t>
      </w:r>
      <w:r w:rsidRPr="009C15B0">
        <w:rPr>
          <w:sz w:val="16"/>
          <w:szCs w:val="16"/>
          <w:lang w:val="es-CR"/>
        </w:rPr>
        <w:t xml:space="preserve"> Declaración rendida por V.P.C. ante la Corte Interamericana en la audiencia pública celebrada el 16 y 17 de octubre de 2017.</w:t>
      </w:r>
    </w:p>
  </w:footnote>
  <w:footnote w:id="262">
    <w:p w14:paraId="35673ABD" w14:textId="43663ABF"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Declaración rendida ante la Corte Interamericana por V.P.C. en la audiencia pública celebrada el 16 y 17 de octubre de 2017.</w:t>
      </w:r>
    </w:p>
  </w:footnote>
  <w:footnote w:id="263">
    <w:p w14:paraId="5445271F" w14:textId="0051C715"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 xml:space="preserve">Cabe clarificar que, conforme al acervo probatorio del expediente, quien solicitó la conformación de la junta médica durante el primer examen médico, fue la jueza a cargo del caso. La señora V.P.C. solicitó que se mantuvieran los mismos médicos durante el intento de realización del segundo examen médico, con el fin de que no se designaran otros para proteger los derechos de su hija. </w:t>
      </w:r>
      <w:r w:rsidRPr="009C15B0">
        <w:rPr>
          <w:i/>
          <w:sz w:val="16"/>
          <w:szCs w:val="16"/>
          <w:lang w:val="es-CR"/>
        </w:rPr>
        <w:t>Cfr.</w:t>
      </w:r>
      <w:r w:rsidRPr="009C15B0">
        <w:rPr>
          <w:sz w:val="16"/>
          <w:szCs w:val="16"/>
          <w:lang w:val="es-CR"/>
        </w:rPr>
        <w:t xml:space="preserve"> Escrito de V.P.C. presentado ante el Juzgado de Distrito de lo Criminal de 23 de noviembre de 2001 (expediente de prueba, tomo XVII, anexo 12 al escrito de contestación, folio 8213). Asimismo, el 21 de octubre de 2002 V.P.C. presentó una queja ante la Fiscalía General de la República aduciendo que la jueza permitió que durante el primer reconocimiento médico legal estuvieran presentes más de 10 personas y no adoptó ninguna medida para evitar la revictimización de su hija. </w:t>
      </w:r>
      <w:r w:rsidRPr="009C15B0">
        <w:rPr>
          <w:i/>
          <w:sz w:val="16"/>
          <w:szCs w:val="16"/>
          <w:lang w:val="es-CR"/>
        </w:rPr>
        <w:t>Cfr</w:t>
      </w:r>
      <w:r w:rsidRPr="009C15B0">
        <w:rPr>
          <w:sz w:val="16"/>
          <w:szCs w:val="16"/>
          <w:lang w:val="es-CR"/>
        </w:rPr>
        <w:t>. Presentación efectuada por la señora V.P.C. ante la Fiscalía General de la República el 21 de octubre de 2002 (expediente de prueba, tomo XV, anexo 22 al sometimiento del caso, folio 6877).</w:t>
      </w:r>
    </w:p>
  </w:footnote>
  <w:footnote w:id="264">
    <w:p w14:paraId="7BFAAE85" w14:textId="61F83F30"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Presentación efectuada por la señora V.P.C. ante el Director del Sistema Local de Atención Integral en Salud el 22 de noviembre de 2001 (expediente de prueba, tomo XV, anexo 9 al sometimiento del caso, folio 6769).</w:t>
      </w:r>
    </w:p>
  </w:footnote>
  <w:footnote w:id="265">
    <w:p w14:paraId="12D9B4EA" w14:textId="1DDEFB33"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Escrito de V.P.C. presentado ante Juzgado de Distrito de lo Criminal de 23 de noviembre de 2001 (expediente de prueba, tomo XVII, anexo 12 al escrito de contestación, folio 8213).</w:t>
      </w:r>
    </w:p>
  </w:footnote>
  <w:footnote w:id="266">
    <w:p w14:paraId="44FE39F1" w14:textId="55557BE3"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Declaración rendida ante la Corte Interamericana por V.P.C. en la audiencia pública celebrada el 16 y 17 de octubre de 2017. La abuela de V.R.P. declaró a nivel interno que su nieta no se sintió cómoda con el examen médico ya que sintió que “los dedos del doctor en sus partes como que le hacía muy duro y no aguantaba el ardor que tenía tanto por delante como por detrás”. Declaración testimonial prestada el 23 de noviembre de 2001 (expediente de prueba, tomo XVI, anexo E.12 al escrito de solicitudes, argumentos y pruebas, folio 7313).</w:t>
      </w:r>
    </w:p>
  </w:footnote>
  <w:footnote w:id="267">
    <w:p w14:paraId="6801B095" w14:textId="555B04C7" w:rsidR="007F7D87" w:rsidRPr="009C15B0" w:rsidRDefault="007F7D87" w:rsidP="001E6358">
      <w:pPr>
        <w:tabs>
          <w:tab w:val="left" w:pos="567"/>
        </w:tabs>
        <w:spacing w:after="60" w:line="240" w:lineRule="auto"/>
        <w:rPr>
          <w:sz w:val="16"/>
          <w:szCs w:val="16"/>
        </w:rPr>
      </w:pPr>
      <w:r w:rsidRPr="009C15B0">
        <w:rPr>
          <w:rStyle w:val="FootnoteReference"/>
          <w:sz w:val="16"/>
          <w:szCs w:val="16"/>
        </w:rPr>
        <w:footnoteRef/>
      </w:r>
      <w:r w:rsidRPr="009C15B0">
        <w:rPr>
          <w:sz w:val="16"/>
          <w:szCs w:val="16"/>
        </w:rPr>
        <w:t xml:space="preserve"> </w:t>
      </w:r>
      <w:r w:rsidRPr="009C15B0">
        <w:rPr>
          <w:sz w:val="16"/>
          <w:szCs w:val="16"/>
        </w:rPr>
        <w:tab/>
        <w:t>Declaración rendida ante la Corte Interamericana por V.R.P. en la audiencia privada celebrada el 16 de octubre de 2017.</w:t>
      </w:r>
    </w:p>
  </w:footnote>
  <w:footnote w:id="268">
    <w:p w14:paraId="23E042C2" w14:textId="3C704BC1"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xml:space="preserve"> Declaración rendida ante la Corte Interamericana por V.R.P. en la audiencia privada celebrada el 16 de octubre de 2017.</w:t>
      </w:r>
    </w:p>
  </w:footnote>
  <w:footnote w:id="269">
    <w:p w14:paraId="6D6DE544" w14:textId="7BB90830" w:rsidR="007F7D87" w:rsidRPr="009C15B0" w:rsidRDefault="007F7D87" w:rsidP="001E6358">
      <w:pPr>
        <w:tabs>
          <w:tab w:val="left" w:pos="567"/>
        </w:tabs>
        <w:spacing w:after="60" w:line="240" w:lineRule="auto"/>
        <w:rPr>
          <w:sz w:val="16"/>
          <w:szCs w:val="16"/>
        </w:rPr>
      </w:pPr>
      <w:r w:rsidRPr="009C15B0">
        <w:rPr>
          <w:rStyle w:val="FootnoteReference"/>
          <w:sz w:val="16"/>
          <w:szCs w:val="16"/>
        </w:rPr>
        <w:footnoteRef/>
      </w:r>
      <w:r w:rsidRPr="009C15B0">
        <w:rPr>
          <w:sz w:val="16"/>
          <w:szCs w:val="16"/>
        </w:rPr>
        <w:t xml:space="preserve"> </w:t>
      </w:r>
      <w:r w:rsidRPr="009C15B0">
        <w:rPr>
          <w:sz w:val="16"/>
          <w:szCs w:val="16"/>
        </w:rPr>
        <w:tab/>
        <w:t>El perito Enrique Oscar Stola consideró que el primer examen médico fue un hecho grave de violencia institucional en perjuicio de V.R.P. ya que el médico legista “no cuidó en absoluto establecer el mínimo de empatía, de cuidado, una cantidad de personas presentes, de funcionarios judiciales que no iban a aportar absolutamente nada a la evaluación que se tenía que hacer y, sin embargo, estaban presentes. Esto es una pérdida de intimidad y es una reactualización del trauma”.</w:t>
      </w:r>
      <w:r w:rsidRPr="009C15B0">
        <w:rPr>
          <w:i/>
          <w:sz w:val="16"/>
          <w:szCs w:val="16"/>
        </w:rPr>
        <w:t xml:space="preserve"> </w:t>
      </w:r>
      <w:r w:rsidRPr="009C15B0">
        <w:rPr>
          <w:sz w:val="16"/>
          <w:szCs w:val="16"/>
        </w:rPr>
        <w:t>Declaración pericial rendida por Enrique Oscar Stola ante la Corte Interamericana en la audiencia pública celebrada el 16 y 17 de octubre de 2017.</w:t>
      </w:r>
    </w:p>
  </w:footnote>
  <w:footnote w:id="270">
    <w:p w14:paraId="2C0144E9" w14:textId="29018DF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xml:space="preserve"> Declaración rendida ante la Corte Interamericana por V.R.P. en la audiencia privada celebrada el 16 de octubre de 2017.</w:t>
      </w:r>
    </w:p>
  </w:footnote>
  <w:footnote w:id="271">
    <w:p w14:paraId="6402CF20" w14:textId="40ECEB5A"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Declaración pericial rendida por Enrique Oscar Stola ante la Corte Interamericana en la audiencia pública celebrada el 16 y 17 de octubre de 2017, y Declaración pericial rendida ante la Corte Interamericana por Miguel Cillero Bruñol en la audiencia pública celebrada el 16 y 17 de octubre de 2017.</w:t>
      </w:r>
    </w:p>
  </w:footnote>
  <w:footnote w:id="272">
    <w:p w14:paraId="47BD6501" w14:textId="46368B5C"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Declaración pericial rendida por Enrique Oscar Stola ante la Corte Interamericana en la audiencia pública celebrada el 16 y 17 de octubre de 2017.</w:t>
      </w:r>
    </w:p>
  </w:footnote>
  <w:footnote w:id="273">
    <w:p w14:paraId="47D8A058" w14:textId="358D1AEB"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xml:space="preserve"> Declaración de V.R.P. de 21 de noviembre de 2001 (expediente de prueba, tomo XVII, anexo 9 al escrito de contestación, folios 8201 a 8202).</w:t>
      </w:r>
    </w:p>
  </w:footnote>
  <w:footnote w:id="274">
    <w:p w14:paraId="5EBABC5B" w14:textId="3CD8DF8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Declaración rendida ante la Corte Interamericana por V.R.P. en la audiencia privada celebrada el 16 de octubre de 2017.</w:t>
      </w:r>
    </w:p>
  </w:footnote>
  <w:footnote w:id="275">
    <w:p w14:paraId="44AB9C21" w14:textId="3BF86132" w:rsidR="007F7D87" w:rsidRPr="009C15B0" w:rsidRDefault="007F7D87" w:rsidP="001E6358">
      <w:pPr>
        <w:tabs>
          <w:tab w:val="left" w:pos="567"/>
        </w:tabs>
        <w:spacing w:after="60" w:line="240" w:lineRule="auto"/>
        <w:rPr>
          <w:sz w:val="16"/>
          <w:szCs w:val="16"/>
        </w:rPr>
      </w:pPr>
      <w:r w:rsidRPr="009C15B0">
        <w:rPr>
          <w:rStyle w:val="FootnoteReference"/>
          <w:sz w:val="16"/>
          <w:szCs w:val="16"/>
        </w:rPr>
        <w:footnoteRef/>
      </w:r>
      <w:r w:rsidRPr="009C15B0">
        <w:rPr>
          <w:sz w:val="16"/>
          <w:szCs w:val="16"/>
        </w:rPr>
        <w:t xml:space="preserve"> </w:t>
      </w:r>
      <w:r w:rsidRPr="009C15B0">
        <w:rPr>
          <w:sz w:val="16"/>
          <w:szCs w:val="16"/>
        </w:rPr>
        <w:tab/>
        <w:t>Declaración pericial rendida ante la Corte Interamericana por Enrique Oscar Stola en la audiencia pública celebrada el 16 y 17 de octubre de 2017.</w:t>
      </w:r>
    </w:p>
  </w:footnote>
  <w:footnote w:id="276">
    <w:p w14:paraId="06916433" w14:textId="49A3D5B3"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Declaración pericial rendida ante la Corte Interamericana por Miguel Cillero Bruñol en la audiencia pública celebrada el 16 y 17 de octubre de 2017.</w:t>
      </w:r>
    </w:p>
  </w:footnote>
  <w:footnote w:id="277">
    <w:p w14:paraId="12BDB393" w14:textId="65326676"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xml:space="preserve"> Declaración rendida ante la Corte Interamericana por V.R.P. en la audiencia privada celebrada el 16 de octubre de 2017.</w:t>
      </w:r>
    </w:p>
  </w:footnote>
  <w:footnote w:id="278">
    <w:p w14:paraId="525CF331" w14:textId="16AD6C43" w:rsidR="007F7D87" w:rsidRPr="009C15B0" w:rsidRDefault="007F7D87">
      <w:pPr>
        <w:pStyle w:val="FootnoteText"/>
        <w:rPr>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Declaración pericial rendida ante la Corte Interamericana por Miguel Cillero Bruñol en la audiencia pública celebrada el 16 y 17 de octubre de 2017.</w:t>
      </w:r>
    </w:p>
  </w:footnote>
  <w:footnote w:id="279">
    <w:p w14:paraId="129EC6FA" w14:textId="42C52AC5"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Oficio dirigido al Ministerio de la Familia de 30 de abril de 2002 (expediente de prueba, tomo XVII, anexo 18 a la contestación del Estado, folio 8235).</w:t>
      </w:r>
    </w:p>
  </w:footnote>
  <w:footnote w:id="280">
    <w:p w14:paraId="70441D9D"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Oficio dirigido al Juez Civil del Distrito de 30 de abril de 2002 (expediente de prueba, tomo XVII, anexo 18 a la contestación del Estado, folio 8236).</w:t>
      </w:r>
    </w:p>
  </w:footnote>
  <w:footnote w:id="281">
    <w:p w14:paraId="0031041A" w14:textId="18022804" w:rsidR="007F7D87" w:rsidRPr="009C15B0" w:rsidRDefault="007F7D87" w:rsidP="001E6358">
      <w:pPr>
        <w:pStyle w:val="FootnoteText"/>
        <w:tabs>
          <w:tab w:val="left" w:pos="567"/>
          <w:tab w:val="left" w:pos="709"/>
        </w:tabs>
        <w:spacing w:after="60"/>
        <w:rPr>
          <w:rFonts w:eastAsiaTheme="minorHAnsi" w:cstheme="minorBidi"/>
          <w:sz w:val="16"/>
          <w:szCs w:val="16"/>
          <w:lang w:val="es-CR" w:eastAsia="en-US"/>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rFonts w:eastAsiaTheme="minorHAnsi" w:cstheme="minorBidi"/>
          <w:i/>
          <w:sz w:val="16"/>
          <w:szCs w:val="16"/>
          <w:lang w:val="es-CR" w:eastAsia="en-US"/>
        </w:rPr>
        <w:t>Cfr. Caso del Tribunal Constitucional Vs. Perú. Fondo, Reparaciones y Costas</w:t>
      </w:r>
      <w:r w:rsidRPr="009C15B0">
        <w:rPr>
          <w:rFonts w:eastAsiaTheme="minorHAnsi" w:cstheme="minorBidi"/>
          <w:sz w:val="16"/>
          <w:szCs w:val="16"/>
          <w:lang w:val="es-CR" w:eastAsia="en-US"/>
        </w:rPr>
        <w:t xml:space="preserve">. Sentencia de 31 de enero de 2001. Serie C No. 71, párr. 69, y </w:t>
      </w:r>
      <w:r w:rsidRPr="009C15B0">
        <w:rPr>
          <w:rFonts w:eastAsiaTheme="minorHAnsi" w:cstheme="minorBidi"/>
          <w:i/>
          <w:sz w:val="16"/>
          <w:szCs w:val="16"/>
          <w:lang w:val="es-CR" w:eastAsia="en-US"/>
        </w:rPr>
        <w:t>Caso Pollo Rivera y otros Vs. Perú. Fondo, Reparaciones y Costas</w:t>
      </w:r>
      <w:r w:rsidRPr="009C15B0">
        <w:rPr>
          <w:rFonts w:eastAsiaTheme="minorHAnsi" w:cstheme="minorBidi"/>
          <w:sz w:val="16"/>
          <w:szCs w:val="16"/>
          <w:lang w:val="es-CR" w:eastAsia="en-US"/>
        </w:rPr>
        <w:t>. Sentencia de 21 de octubre de 2016. Serie C No. 319, párr. 209.</w:t>
      </w:r>
    </w:p>
  </w:footnote>
  <w:footnote w:id="282">
    <w:p w14:paraId="73771ADB" w14:textId="7398100D" w:rsidR="007F7D87" w:rsidRPr="009C15B0" w:rsidRDefault="007F7D87" w:rsidP="001E6358">
      <w:pPr>
        <w:pStyle w:val="FootnoteText"/>
        <w:tabs>
          <w:tab w:val="left" w:pos="567"/>
          <w:tab w:val="left" w:pos="709"/>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Excepciones al Agotamiento de los Recursos Internos (arts. 46.1, 46.2.a y 46.2.b, Convención Americana sobre Derechos Humanos). </w:t>
      </w:r>
      <w:r w:rsidRPr="009C15B0">
        <w:rPr>
          <w:sz w:val="16"/>
          <w:szCs w:val="16"/>
          <w:lang w:val="es-CR"/>
        </w:rPr>
        <w:t xml:space="preserve">Opinión Consultiva OC-11/90 de 10 de agosto de 1990. Serie A No. 11, párr. 28, y </w:t>
      </w:r>
      <w:r w:rsidRPr="009C15B0">
        <w:rPr>
          <w:rFonts w:cs="Courier New"/>
          <w:i/>
          <w:sz w:val="16"/>
          <w:szCs w:val="16"/>
          <w:lang w:val="es-CR"/>
        </w:rPr>
        <w:t>Caso Ruano Torres y otros Vs. El Salvador. Fondo, Reparaciones y Costas</w:t>
      </w:r>
      <w:r w:rsidRPr="009C15B0">
        <w:rPr>
          <w:rFonts w:cs="Courier New"/>
          <w:sz w:val="16"/>
          <w:szCs w:val="16"/>
          <w:lang w:val="es-CR"/>
        </w:rPr>
        <w:t>. Sentencia de 5 de octubre de 2015. Serie C No. 303, párr. 152.</w:t>
      </w:r>
    </w:p>
  </w:footnote>
  <w:footnote w:id="283">
    <w:p w14:paraId="3B4E335B" w14:textId="14B46FC8"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 Caso García Ibarra y otros Vs. Ecuador</w:t>
      </w:r>
      <w:r w:rsidRPr="009C15B0">
        <w:rPr>
          <w:sz w:val="16"/>
          <w:szCs w:val="16"/>
          <w:lang w:val="es-CR"/>
        </w:rPr>
        <w:t xml:space="preserve">. </w:t>
      </w:r>
      <w:r w:rsidRPr="009C15B0">
        <w:rPr>
          <w:i/>
          <w:sz w:val="16"/>
          <w:szCs w:val="16"/>
          <w:lang w:val="es-CR"/>
        </w:rPr>
        <w:t>Excepciones Preliminares, Fondo, Reparaciones y Costas</w:t>
      </w:r>
      <w:r w:rsidRPr="009C15B0">
        <w:rPr>
          <w:sz w:val="16"/>
          <w:szCs w:val="16"/>
          <w:lang w:val="es-CR"/>
        </w:rPr>
        <w:t>. Sentencia de 17 de noviembre de 2015. Serie C No. 306,</w:t>
      </w:r>
      <w:r w:rsidRPr="009C15B0">
        <w:rPr>
          <w:i/>
          <w:sz w:val="16"/>
          <w:szCs w:val="16"/>
          <w:lang w:val="es-CR"/>
        </w:rPr>
        <w:t xml:space="preserve"> </w:t>
      </w:r>
      <w:r w:rsidRPr="009C15B0">
        <w:rPr>
          <w:sz w:val="16"/>
          <w:szCs w:val="16"/>
          <w:lang w:val="es-CR"/>
        </w:rPr>
        <w:t xml:space="preserve">párrs. 156 y 157, y </w:t>
      </w:r>
      <w:r w:rsidRPr="009C15B0">
        <w:rPr>
          <w:i/>
          <w:sz w:val="16"/>
          <w:szCs w:val="16"/>
          <w:lang w:val="es-CR"/>
        </w:rPr>
        <w:t>Caso Acosta y otros Vs. Nicaragua, supra</w:t>
      </w:r>
      <w:r w:rsidRPr="009C15B0">
        <w:rPr>
          <w:sz w:val="16"/>
          <w:szCs w:val="16"/>
          <w:lang w:val="es-CR"/>
        </w:rPr>
        <w:t>, párr. 133.</w:t>
      </w:r>
    </w:p>
  </w:footnote>
  <w:footnote w:id="284">
    <w:p w14:paraId="4214EC38"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Caso Fermín Ramírez Vs. Guatemala. Fondo, Reparaciones y Costas</w:t>
      </w:r>
      <w:r w:rsidRPr="009C15B0">
        <w:rPr>
          <w:sz w:val="16"/>
          <w:szCs w:val="16"/>
          <w:lang w:val="es-CR"/>
        </w:rPr>
        <w:t>. Sentencia de 20 de junio de 2005. Serie C No. 126, párr. 66.</w:t>
      </w:r>
    </w:p>
  </w:footnote>
  <w:footnote w:id="285">
    <w:p w14:paraId="37B70918" w14:textId="64288B0E"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 xml:space="preserve">TEDH, </w:t>
      </w:r>
      <w:r w:rsidRPr="009C15B0">
        <w:rPr>
          <w:i/>
          <w:sz w:val="16"/>
          <w:szCs w:val="16"/>
          <w:lang w:val="es-CR"/>
        </w:rPr>
        <w:t>Caso</w:t>
      </w:r>
      <w:r w:rsidRPr="009C15B0">
        <w:rPr>
          <w:sz w:val="16"/>
          <w:szCs w:val="16"/>
          <w:lang w:val="es-CR"/>
        </w:rPr>
        <w:t xml:space="preserve"> </w:t>
      </w:r>
      <w:r w:rsidRPr="009C15B0">
        <w:rPr>
          <w:i/>
          <w:sz w:val="16"/>
          <w:szCs w:val="16"/>
          <w:lang w:val="es-CR" w:eastAsia="en-US"/>
        </w:rPr>
        <w:t>Taxquet Vs. Bélgica</w:t>
      </w:r>
      <w:r w:rsidRPr="009C15B0" w:rsidDel="00FD5E2A">
        <w:rPr>
          <w:sz w:val="16"/>
          <w:szCs w:val="16"/>
          <w:lang w:val="es-CR"/>
        </w:rPr>
        <w:t xml:space="preserve"> </w:t>
      </w:r>
      <w:r w:rsidRPr="009C15B0">
        <w:rPr>
          <w:sz w:val="16"/>
          <w:szCs w:val="16"/>
          <w:lang w:val="es-CR"/>
        </w:rPr>
        <w:t xml:space="preserve">[GS], No. 926/05. Sentencia de 16 de noviembre de 2010, párr. 83. Véase también, TEDH, Caso </w:t>
      </w:r>
      <w:r w:rsidRPr="009C15B0">
        <w:rPr>
          <w:i/>
          <w:sz w:val="16"/>
          <w:szCs w:val="16"/>
          <w:lang w:val="es-CR"/>
        </w:rPr>
        <w:t>Achour Vs. Francia</w:t>
      </w:r>
      <w:r w:rsidRPr="009C15B0">
        <w:rPr>
          <w:sz w:val="16"/>
          <w:szCs w:val="16"/>
          <w:lang w:val="es-CR"/>
        </w:rPr>
        <w:t xml:space="preserve"> [GS], No. 67335/01. Sentencia de 29 de marzo de 2006, párr. 51.</w:t>
      </w:r>
    </w:p>
  </w:footnote>
  <w:footnote w:id="286">
    <w:p w14:paraId="03E4B504" w14:textId="54B6CF9B"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 xml:space="preserve">TEDH, </w:t>
      </w:r>
      <w:r w:rsidRPr="009C15B0">
        <w:rPr>
          <w:i/>
          <w:sz w:val="16"/>
          <w:szCs w:val="16"/>
          <w:lang w:val="es-CR"/>
        </w:rPr>
        <w:t>Caso</w:t>
      </w:r>
      <w:r w:rsidRPr="009C15B0">
        <w:rPr>
          <w:sz w:val="16"/>
          <w:szCs w:val="16"/>
          <w:lang w:val="es-CR"/>
        </w:rPr>
        <w:t xml:space="preserve"> </w:t>
      </w:r>
      <w:r w:rsidRPr="009C15B0">
        <w:rPr>
          <w:i/>
          <w:sz w:val="16"/>
          <w:szCs w:val="16"/>
          <w:lang w:val="es-CR" w:eastAsia="en-US"/>
        </w:rPr>
        <w:t>Taxquet Vs. Bélgica</w:t>
      </w:r>
      <w:r w:rsidRPr="009C15B0" w:rsidDel="00FD5E2A">
        <w:rPr>
          <w:sz w:val="16"/>
          <w:szCs w:val="16"/>
          <w:lang w:val="es-CR"/>
        </w:rPr>
        <w:t xml:space="preserve"> </w:t>
      </w:r>
      <w:r w:rsidRPr="009C15B0">
        <w:rPr>
          <w:sz w:val="16"/>
          <w:szCs w:val="16"/>
          <w:lang w:val="es-CR"/>
        </w:rPr>
        <w:t xml:space="preserve">[GS], </w:t>
      </w:r>
      <w:r w:rsidRPr="009C15B0">
        <w:rPr>
          <w:i/>
          <w:sz w:val="16"/>
          <w:szCs w:val="16"/>
          <w:lang w:val="es-CR"/>
        </w:rPr>
        <w:t>supra</w:t>
      </w:r>
      <w:r w:rsidRPr="009C15B0">
        <w:rPr>
          <w:sz w:val="16"/>
          <w:szCs w:val="16"/>
          <w:lang w:val="es-CR"/>
        </w:rPr>
        <w:t>, párr. 84.</w:t>
      </w:r>
    </w:p>
  </w:footnote>
  <w:footnote w:id="287">
    <w:p w14:paraId="7800FF04" w14:textId="783317FF"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 xml:space="preserve">Comité Derechos Humanos, </w:t>
      </w:r>
      <w:r w:rsidRPr="009C15B0">
        <w:rPr>
          <w:i/>
          <w:sz w:val="16"/>
          <w:szCs w:val="16"/>
          <w:lang w:val="es-CR"/>
        </w:rPr>
        <w:t>Saso John Wilson c. Australia</w:t>
      </w:r>
      <w:r w:rsidRPr="009C15B0">
        <w:rPr>
          <w:sz w:val="16"/>
          <w:szCs w:val="16"/>
          <w:lang w:val="es-CR"/>
        </w:rPr>
        <w:t xml:space="preserve"> (Comunicación No. 1239/2004). Decisión sobre la admisibilidad adoptada el 1 de abril de 2004, UN Doc. CCPR/C/80/D/1239/2004, 29 de abril de 2004, párr. 4.4. Véase también, Comité de Derechos Humanos, </w:t>
      </w:r>
      <w:r w:rsidRPr="009C15B0">
        <w:rPr>
          <w:i/>
          <w:iCs/>
          <w:sz w:val="16"/>
          <w:szCs w:val="16"/>
          <w:lang w:val="es-CR"/>
        </w:rPr>
        <w:t>Kavanagh c. Irlanda</w:t>
      </w:r>
      <w:r w:rsidRPr="009C15B0">
        <w:rPr>
          <w:sz w:val="16"/>
          <w:szCs w:val="16"/>
          <w:lang w:val="es-CR"/>
        </w:rPr>
        <w:t xml:space="preserve"> (Comunicación No. 819/1998), UN Doc. CCPR/C/71/D/819/1998, dictamen adoptado el 4 de abril de 2001, párr. 10.1.</w:t>
      </w:r>
    </w:p>
  </w:footnote>
  <w:footnote w:id="288">
    <w:p w14:paraId="59442EDE" w14:textId="043BE4DA"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Antigua y Barbuda, Argentina (el sistema se aplica en tres de las 23 provincias que la conforman, esto es Buenos Aires, Córdoba y Neuquén, mientras que en otras dos provincias, Río Negro y Chaco, aún se encuentra en fase de implementación, y existen proyectos para hacerlo extensivo a otras), Bahamas, Barbados, Belice, Bolivia, Brasil, Canadá, Estados Unidos, Dominica, El Salvador, Granada, Haití, Jamaica, Nicaragua, Panamá, San Vicente y las Granadinas, Santa Lucia, Trinidad y Tobago, San Cristóbal y Nieves, y Guyana.</w:t>
      </w:r>
    </w:p>
  </w:footnote>
  <w:footnote w:id="289">
    <w:p w14:paraId="27C6E293"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Se caracteriza porque los legos y el juez técnico tienen funciones diferentes. Le corresponde a los primeros deliberar y emitir un veredicto de culpabilidad o inocencia, y al segundo determinar la sentencia aplicable en caso que el jurado encuentre al acusado culpable.</w:t>
      </w:r>
    </w:p>
  </w:footnote>
  <w:footnote w:id="290">
    <w:p w14:paraId="51CA6F76" w14:textId="3E7F8578"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Excepciones al Agotamiento de los Recursos Internos</w:t>
      </w:r>
      <w:r w:rsidRPr="009C15B0">
        <w:rPr>
          <w:sz w:val="16"/>
          <w:szCs w:val="16"/>
          <w:lang w:val="es-CR"/>
        </w:rPr>
        <w:t xml:space="preserve"> </w:t>
      </w:r>
      <w:r w:rsidRPr="009C15B0">
        <w:rPr>
          <w:i/>
          <w:sz w:val="16"/>
          <w:szCs w:val="16"/>
          <w:lang w:val="es-CR"/>
        </w:rPr>
        <w:t>(arts. 46.1, 46.2.a y 46.2.b Convención Americana sobre Derechos Humanos).</w:t>
      </w:r>
      <w:r w:rsidRPr="009C15B0">
        <w:rPr>
          <w:sz w:val="16"/>
          <w:szCs w:val="16"/>
          <w:lang w:val="es-CR"/>
        </w:rPr>
        <w:t xml:space="preserve"> Opinión Consultiva OC-11/90</w:t>
      </w:r>
      <w:r w:rsidRPr="009C15B0">
        <w:rPr>
          <w:i/>
          <w:sz w:val="16"/>
          <w:szCs w:val="16"/>
          <w:lang w:val="es-CR"/>
        </w:rPr>
        <w:t>, supra</w:t>
      </w:r>
      <w:r w:rsidRPr="009C15B0">
        <w:rPr>
          <w:sz w:val="16"/>
          <w:szCs w:val="16"/>
          <w:lang w:val="es-CR"/>
        </w:rPr>
        <w:t>, párr. 28.</w:t>
      </w:r>
    </w:p>
  </w:footnote>
  <w:footnote w:id="291">
    <w:p w14:paraId="5E22F029" w14:textId="5B579485"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Artículo 166 de la Constitución Política de Nicaragua (expediente de prueba, tomo XVII, anexo 1 a la contestación, folio 8017).</w:t>
      </w:r>
    </w:p>
  </w:footnote>
  <w:footnote w:id="292">
    <w:p w14:paraId="7D643D1E" w14:textId="21171C2B"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Dicho cuerpo normativo estuvo vigente desde el año 1879 hasta la entrada en vigencia del Código Procesal Penal el 23 de diciembre de 2002, conforme a lo señalado por el Estado.</w:t>
      </w:r>
    </w:p>
  </w:footnote>
  <w:footnote w:id="293">
    <w:p w14:paraId="09899B24" w14:textId="3B2B1186"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Artículo 22 del Código de Instrucción Criminal (expediente de prueba, tomo XVII, anexo 2 a la contestación, folio 8028).</w:t>
      </w:r>
    </w:p>
  </w:footnote>
  <w:footnote w:id="294">
    <w:p w14:paraId="7F1175A3" w14:textId="74574B4D"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Artículo 23 del Código de Instrucción Criminal (expediente de prueba, tomo XVII, anexo 2 a la contestación, folio 8028).</w:t>
      </w:r>
    </w:p>
  </w:footnote>
  <w:footnote w:id="295">
    <w:p w14:paraId="5BDAEBF1" w14:textId="5A8E8F28"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Artículo 274 del Código de Instrucción Criminal (expediente de prueba, tomo XVII, anexo 2 a la contestación, folio 8066).</w:t>
      </w:r>
    </w:p>
  </w:footnote>
  <w:footnote w:id="296">
    <w:p w14:paraId="789A74F5" w14:textId="6DD03130"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Artículo 275 del Código de Instrucción Criminal (expediente de prueba, tomo XVII, anexo 2 a la contestación, folio 8066).</w:t>
      </w:r>
    </w:p>
  </w:footnote>
  <w:footnote w:id="297">
    <w:p w14:paraId="5885D73C" w14:textId="3410052F"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Artículo 275 del Código de Instrucción Criminal (expediente de prueba, tomo XVII, anexo 2 a la contestación, folio 8066).</w:t>
      </w:r>
    </w:p>
  </w:footnote>
  <w:footnote w:id="298">
    <w:p w14:paraId="219EF8EF" w14:textId="778F1A49"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Artículo 277 del Código de Instrucción Criminal (expediente de prueba, tomo XVII, anexo 2 a la contestación, folio 8066).</w:t>
      </w:r>
    </w:p>
  </w:footnote>
  <w:footnote w:id="299">
    <w:p w14:paraId="6AC09E05" w14:textId="235A5984"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Artículo 277 del Código de Instrucción Criminal (expediente de prueba, tomo XVII, anexo 2 a la contestación, folio 8066).</w:t>
      </w:r>
    </w:p>
  </w:footnote>
  <w:footnote w:id="300">
    <w:p w14:paraId="7A7B24AB" w14:textId="293D6AAE"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Artículos 278 y 284 del Código de Instrucción Criminal (expediente de prueba, tomo XVII, anexo 2 a la contestación, folios 8066 a 8067).</w:t>
      </w:r>
    </w:p>
  </w:footnote>
  <w:footnote w:id="301">
    <w:p w14:paraId="613AA1D0" w14:textId="2E5CABFB"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Artículo 282 del Código de Instrucción Criminal (expediente de prueba, tomo XVII, anexo 2 a la contestación, folio 8067).</w:t>
      </w:r>
    </w:p>
  </w:footnote>
  <w:footnote w:id="302">
    <w:p w14:paraId="505B7681" w14:textId="6B4975D6" w:rsidR="007F7D87" w:rsidRPr="009C15B0" w:rsidRDefault="007F7D87" w:rsidP="001E6358">
      <w:pPr>
        <w:pStyle w:val="FootnoteText"/>
        <w:tabs>
          <w:tab w:val="left" w:pos="567"/>
        </w:tabs>
        <w:spacing w:after="60"/>
        <w:rPr>
          <w:bCs/>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El artículo</w:t>
      </w:r>
      <w:r w:rsidRPr="009C15B0">
        <w:rPr>
          <w:bCs/>
          <w:sz w:val="16"/>
          <w:szCs w:val="16"/>
          <w:lang w:val="es-CR"/>
        </w:rPr>
        <w:t xml:space="preserve"> 290 del Código de Instrucción Criminal dispone que: </w:t>
      </w:r>
    </w:p>
    <w:p w14:paraId="2FFB4171" w14:textId="1ACA55F3" w:rsidR="007F7D87" w:rsidRPr="009C15B0" w:rsidRDefault="007F7D87" w:rsidP="001E6358">
      <w:pPr>
        <w:pStyle w:val="FootnoteText"/>
        <w:tabs>
          <w:tab w:val="left" w:pos="567"/>
        </w:tabs>
        <w:spacing w:after="60"/>
        <w:ind w:left="567"/>
        <w:rPr>
          <w:sz w:val="16"/>
          <w:szCs w:val="16"/>
          <w:lang w:val="es-CR"/>
        </w:rPr>
      </w:pPr>
      <w:r w:rsidRPr="009C15B0">
        <w:rPr>
          <w:sz w:val="16"/>
          <w:szCs w:val="16"/>
          <w:lang w:val="es-CR"/>
        </w:rPr>
        <w:t>Una vez reunidos los jurados, el Juez recibirá la promesa de todos ellos en la forma siguiente: “¿Prometéis delante de Dios y delante de los hombres, examinar con escrupulosa atención el proceso que se os va a someter; no traicionar ni los intereses del acusado ni los de la sociedad que le acusa; no dejaros llevar por el odio, ni por la antipatía, por la malevolencia, por el temor ni por el afecto; resolver siguiendo vuestra conciencia e íntima convicción con la imparcialidad y firmeza que conviene a un hombre probo y libre?”. Cada uno de los jurados llamados individualmente por el Juez responderá: “Lo prometo”. (Arto. 24 de la misma Ley).</w:t>
      </w:r>
    </w:p>
    <w:p w14:paraId="215EA5C5" w14:textId="08F4611E" w:rsidR="007F7D87" w:rsidRPr="009C15B0" w:rsidRDefault="007F7D87" w:rsidP="001E6358">
      <w:pPr>
        <w:pStyle w:val="FootnoteText"/>
        <w:tabs>
          <w:tab w:val="left" w:pos="567"/>
        </w:tabs>
        <w:spacing w:after="60"/>
        <w:rPr>
          <w:sz w:val="16"/>
          <w:szCs w:val="16"/>
          <w:lang w:val="es-CR"/>
        </w:rPr>
      </w:pPr>
      <w:r w:rsidRPr="009C15B0">
        <w:rPr>
          <w:sz w:val="16"/>
          <w:szCs w:val="16"/>
          <w:lang w:val="es-CR"/>
        </w:rPr>
        <w:t>(expediente de prueba, tomo XVII, anexo 2 a la contestación, folio 8068).</w:t>
      </w:r>
    </w:p>
  </w:footnote>
  <w:footnote w:id="303">
    <w:p w14:paraId="470A3E0C" w14:textId="4033EBAF"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Artículo 291 del Código de Instrucción Criminal (expediente de prueba, tomo XVII, anexo 2 a la contestación, folio 8068).</w:t>
      </w:r>
    </w:p>
  </w:footnote>
  <w:footnote w:id="304">
    <w:p w14:paraId="6EFB3723" w14:textId="55C752B0"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Artículos 292 a 303 del Código de Instrucción Criminal (expediente de prueba, tomo XVII, anexo 2 a la contestación, folios 8068 a 8069).</w:t>
      </w:r>
    </w:p>
  </w:footnote>
  <w:footnote w:id="305">
    <w:p w14:paraId="367F1F52" w14:textId="45F04B0B"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Artículos 304 y 306 del Código de Instrucción Criminal (expediente de prueba, tomo XVII, anexo 2 a la contestación, folios 8069 a 8070).</w:t>
      </w:r>
    </w:p>
  </w:footnote>
  <w:footnote w:id="306">
    <w:p w14:paraId="73375EA7" w14:textId="7A7C6813"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Artículo 305 del Código de Instrucción Criminal (expediente de prueba, tomo XVII, anexo 2 a la contestación, folio 8069).</w:t>
      </w:r>
    </w:p>
  </w:footnote>
  <w:footnote w:id="307">
    <w:p w14:paraId="45E14BF4" w14:textId="7A08017B"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Artículo 307 del Código de Instrucción Criminal (expediente de prueba, tomo XVII, anexo 2 a la contestación, folio 8070).</w:t>
      </w:r>
    </w:p>
  </w:footnote>
  <w:footnote w:id="308">
    <w:p w14:paraId="6F2BAE33" w14:textId="202DC691"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Artículo 307 del Código de Instrucción Criminal (expediente de prueba, tomo XVII, anexo 2 a la contestación, folio 8070).</w:t>
      </w:r>
    </w:p>
  </w:footnote>
  <w:footnote w:id="309">
    <w:p w14:paraId="673AE1F6" w14:textId="154A61C0" w:rsidR="007F7D87" w:rsidRPr="009C15B0" w:rsidRDefault="007F7D87" w:rsidP="001E6358">
      <w:pPr>
        <w:pStyle w:val="FootnoteText"/>
        <w:tabs>
          <w:tab w:val="left" w:pos="567"/>
        </w:tabs>
        <w:spacing w:after="60"/>
        <w:rPr>
          <w:bCs/>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El artículo</w:t>
      </w:r>
      <w:r w:rsidRPr="009C15B0">
        <w:rPr>
          <w:bCs/>
          <w:sz w:val="16"/>
          <w:szCs w:val="16"/>
          <w:lang w:val="es-CR"/>
        </w:rPr>
        <w:t xml:space="preserve"> 309 del Código de Instrucción Criminal dispone que: </w:t>
      </w:r>
    </w:p>
    <w:p w14:paraId="79C6BD34" w14:textId="2633647E" w:rsidR="007F7D87" w:rsidRPr="009C15B0" w:rsidRDefault="007F7D87" w:rsidP="001E6358">
      <w:pPr>
        <w:pStyle w:val="FootnoteText"/>
        <w:tabs>
          <w:tab w:val="left" w:pos="567"/>
        </w:tabs>
        <w:spacing w:after="60"/>
        <w:ind w:left="567"/>
        <w:rPr>
          <w:sz w:val="16"/>
          <w:szCs w:val="16"/>
          <w:lang w:val="es-CR"/>
        </w:rPr>
      </w:pPr>
      <w:r w:rsidRPr="009C15B0">
        <w:rPr>
          <w:sz w:val="16"/>
          <w:szCs w:val="16"/>
          <w:lang w:val="es-CR"/>
        </w:rPr>
        <w:t>El veredicto se escribirá en la siguiente e indispensable fórmula: “En la ciudad de ... (Nombre de la ciudad, la hora, fecha, mes y año). El jurado, habiendo examinado la presente causa, declara: (si es absolviendo) que fulano o fulanos es o no inocentes del delito o delitos, falta o faltas porque les ha proveído auto de prisión: (si es condenatorio) que fulano o fulanos es o son culpables del delito o delitos, falta o faltas, porque se les ha proveído auto de prisión, fulano su cómplice y fulano su encubridor”. Si se absuelve por un delito o falta y se condena por otro u otra, deben designarse claramente ambos. (Arto. 43 de la misma Ley).</w:t>
      </w:r>
    </w:p>
    <w:p w14:paraId="462612DF" w14:textId="3F562488" w:rsidR="007F7D87" w:rsidRPr="009C15B0" w:rsidRDefault="007F7D87" w:rsidP="001E6358">
      <w:pPr>
        <w:pStyle w:val="FootnoteText"/>
        <w:tabs>
          <w:tab w:val="left" w:pos="567"/>
        </w:tabs>
        <w:spacing w:after="60"/>
        <w:rPr>
          <w:sz w:val="16"/>
          <w:szCs w:val="16"/>
          <w:lang w:val="es-CR"/>
        </w:rPr>
      </w:pPr>
      <w:r w:rsidRPr="009C15B0">
        <w:rPr>
          <w:sz w:val="16"/>
          <w:szCs w:val="16"/>
          <w:lang w:val="es-CR"/>
        </w:rPr>
        <w:t>(expediente de prueba, tomo XVII, anexo 2 a la contestación, folio 8070).</w:t>
      </w:r>
    </w:p>
  </w:footnote>
  <w:footnote w:id="310">
    <w:p w14:paraId="58557CA2" w14:textId="44F71926"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Artículos 310 y 311 del Código de Instrucción Criminal (expediente de prueba, tomo XVII, anexo 2 a la contestación, folio 8070).</w:t>
      </w:r>
    </w:p>
  </w:footnote>
  <w:footnote w:id="311">
    <w:p w14:paraId="629B3FB8" w14:textId="17277E52"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Artículo 321 del Código de Instrucción Criminal (expediente de prueba, tomo XVII, anexo 2 a la contestación, folio 8072).</w:t>
      </w:r>
    </w:p>
  </w:footnote>
  <w:footnote w:id="312">
    <w:p w14:paraId="78E8731F" w14:textId="34221673"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Artículo 322 del Código de Instrucción Criminal (expediente de prueba, tomo XVII, anexo 2 a la contestación, folio 8072).</w:t>
      </w:r>
    </w:p>
  </w:footnote>
  <w:footnote w:id="313">
    <w:p w14:paraId="08956114" w14:textId="1AC3FE7D"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Artículo 326 del Código de Instrucción Criminal (expediente de prueba, tomo XVII, anexo 2 a la contestación, folio 8073).</w:t>
      </w:r>
    </w:p>
  </w:footnote>
  <w:footnote w:id="314">
    <w:p w14:paraId="65B9F6A2" w14:textId="4AB84B94"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Artículo 444 del Código de Instrucción Criminal (expediente de prueba, tomo XVII, anexo 2 a la contestación, folios 8090 a 8091).</w:t>
      </w:r>
    </w:p>
  </w:footnote>
  <w:footnote w:id="315">
    <w:p w14:paraId="2A3791CD" w14:textId="5334FD83"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Artículo 446 del Código de Instrucción Criminal (expediente de prueba, tomo XVII, anexo 2 a la contestación, folio 8091).</w:t>
      </w:r>
    </w:p>
  </w:footnote>
  <w:footnote w:id="316">
    <w:p w14:paraId="30E11CFF" w14:textId="655D37F1"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Considerando I de la Ley N° 779,</w:t>
      </w:r>
      <w:r w:rsidRPr="009C15B0">
        <w:rPr>
          <w:sz w:val="16"/>
          <w:szCs w:val="16"/>
          <w:lang w:val="es-CR" w:eastAsia="es-CR"/>
        </w:rPr>
        <w:t xml:space="preserve"> </w:t>
      </w:r>
      <w:r w:rsidRPr="009C15B0">
        <w:rPr>
          <w:sz w:val="16"/>
          <w:szCs w:val="16"/>
          <w:lang w:val="es-CR"/>
        </w:rPr>
        <w:t>“Ley Integral Contra la Violencia hacia las Mujeres y de Reformas a la Ley No. 641, ‘Código Penal’” (expediente de prueba, tomo XX, anexo 3 de la prueba para mejor resolver, folio 9457).</w:t>
      </w:r>
    </w:p>
  </w:footnote>
  <w:footnote w:id="317">
    <w:p w14:paraId="5DDBFC0C" w14:textId="0AFCC9D8"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 xml:space="preserve">El artículo 30 de la Ley N° 779 establece lo siguiente: </w:t>
      </w:r>
    </w:p>
    <w:p w14:paraId="47222CF7" w14:textId="7DC9A137" w:rsidR="007F7D87" w:rsidRPr="009C15B0" w:rsidRDefault="007F7D87" w:rsidP="001E6358">
      <w:pPr>
        <w:pStyle w:val="FootnoteText"/>
        <w:tabs>
          <w:tab w:val="left" w:pos="567"/>
        </w:tabs>
        <w:spacing w:after="60"/>
        <w:ind w:left="567"/>
        <w:rPr>
          <w:sz w:val="16"/>
          <w:szCs w:val="16"/>
          <w:lang w:val="es-CR"/>
        </w:rPr>
      </w:pPr>
      <w:r w:rsidRPr="009C15B0">
        <w:rPr>
          <w:sz w:val="16"/>
          <w:szCs w:val="16"/>
          <w:lang w:val="es-CR"/>
        </w:rPr>
        <w:t>Órganos especializados.- Créense los Juzgados de Distrito Especializados en Violencia, integrados por un Juez o Jueza especializada en la materia. Deberá existir como mínimo un Juzgado de Distrito Especializado en Violencia en cada cabecera departamental y Regiones Autónomas y en los municipios en que, por su ubicación, sea difícil el acceso a los Juzgados ubicados en las cabeceras departamentales.</w:t>
      </w:r>
    </w:p>
    <w:p w14:paraId="4C727B4C" w14:textId="749C382E" w:rsidR="007F7D87" w:rsidRPr="009C15B0" w:rsidRDefault="007F7D87" w:rsidP="001E6358">
      <w:pPr>
        <w:pStyle w:val="FootnoteText"/>
        <w:tabs>
          <w:tab w:val="left" w:pos="567"/>
        </w:tabs>
        <w:spacing w:after="60"/>
        <w:ind w:left="567"/>
        <w:rPr>
          <w:sz w:val="16"/>
          <w:szCs w:val="16"/>
          <w:lang w:val="es-CR"/>
        </w:rPr>
      </w:pPr>
      <w:r w:rsidRPr="009C15B0">
        <w:rPr>
          <w:sz w:val="16"/>
          <w:szCs w:val="16"/>
          <w:lang w:val="es-CR"/>
        </w:rPr>
        <w:t>Adscritos a los Juzgados de Distrito Especializado en Violencia, se crearán equipos interdisciplinarios integrados al menos por una psicóloga y una trabajadora social, encargados de brindar asistencia especializada a las víctimas, en apoyo a la función jurisdiccional en las audiencias; y para brindar seguimiento y control de las medidas de protección impuestas por el juzgado.</w:t>
      </w:r>
    </w:p>
    <w:p w14:paraId="003945FA" w14:textId="0CE8E669" w:rsidR="007F7D87" w:rsidRPr="009C15B0" w:rsidRDefault="007F7D87" w:rsidP="001E6358">
      <w:pPr>
        <w:pStyle w:val="FootnoteText"/>
        <w:tabs>
          <w:tab w:val="left" w:pos="567"/>
        </w:tabs>
        <w:spacing w:after="60"/>
        <w:rPr>
          <w:sz w:val="16"/>
          <w:szCs w:val="16"/>
          <w:lang w:val="es-CR"/>
        </w:rPr>
      </w:pPr>
      <w:r w:rsidRPr="009C15B0">
        <w:rPr>
          <w:sz w:val="16"/>
          <w:szCs w:val="16"/>
          <w:lang w:val="es-CR"/>
        </w:rPr>
        <w:t>(expediente de prueba, tomo XX, anexo 3 de la prueba para mejor resolver, folio 9464).</w:t>
      </w:r>
    </w:p>
  </w:footnote>
  <w:footnote w:id="318">
    <w:p w14:paraId="5EF0E002" w14:textId="24491A52" w:rsidR="007F7D87" w:rsidRPr="009C15B0" w:rsidRDefault="007F7D87" w:rsidP="001E6358">
      <w:pPr>
        <w:pStyle w:val="FootnoteText"/>
        <w:tabs>
          <w:tab w:val="left" w:pos="567"/>
        </w:tabs>
        <w:spacing w:after="60"/>
        <w:rPr>
          <w:i/>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El artículo 56 de la Ley N° 779 dispone que: “[s]e realizará con Jueza o Juez técnico los juicios por los delitos a los que se refiere la presente Ley” (expediente de prueba, tomo XX, anexo 3 de la prueba para mejor resolver, folio 9468).</w:t>
      </w:r>
    </w:p>
  </w:footnote>
  <w:footnote w:id="319">
    <w:p w14:paraId="59CE9EEB" w14:textId="11C72032"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i/>
          <w:sz w:val="16"/>
          <w:szCs w:val="16"/>
          <w:lang w:val="es-CR"/>
        </w:rPr>
        <w:tab/>
        <w:t xml:space="preserve">Cfr. Caso Apitz Barbera y otros (“Corte Primera de lo Contencioso Administrativo”) Vs. Venezuela. Excepción Preliminar, Fondo, Reparaciones y Costas. </w:t>
      </w:r>
      <w:r w:rsidRPr="009C15B0">
        <w:rPr>
          <w:iCs/>
          <w:sz w:val="16"/>
          <w:szCs w:val="16"/>
          <w:lang w:val="es-CR"/>
        </w:rPr>
        <w:t xml:space="preserve">Sentencia de 5 de agosto de 2008. Serie C </w:t>
      </w:r>
      <w:r w:rsidRPr="009C15B0">
        <w:rPr>
          <w:bCs/>
          <w:iCs/>
          <w:sz w:val="16"/>
          <w:szCs w:val="16"/>
          <w:lang w:val="es-CR"/>
        </w:rPr>
        <w:t>No. 182</w:t>
      </w:r>
      <w:r w:rsidRPr="009C15B0">
        <w:rPr>
          <w:iCs/>
          <w:sz w:val="16"/>
          <w:szCs w:val="16"/>
          <w:lang w:val="es-CR"/>
        </w:rPr>
        <w:t>, párr. 56,</w:t>
      </w:r>
      <w:r w:rsidRPr="009C15B0">
        <w:rPr>
          <w:i/>
          <w:sz w:val="16"/>
          <w:szCs w:val="16"/>
          <w:lang w:val="es-CR"/>
        </w:rPr>
        <w:t xml:space="preserve"> </w:t>
      </w:r>
      <w:r w:rsidRPr="009C15B0">
        <w:rPr>
          <w:sz w:val="16"/>
          <w:szCs w:val="16"/>
          <w:lang w:val="es-CR"/>
        </w:rPr>
        <w:t>y</w:t>
      </w:r>
      <w:r w:rsidRPr="009C15B0">
        <w:rPr>
          <w:i/>
          <w:sz w:val="16"/>
          <w:szCs w:val="16"/>
          <w:lang w:val="es-CR"/>
        </w:rPr>
        <w:t xml:space="preserve"> Caso Acosta y otros Vs. Nicaragua, supra</w:t>
      </w:r>
      <w:r w:rsidRPr="009C15B0">
        <w:rPr>
          <w:sz w:val="16"/>
          <w:szCs w:val="16"/>
          <w:lang w:val="es-CR"/>
        </w:rPr>
        <w:t>, párr. 172.</w:t>
      </w:r>
    </w:p>
  </w:footnote>
  <w:footnote w:id="320">
    <w:p w14:paraId="66B37051" w14:textId="6D77D69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 Caso Apitz Barbera y otros (“Corte Primera de lo Contencioso Administrativo”) Vs. Venezuela, supra</w:t>
      </w:r>
      <w:r w:rsidRPr="009C15B0">
        <w:rPr>
          <w:sz w:val="16"/>
          <w:szCs w:val="16"/>
          <w:lang w:val="es-CR"/>
        </w:rPr>
        <w:t>, párr. 56,</w:t>
      </w:r>
      <w:r w:rsidRPr="009C15B0">
        <w:rPr>
          <w:i/>
          <w:sz w:val="16"/>
          <w:szCs w:val="16"/>
          <w:lang w:val="es-CR"/>
        </w:rPr>
        <w:t xml:space="preserve"> </w:t>
      </w:r>
      <w:r w:rsidRPr="009C15B0">
        <w:rPr>
          <w:sz w:val="16"/>
          <w:szCs w:val="16"/>
          <w:lang w:val="es-CR"/>
        </w:rPr>
        <w:t xml:space="preserve">y </w:t>
      </w:r>
      <w:r w:rsidRPr="009C15B0">
        <w:rPr>
          <w:i/>
          <w:sz w:val="16"/>
          <w:szCs w:val="16"/>
          <w:lang w:val="es-CR"/>
        </w:rPr>
        <w:t>Caso Acosta y otros Vs. Nicaragua, supra</w:t>
      </w:r>
      <w:r w:rsidRPr="009C15B0">
        <w:rPr>
          <w:sz w:val="16"/>
          <w:szCs w:val="16"/>
          <w:lang w:val="es-CR"/>
        </w:rPr>
        <w:t>, párr. 172.</w:t>
      </w:r>
    </w:p>
  </w:footnote>
  <w:footnote w:id="321">
    <w:p w14:paraId="0CE8B031" w14:textId="3EA41CE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bCs/>
          <w:i/>
          <w:sz w:val="16"/>
          <w:szCs w:val="16"/>
          <w:lang w:val="es-CR"/>
        </w:rPr>
        <w:t>Caso Apitz Barbera y otros (“Corte Primera de lo Contencioso Administrativo”) Vs. Venezuela, supra</w:t>
      </w:r>
      <w:r w:rsidRPr="009C15B0">
        <w:rPr>
          <w:sz w:val="16"/>
          <w:szCs w:val="16"/>
          <w:lang w:val="es-CR"/>
        </w:rPr>
        <w:t xml:space="preserve">, párr. 56, y </w:t>
      </w:r>
      <w:r w:rsidRPr="009C15B0">
        <w:rPr>
          <w:i/>
          <w:sz w:val="16"/>
          <w:szCs w:val="16"/>
          <w:lang w:val="es-CR"/>
        </w:rPr>
        <w:t>Caso López Lone y otros Vs. Honduras</w:t>
      </w:r>
      <w:r w:rsidRPr="009C15B0">
        <w:rPr>
          <w:sz w:val="16"/>
          <w:szCs w:val="16"/>
          <w:lang w:val="es-CR"/>
        </w:rPr>
        <w:t xml:space="preserve">. </w:t>
      </w:r>
      <w:r w:rsidRPr="009C15B0">
        <w:rPr>
          <w:i/>
          <w:sz w:val="16"/>
          <w:szCs w:val="16"/>
          <w:lang w:val="es-CR"/>
        </w:rPr>
        <w:t xml:space="preserve">Excepción Preliminar, Fondo, Reparaciones y Costas. </w:t>
      </w:r>
      <w:r w:rsidRPr="009C15B0">
        <w:rPr>
          <w:sz w:val="16"/>
          <w:szCs w:val="16"/>
          <w:lang w:val="es-CR"/>
        </w:rPr>
        <w:t>Sentencia de 5 de octubre de 2015. Serie C No. 302, párr. 233.</w:t>
      </w:r>
    </w:p>
  </w:footnote>
  <w:footnote w:id="322">
    <w:p w14:paraId="55BBF655" w14:textId="0EB2FB11"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 xml:space="preserve">En igual sentido se han expedido tanto el Tribunal Europeo de Derechos Humanos como el Comité de Derechos Humanos. </w:t>
      </w:r>
      <w:r w:rsidRPr="009C15B0">
        <w:rPr>
          <w:i/>
          <w:sz w:val="16"/>
          <w:szCs w:val="16"/>
          <w:lang w:val="es-CR"/>
        </w:rPr>
        <w:t xml:space="preserve">Cfr. </w:t>
      </w:r>
      <w:r w:rsidRPr="009C15B0">
        <w:rPr>
          <w:sz w:val="16"/>
          <w:szCs w:val="16"/>
          <w:lang w:val="es-CR"/>
        </w:rPr>
        <w:t xml:space="preserve">TEDH, </w:t>
      </w:r>
      <w:r w:rsidRPr="009C15B0">
        <w:rPr>
          <w:i/>
          <w:sz w:val="16"/>
          <w:szCs w:val="16"/>
          <w:lang w:val="es-CR"/>
        </w:rPr>
        <w:t>Caso Gregory Vs. Reino Unido</w:t>
      </w:r>
      <w:r w:rsidRPr="009C15B0">
        <w:rPr>
          <w:sz w:val="16"/>
          <w:szCs w:val="16"/>
          <w:lang w:val="es-CR"/>
        </w:rPr>
        <w:t xml:space="preserve">, No. 22299/93. Sentencia de 25 de febrero de 1997, párrs. 22 a 25, y </w:t>
      </w:r>
      <w:r w:rsidRPr="009C15B0">
        <w:rPr>
          <w:i/>
          <w:sz w:val="16"/>
          <w:szCs w:val="16"/>
          <w:lang w:val="es-CR"/>
        </w:rPr>
        <w:t>Caso Sanders Vs. Reino Unido</w:t>
      </w:r>
      <w:r w:rsidRPr="009C15B0">
        <w:rPr>
          <w:sz w:val="16"/>
          <w:szCs w:val="16"/>
          <w:lang w:val="es-CR"/>
        </w:rPr>
        <w:t xml:space="preserve">, No. 34129/96. Sentencia de 9 de mayo de 2000, párrs. 22 a 25. Véase también, Comité de Derechos Humanos, Caso </w:t>
      </w:r>
      <w:r w:rsidRPr="009C15B0">
        <w:rPr>
          <w:i/>
          <w:sz w:val="16"/>
          <w:szCs w:val="16"/>
          <w:lang w:val="es-CR"/>
        </w:rPr>
        <w:t>Mulai c. Guayna</w:t>
      </w:r>
      <w:r w:rsidRPr="009C15B0">
        <w:rPr>
          <w:sz w:val="16"/>
          <w:szCs w:val="16"/>
          <w:lang w:val="es-CR"/>
        </w:rPr>
        <w:t xml:space="preserve"> (Comunicación No. 811/1998), UN Doc. CCPR/C/81/D/811/1998, dictamen adoptado el 20 de julio de 2004, párr. 6.1,</w:t>
      </w:r>
      <w:r w:rsidRPr="009C15B0">
        <w:rPr>
          <w:i/>
          <w:sz w:val="16"/>
          <w:szCs w:val="16"/>
          <w:lang w:val="es-CR"/>
        </w:rPr>
        <w:t xml:space="preserve"> </w:t>
      </w:r>
      <w:r w:rsidRPr="009C15B0">
        <w:rPr>
          <w:sz w:val="16"/>
          <w:szCs w:val="16"/>
          <w:lang w:val="es-CR"/>
        </w:rPr>
        <w:t xml:space="preserve">y </w:t>
      </w:r>
      <w:r w:rsidRPr="009C15B0">
        <w:rPr>
          <w:i/>
          <w:sz w:val="16"/>
          <w:szCs w:val="16"/>
          <w:lang w:val="es-CR"/>
        </w:rPr>
        <w:t>Dole Chadee y otros c. Trinidad y Tobago</w:t>
      </w:r>
      <w:r w:rsidRPr="009C15B0">
        <w:rPr>
          <w:sz w:val="16"/>
          <w:szCs w:val="16"/>
          <w:lang w:val="es-CR"/>
        </w:rPr>
        <w:t xml:space="preserve"> (Comunicación No. 813/1998), UN Doc. CCPR/C/63/D/813/1998, dictamen adoptado el 29 de julio de 1998, párr. 10.1.</w:t>
      </w:r>
    </w:p>
  </w:footnote>
  <w:footnote w:id="323">
    <w:p w14:paraId="26E5ED01" w14:textId="74B4FF74"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 xml:space="preserve">TEDH, </w:t>
      </w:r>
      <w:r w:rsidRPr="009C15B0">
        <w:rPr>
          <w:i/>
          <w:sz w:val="16"/>
          <w:szCs w:val="16"/>
          <w:lang w:val="es-CR"/>
        </w:rPr>
        <w:t>Caso Hanif y Khan Vs. Reino Unido</w:t>
      </w:r>
      <w:r w:rsidRPr="009C15B0">
        <w:rPr>
          <w:sz w:val="16"/>
          <w:szCs w:val="16"/>
          <w:lang w:val="es-CR"/>
        </w:rPr>
        <w:t>, Nos. 52999/08 y 61779/08. Sentencia de 20 de diciembre de 2011, párr. 138.</w:t>
      </w:r>
    </w:p>
  </w:footnote>
  <w:footnote w:id="324">
    <w:p w14:paraId="5DC1F5D6" w14:textId="2F4E2B7C"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 xml:space="preserve">TEDH, </w:t>
      </w:r>
      <w:r w:rsidRPr="009C15B0">
        <w:rPr>
          <w:i/>
          <w:sz w:val="16"/>
          <w:szCs w:val="16"/>
          <w:lang w:val="es-CR"/>
        </w:rPr>
        <w:t>Caso Hanif y Khan Vs. Reino Unido</w:t>
      </w:r>
      <w:r w:rsidRPr="009C15B0">
        <w:rPr>
          <w:sz w:val="16"/>
          <w:szCs w:val="16"/>
          <w:lang w:val="es-CR"/>
        </w:rPr>
        <w:t xml:space="preserve">, </w:t>
      </w:r>
      <w:r w:rsidRPr="009C15B0">
        <w:rPr>
          <w:i/>
          <w:sz w:val="16"/>
          <w:szCs w:val="16"/>
          <w:lang w:val="es-CR"/>
        </w:rPr>
        <w:t>supra</w:t>
      </w:r>
      <w:r w:rsidRPr="009C15B0">
        <w:rPr>
          <w:sz w:val="16"/>
          <w:szCs w:val="16"/>
          <w:lang w:val="es-CR"/>
        </w:rPr>
        <w:t>, párr. 139.</w:t>
      </w:r>
    </w:p>
  </w:footnote>
  <w:footnote w:id="325">
    <w:p w14:paraId="7500EE9A" w14:textId="171CFF74"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 xml:space="preserve">TEDH, </w:t>
      </w:r>
      <w:r w:rsidRPr="009C15B0">
        <w:rPr>
          <w:i/>
          <w:sz w:val="16"/>
          <w:szCs w:val="16"/>
          <w:lang w:val="es-CR"/>
        </w:rPr>
        <w:t>Caso Hanif y Khan Vs. Reino Unido</w:t>
      </w:r>
      <w:r w:rsidRPr="009C15B0">
        <w:rPr>
          <w:sz w:val="16"/>
          <w:szCs w:val="16"/>
          <w:lang w:val="es-CR"/>
        </w:rPr>
        <w:t xml:space="preserve">, </w:t>
      </w:r>
      <w:r w:rsidRPr="009C15B0">
        <w:rPr>
          <w:i/>
          <w:sz w:val="16"/>
          <w:szCs w:val="16"/>
          <w:lang w:val="es-CR"/>
        </w:rPr>
        <w:t>supra</w:t>
      </w:r>
      <w:r w:rsidRPr="009C15B0">
        <w:rPr>
          <w:sz w:val="16"/>
          <w:szCs w:val="16"/>
          <w:lang w:val="es-CR"/>
        </w:rPr>
        <w:t>, párr. 140.</w:t>
      </w:r>
    </w:p>
  </w:footnote>
  <w:footnote w:id="326">
    <w:p w14:paraId="3FCE7E4F" w14:textId="7D8FB61F"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 xml:space="preserve">TEDH, </w:t>
      </w:r>
      <w:r w:rsidRPr="009C15B0">
        <w:rPr>
          <w:i/>
          <w:sz w:val="16"/>
          <w:szCs w:val="16"/>
          <w:lang w:val="es-CR"/>
        </w:rPr>
        <w:t xml:space="preserve">Caso Pabla Ky Vs. Finlandia, </w:t>
      </w:r>
      <w:r w:rsidRPr="009C15B0">
        <w:rPr>
          <w:sz w:val="16"/>
          <w:szCs w:val="16"/>
          <w:lang w:val="es-CR"/>
        </w:rPr>
        <w:t>No. 47221/99. Sentencia de 22 de junio de 2004, párr. 27.</w:t>
      </w:r>
    </w:p>
  </w:footnote>
  <w:footnote w:id="327">
    <w:p w14:paraId="6FD079FB" w14:textId="2ACB5304"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 xml:space="preserve">En el auto de 15 de abril de 2002, la jueza señaló que V.P.C. estuvo representada por su abogado, por lo que no se violó el procedimiento en la desinsaculación. </w:t>
      </w:r>
      <w:r w:rsidRPr="009C15B0">
        <w:rPr>
          <w:i/>
          <w:sz w:val="16"/>
          <w:szCs w:val="16"/>
          <w:lang w:val="es-CR"/>
        </w:rPr>
        <w:t>Cfr.</w:t>
      </w:r>
      <w:r w:rsidRPr="009C15B0">
        <w:rPr>
          <w:sz w:val="16"/>
          <w:szCs w:val="16"/>
          <w:lang w:val="es-CR"/>
        </w:rPr>
        <w:t xml:space="preserve"> Auto emitido por el Juez del Distrito para lo Penal de Jinotega el 15 de abril de 2002 (expediente de prueba, tomo XVI, anexo D.2 al escrito de solicitudes, argumentos y pruebas, folios 7136 a 7137).</w:t>
      </w:r>
    </w:p>
  </w:footnote>
  <w:footnote w:id="328">
    <w:p w14:paraId="2BE497DB"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Se solicitó el video al Estado como prueba para mejor resolver, el cual aclaró que la ley en aquél momento no establecía la grabación de las audiencias en video. Agregó que estaba imposibilitado de proveer dicho video por el tiempo transcurrido de 15 años desde que se denunció el caso ante la Comisión IDH en el año 2002, hasta esta fecha. Sin embargo, señaló que prueba de que si existió dicho video y que fue inspeccionado por las partes en el proceso es el acta de inspección que el Estado proveyó a la Corte.</w:t>
      </w:r>
    </w:p>
  </w:footnote>
  <w:footnote w:id="329">
    <w:p w14:paraId="7BA28831" w14:textId="63ED28C1"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La señora V.P.C. señaló que: “[y]a casi cuando llevábamos alrededor de 23-24 horas, entró el secretario, estaba la juez, la que siempre estuvo al frente del caso, que a pesar de que si él dice que si fue recusado o no recusado, ella siempre volvía otra vez, pasaba de jueces en jueces pero los casos siempre se los volvían a pasar a ella y en ese momento llevaron, como lo que se llama una bolsas como plateadas, que se miraba que lo que había eran como fajos de billetes, porque está el video que lo examinó el juez y todo, y se acercó uno de los tantos abogados que tenía el agresor y le dijo: ‘miren señores miembros del jurado, aquí está este sobre para que sea leído en una sesión privada’. Entonces en ese momento, me entiende, se le dijo que por favor mostraran el documento, dijeron que como habían indicado de que se leyera en la sesión privada, tampoco quisieron mostrar lo que había dentro de esa bolsa, pero cuando ellos entraron a deliberar en ese momento ellos llevaban la bolsa y llevaban el documento. Cuando ellos salieron y posterior a eso, la bolsa y el documento tenían que agregarse al documento porque formaban parte del expediente y nunca aparecieron. Y por esa razón es que se había promovido como un incidente de nulidad por el cohecho que era para los miembros del jurado […]. Era una bolsa plateada, o sea cubierta, me entiende, estaba como así sellada, pero se miraba por fuera, porque era una bolsa que contenía dinero y había un video, ese video no sé qué fue lo que pasó con este video pero el video se desapareció en el Juzgado”. Declaración rendida ante la Corte Interamericana por V.P.C. en la audiencia pública celebrada el 16 y 17 de octubre de 2017. Por su parte</w:t>
      </w:r>
      <w:r>
        <w:rPr>
          <w:sz w:val="16"/>
          <w:szCs w:val="16"/>
          <w:lang w:val="es-CR"/>
        </w:rPr>
        <w:t>, la jueza de d</w:t>
      </w:r>
      <w:r w:rsidRPr="009C15B0">
        <w:rPr>
          <w:sz w:val="16"/>
          <w:szCs w:val="16"/>
          <w:lang w:val="es-CR"/>
        </w:rPr>
        <w:t>erecho indicó en su descargo ante la queja pro</w:t>
      </w:r>
      <w:r>
        <w:rPr>
          <w:sz w:val="16"/>
          <w:szCs w:val="16"/>
          <w:lang w:val="es-CR"/>
        </w:rPr>
        <w:t>movida en su contra: “que el d[í]a trece de [a]</w:t>
      </w:r>
      <w:r w:rsidRPr="009C15B0">
        <w:rPr>
          <w:sz w:val="16"/>
          <w:szCs w:val="16"/>
          <w:lang w:val="es-CR"/>
        </w:rPr>
        <w:t>bril entre las diez y treinta y once minutos de la mañana por una necesidad imperiosa de carácter personal ya que me encontraba en mi período menstrual mi esposo hizo llegar una bolsa color gris que decía Lucky Strick con Ropa, un blumer y toallas sanitarias”. Descargo presentado el 29 de enero de 2003 (expediente de prueba, tomo XX, anexo 7.a de la prueba para mejor resolver, folios 9666 a 9669).</w:t>
      </w:r>
    </w:p>
  </w:footnote>
  <w:footnote w:id="330">
    <w:p w14:paraId="254FC5A0" w14:textId="3D723177" w:rsidR="007F7D87" w:rsidRPr="009C15B0" w:rsidRDefault="007F7D87" w:rsidP="001E6358">
      <w:pPr>
        <w:pStyle w:val="FootnoteText"/>
        <w:tabs>
          <w:tab w:val="left" w:pos="567"/>
        </w:tabs>
        <w:spacing w:after="60"/>
        <w:rPr>
          <w:i/>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Caso Apitz Barbera y otros (“Corte Primera de lo Contencioso Administrativo”) Vs. Venezuela, supra</w:t>
      </w:r>
      <w:r w:rsidRPr="009C15B0">
        <w:rPr>
          <w:sz w:val="16"/>
          <w:szCs w:val="16"/>
          <w:lang w:val="es-CR"/>
        </w:rPr>
        <w:t>, párr. 78, y</w:t>
      </w:r>
      <w:r w:rsidRPr="009C15B0">
        <w:rPr>
          <w:i/>
          <w:sz w:val="16"/>
          <w:szCs w:val="16"/>
          <w:lang w:val="es-CR"/>
        </w:rPr>
        <w:t xml:space="preserve"> Caso Trabajadores Cesados de Petroperú y otros Vs. Perú, supra</w:t>
      </w:r>
      <w:r w:rsidRPr="009C15B0">
        <w:rPr>
          <w:sz w:val="16"/>
          <w:szCs w:val="16"/>
          <w:lang w:val="es-CR"/>
        </w:rPr>
        <w:t>, párr. 168.</w:t>
      </w:r>
    </w:p>
  </w:footnote>
  <w:footnote w:id="331">
    <w:p w14:paraId="005D4E7D" w14:textId="49086204"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Caso Chaparro Álvarez y Lapo Íñiguez Vs. Ecuador. Excepción Preliminar, Fondo, Reparaciones y Costas</w:t>
      </w:r>
      <w:r w:rsidRPr="009C15B0">
        <w:rPr>
          <w:sz w:val="16"/>
          <w:szCs w:val="16"/>
          <w:lang w:val="es-CR"/>
        </w:rPr>
        <w:t xml:space="preserve">. Sentencia de 21 de noviembre de 2007. Serie C No. 170, párr. 107, y </w:t>
      </w:r>
      <w:r w:rsidRPr="009C15B0">
        <w:rPr>
          <w:i/>
          <w:sz w:val="16"/>
          <w:szCs w:val="16"/>
          <w:lang w:val="es-CR"/>
        </w:rPr>
        <w:t>Caso Trabajadores Cesados de Petroperú y otros Vs. Perú, supra</w:t>
      </w:r>
      <w:r w:rsidRPr="009C15B0">
        <w:rPr>
          <w:sz w:val="16"/>
          <w:szCs w:val="16"/>
          <w:lang w:val="es-CR"/>
        </w:rPr>
        <w:t>, párr. 168.</w:t>
      </w:r>
    </w:p>
  </w:footnote>
  <w:footnote w:id="332">
    <w:p w14:paraId="1698D034" w14:textId="77F33A16" w:rsidR="007F7D87" w:rsidRPr="009C15B0" w:rsidRDefault="007F7D87" w:rsidP="001E6358">
      <w:pPr>
        <w:tabs>
          <w:tab w:val="left" w:pos="567"/>
        </w:tabs>
        <w:spacing w:after="60" w:line="240" w:lineRule="auto"/>
        <w:rPr>
          <w:i/>
          <w:sz w:val="16"/>
          <w:szCs w:val="16"/>
        </w:rPr>
      </w:pPr>
      <w:r w:rsidRPr="009C15B0">
        <w:rPr>
          <w:rStyle w:val="FootnoteReference"/>
          <w:sz w:val="16"/>
          <w:szCs w:val="16"/>
        </w:rPr>
        <w:footnoteRef/>
      </w:r>
      <w:r w:rsidRPr="009C15B0">
        <w:rPr>
          <w:sz w:val="16"/>
          <w:szCs w:val="16"/>
        </w:rPr>
        <w:t xml:space="preserve"> </w:t>
      </w:r>
      <w:r w:rsidRPr="009C15B0">
        <w:rPr>
          <w:sz w:val="16"/>
          <w:szCs w:val="16"/>
        </w:rPr>
        <w:tab/>
      </w:r>
      <w:r w:rsidRPr="009C15B0">
        <w:rPr>
          <w:i/>
          <w:sz w:val="16"/>
          <w:szCs w:val="16"/>
        </w:rPr>
        <w:t>Cfr. Caso Apitz Barbera y otros (“Corte Primera de lo Contencioso Administrativo”) Vs. Venezuela, supra</w:t>
      </w:r>
      <w:r w:rsidRPr="009C15B0">
        <w:rPr>
          <w:sz w:val="16"/>
          <w:szCs w:val="16"/>
        </w:rPr>
        <w:t>, párr. 78, y</w:t>
      </w:r>
      <w:r w:rsidRPr="009C15B0">
        <w:rPr>
          <w:i/>
          <w:sz w:val="16"/>
          <w:szCs w:val="16"/>
        </w:rPr>
        <w:t xml:space="preserve"> Caso Trabajadores Cesados de Petroperú y otros Vs. Perú, supra</w:t>
      </w:r>
      <w:r w:rsidRPr="009C15B0">
        <w:rPr>
          <w:sz w:val="16"/>
          <w:szCs w:val="16"/>
        </w:rPr>
        <w:t>, párr. 168.</w:t>
      </w:r>
    </w:p>
  </w:footnote>
  <w:footnote w:id="333">
    <w:p w14:paraId="7F78169B" w14:textId="70581CEA" w:rsidR="007F7D87" w:rsidRPr="009C15B0" w:rsidRDefault="007F7D87" w:rsidP="001E6358">
      <w:pPr>
        <w:pStyle w:val="FootnoteText"/>
        <w:tabs>
          <w:tab w:val="left" w:pos="567"/>
        </w:tabs>
        <w:spacing w:after="60"/>
        <w:rPr>
          <w:b/>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rFonts w:cs="Courier New"/>
          <w:i/>
          <w:sz w:val="16"/>
          <w:szCs w:val="16"/>
          <w:lang w:val="es-CR"/>
        </w:rPr>
        <w:t>Caso Chaparro Álvarez y Lapo Íñiguez Vs. Ecuador, supra</w:t>
      </w:r>
      <w:r w:rsidRPr="009C15B0">
        <w:rPr>
          <w:sz w:val="16"/>
          <w:szCs w:val="16"/>
          <w:lang w:val="es-CR"/>
        </w:rPr>
        <w:t xml:space="preserve">, párr. 118, y </w:t>
      </w:r>
      <w:r w:rsidRPr="009C15B0">
        <w:rPr>
          <w:rStyle w:val="Strong"/>
          <w:b w:val="0"/>
          <w:i/>
          <w:sz w:val="16"/>
          <w:szCs w:val="16"/>
          <w:shd w:val="clear" w:color="auto" w:fill="FFFFFF"/>
          <w:lang w:val="es-CR"/>
        </w:rPr>
        <w:t>Caso Zegarra Marín Vs. Perú, supra</w:t>
      </w:r>
      <w:r w:rsidRPr="009C15B0">
        <w:rPr>
          <w:rStyle w:val="Strong"/>
          <w:b w:val="0"/>
          <w:sz w:val="16"/>
          <w:szCs w:val="16"/>
          <w:shd w:val="clear" w:color="auto" w:fill="FFFFFF"/>
          <w:lang w:val="es-CR"/>
        </w:rPr>
        <w:t>, párrs. 147 y 155.</w:t>
      </w:r>
    </w:p>
  </w:footnote>
  <w:footnote w:id="334">
    <w:p w14:paraId="3D083DF6" w14:textId="7C8AA20D"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rFonts w:eastAsiaTheme="minorHAnsi" w:cstheme="minorBidi"/>
          <w:i/>
          <w:sz w:val="16"/>
          <w:szCs w:val="16"/>
          <w:lang w:val="es-CR" w:eastAsia="en-US"/>
        </w:rPr>
        <w:t>Cfr. Caso Apitz Barbera y otros (“Corte Primera de lo Contencioso Administrativo”) Vs. Venezuela, supra</w:t>
      </w:r>
      <w:r w:rsidRPr="009C15B0">
        <w:rPr>
          <w:rFonts w:eastAsiaTheme="minorHAnsi" w:cstheme="minorBidi"/>
          <w:sz w:val="16"/>
          <w:szCs w:val="16"/>
          <w:lang w:val="es-CR" w:eastAsia="en-US"/>
        </w:rPr>
        <w:t xml:space="preserve">, párr. 90, y </w:t>
      </w:r>
      <w:r w:rsidRPr="009C15B0">
        <w:rPr>
          <w:i/>
          <w:sz w:val="16"/>
          <w:szCs w:val="16"/>
          <w:lang w:val="es-CR"/>
        </w:rPr>
        <w:t>Caso Zegarra Marín Vs. Perú, supra</w:t>
      </w:r>
      <w:r w:rsidRPr="009C15B0">
        <w:rPr>
          <w:sz w:val="16"/>
          <w:szCs w:val="16"/>
          <w:lang w:val="es-CR"/>
        </w:rPr>
        <w:t>, párr. 178.</w:t>
      </w:r>
    </w:p>
  </w:footnote>
  <w:footnote w:id="335">
    <w:p w14:paraId="003DE9F3" w14:textId="0AB6F575" w:rsidR="007F7D87" w:rsidRPr="009C15B0" w:rsidRDefault="007F7D87" w:rsidP="001E6358">
      <w:pPr>
        <w:pStyle w:val="FootnoteText"/>
        <w:tabs>
          <w:tab w:val="left" w:pos="567"/>
        </w:tabs>
        <w:spacing w:after="60"/>
        <w:rPr>
          <w:b/>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rStyle w:val="Strong"/>
          <w:b w:val="0"/>
          <w:i/>
          <w:sz w:val="16"/>
          <w:szCs w:val="16"/>
          <w:shd w:val="clear" w:color="auto" w:fill="FFFFFF"/>
          <w:lang w:val="es-CR"/>
        </w:rPr>
        <w:t>Caso Zegarra Marín Vs. Perú, supra</w:t>
      </w:r>
      <w:r w:rsidRPr="009C15B0">
        <w:rPr>
          <w:rStyle w:val="Strong"/>
          <w:b w:val="0"/>
          <w:sz w:val="16"/>
          <w:szCs w:val="16"/>
          <w:shd w:val="clear" w:color="auto" w:fill="FFFFFF"/>
          <w:lang w:val="es-CR"/>
        </w:rPr>
        <w:t>, párrs. 147 y 155.</w:t>
      </w:r>
    </w:p>
  </w:footnote>
  <w:footnote w:id="336">
    <w:p w14:paraId="6244D21D" w14:textId="5163DE09"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 xml:space="preserve">Ello sin perjuicio de que en el derecho comparado existen las experiencias de Suiza y España en donde se exige la motivación de jurado. </w:t>
      </w:r>
      <w:r w:rsidRPr="009C15B0">
        <w:rPr>
          <w:i/>
          <w:sz w:val="16"/>
          <w:szCs w:val="16"/>
          <w:lang w:val="es-CR"/>
        </w:rPr>
        <w:t xml:space="preserve">Cfr. </w:t>
      </w:r>
      <w:r w:rsidRPr="009C15B0">
        <w:rPr>
          <w:sz w:val="16"/>
          <w:szCs w:val="16"/>
          <w:lang w:val="es-CR"/>
        </w:rPr>
        <w:t xml:space="preserve">TEDH, </w:t>
      </w:r>
      <w:r w:rsidRPr="009C15B0">
        <w:rPr>
          <w:i/>
          <w:sz w:val="16"/>
          <w:szCs w:val="16"/>
          <w:lang w:val="es-CR"/>
        </w:rPr>
        <w:t>Caso</w:t>
      </w:r>
      <w:r w:rsidRPr="009C15B0">
        <w:rPr>
          <w:sz w:val="16"/>
          <w:szCs w:val="16"/>
          <w:lang w:val="es-CR"/>
        </w:rPr>
        <w:t xml:space="preserve"> </w:t>
      </w:r>
      <w:r w:rsidRPr="009C15B0">
        <w:rPr>
          <w:i/>
          <w:sz w:val="16"/>
          <w:szCs w:val="16"/>
          <w:lang w:val="es-CR" w:eastAsia="en-US"/>
        </w:rPr>
        <w:t>Taxquet Vs. Bélgica</w:t>
      </w:r>
      <w:r w:rsidRPr="009C15B0" w:rsidDel="00FD5E2A">
        <w:rPr>
          <w:sz w:val="16"/>
          <w:szCs w:val="16"/>
          <w:lang w:val="es-CR"/>
        </w:rPr>
        <w:t xml:space="preserve"> </w:t>
      </w:r>
      <w:r w:rsidRPr="009C15B0">
        <w:rPr>
          <w:sz w:val="16"/>
          <w:szCs w:val="16"/>
          <w:lang w:val="es-CR"/>
        </w:rPr>
        <w:t xml:space="preserve">[GS], </w:t>
      </w:r>
      <w:r w:rsidRPr="009C15B0">
        <w:rPr>
          <w:i/>
          <w:sz w:val="16"/>
          <w:szCs w:val="16"/>
          <w:lang w:val="es-CR"/>
        </w:rPr>
        <w:t>supra</w:t>
      </w:r>
      <w:r w:rsidRPr="009C15B0">
        <w:rPr>
          <w:sz w:val="16"/>
          <w:szCs w:val="16"/>
          <w:lang w:val="es-CR"/>
        </w:rPr>
        <w:t>, párrs. 56 a 58.</w:t>
      </w:r>
    </w:p>
  </w:footnote>
  <w:footnote w:id="337">
    <w:p w14:paraId="053D7D47" w14:textId="0113C4B9"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 xml:space="preserve">TEDH, </w:t>
      </w:r>
      <w:r w:rsidRPr="009C15B0">
        <w:rPr>
          <w:i/>
          <w:sz w:val="16"/>
          <w:szCs w:val="16"/>
          <w:lang w:val="es-CR"/>
        </w:rPr>
        <w:t>Caso Saric Vs. Dinamarca</w:t>
      </w:r>
      <w:r w:rsidRPr="009C15B0">
        <w:rPr>
          <w:sz w:val="16"/>
          <w:szCs w:val="16"/>
          <w:lang w:val="es-CR"/>
        </w:rPr>
        <w:t>, No. 31913/96. Decisión de admisibilidad de 2 de febrero de 1999, págs. 14 a 15.</w:t>
      </w:r>
    </w:p>
  </w:footnote>
  <w:footnote w:id="338">
    <w:p w14:paraId="22FBCD62" w14:textId="26F455C8"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 xml:space="preserve">Artículo 650.1 del Código Penal de Canadá. </w:t>
      </w:r>
    </w:p>
  </w:footnote>
  <w:footnote w:id="339">
    <w:p w14:paraId="3102F21C" w14:textId="125011CE"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Regla 30 de las Reglas Federales de Procedimiento Penal de Estados Unidos de América.</w:t>
      </w:r>
    </w:p>
  </w:footnote>
  <w:footnote w:id="340">
    <w:p w14:paraId="590ED6EA" w14:textId="626E2403"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Artículos 194, 298, 316, 317 y 318 de la Ley N° 406, Código Procesal Penal de la República de Nicaragua.</w:t>
      </w:r>
    </w:p>
  </w:footnote>
  <w:footnote w:id="341">
    <w:p w14:paraId="2957B86F" w14:textId="058E2CE6"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Artículos 2358.8 y 2358.12 del Código Judicial de la República de Panamá.</w:t>
      </w:r>
    </w:p>
  </w:footnote>
  <w:footnote w:id="342">
    <w:p w14:paraId="254B439B" w14:textId="6F18FBEE"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Artículo 411 del Código Procesal Penal de El Salvador.</w:t>
      </w:r>
    </w:p>
  </w:footnote>
  <w:footnote w:id="343">
    <w:p w14:paraId="536D5D83" w14:textId="6AC99C79"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Artículos 371 bis y 371 ter del Código Procesal Penal de la Provincia de Buenos Aires (Ley Provincial N° 11.922 y modificaciones). El artículo 210 establece que la decisión del jurado se basa en su íntima convicción; no obstante, su artículo 106 agrega que: “[e]n el caso del juicio por jurados las instrucciones del juez al jurado constituyen plena y suficiente motivación del veredicto”.</w:t>
      </w:r>
    </w:p>
  </w:footnote>
  <w:footnote w:id="344">
    <w:p w14:paraId="25A93A04" w14:textId="0CDC3074"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Pr>
          <w:sz w:val="16"/>
          <w:szCs w:val="16"/>
          <w:lang w:val="es-CR"/>
        </w:rPr>
        <w:t>Artículos 53 y</w:t>
      </w:r>
      <w:r w:rsidRPr="009C15B0">
        <w:rPr>
          <w:sz w:val="16"/>
          <w:szCs w:val="16"/>
          <w:lang w:val="es-CR"/>
        </w:rPr>
        <w:t xml:space="preserve"> 68 a 71 de la Ley Provincial de Chaco N° 7661. Además, el artículo 92 establece que “[l]a sentencia se ajustará a las reglas del Código Procesal Penal de la Provincia del Chaco, con la siguiente modificación: en lugar de los fundamentos de la decisión sobre los hechos probados, la culpabilidad del imputado y la calificación legal, contendrá la transcripción de las instrucciones dadas al jurado sobre las disposiciones aplicables al caso y el veredicto del jurado”. Asimismo, el artículo 83 prevé que: “[s]i el veredicto fuere tan defectuoso que el juez no pudiere determinar la intención del jurado de absolver o condenar al acusado por el delito bajo el cual el acusado pudiera ser condenado de acuerdo con la acusación, o no pudiere determinar en qué hecho o hechos el jurado quiso absolver o condenar al acusado, el juez, previa opinión de las partes, podrá instruir al jurado para que reconsidere dicho veredicto y exprese claramente su intención. Pero si el jurado persistiere en rendir el veredicto defectuoso, tal veredicto será aceptado, y el juez dictará un fallo absolutorio”.</w:t>
      </w:r>
    </w:p>
  </w:footnote>
  <w:footnote w:id="345">
    <w:p w14:paraId="6823739B" w14:textId="22722A68" w:rsidR="007F7D87" w:rsidRPr="009C15B0" w:rsidRDefault="007F7D87" w:rsidP="001E6358">
      <w:pPr>
        <w:pStyle w:val="FootnoteText"/>
        <w:tabs>
          <w:tab w:val="left" w:pos="0"/>
          <w:tab w:val="left" w:pos="567"/>
        </w:tabs>
        <w:spacing w:after="60"/>
        <w:rPr>
          <w:sz w:val="16"/>
          <w:szCs w:val="16"/>
          <w:lang w:val="es-CR"/>
        </w:rPr>
      </w:pPr>
      <w:r w:rsidRPr="009C15B0">
        <w:rPr>
          <w:rStyle w:val="FootnoteReference"/>
          <w:rFonts w:eastAsiaTheme="majorEastAsia"/>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Artículos 205 y 206 de la Ley N°. 2784, Código Procesal Penal de la Provincia de Neuquén.</w:t>
      </w:r>
    </w:p>
  </w:footnote>
  <w:footnote w:id="346">
    <w:p w14:paraId="7F9033DB" w14:textId="0E8DD5DB" w:rsidR="007F7D87" w:rsidRPr="009C15B0" w:rsidRDefault="007F7D87" w:rsidP="001E6358">
      <w:pPr>
        <w:pStyle w:val="FootnoteText"/>
        <w:tabs>
          <w:tab w:val="left" w:pos="567"/>
        </w:tabs>
        <w:spacing w:after="60"/>
        <w:rPr>
          <w:i/>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Artículos 201 y 202 del Código Procesal Penal de Río Negro.</w:t>
      </w:r>
    </w:p>
  </w:footnote>
  <w:footnote w:id="347">
    <w:p w14:paraId="3316FE71" w14:textId="39CB2170"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Artículos 2374 a 2377 del Código Judicial de la República de Panamá.</w:t>
      </w:r>
    </w:p>
  </w:footnote>
  <w:footnote w:id="348">
    <w:p w14:paraId="142BF591" w14:textId="63CF9816"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Pr>
          <w:sz w:val="16"/>
          <w:szCs w:val="16"/>
          <w:lang w:val="es-CR"/>
        </w:rPr>
        <w:t>Artículo</w:t>
      </w:r>
      <w:r w:rsidRPr="009C15B0">
        <w:rPr>
          <w:sz w:val="16"/>
          <w:szCs w:val="16"/>
          <w:lang w:val="es-CR"/>
        </w:rPr>
        <w:t xml:space="preserve"> 375 bis del Código Procesal Penal de la Provincia de Buenos Aires (Ley Provincial N° 11.922 y modificaciones).</w:t>
      </w:r>
    </w:p>
  </w:footnote>
  <w:footnote w:id="349">
    <w:p w14:paraId="75787E36" w14:textId="3819F741"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Artículo 2344.3 del Código Judicial de la República de Panamá.</w:t>
      </w:r>
    </w:p>
  </w:footnote>
  <w:footnote w:id="350">
    <w:p w14:paraId="2A8EC2D9" w14:textId="57E2DDFC"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Artículos 34 a 40 y 43 de la Ley Provincial de Chaco N° 7661. El artículo 29, párrafo segundo, de esta ley establece, además, como garantía de representación ciudadana, que “[c]uando el jurado deba integrarse con hombres y mujeres de los pueblos indígenas, los convocados como potenciales jurados a la audiencia pertenecerán al Pueblo Indígena respectivo, en su mitad”.</w:t>
      </w:r>
    </w:p>
  </w:footnote>
  <w:footnote w:id="351">
    <w:p w14:paraId="41D5C198" w14:textId="649EB39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Artículos 18, 23 y 24 de la Ley Provincial de Córdoba N° 9182.</w:t>
      </w:r>
    </w:p>
  </w:footnote>
  <w:footnote w:id="352">
    <w:p w14:paraId="00E2D342" w14:textId="77777777" w:rsidR="007F7D87" w:rsidRPr="009C15B0" w:rsidRDefault="007F7D87" w:rsidP="001E6358">
      <w:pPr>
        <w:pStyle w:val="FootnoteText"/>
        <w:tabs>
          <w:tab w:val="left" w:pos="567"/>
        </w:tabs>
        <w:spacing w:after="60"/>
        <w:rPr>
          <w:i/>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Artículo 194.3 del Código Procesal Penal de Río Negro.</w:t>
      </w:r>
    </w:p>
  </w:footnote>
  <w:footnote w:id="353">
    <w:p w14:paraId="4070B7FD" w14:textId="7E31ADAF"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Regla 24 de las Reglas Federales de Procedimiento Penal de Estados Unidos de América.</w:t>
      </w:r>
    </w:p>
  </w:footnote>
  <w:footnote w:id="354">
    <w:p w14:paraId="3F4F4199" w14:textId="67BACD5D"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Artículo 296 de la Ley N° 406, Código Procesal Penal de la República de Nicaragua.</w:t>
      </w:r>
    </w:p>
  </w:footnote>
  <w:footnote w:id="355">
    <w:p w14:paraId="5E945882" w14:textId="23A1C893"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Artículo 338 quáter del Código Procesal Penal de la Provincia de Buenos Aires (Ley Provincial N° 11.922 y modificaciones).</w:t>
      </w:r>
    </w:p>
  </w:footnote>
  <w:footnote w:id="356">
    <w:p w14:paraId="7C144977" w14:textId="2E0A76B5"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Artículos 23, 26, 32, 33 y 34</w:t>
      </w:r>
      <w:r>
        <w:rPr>
          <w:sz w:val="16"/>
          <w:szCs w:val="16"/>
          <w:lang w:val="es-CR"/>
        </w:rPr>
        <w:t xml:space="preserve"> </w:t>
      </w:r>
      <w:r w:rsidRPr="009C15B0">
        <w:rPr>
          <w:sz w:val="16"/>
          <w:szCs w:val="16"/>
          <w:lang w:val="es-CR"/>
        </w:rPr>
        <w:t>de la Ley Provincial de Chaco N° 7661.</w:t>
      </w:r>
    </w:p>
  </w:footnote>
  <w:footnote w:id="357">
    <w:p w14:paraId="31535D0E" w14:textId="162E6ECA"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Artículos 197 y 198 del Código Procesal Penal de la Provincia del Neuquén (Ley Provincial N° 2784). El artículo 198.6 establece, además, como garantía de integración plural, que “[e]l jurado deberá quedar integrado, incluyendo los suplentes, por hombres y mujeres en partes iguales. Se tratará de que, como mínimo, la mitad del jurado pertenezca al mismo entorno social y cultural del imputado. Se tratará también, en lo posible, que en el panel de jurados haya personas mayores, adultas y jóvenes”.</w:t>
      </w:r>
    </w:p>
  </w:footnote>
  <w:footnote w:id="358">
    <w:p w14:paraId="701E9F17" w14:textId="5852A7E8" w:rsidR="007F7D87" w:rsidRPr="009C15B0" w:rsidRDefault="007F7D87" w:rsidP="001E6358">
      <w:pPr>
        <w:pStyle w:val="FootnoteText"/>
        <w:tabs>
          <w:tab w:val="left" w:pos="567"/>
        </w:tabs>
        <w:spacing w:after="60"/>
        <w:rPr>
          <w:i/>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Artículo 194.3 del Código Procesal Penal de Río Negro.</w:t>
      </w:r>
    </w:p>
  </w:footnote>
  <w:footnote w:id="359">
    <w:p w14:paraId="6625C19E" w14:textId="21B3D806"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Artículos 33 y 34 de la Ley Provincial de Chaco N° 7661.</w:t>
      </w:r>
    </w:p>
  </w:footnote>
  <w:footnote w:id="360">
    <w:p w14:paraId="5181BAF1" w14:textId="3FD940DC"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Regla 31.d de las Reglas Federales de Procedimiento Penal de Estados Unidos de América.</w:t>
      </w:r>
    </w:p>
  </w:footnote>
  <w:footnote w:id="361">
    <w:p w14:paraId="78ED82A5" w14:textId="5925A3F1"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Artículo 85 de la Ley Provincial de Chaco N° 7661.</w:t>
      </w:r>
    </w:p>
  </w:footnote>
  <w:footnote w:id="362">
    <w:p w14:paraId="4AB9DEA4" w14:textId="2892A00D"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Artículo 51 de la Ley de Córdoba N° 9182.</w:t>
      </w:r>
    </w:p>
  </w:footnote>
  <w:footnote w:id="363">
    <w:p w14:paraId="579F063B" w14:textId="451CC451" w:rsidR="007F7D87" w:rsidRPr="00C946D6" w:rsidRDefault="007F7D87" w:rsidP="001E6358">
      <w:pPr>
        <w:pStyle w:val="FootnoteText"/>
        <w:tabs>
          <w:tab w:val="left" w:pos="567"/>
        </w:tabs>
        <w:spacing w:after="60"/>
        <w:rPr>
          <w:sz w:val="16"/>
          <w:szCs w:val="16"/>
          <w:lang w:val="pt-BR"/>
        </w:rPr>
      </w:pPr>
      <w:r w:rsidRPr="009C15B0">
        <w:rPr>
          <w:rStyle w:val="FootnoteReference"/>
          <w:sz w:val="16"/>
          <w:szCs w:val="16"/>
          <w:lang w:val="es-CR"/>
        </w:rPr>
        <w:footnoteRef/>
      </w:r>
      <w:r w:rsidRPr="00C946D6">
        <w:rPr>
          <w:sz w:val="16"/>
          <w:szCs w:val="16"/>
          <w:lang w:val="pt-BR"/>
        </w:rPr>
        <w:t xml:space="preserve"> </w:t>
      </w:r>
      <w:r w:rsidRPr="00C946D6">
        <w:rPr>
          <w:sz w:val="16"/>
          <w:szCs w:val="16"/>
          <w:lang w:val="pt-BR"/>
        </w:rPr>
        <w:tab/>
      </w:r>
      <w:r w:rsidRPr="00C946D6">
        <w:rPr>
          <w:i/>
          <w:sz w:val="16"/>
          <w:szCs w:val="16"/>
          <w:lang w:val="pt-BR"/>
        </w:rPr>
        <w:t xml:space="preserve">Cfr. </w:t>
      </w:r>
      <w:r w:rsidRPr="00C946D6">
        <w:rPr>
          <w:sz w:val="16"/>
          <w:szCs w:val="16"/>
          <w:lang w:val="pt-BR"/>
        </w:rPr>
        <w:t xml:space="preserve">TEDH, </w:t>
      </w:r>
      <w:r w:rsidRPr="00C946D6">
        <w:rPr>
          <w:i/>
          <w:sz w:val="16"/>
          <w:szCs w:val="16"/>
          <w:lang w:val="pt-BR"/>
        </w:rPr>
        <w:t>Caso Lhermitte Vs. Bélgica</w:t>
      </w:r>
      <w:r w:rsidRPr="00C946D6">
        <w:rPr>
          <w:sz w:val="16"/>
          <w:szCs w:val="16"/>
          <w:lang w:val="pt-BR"/>
        </w:rPr>
        <w:t>, No. 34238/09. Sentencia de 29 de noviembre de 2016, párr. 80.</w:t>
      </w:r>
    </w:p>
  </w:footnote>
  <w:footnote w:id="364">
    <w:p w14:paraId="0ABED84F" w14:textId="48753A71" w:rsidR="007F7D87" w:rsidRPr="00C946D6" w:rsidRDefault="007F7D87" w:rsidP="001E6358">
      <w:pPr>
        <w:pStyle w:val="FootnoteText"/>
        <w:tabs>
          <w:tab w:val="left" w:pos="567"/>
        </w:tabs>
        <w:spacing w:after="60"/>
        <w:rPr>
          <w:sz w:val="16"/>
          <w:szCs w:val="16"/>
          <w:lang w:val="pt-BR"/>
        </w:rPr>
      </w:pPr>
      <w:r w:rsidRPr="009C15B0">
        <w:rPr>
          <w:rStyle w:val="FootnoteReference"/>
          <w:sz w:val="16"/>
          <w:szCs w:val="16"/>
          <w:lang w:val="es-CR"/>
        </w:rPr>
        <w:footnoteRef/>
      </w:r>
      <w:r w:rsidRPr="00C946D6">
        <w:rPr>
          <w:sz w:val="16"/>
          <w:szCs w:val="16"/>
          <w:lang w:val="pt-BR"/>
        </w:rPr>
        <w:t xml:space="preserve"> </w:t>
      </w:r>
      <w:r w:rsidRPr="00C946D6">
        <w:rPr>
          <w:sz w:val="16"/>
          <w:szCs w:val="16"/>
          <w:lang w:val="pt-BR"/>
        </w:rPr>
        <w:tab/>
        <w:t xml:space="preserve">TEDH, </w:t>
      </w:r>
      <w:r w:rsidRPr="00C946D6">
        <w:rPr>
          <w:i/>
          <w:sz w:val="16"/>
          <w:szCs w:val="16"/>
          <w:lang w:val="pt-BR"/>
        </w:rPr>
        <w:t>Caso</w:t>
      </w:r>
      <w:r w:rsidRPr="00C946D6">
        <w:rPr>
          <w:sz w:val="16"/>
          <w:szCs w:val="16"/>
          <w:lang w:val="pt-BR"/>
        </w:rPr>
        <w:t xml:space="preserve"> </w:t>
      </w:r>
      <w:r w:rsidRPr="00C946D6">
        <w:rPr>
          <w:i/>
          <w:sz w:val="16"/>
          <w:szCs w:val="16"/>
          <w:lang w:val="pt-BR" w:eastAsia="en-US"/>
        </w:rPr>
        <w:t>Taxquet Vs. Bélgica</w:t>
      </w:r>
      <w:r w:rsidRPr="00C946D6" w:rsidDel="00FD5E2A">
        <w:rPr>
          <w:sz w:val="16"/>
          <w:szCs w:val="16"/>
          <w:lang w:val="pt-BR"/>
        </w:rPr>
        <w:t xml:space="preserve"> </w:t>
      </w:r>
      <w:r w:rsidRPr="00C946D6">
        <w:rPr>
          <w:sz w:val="16"/>
          <w:szCs w:val="16"/>
          <w:lang w:val="pt-BR"/>
        </w:rPr>
        <w:t xml:space="preserve">[GS], </w:t>
      </w:r>
      <w:r w:rsidRPr="00C946D6">
        <w:rPr>
          <w:i/>
          <w:sz w:val="16"/>
          <w:szCs w:val="16"/>
          <w:lang w:val="pt-BR"/>
        </w:rPr>
        <w:t>supra</w:t>
      </w:r>
      <w:r w:rsidRPr="00C946D6">
        <w:rPr>
          <w:sz w:val="16"/>
          <w:szCs w:val="16"/>
          <w:lang w:val="pt-BR"/>
        </w:rPr>
        <w:t>, párr. 93.</w:t>
      </w:r>
    </w:p>
  </w:footnote>
  <w:footnote w:id="365">
    <w:p w14:paraId="567CFE21" w14:textId="6C2D5D41"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C946D6">
        <w:rPr>
          <w:sz w:val="16"/>
          <w:szCs w:val="16"/>
          <w:lang w:val="pt-BR"/>
        </w:rPr>
        <w:t xml:space="preserve"> </w:t>
      </w:r>
      <w:r w:rsidRPr="00C946D6">
        <w:rPr>
          <w:sz w:val="16"/>
          <w:szCs w:val="16"/>
          <w:lang w:val="pt-BR"/>
        </w:rPr>
        <w:tab/>
      </w:r>
      <w:r w:rsidRPr="00C946D6">
        <w:rPr>
          <w:i/>
          <w:sz w:val="16"/>
          <w:szCs w:val="16"/>
          <w:lang w:val="pt-BR"/>
        </w:rPr>
        <w:t xml:space="preserve">Cfr. </w:t>
      </w:r>
      <w:r w:rsidRPr="00C946D6">
        <w:rPr>
          <w:sz w:val="16"/>
          <w:szCs w:val="16"/>
          <w:lang w:val="pt-BR"/>
        </w:rPr>
        <w:t xml:space="preserve">TEDH, </w:t>
      </w:r>
      <w:r w:rsidRPr="00C946D6">
        <w:rPr>
          <w:i/>
          <w:sz w:val="16"/>
          <w:szCs w:val="16"/>
          <w:lang w:val="pt-BR"/>
        </w:rPr>
        <w:t>Caso</w:t>
      </w:r>
      <w:r w:rsidRPr="00C946D6">
        <w:rPr>
          <w:sz w:val="16"/>
          <w:szCs w:val="16"/>
          <w:lang w:val="pt-BR"/>
        </w:rPr>
        <w:t xml:space="preserve"> </w:t>
      </w:r>
      <w:r w:rsidRPr="00C946D6">
        <w:rPr>
          <w:i/>
          <w:sz w:val="16"/>
          <w:szCs w:val="16"/>
          <w:lang w:val="pt-BR" w:eastAsia="en-US"/>
        </w:rPr>
        <w:t xml:space="preserve">Taxquet Vs. </w:t>
      </w:r>
      <w:r w:rsidRPr="009C15B0">
        <w:rPr>
          <w:i/>
          <w:sz w:val="16"/>
          <w:szCs w:val="16"/>
          <w:lang w:val="es-CR" w:eastAsia="en-US"/>
        </w:rPr>
        <w:t>Bélgica</w:t>
      </w:r>
      <w:r w:rsidRPr="009C15B0" w:rsidDel="00FD5E2A">
        <w:rPr>
          <w:sz w:val="16"/>
          <w:szCs w:val="16"/>
          <w:lang w:val="es-CR"/>
        </w:rPr>
        <w:t xml:space="preserve"> </w:t>
      </w:r>
      <w:r w:rsidRPr="009C15B0">
        <w:rPr>
          <w:sz w:val="16"/>
          <w:szCs w:val="16"/>
          <w:lang w:val="es-CR"/>
        </w:rPr>
        <w:t xml:space="preserve">[GS], </w:t>
      </w:r>
      <w:r w:rsidRPr="009C15B0">
        <w:rPr>
          <w:i/>
          <w:sz w:val="16"/>
          <w:szCs w:val="16"/>
          <w:lang w:val="es-CR"/>
        </w:rPr>
        <w:t>supra</w:t>
      </w:r>
      <w:r w:rsidRPr="009C15B0">
        <w:rPr>
          <w:sz w:val="16"/>
          <w:szCs w:val="16"/>
          <w:lang w:val="es-CR"/>
        </w:rPr>
        <w:t>, párr. 90, 91 y 92.</w:t>
      </w:r>
    </w:p>
  </w:footnote>
  <w:footnote w:id="366">
    <w:p w14:paraId="142E1102" w14:textId="4418F5FA"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Descargo presentado el 29 de enero de 2003 (expediente de prueba, tomo XX, anexo 7.a de la prueba para mejor resolver, folios 9666 a 9669).</w:t>
      </w:r>
    </w:p>
  </w:footnote>
  <w:footnote w:id="367">
    <w:p w14:paraId="464F251C" w14:textId="5F449CBC"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 Caso Fairén Garbi y Solís Corrales Vs. Honduras. Excepciones Preliminares</w:t>
      </w:r>
      <w:r w:rsidRPr="009C15B0">
        <w:rPr>
          <w:iCs/>
          <w:sz w:val="16"/>
          <w:szCs w:val="16"/>
          <w:lang w:val="es-CR"/>
        </w:rPr>
        <w:t>. Sentencia de 26 de junio de 1987. Serie C No. 2, párr. 90,</w:t>
      </w:r>
      <w:r w:rsidRPr="009C15B0">
        <w:rPr>
          <w:sz w:val="16"/>
          <w:szCs w:val="16"/>
          <w:lang w:val="es-CR"/>
        </w:rPr>
        <w:t xml:space="preserve"> y</w:t>
      </w:r>
      <w:r w:rsidRPr="009C15B0">
        <w:rPr>
          <w:i/>
          <w:sz w:val="16"/>
          <w:szCs w:val="16"/>
          <w:lang w:val="es-CR"/>
        </w:rPr>
        <w:t xml:space="preserve"> Caso Pacheco León y otros Vs. Honduras, supra</w:t>
      </w:r>
      <w:r w:rsidRPr="009C15B0">
        <w:rPr>
          <w:iCs/>
          <w:sz w:val="16"/>
          <w:szCs w:val="16"/>
          <w:lang w:val="es-CR"/>
        </w:rPr>
        <w:t>, párr. 118.</w:t>
      </w:r>
    </w:p>
  </w:footnote>
  <w:footnote w:id="368">
    <w:p w14:paraId="654F8387" w14:textId="5FB1740A" w:rsidR="007F7D87" w:rsidRPr="009C15B0" w:rsidRDefault="007F7D87" w:rsidP="001E6358">
      <w:pPr>
        <w:tabs>
          <w:tab w:val="left" w:pos="567"/>
        </w:tabs>
        <w:spacing w:after="60" w:line="240" w:lineRule="auto"/>
        <w:rPr>
          <w:sz w:val="16"/>
          <w:szCs w:val="16"/>
        </w:rPr>
      </w:pPr>
      <w:r w:rsidRPr="009C15B0">
        <w:rPr>
          <w:rStyle w:val="FootnoteReference"/>
          <w:sz w:val="16"/>
          <w:szCs w:val="16"/>
        </w:rPr>
        <w:footnoteRef/>
      </w:r>
      <w:r w:rsidRPr="009C15B0">
        <w:rPr>
          <w:sz w:val="16"/>
          <w:szCs w:val="16"/>
        </w:rPr>
        <w:t xml:space="preserve"> </w:t>
      </w:r>
      <w:r w:rsidRPr="009C15B0">
        <w:rPr>
          <w:sz w:val="16"/>
          <w:szCs w:val="16"/>
        </w:rPr>
        <w:tab/>
      </w:r>
      <w:r w:rsidRPr="009C15B0">
        <w:rPr>
          <w:i/>
          <w:iCs/>
          <w:sz w:val="16"/>
          <w:szCs w:val="16"/>
        </w:rPr>
        <w:t>Cfr. Caso Suárez Rosero Vs. Ecuador. Fondo</w:t>
      </w:r>
      <w:r w:rsidRPr="009C15B0">
        <w:rPr>
          <w:sz w:val="16"/>
          <w:szCs w:val="16"/>
        </w:rPr>
        <w:t xml:space="preserve">. Sentencia de 12 de noviembre de 1997. Serie C No. 35, párr. 71, y </w:t>
      </w:r>
      <w:r w:rsidRPr="009C15B0">
        <w:rPr>
          <w:i/>
          <w:sz w:val="16"/>
          <w:szCs w:val="16"/>
        </w:rPr>
        <w:t>Caso Wong Ho Wing Vs. Perú, supra</w:t>
      </w:r>
      <w:r w:rsidRPr="009C15B0">
        <w:rPr>
          <w:sz w:val="16"/>
          <w:szCs w:val="16"/>
        </w:rPr>
        <w:t>, párr. 209.</w:t>
      </w:r>
    </w:p>
  </w:footnote>
  <w:footnote w:id="369">
    <w:p w14:paraId="3675C283" w14:textId="7179E330" w:rsidR="007F7D87" w:rsidRPr="009C15B0" w:rsidRDefault="007F7D87" w:rsidP="001E6358">
      <w:pPr>
        <w:tabs>
          <w:tab w:val="left" w:pos="567"/>
        </w:tabs>
        <w:spacing w:after="60" w:line="240" w:lineRule="auto"/>
        <w:rPr>
          <w:sz w:val="16"/>
          <w:szCs w:val="16"/>
        </w:rPr>
      </w:pPr>
      <w:r w:rsidRPr="009C15B0">
        <w:rPr>
          <w:rStyle w:val="FootnoteReference"/>
          <w:sz w:val="16"/>
          <w:szCs w:val="16"/>
        </w:rPr>
        <w:footnoteRef/>
      </w:r>
      <w:r w:rsidRPr="009C15B0">
        <w:rPr>
          <w:sz w:val="16"/>
          <w:szCs w:val="16"/>
        </w:rPr>
        <w:t xml:space="preserve"> </w:t>
      </w:r>
      <w:r w:rsidRPr="009C15B0">
        <w:rPr>
          <w:sz w:val="16"/>
          <w:szCs w:val="16"/>
        </w:rPr>
        <w:tab/>
      </w:r>
      <w:r w:rsidRPr="009C15B0">
        <w:rPr>
          <w:i/>
          <w:sz w:val="16"/>
          <w:szCs w:val="16"/>
        </w:rPr>
        <w:t>Cfr. Caso Hilaire, Constantine y Benjamin y otros Vs. Trinidad y Tobago. Fondo, Reparaciones y Costas</w:t>
      </w:r>
      <w:r w:rsidRPr="009C15B0">
        <w:rPr>
          <w:iCs/>
          <w:sz w:val="16"/>
          <w:szCs w:val="16"/>
        </w:rPr>
        <w:t>. Sentencia de 21 de junio de 2002. Serie C No. 94</w:t>
      </w:r>
      <w:r w:rsidRPr="009C15B0">
        <w:rPr>
          <w:sz w:val="16"/>
          <w:szCs w:val="16"/>
        </w:rPr>
        <w:t xml:space="preserve">, párr. 145, y </w:t>
      </w:r>
      <w:r w:rsidRPr="009C15B0">
        <w:rPr>
          <w:i/>
          <w:sz w:val="16"/>
          <w:szCs w:val="16"/>
        </w:rPr>
        <w:t xml:space="preserve">Caso Acosta y otros Vs. Nicaragua, supra, </w:t>
      </w:r>
      <w:r w:rsidRPr="009C15B0">
        <w:rPr>
          <w:sz w:val="16"/>
          <w:szCs w:val="16"/>
        </w:rPr>
        <w:t>párr. 177.</w:t>
      </w:r>
    </w:p>
  </w:footnote>
  <w:footnote w:id="370">
    <w:p w14:paraId="5EB3E7B7" w14:textId="24371DAB" w:rsidR="007F7D87" w:rsidRPr="009C15B0" w:rsidRDefault="007F7D87" w:rsidP="001E6358">
      <w:pPr>
        <w:pStyle w:val="FootnoteText"/>
        <w:tabs>
          <w:tab w:val="left" w:pos="567"/>
        </w:tabs>
        <w:spacing w:after="60"/>
        <w:rPr>
          <w:rFonts w:eastAsia="Batang" w:cs="Times"/>
          <w:sz w:val="16"/>
          <w:szCs w:val="16"/>
          <w:lang w:val="es-CR" w:eastAsia="en-US"/>
        </w:rPr>
      </w:pPr>
      <w:r w:rsidRPr="009C15B0">
        <w:rPr>
          <w:rStyle w:val="FootnoteReference"/>
          <w:rFonts w:eastAsia="MS ????"/>
          <w:sz w:val="16"/>
          <w:szCs w:val="16"/>
          <w:lang w:val="es-CR"/>
        </w:rPr>
        <w:footnoteRef/>
      </w:r>
      <w:r w:rsidRPr="009C15B0">
        <w:rPr>
          <w:sz w:val="16"/>
          <w:szCs w:val="16"/>
          <w:lang w:val="es-CR"/>
        </w:rPr>
        <w:t xml:space="preserve"> </w:t>
      </w:r>
      <w:r w:rsidRPr="009C15B0">
        <w:rPr>
          <w:sz w:val="16"/>
          <w:szCs w:val="16"/>
          <w:lang w:val="es-CR"/>
        </w:rPr>
        <w:tab/>
      </w:r>
      <w:r w:rsidRPr="009C15B0">
        <w:rPr>
          <w:i/>
          <w:iCs/>
          <w:sz w:val="16"/>
          <w:szCs w:val="16"/>
          <w:lang w:val="es-CR"/>
        </w:rPr>
        <w:t xml:space="preserve">Cfr. Caso </w:t>
      </w:r>
      <w:r w:rsidRPr="009C15B0">
        <w:rPr>
          <w:i/>
          <w:sz w:val="16"/>
          <w:szCs w:val="16"/>
          <w:lang w:val="es-CR"/>
        </w:rPr>
        <w:t>Suárez</w:t>
      </w:r>
      <w:r w:rsidRPr="009C15B0">
        <w:rPr>
          <w:i/>
          <w:iCs/>
          <w:sz w:val="16"/>
          <w:szCs w:val="16"/>
          <w:lang w:val="es-CR"/>
        </w:rPr>
        <w:t xml:space="preserve"> Rosero Vs. Ecuador. Fondo</w:t>
      </w:r>
      <w:r w:rsidRPr="009C15B0">
        <w:rPr>
          <w:sz w:val="16"/>
          <w:szCs w:val="16"/>
          <w:lang w:val="es-CR"/>
        </w:rPr>
        <w:t xml:space="preserve">, </w:t>
      </w:r>
      <w:r w:rsidRPr="009C15B0">
        <w:rPr>
          <w:i/>
          <w:sz w:val="16"/>
          <w:szCs w:val="16"/>
          <w:lang w:val="es-CR"/>
        </w:rPr>
        <w:t>supra</w:t>
      </w:r>
      <w:r w:rsidRPr="009C15B0">
        <w:rPr>
          <w:sz w:val="16"/>
          <w:szCs w:val="16"/>
          <w:lang w:val="es-CR"/>
        </w:rPr>
        <w:t>, párr. 71, y</w:t>
      </w:r>
      <w:r w:rsidRPr="009C15B0">
        <w:rPr>
          <w:i/>
          <w:sz w:val="16"/>
          <w:szCs w:val="16"/>
          <w:lang w:val="es-CR"/>
        </w:rPr>
        <w:t xml:space="preserve"> Caso Pacheco León y otros Vs. Honduras, supra</w:t>
      </w:r>
      <w:r w:rsidRPr="009C15B0">
        <w:rPr>
          <w:sz w:val="16"/>
          <w:szCs w:val="16"/>
          <w:lang w:val="es-CR"/>
        </w:rPr>
        <w:t>, párr. 159.</w:t>
      </w:r>
    </w:p>
  </w:footnote>
  <w:footnote w:id="371">
    <w:p w14:paraId="36CD464D" w14:textId="46DDF1C0"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xml:space="preserve"> </w:t>
      </w:r>
      <w:r w:rsidRPr="009C15B0">
        <w:rPr>
          <w:i/>
          <w:sz w:val="16"/>
          <w:szCs w:val="16"/>
          <w:lang w:val="es-CR"/>
        </w:rPr>
        <w:t xml:space="preserve">Caso de las comunidades afrodescendientes desplazadas de la cuenca del río Cacarica (Operación Génesis) Vs. Colombia. Excepciones Preliminares, Fondo, Reparaciones y Costas. </w:t>
      </w:r>
      <w:r w:rsidRPr="009C15B0">
        <w:rPr>
          <w:sz w:val="16"/>
          <w:szCs w:val="16"/>
          <w:lang w:val="es-CR"/>
        </w:rPr>
        <w:t xml:space="preserve">Sentencia de 20 de noviembre de 2013. Serie C No. 270, párr. 403, y </w:t>
      </w:r>
      <w:r w:rsidRPr="009C15B0">
        <w:rPr>
          <w:i/>
          <w:sz w:val="16"/>
          <w:szCs w:val="16"/>
          <w:lang w:val="es-CR"/>
        </w:rPr>
        <w:t xml:space="preserve">Caso Vereda La Esperanza Vs. Colombia. Excepciones Preliminares, Fondo, Reparaciones y Costas. </w:t>
      </w:r>
      <w:r w:rsidRPr="009C15B0">
        <w:rPr>
          <w:sz w:val="16"/>
          <w:szCs w:val="16"/>
          <w:lang w:val="es-CR"/>
        </w:rPr>
        <w:t>Sentencia de 31 de agosto de 2017. Serie C No. 341, párr. 194.</w:t>
      </w:r>
    </w:p>
  </w:footnote>
  <w:footnote w:id="372">
    <w:p w14:paraId="7C0EC43F" w14:textId="11B81383" w:rsidR="007F7D87" w:rsidRPr="009C15B0" w:rsidRDefault="007F7D87" w:rsidP="001E6358">
      <w:pPr>
        <w:pStyle w:val="FootnoteText"/>
        <w:tabs>
          <w:tab w:val="left" w:pos="567"/>
          <w:tab w:val="left" w:pos="709"/>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 Caso Genie Lacayo Vs. Nicaragua</w:t>
      </w:r>
      <w:r w:rsidRPr="009C15B0">
        <w:rPr>
          <w:sz w:val="16"/>
          <w:szCs w:val="16"/>
          <w:lang w:val="es-CR"/>
        </w:rPr>
        <w:t xml:space="preserve">. </w:t>
      </w:r>
      <w:r w:rsidRPr="009C15B0">
        <w:rPr>
          <w:i/>
          <w:sz w:val="16"/>
          <w:szCs w:val="16"/>
          <w:lang w:val="es-CR"/>
        </w:rPr>
        <w:t>Fondo, Reparaciones y Costas.</w:t>
      </w:r>
      <w:r w:rsidRPr="009C15B0">
        <w:rPr>
          <w:sz w:val="16"/>
          <w:szCs w:val="16"/>
          <w:lang w:val="es-CR"/>
        </w:rPr>
        <w:t xml:space="preserve"> Sentencia del 29 de enero de 1997. Serie C No. 30, párr. 77, y</w:t>
      </w:r>
      <w:r w:rsidRPr="009C15B0">
        <w:rPr>
          <w:i/>
          <w:sz w:val="16"/>
          <w:szCs w:val="16"/>
          <w:lang w:val="es-CR"/>
        </w:rPr>
        <w:t xml:space="preserve"> Caso Trabajadores Cesados de Petroperú y otros Vs. Perú, supra</w:t>
      </w:r>
      <w:r w:rsidRPr="009C15B0">
        <w:rPr>
          <w:sz w:val="16"/>
          <w:szCs w:val="16"/>
          <w:lang w:val="es-CR"/>
        </w:rPr>
        <w:t>, párr. 182.</w:t>
      </w:r>
    </w:p>
  </w:footnote>
  <w:footnote w:id="373">
    <w:p w14:paraId="5D8BA1A4" w14:textId="5DD14A9A" w:rsidR="007F7D87" w:rsidRPr="00C946D6" w:rsidRDefault="007F7D87" w:rsidP="001E6358">
      <w:pPr>
        <w:pStyle w:val="FootnoteText"/>
        <w:tabs>
          <w:tab w:val="left" w:pos="567"/>
          <w:tab w:val="left" w:pos="709"/>
        </w:tabs>
        <w:spacing w:after="60"/>
        <w:rPr>
          <w:rFonts w:eastAsiaTheme="minorHAnsi" w:cstheme="minorBidi"/>
          <w:sz w:val="16"/>
          <w:szCs w:val="16"/>
          <w:lang w:val="pt-BR" w:eastAsia="en-US"/>
        </w:rPr>
      </w:pPr>
      <w:r w:rsidRPr="009C15B0">
        <w:rPr>
          <w:rStyle w:val="FootnoteReference"/>
          <w:sz w:val="16"/>
          <w:szCs w:val="16"/>
          <w:lang w:val="es-CR"/>
        </w:rPr>
        <w:footnoteRef/>
      </w:r>
      <w:r w:rsidRPr="009C15B0">
        <w:rPr>
          <w:i/>
          <w:sz w:val="16"/>
          <w:szCs w:val="16"/>
          <w:lang w:val="es-CR"/>
        </w:rPr>
        <w:t xml:space="preserve"> </w:t>
      </w:r>
      <w:r w:rsidRPr="009C15B0">
        <w:rPr>
          <w:i/>
          <w:sz w:val="16"/>
          <w:szCs w:val="16"/>
          <w:lang w:val="es-CR"/>
        </w:rPr>
        <w:tab/>
      </w:r>
      <w:r w:rsidRPr="009C15B0">
        <w:rPr>
          <w:rFonts w:eastAsiaTheme="minorHAnsi" w:cstheme="minorBidi"/>
          <w:i/>
          <w:sz w:val="16"/>
          <w:szCs w:val="16"/>
          <w:lang w:val="es-CR" w:eastAsia="en-US"/>
        </w:rPr>
        <w:t xml:space="preserve">Cfr. Caso Anzualdo Castro Vs. Perú. Excepción Preliminar, Fondo, Reparaciones y Costas. </w:t>
      </w:r>
      <w:r w:rsidRPr="009C15B0">
        <w:rPr>
          <w:rFonts w:eastAsiaTheme="minorHAnsi" w:cstheme="minorBidi"/>
          <w:sz w:val="16"/>
          <w:szCs w:val="16"/>
          <w:lang w:val="es-CR" w:eastAsia="en-US"/>
        </w:rPr>
        <w:t>Sentencia de 22 de septiembre de 2009. Serie C No. 202, párr. 156,</w:t>
      </w:r>
      <w:r w:rsidRPr="009C15B0">
        <w:rPr>
          <w:rFonts w:eastAsiaTheme="minorHAnsi" w:cstheme="minorBidi"/>
          <w:i/>
          <w:sz w:val="16"/>
          <w:szCs w:val="16"/>
          <w:lang w:val="es-CR" w:eastAsia="en-US"/>
        </w:rPr>
        <w:t xml:space="preserve"> </w:t>
      </w:r>
      <w:r w:rsidRPr="009C15B0">
        <w:rPr>
          <w:rFonts w:eastAsiaTheme="minorHAnsi" w:cstheme="minorBidi"/>
          <w:sz w:val="16"/>
          <w:szCs w:val="16"/>
          <w:lang w:val="es-CR" w:eastAsia="en-US"/>
        </w:rPr>
        <w:t>y</w:t>
      </w:r>
      <w:r w:rsidRPr="009C15B0">
        <w:rPr>
          <w:rFonts w:eastAsiaTheme="minorHAnsi" w:cstheme="minorBidi"/>
          <w:i/>
          <w:sz w:val="16"/>
          <w:szCs w:val="16"/>
          <w:lang w:val="es-CR" w:eastAsia="en-US"/>
        </w:rPr>
        <w:t xml:space="preserve"> </w:t>
      </w:r>
      <w:r w:rsidRPr="009C15B0">
        <w:rPr>
          <w:i/>
          <w:sz w:val="16"/>
          <w:szCs w:val="16"/>
          <w:lang w:val="es-CR"/>
        </w:rPr>
        <w:t xml:space="preserve">Caso Trabajadores Cesados de Petroperú y otros Vs. </w:t>
      </w:r>
      <w:r w:rsidRPr="00C946D6">
        <w:rPr>
          <w:i/>
          <w:sz w:val="16"/>
          <w:szCs w:val="16"/>
          <w:lang w:val="pt-BR"/>
        </w:rPr>
        <w:t>Perú, supra</w:t>
      </w:r>
      <w:r w:rsidRPr="00C946D6">
        <w:rPr>
          <w:rFonts w:eastAsiaTheme="minorHAnsi" w:cstheme="minorBidi"/>
          <w:sz w:val="16"/>
          <w:szCs w:val="16"/>
          <w:lang w:val="pt-BR" w:eastAsia="en-US"/>
        </w:rPr>
        <w:t>, párr. 182.</w:t>
      </w:r>
    </w:p>
  </w:footnote>
  <w:footnote w:id="374">
    <w:p w14:paraId="50C4FB0D" w14:textId="0FD4652A" w:rsidR="007F7D87" w:rsidRPr="009C15B0" w:rsidRDefault="007F7D87" w:rsidP="001E6358">
      <w:pPr>
        <w:pStyle w:val="FootnoteText"/>
        <w:tabs>
          <w:tab w:val="left" w:pos="567"/>
          <w:tab w:val="left" w:pos="709"/>
        </w:tabs>
        <w:spacing w:after="60"/>
        <w:rPr>
          <w:rFonts w:eastAsiaTheme="minorHAnsi" w:cstheme="minorBidi"/>
          <w:sz w:val="16"/>
          <w:szCs w:val="16"/>
          <w:lang w:val="es-CR" w:eastAsia="en-US"/>
        </w:rPr>
      </w:pPr>
      <w:r w:rsidRPr="009C15B0">
        <w:rPr>
          <w:rStyle w:val="FootnoteReference"/>
          <w:sz w:val="16"/>
          <w:szCs w:val="16"/>
          <w:lang w:val="es-CR"/>
        </w:rPr>
        <w:footnoteRef/>
      </w:r>
      <w:r w:rsidRPr="00C946D6">
        <w:rPr>
          <w:sz w:val="16"/>
          <w:szCs w:val="16"/>
          <w:lang w:val="pt-BR"/>
        </w:rPr>
        <w:t xml:space="preserve"> </w:t>
      </w:r>
      <w:r w:rsidRPr="00C946D6">
        <w:rPr>
          <w:sz w:val="16"/>
          <w:szCs w:val="16"/>
          <w:lang w:val="pt-BR"/>
        </w:rPr>
        <w:tab/>
      </w:r>
      <w:r w:rsidRPr="00C946D6">
        <w:rPr>
          <w:rFonts w:eastAsiaTheme="minorHAnsi" w:cstheme="minorBidi"/>
          <w:i/>
          <w:sz w:val="16"/>
          <w:szCs w:val="16"/>
          <w:lang w:val="pt-BR" w:eastAsia="en-US"/>
        </w:rPr>
        <w:t>Cfr. Caso Genie Lacayo Vs. Nicaragua, supra</w:t>
      </w:r>
      <w:r w:rsidRPr="00C946D6">
        <w:rPr>
          <w:rFonts w:eastAsiaTheme="minorHAnsi" w:cstheme="minorBidi"/>
          <w:sz w:val="16"/>
          <w:szCs w:val="16"/>
          <w:lang w:val="pt-BR" w:eastAsia="en-US"/>
        </w:rPr>
        <w:t xml:space="preserve">, párr. </w:t>
      </w:r>
      <w:r w:rsidRPr="009C15B0">
        <w:rPr>
          <w:rFonts w:eastAsiaTheme="minorHAnsi" w:cstheme="minorBidi"/>
          <w:sz w:val="16"/>
          <w:szCs w:val="16"/>
          <w:lang w:val="es-CR" w:eastAsia="en-US"/>
        </w:rPr>
        <w:t>78, y</w:t>
      </w:r>
      <w:r w:rsidRPr="009C15B0">
        <w:rPr>
          <w:rFonts w:eastAsiaTheme="minorHAnsi" w:cstheme="minorBidi"/>
          <w:i/>
          <w:sz w:val="16"/>
          <w:szCs w:val="16"/>
          <w:lang w:val="es-CR" w:eastAsia="en-US"/>
        </w:rPr>
        <w:t xml:space="preserve"> Caso Pacheco León y otros Vs. Honduras, supra</w:t>
      </w:r>
      <w:r w:rsidRPr="009C15B0">
        <w:rPr>
          <w:rFonts w:eastAsiaTheme="minorHAnsi" w:cstheme="minorBidi"/>
          <w:sz w:val="16"/>
          <w:szCs w:val="16"/>
          <w:lang w:val="es-CR" w:eastAsia="en-US"/>
        </w:rPr>
        <w:t>, párr. 122.</w:t>
      </w:r>
    </w:p>
  </w:footnote>
  <w:footnote w:id="375">
    <w:p w14:paraId="2FDFFFD5" w14:textId="22838FB1"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rFonts w:cs="Verdana-Italic"/>
          <w:i/>
          <w:iCs/>
          <w:sz w:val="16"/>
          <w:szCs w:val="16"/>
          <w:lang w:val="es-CR" w:bidi="en-US"/>
        </w:rPr>
        <w:t>Caso Myrna Mack Chang Vs. Guatemala. Fondo, Reparaciones y Costas</w:t>
      </w:r>
      <w:r w:rsidRPr="009C15B0">
        <w:rPr>
          <w:rFonts w:cs="Verdana-Italic"/>
          <w:sz w:val="16"/>
          <w:szCs w:val="16"/>
          <w:lang w:val="es-CR" w:bidi="en-US"/>
        </w:rPr>
        <w:t>. Sentencia de 25 de noviembre de 2003. Serie C No. 101</w:t>
      </w:r>
      <w:r w:rsidRPr="009C15B0">
        <w:rPr>
          <w:sz w:val="16"/>
          <w:szCs w:val="16"/>
          <w:lang w:val="es-CR" w:bidi="en-US"/>
        </w:rPr>
        <w:t xml:space="preserve">, párr. 211, y </w:t>
      </w:r>
      <w:r w:rsidRPr="009C15B0">
        <w:rPr>
          <w:i/>
          <w:sz w:val="16"/>
          <w:szCs w:val="16"/>
          <w:lang w:val="es-CR" w:bidi="en-US"/>
        </w:rPr>
        <w:t>Caso Ortiz Hernández y otros Vs. Venezuela, supra,</w:t>
      </w:r>
      <w:r w:rsidRPr="009C15B0">
        <w:rPr>
          <w:sz w:val="16"/>
          <w:szCs w:val="16"/>
          <w:lang w:val="es-CR"/>
        </w:rPr>
        <w:t xml:space="preserve"> párr. 145.</w:t>
      </w:r>
    </w:p>
  </w:footnote>
  <w:footnote w:id="376">
    <w:p w14:paraId="3F666D9D" w14:textId="1F5AC7EF"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Caso Valle Jaramillo y otros Vs. Colombia. Fondo, Reparaciones y Costas. </w:t>
      </w:r>
      <w:r w:rsidRPr="009C15B0">
        <w:rPr>
          <w:sz w:val="16"/>
          <w:szCs w:val="16"/>
          <w:lang w:val="es-CR"/>
        </w:rPr>
        <w:t xml:space="preserve">Sentencia de 27 de noviembre de 2008. Serie C No. 192, párr. 155, y </w:t>
      </w:r>
      <w:r w:rsidRPr="009C15B0">
        <w:rPr>
          <w:rFonts w:eastAsiaTheme="minorHAnsi" w:cstheme="minorBidi"/>
          <w:i/>
          <w:sz w:val="16"/>
          <w:szCs w:val="16"/>
          <w:lang w:val="es-CR" w:eastAsia="en-US"/>
        </w:rPr>
        <w:t>Caso Pacheco León y otros Vs. Honduras, supra</w:t>
      </w:r>
      <w:r w:rsidRPr="009C15B0">
        <w:rPr>
          <w:iCs/>
          <w:sz w:val="16"/>
          <w:szCs w:val="16"/>
          <w:lang w:val="es-CR"/>
        </w:rPr>
        <w:t>, párr. 120</w:t>
      </w:r>
      <w:r w:rsidRPr="009C15B0">
        <w:rPr>
          <w:sz w:val="16"/>
          <w:szCs w:val="16"/>
          <w:lang w:val="es-CR"/>
        </w:rPr>
        <w:t>.</w:t>
      </w:r>
    </w:p>
  </w:footnote>
  <w:footnote w:id="377">
    <w:p w14:paraId="7FB54582" w14:textId="1C01EE2E"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rFonts w:eastAsia="Calibri"/>
          <w:i/>
          <w:sz w:val="16"/>
          <w:szCs w:val="16"/>
          <w:lang w:val="es-CR" w:eastAsia="de-DE"/>
        </w:rPr>
        <w:t xml:space="preserve">Cfr. </w:t>
      </w:r>
      <w:r w:rsidRPr="009C15B0">
        <w:rPr>
          <w:rStyle w:val="apple-style-span"/>
          <w:bCs/>
          <w:i/>
          <w:sz w:val="16"/>
          <w:szCs w:val="16"/>
          <w:lang w:val="es-CR"/>
        </w:rPr>
        <w:t>Caso Apitz Barbera y otros (“Corte Primera de lo Contencioso Administrativo”) Vs. Venezuela, supra</w:t>
      </w:r>
      <w:r w:rsidRPr="009C15B0">
        <w:rPr>
          <w:rStyle w:val="apple-style-span"/>
          <w:bCs/>
          <w:sz w:val="16"/>
          <w:szCs w:val="16"/>
          <w:lang w:val="es-CR"/>
        </w:rPr>
        <w:t xml:space="preserve">, </w:t>
      </w:r>
      <w:r w:rsidRPr="009C15B0">
        <w:rPr>
          <w:sz w:val="16"/>
          <w:szCs w:val="16"/>
          <w:lang w:val="es-CR"/>
        </w:rPr>
        <w:t>párr. 209</w:t>
      </w:r>
      <w:r w:rsidRPr="009C15B0">
        <w:rPr>
          <w:rStyle w:val="Strong"/>
          <w:b w:val="0"/>
          <w:color w:val="000000"/>
          <w:sz w:val="16"/>
          <w:szCs w:val="16"/>
          <w:shd w:val="clear" w:color="auto" w:fill="FFFFFF"/>
          <w:lang w:val="es-CR"/>
        </w:rPr>
        <w:t>, y</w:t>
      </w:r>
      <w:r w:rsidRPr="009C15B0">
        <w:rPr>
          <w:rFonts w:cs="Vrinda"/>
          <w:i/>
          <w:sz w:val="16"/>
          <w:szCs w:val="16"/>
          <w:lang w:val="es-CR"/>
        </w:rPr>
        <w:t xml:space="preserve"> </w:t>
      </w:r>
      <w:r w:rsidRPr="009C15B0">
        <w:rPr>
          <w:rFonts w:cs="Courier New"/>
          <w:i/>
          <w:sz w:val="16"/>
          <w:szCs w:val="16"/>
          <w:lang w:val="es-CR"/>
        </w:rPr>
        <w:t>Caso Veliz Franco y otros Vs. Guatemala. Excepciones Preliminares, Fondo, Reparaciones y Costas</w:t>
      </w:r>
      <w:r w:rsidRPr="009C15B0">
        <w:rPr>
          <w:rFonts w:cs="Courier New"/>
          <w:sz w:val="16"/>
          <w:szCs w:val="16"/>
          <w:lang w:val="es-CR"/>
        </w:rPr>
        <w:t>. Sentencia de 19 de mayo de 2014. Serie C No. 277, párr. 214</w:t>
      </w:r>
      <w:r w:rsidRPr="009C15B0">
        <w:rPr>
          <w:rStyle w:val="Strong"/>
          <w:b w:val="0"/>
          <w:sz w:val="16"/>
          <w:szCs w:val="16"/>
          <w:lang w:val="es-CR"/>
        </w:rPr>
        <w:t>.</w:t>
      </w:r>
    </w:p>
  </w:footnote>
  <w:footnote w:id="378">
    <w:p w14:paraId="4AB14739" w14:textId="239AB2D9"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iCs/>
          <w:sz w:val="16"/>
          <w:szCs w:val="16"/>
          <w:lang w:val="es-CR"/>
        </w:rPr>
        <w:t>Cfr.</w:t>
      </w:r>
      <w:r w:rsidRPr="009C15B0">
        <w:rPr>
          <w:color w:val="000000"/>
          <w:sz w:val="16"/>
          <w:szCs w:val="16"/>
          <w:lang w:val="es-CR"/>
        </w:rPr>
        <w:t xml:space="preserve"> </w:t>
      </w:r>
      <w:r w:rsidRPr="009C15B0">
        <w:rPr>
          <w:rFonts w:cs="Courier New"/>
          <w:i/>
          <w:sz w:val="16"/>
          <w:szCs w:val="16"/>
          <w:lang w:val="es-CR"/>
        </w:rPr>
        <w:t>Caso Yatama Vs. Nicaragua. Excepciones Preliminares, Fondo, Reparaciones y Costas.</w:t>
      </w:r>
      <w:r w:rsidRPr="009C15B0">
        <w:rPr>
          <w:rFonts w:cs="Courier New"/>
          <w:sz w:val="16"/>
          <w:szCs w:val="16"/>
          <w:lang w:val="es-CR"/>
        </w:rPr>
        <w:t xml:space="preserve"> Sentencia de 23 de junio de 2005. Serie C No. 127</w:t>
      </w:r>
      <w:r w:rsidRPr="009C15B0">
        <w:rPr>
          <w:sz w:val="16"/>
          <w:szCs w:val="16"/>
          <w:lang w:val="es-CR"/>
        </w:rPr>
        <w:t xml:space="preserve">, párr. 185, y </w:t>
      </w:r>
      <w:r w:rsidRPr="009C15B0">
        <w:rPr>
          <w:rFonts w:cs="Courier New"/>
          <w:i/>
          <w:sz w:val="16"/>
          <w:szCs w:val="16"/>
          <w:lang w:val="es-CR"/>
        </w:rPr>
        <w:t>Caso Vélez Loor Vs. Panamá. Excepciones Preliminares, Fondo, Reparaciones y Costas</w:t>
      </w:r>
      <w:r w:rsidRPr="009C15B0">
        <w:rPr>
          <w:rFonts w:cs="Courier New"/>
          <w:sz w:val="16"/>
          <w:szCs w:val="16"/>
          <w:lang w:val="es-CR"/>
        </w:rPr>
        <w:t>. Sentencia de 23 de noviembre de 2010. Serie C No. 218</w:t>
      </w:r>
      <w:r w:rsidRPr="009C15B0">
        <w:rPr>
          <w:sz w:val="16"/>
          <w:szCs w:val="16"/>
          <w:lang w:val="es-CR"/>
        </w:rPr>
        <w:t>, párr. 248.</w:t>
      </w:r>
    </w:p>
  </w:footnote>
  <w:footnote w:id="379">
    <w:p w14:paraId="33C25D13" w14:textId="6A8D4566" w:rsidR="007F7D87" w:rsidRPr="009C15B0" w:rsidRDefault="007F7D87" w:rsidP="001E6358">
      <w:pPr>
        <w:pStyle w:val="FootnoteText"/>
        <w:tabs>
          <w:tab w:val="left" w:pos="567"/>
        </w:tabs>
        <w:spacing w:after="60"/>
        <w:rPr>
          <w:sz w:val="16"/>
          <w:szCs w:val="16"/>
          <w:lang w:val="es-CR"/>
        </w:rPr>
      </w:pPr>
      <w:r w:rsidRPr="009C15B0">
        <w:rPr>
          <w:rStyle w:val="FootnoteReference"/>
          <w:rFonts w:eastAsia="Calibri"/>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Caso J. Vs. Perú. Excepción Preliminar, Fondo, Reparaciones y Costas. </w:t>
      </w:r>
      <w:r w:rsidRPr="009C15B0">
        <w:rPr>
          <w:sz w:val="16"/>
          <w:szCs w:val="16"/>
          <w:lang w:val="es-CR"/>
        </w:rPr>
        <w:t>Sentencia de 27 de noviembre de 2013. Serie C No. 275</w:t>
      </w:r>
      <w:r w:rsidRPr="009C15B0">
        <w:rPr>
          <w:i/>
          <w:sz w:val="16"/>
          <w:szCs w:val="16"/>
          <w:lang w:val="es-CR"/>
        </w:rPr>
        <w:t>,</w:t>
      </w:r>
      <w:r w:rsidRPr="009C15B0">
        <w:rPr>
          <w:sz w:val="16"/>
          <w:szCs w:val="16"/>
          <w:lang w:val="es-CR"/>
        </w:rPr>
        <w:t xml:space="preserve"> párr. 359, y </w:t>
      </w:r>
      <w:r w:rsidRPr="009C15B0">
        <w:rPr>
          <w:i/>
          <w:sz w:val="16"/>
          <w:szCs w:val="16"/>
          <w:lang w:val="es-CR"/>
        </w:rPr>
        <w:t>Caso Espinoza Gonzáles Vs. Perú, supra</w:t>
      </w:r>
      <w:r w:rsidRPr="009C15B0">
        <w:rPr>
          <w:sz w:val="16"/>
          <w:szCs w:val="16"/>
          <w:lang w:val="es-CR"/>
        </w:rPr>
        <w:t>, párr. 192.</w:t>
      </w:r>
    </w:p>
  </w:footnote>
  <w:footnote w:id="380">
    <w:p w14:paraId="15C380F9" w14:textId="6E043A71" w:rsidR="007F7D87" w:rsidRPr="009C15B0" w:rsidRDefault="007F7D87" w:rsidP="001E6358">
      <w:pPr>
        <w:pStyle w:val="FootnoteText"/>
        <w:tabs>
          <w:tab w:val="left" w:pos="567"/>
          <w:tab w:val="left" w:pos="720"/>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 Caso González y otras (“Campo Algodonero”) Vs. México, supra</w:t>
      </w:r>
      <w:r w:rsidRPr="009C15B0">
        <w:rPr>
          <w:sz w:val="16"/>
          <w:szCs w:val="16"/>
          <w:lang w:val="es-CR"/>
        </w:rPr>
        <w:t xml:space="preserve">, párrs. 394 y 395, citando la Convención de Belém do Pará, preámbulo y artículo 6; la Convención sobre la eliminación de todas las formas de discriminación contra la mujer, de 18 de diciembre de 1979, artículo 1, y el Comité para la Eliminación de la Discriminación contra la Mujer, </w:t>
      </w:r>
      <w:r w:rsidRPr="009C15B0">
        <w:rPr>
          <w:i/>
          <w:sz w:val="16"/>
          <w:szCs w:val="16"/>
          <w:lang w:val="es-CR"/>
        </w:rPr>
        <w:t>Recomendación General N° 19: La Violencia contra la Mujer</w:t>
      </w:r>
      <w:r w:rsidRPr="009C15B0">
        <w:rPr>
          <w:sz w:val="16"/>
          <w:szCs w:val="16"/>
          <w:lang w:val="es-CR"/>
        </w:rPr>
        <w:t>, UN Doc. A/47/38, 29 de enero de 1992, párrs. 1 y 6.</w:t>
      </w:r>
    </w:p>
  </w:footnote>
  <w:footnote w:id="381">
    <w:p w14:paraId="0837934C" w14:textId="179293A1" w:rsidR="007F7D87" w:rsidRPr="009C15B0" w:rsidRDefault="007F7D87" w:rsidP="001E6358">
      <w:pPr>
        <w:pStyle w:val="FootnoteText"/>
        <w:tabs>
          <w:tab w:val="left" w:pos="567"/>
          <w:tab w:val="left" w:pos="720"/>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rFonts w:cs="Vrinda"/>
          <w:i/>
          <w:sz w:val="16"/>
          <w:szCs w:val="16"/>
          <w:lang w:val="es-CR"/>
        </w:rPr>
        <w:t xml:space="preserve">Cfr. </w:t>
      </w:r>
      <w:r w:rsidRPr="009C15B0">
        <w:rPr>
          <w:i/>
          <w:sz w:val="16"/>
          <w:szCs w:val="16"/>
          <w:lang w:val="es-CR"/>
        </w:rPr>
        <w:t>Caso González y otras (“Campo Algodonero”) Vs. México, supra</w:t>
      </w:r>
      <w:r w:rsidRPr="009C15B0">
        <w:rPr>
          <w:sz w:val="16"/>
          <w:szCs w:val="16"/>
          <w:lang w:val="es-CR"/>
        </w:rPr>
        <w:t xml:space="preserve">, párrs. 388 y 400, y </w:t>
      </w:r>
      <w:r w:rsidRPr="009C15B0">
        <w:rPr>
          <w:rFonts w:cs="Courier New"/>
          <w:i/>
          <w:sz w:val="16"/>
          <w:szCs w:val="16"/>
          <w:lang w:val="es-CR"/>
        </w:rPr>
        <w:t>Caso Gutiérrez Hernández y otros Vs. Guatemala, supra</w:t>
      </w:r>
      <w:r w:rsidRPr="009C15B0">
        <w:rPr>
          <w:rFonts w:cs="Courier New"/>
          <w:sz w:val="16"/>
          <w:szCs w:val="16"/>
          <w:lang w:val="es-CR"/>
        </w:rPr>
        <w:t>, párr. 176</w:t>
      </w:r>
      <w:r w:rsidRPr="009C15B0">
        <w:rPr>
          <w:sz w:val="16"/>
          <w:szCs w:val="16"/>
          <w:lang w:val="es-CR"/>
        </w:rPr>
        <w:t>.</w:t>
      </w:r>
    </w:p>
  </w:footnote>
  <w:footnote w:id="382">
    <w:p w14:paraId="571A7EFC" w14:textId="0C45D831" w:rsidR="007F7D87" w:rsidRPr="009C15B0" w:rsidRDefault="007F7D87" w:rsidP="001E6358">
      <w:pPr>
        <w:tabs>
          <w:tab w:val="left" w:pos="567"/>
        </w:tabs>
        <w:spacing w:after="60" w:line="240" w:lineRule="auto"/>
        <w:rPr>
          <w:color w:val="000000" w:themeColor="text1"/>
          <w:sz w:val="16"/>
          <w:szCs w:val="16"/>
        </w:rPr>
      </w:pPr>
      <w:r w:rsidRPr="009C15B0">
        <w:rPr>
          <w:rStyle w:val="FootnoteReference"/>
          <w:rFonts w:eastAsia="Calibri"/>
          <w:color w:val="000000" w:themeColor="text1"/>
          <w:sz w:val="16"/>
          <w:szCs w:val="16"/>
        </w:rPr>
        <w:footnoteRef/>
      </w:r>
      <w:r w:rsidRPr="009C15B0">
        <w:rPr>
          <w:color w:val="000000" w:themeColor="text1"/>
          <w:sz w:val="16"/>
          <w:szCs w:val="16"/>
        </w:rPr>
        <w:t xml:space="preserve"> </w:t>
      </w:r>
      <w:r w:rsidRPr="009C15B0">
        <w:rPr>
          <w:color w:val="000000" w:themeColor="text1"/>
          <w:sz w:val="16"/>
          <w:szCs w:val="16"/>
        </w:rPr>
        <w:tab/>
        <w:t>A</w:t>
      </w:r>
      <w:r w:rsidRPr="009C15B0">
        <w:rPr>
          <w:rFonts w:cs="MinionPro-Bold"/>
          <w:bCs/>
          <w:color w:val="000000" w:themeColor="text1"/>
          <w:sz w:val="16"/>
          <w:szCs w:val="16"/>
        </w:rPr>
        <w:t>rtículo 1 de la Convención de Belém do Pará.</w:t>
      </w:r>
    </w:p>
  </w:footnote>
  <w:footnote w:id="383">
    <w:p w14:paraId="2E86621D" w14:textId="45FF9016"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El artículo 22.1 establece que: “[t]oda persona que se halle legalmente en el territorio de un Estado tiene derecho a circular por el mismo y, a residir en él con sujeción a las disposiciones legales”.</w:t>
      </w:r>
    </w:p>
  </w:footnote>
  <w:footnote w:id="384">
    <w:p w14:paraId="746EC0D5" w14:textId="687A7E4F"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El artículo 17.1 dispone que: “</w:t>
      </w:r>
      <w:r w:rsidRPr="009C15B0">
        <w:rPr>
          <w:rFonts w:cs="Tahoma"/>
          <w:sz w:val="16"/>
          <w:szCs w:val="16"/>
          <w:lang w:val="es-CR"/>
        </w:rPr>
        <w:t>[l]a familia es el elemento natural y fundamental de la sociedad y debe ser protegida por la sociedad y el Estado</w:t>
      </w:r>
      <w:r w:rsidRPr="009C15B0">
        <w:rPr>
          <w:sz w:val="16"/>
          <w:szCs w:val="16"/>
          <w:lang w:val="es-CR"/>
        </w:rPr>
        <w:t>”.</w:t>
      </w:r>
    </w:p>
  </w:footnote>
  <w:footnote w:id="385">
    <w:p w14:paraId="57E8A476" w14:textId="1797505C"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El artículo 19 prevé que: “</w:t>
      </w:r>
      <w:r w:rsidRPr="009C15B0">
        <w:rPr>
          <w:rFonts w:cs="Tahoma"/>
          <w:sz w:val="16"/>
          <w:szCs w:val="16"/>
          <w:lang w:val="es-CR"/>
        </w:rPr>
        <w:t>[t]odo niño tiene derecho a las medidas de protección que su condición de menor requieren por parte de su familia, de la sociedad y del Estado</w:t>
      </w:r>
      <w:r w:rsidRPr="009C15B0">
        <w:rPr>
          <w:sz w:val="16"/>
          <w:szCs w:val="16"/>
          <w:lang w:val="es-CR"/>
        </w:rPr>
        <w:t>”.</w:t>
      </w:r>
    </w:p>
  </w:footnote>
  <w:footnote w:id="386">
    <w:p w14:paraId="1C21373C" w14:textId="2FEC4875"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bCs/>
          <w:i/>
          <w:sz w:val="16"/>
          <w:szCs w:val="16"/>
          <w:lang w:val="es-CR"/>
        </w:rPr>
        <w:t>Caso Masacres de El Mozote y lugares aledaños Vs. El Salvador. Fondo, Reparaciones y Costas</w:t>
      </w:r>
      <w:r w:rsidRPr="009C15B0">
        <w:rPr>
          <w:bCs/>
          <w:sz w:val="16"/>
          <w:szCs w:val="16"/>
          <w:lang w:val="es-CR"/>
        </w:rPr>
        <w:t>. Sentencia de 25 de octubre de 2012. Serie C No. 252, párr. 186, y</w:t>
      </w:r>
      <w:r w:rsidRPr="009C15B0">
        <w:rPr>
          <w:sz w:val="16"/>
          <w:szCs w:val="16"/>
          <w:lang w:val="es-CR"/>
        </w:rPr>
        <w:t xml:space="preserve"> </w:t>
      </w:r>
      <w:r w:rsidRPr="009C15B0">
        <w:rPr>
          <w:bCs/>
          <w:i/>
          <w:sz w:val="16"/>
          <w:szCs w:val="16"/>
          <w:lang w:val="es-CR"/>
        </w:rPr>
        <w:t>Caso Yarce y otras Vs. Colombia, supra</w:t>
      </w:r>
      <w:r w:rsidRPr="009C15B0">
        <w:rPr>
          <w:bCs/>
          <w:sz w:val="16"/>
          <w:szCs w:val="16"/>
          <w:lang w:val="es-CR"/>
        </w:rPr>
        <w:t>, párr. 214.</w:t>
      </w:r>
    </w:p>
  </w:footnote>
  <w:footnote w:id="387">
    <w:p w14:paraId="2339FA40" w14:textId="3D09756E" w:rsidR="007F7D87" w:rsidRPr="009C15B0" w:rsidRDefault="007F7D87" w:rsidP="001E6358">
      <w:pPr>
        <w:pStyle w:val="FootnoteText"/>
        <w:tabs>
          <w:tab w:val="left" w:pos="567"/>
          <w:tab w:val="left" w:pos="709"/>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rFonts w:eastAsiaTheme="minorHAnsi" w:cstheme="minorBidi"/>
          <w:i/>
          <w:sz w:val="16"/>
          <w:szCs w:val="16"/>
          <w:lang w:val="es-CR" w:eastAsia="en-US"/>
        </w:rPr>
        <w:t xml:space="preserve">Cfr. </w:t>
      </w:r>
      <w:r w:rsidRPr="009C15B0">
        <w:rPr>
          <w:bCs/>
          <w:i/>
          <w:sz w:val="16"/>
          <w:szCs w:val="16"/>
          <w:lang w:val="es-CR"/>
        </w:rPr>
        <w:t>Caso Ricardo Canese Vs. Paraguay.</w:t>
      </w:r>
      <w:r w:rsidRPr="009C15B0">
        <w:rPr>
          <w:b/>
          <w:bCs/>
          <w:i/>
          <w:sz w:val="16"/>
          <w:szCs w:val="16"/>
          <w:lang w:val="es-CR"/>
        </w:rPr>
        <w:t xml:space="preserve"> </w:t>
      </w:r>
      <w:r w:rsidRPr="009C15B0">
        <w:rPr>
          <w:i/>
          <w:sz w:val="16"/>
          <w:szCs w:val="16"/>
          <w:lang w:val="es-CR"/>
        </w:rPr>
        <w:t>Fondo, Reparaciones y Costas</w:t>
      </w:r>
      <w:r w:rsidRPr="009C15B0">
        <w:rPr>
          <w:sz w:val="16"/>
          <w:szCs w:val="16"/>
          <w:lang w:val="es-CR"/>
        </w:rPr>
        <w:t xml:space="preserve">. Sentencia de 31 de agosto de 2004. Serie C No. 111, párr. 115, </w:t>
      </w:r>
      <w:r w:rsidRPr="009C15B0">
        <w:rPr>
          <w:rFonts w:eastAsiaTheme="minorHAnsi" w:cstheme="minorBidi"/>
          <w:sz w:val="16"/>
          <w:szCs w:val="16"/>
          <w:lang w:val="es-CR" w:eastAsia="en-US"/>
        </w:rPr>
        <w:t>y</w:t>
      </w:r>
      <w:r w:rsidRPr="009C15B0">
        <w:rPr>
          <w:rFonts w:eastAsiaTheme="minorHAnsi" w:cstheme="minorBidi"/>
          <w:i/>
          <w:sz w:val="16"/>
          <w:szCs w:val="16"/>
          <w:lang w:val="es-CR" w:eastAsia="en-US"/>
        </w:rPr>
        <w:t xml:space="preserve"> Caso Yarce y otras Vs. Colombia, supra</w:t>
      </w:r>
      <w:r w:rsidRPr="009C15B0">
        <w:rPr>
          <w:rFonts w:eastAsiaTheme="minorHAnsi" w:cstheme="minorBidi"/>
          <w:sz w:val="16"/>
          <w:szCs w:val="16"/>
          <w:lang w:val="es-CR" w:eastAsia="en-US"/>
        </w:rPr>
        <w:t>, párr. 214.</w:t>
      </w:r>
    </w:p>
  </w:footnote>
  <w:footnote w:id="388">
    <w:p w14:paraId="02423A40" w14:textId="0E3A05D1" w:rsidR="007F7D87" w:rsidRPr="009C15B0" w:rsidRDefault="007F7D87" w:rsidP="001E6358">
      <w:pPr>
        <w:pStyle w:val="FootnoteText"/>
        <w:tabs>
          <w:tab w:val="left" w:pos="567"/>
        </w:tabs>
        <w:spacing w:after="60"/>
        <w:ind w:right="49"/>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rFonts w:eastAsia="Calibri" w:cs="Verdana"/>
          <w:i/>
          <w:iCs/>
          <w:sz w:val="16"/>
          <w:szCs w:val="16"/>
          <w:lang w:val="es-CR"/>
        </w:rPr>
        <w:t xml:space="preserve">Cfr. Caso de la Comunidad Moiwana Vs. Surinam. Excepciones Preliminares, Fondo, Reparaciones y Costas. </w:t>
      </w:r>
      <w:r w:rsidRPr="009C15B0">
        <w:rPr>
          <w:rFonts w:eastAsia="Calibri" w:cs="Verdana"/>
          <w:iCs/>
          <w:sz w:val="16"/>
          <w:szCs w:val="16"/>
          <w:lang w:val="es-CR"/>
        </w:rPr>
        <w:t xml:space="preserve">Sentencia 15 de junio de 2005. Serie C No. 124, </w:t>
      </w:r>
      <w:r w:rsidRPr="009C15B0">
        <w:rPr>
          <w:rFonts w:eastAsia="Calibri" w:cs="Verdana"/>
          <w:sz w:val="16"/>
          <w:szCs w:val="16"/>
          <w:lang w:val="es-CR"/>
        </w:rPr>
        <w:t xml:space="preserve">párrs. 119 y 120, y </w:t>
      </w:r>
      <w:r w:rsidRPr="009C15B0">
        <w:rPr>
          <w:bCs/>
          <w:i/>
          <w:sz w:val="16"/>
          <w:szCs w:val="16"/>
          <w:lang w:val="es-CR"/>
        </w:rPr>
        <w:t xml:space="preserve">Caso Miembros de la Aldea Chichupac y comunidades vecinas del Municipio de Rabinal Vs. Guatemala. Excepciones Preliminares, Fondo, Reparaciones y Costas. </w:t>
      </w:r>
      <w:r w:rsidRPr="009C15B0">
        <w:rPr>
          <w:bCs/>
          <w:sz w:val="16"/>
          <w:szCs w:val="16"/>
          <w:lang w:val="es-CR"/>
        </w:rPr>
        <w:t>Sentencia de 30 de noviembre de 2016. Serie C No. 328, párr. 174.</w:t>
      </w:r>
    </w:p>
  </w:footnote>
  <w:footnote w:id="389">
    <w:p w14:paraId="41C16A4A" w14:textId="3F28F669" w:rsidR="007F7D87" w:rsidRPr="009C15B0" w:rsidRDefault="007F7D87" w:rsidP="001E6358">
      <w:pPr>
        <w:pStyle w:val="FootnoteText"/>
        <w:tabs>
          <w:tab w:val="left" w:pos="567"/>
        </w:tabs>
        <w:spacing w:after="60"/>
        <w:ind w:right="49"/>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rFonts w:eastAsia="Calibri" w:cs="Verdana"/>
          <w:i/>
          <w:iCs/>
          <w:sz w:val="16"/>
          <w:szCs w:val="16"/>
          <w:lang w:val="es-CR"/>
        </w:rPr>
        <w:t>Caso Valle Jaramillo y otros Vs. Colombia, supra</w:t>
      </w:r>
      <w:r w:rsidRPr="009C15B0">
        <w:rPr>
          <w:rFonts w:eastAsia="Calibri" w:cs="Verdana"/>
          <w:sz w:val="16"/>
          <w:szCs w:val="16"/>
          <w:lang w:val="es-CR"/>
        </w:rPr>
        <w:t xml:space="preserve">, </w:t>
      </w:r>
      <w:r w:rsidRPr="009C15B0">
        <w:rPr>
          <w:sz w:val="16"/>
          <w:szCs w:val="16"/>
          <w:lang w:val="es-CR"/>
        </w:rPr>
        <w:t xml:space="preserve">párr. 139, y </w:t>
      </w:r>
      <w:r w:rsidRPr="009C15B0">
        <w:rPr>
          <w:bCs/>
          <w:i/>
          <w:sz w:val="16"/>
          <w:szCs w:val="16"/>
          <w:lang w:val="es-CR"/>
        </w:rPr>
        <w:t>Caso Miembros de la Aldea Chichupac y comunidades vecinas del Municipio de Rabinal Vs. Guatemala, supra</w:t>
      </w:r>
      <w:r w:rsidRPr="009C15B0">
        <w:rPr>
          <w:bCs/>
          <w:sz w:val="16"/>
          <w:szCs w:val="16"/>
          <w:lang w:val="es-CR"/>
        </w:rPr>
        <w:t>, párr. 174.</w:t>
      </w:r>
    </w:p>
  </w:footnote>
  <w:footnote w:id="390">
    <w:p w14:paraId="341765D6"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bCs/>
          <w:i/>
          <w:sz w:val="16"/>
          <w:szCs w:val="16"/>
          <w:lang w:val="es-CR"/>
        </w:rPr>
        <w:t>Caso Manuel Cepeda Vargas Vs. Colombia. Excepciones Preliminares, Fondo, Reparaciones y Costas</w:t>
      </w:r>
      <w:r w:rsidRPr="009C15B0">
        <w:rPr>
          <w:bCs/>
          <w:sz w:val="16"/>
          <w:szCs w:val="16"/>
          <w:lang w:val="es-CR"/>
        </w:rPr>
        <w:t>. Sentencia de 26 de mayo de 2010. Serie C No. 213, párr. 201.</w:t>
      </w:r>
    </w:p>
  </w:footnote>
  <w:footnote w:id="391">
    <w:p w14:paraId="00AAA221" w14:textId="05DEAD95" w:rsidR="007F7D87" w:rsidRPr="009C15B0" w:rsidRDefault="007F7D87" w:rsidP="001E6358">
      <w:pPr>
        <w:pStyle w:val="FootnoteText"/>
        <w:tabs>
          <w:tab w:val="left" w:pos="567"/>
        </w:tabs>
        <w:spacing w:after="60"/>
        <w:ind w:right="49"/>
        <w:rPr>
          <w:rFonts w:eastAsiaTheme="minorHAnsi" w:cstheme="minorBidi"/>
          <w:sz w:val="16"/>
          <w:szCs w:val="16"/>
          <w:lang w:val="es-CR" w:eastAsia="en-US"/>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w:t>
      </w:r>
      <w:r w:rsidRPr="009C15B0">
        <w:rPr>
          <w:bCs/>
          <w:i/>
          <w:sz w:val="16"/>
          <w:szCs w:val="16"/>
          <w:lang w:val="es-CR"/>
        </w:rPr>
        <w:t xml:space="preserve"> </w:t>
      </w:r>
      <w:r w:rsidRPr="009C15B0">
        <w:rPr>
          <w:rFonts w:eastAsia="Calibri" w:cs="Verdana"/>
          <w:i/>
          <w:iCs/>
          <w:sz w:val="16"/>
          <w:szCs w:val="16"/>
          <w:lang w:val="es-CR"/>
        </w:rPr>
        <w:t>Caso de la Comunidad Moiwana Vs. Surinam, supra</w:t>
      </w:r>
      <w:r w:rsidRPr="009C15B0">
        <w:rPr>
          <w:rFonts w:eastAsia="Calibri" w:cs="Verdana"/>
          <w:iCs/>
          <w:sz w:val="16"/>
          <w:szCs w:val="16"/>
          <w:lang w:val="es-CR"/>
        </w:rPr>
        <w:t xml:space="preserve">, </w:t>
      </w:r>
      <w:r w:rsidRPr="009C15B0">
        <w:rPr>
          <w:rFonts w:eastAsia="Calibri" w:cs="Verdana"/>
          <w:sz w:val="16"/>
          <w:szCs w:val="16"/>
          <w:lang w:val="es-CR"/>
        </w:rPr>
        <w:t>párrs. 119 y 120,</w:t>
      </w:r>
      <w:r w:rsidRPr="009C15B0">
        <w:rPr>
          <w:rFonts w:cs="Verdana"/>
          <w:sz w:val="16"/>
          <w:szCs w:val="16"/>
          <w:lang w:val="es-CR"/>
        </w:rPr>
        <w:t xml:space="preserve"> y </w:t>
      </w:r>
      <w:r w:rsidRPr="009C15B0">
        <w:rPr>
          <w:bCs/>
          <w:i/>
          <w:sz w:val="16"/>
          <w:szCs w:val="16"/>
          <w:lang w:val="es-CR"/>
        </w:rPr>
        <w:t>Caso Miembros de la Aldea Chichupac y comunidades vecinas del Municipio de Rabinal Vs. Guatemala, supra</w:t>
      </w:r>
      <w:r w:rsidRPr="009C15B0">
        <w:rPr>
          <w:bCs/>
          <w:sz w:val="16"/>
          <w:szCs w:val="16"/>
          <w:lang w:val="es-CR"/>
        </w:rPr>
        <w:t>, párr. 174.</w:t>
      </w:r>
    </w:p>
  </w:footnote>
  <w:footnote w:id="392">
    <w:p w14:paraId="2D1A883B"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xml:space="preserve"> </w:t>
      </w:r>
      <w:r w:rsidRPr="009C15B0">
        <w:rPr>
          <w:rStyle w:val="Strong"/>
          <w:b w:val="0"/>
          <w:i/>
          <w:sz w:val="16"/>
          <w:szCs w:val="16"/>
          <w:shd w:val="clear" w:color="auto" w:fill="FFFFFF"/>
          <w:lang w:val="es-CR"/>
        </w:rPr>
        <w:t>Caso Vélez Restrepo y familiares Vs. Colombia. Excepción Preliminar, Fondo, Reparaciones y Costas</w:t>
      </w:r>
      <w:r w:rsidRPr="009C15B0">
        <w:rPr>
          <w:rStyle w:val="Strong"/>
          <w:b w:val="0"/>
          <w:sz w:val="16"/>
          <w:szCs w:val="16"/>
          <w:shd w:val="clear" w:color="auto" w:fill="FFFFFF"/>
          <w:lang w:val="es-CR"/>
        </w:rPr>
        <w:t>. Sentencia de 3 de septiembre de 2012. Serie C No. 248, párr. 161.</w:t>
      </w:r>
    </w:p>
  </w:footnote>
  <w:footnote w:id="393">
    <w:p w14:paraId="6DE91AC5" w14:textId="043C1142" w:rsidR="007F7D87" w:rsidRPr="009C15B0" w:rsidRDefault="007F7D87" w:rsidP="001E6358">
      <w:pPr>
        <w:pStyle w:val="FootnoteText"/>
        <w:tabs>
          <w:tab w:val="left" w:pos="567"/>
          <w:tab w:val="left" w:pos="709"/>
        </w:tabs>
        <w:spacing w:after="60"/>
        <w:rPr>
          <w:bCs/>
          <w:sz w:val="16"/>
          <w:szCs w:val="16"/>
          <w:lang w:val="es-CR"/>
        </w:rPr>
      </w:pPr>
      <w:r w:rsidRPr="009C15B0">
        <w:rPr>
          <w:sz w:val="16"/>
          <w:szCs w:val="16"/>
          <w:vertAlign w:val="superscript"/>
          <w:lang w:val="es-CR"/>
        </w:rPr>
        <w:footnoteRef/>
      </w:r>
      <w:r w:rsidRPr="009C15B0">
        <w:rPr>
          <w:rFonts w:cs="Verdana"/>
          <w:bCs/>
          <w:sz w:val="16"/>
          <w:szCs w:val="16"/>
          <w:lang w:val="es-CR"/>
        </w:rPr>
        <w:t xml:space="preserve"> </w:t>
      </w:r>
      <w:r w:rsidRPr="009C15B0">
        <w:rPr>
          <w:rFonts w:cs="Verdana"/>
          <w:bCs/>
          <w:sz w:val="16"/>
          <w:szCs w:val="16"/>
          <w:lang w:val="es-CR"/>
        </w:rPr>
        <w:tab/>
      </w:r>
      <w:r w:rsidRPr="009C15B0">
        <w:rPr>
          <w:i/>
          <w:sz w:val="16"/>
          <w:szCs w:val="16"/>
          <w:lang w:val="es-CR"/>
        </w:rPr>
        <w:t>Cfr.</w:t>
      </w:r>
      <w:r w:rsidRPr="009C15B0">
        <w:rPr>
          <w:bCs/>
          <w:i/>
          <w:sz w:val="16"/>
          <w:szCs w:val="16"/>
          <w:lang w:val="es-CR"/>
        </w:rPr>
        <w:t xml:space="preserve"> </w:t>
      </w:r>
      <w:r w:rsidRPr="009C15B0">
        <w:rPr>
          <w:i/>
          <w:sz w:val="16"/>
          <w:szCs w:val="16"/>
          <w:lang w:val="es-CR"/>
        </w:rPr>
        <w:t>Condición Jurídica y Derechos Humanos del Niño.</w:t>
      </w:r>
      <w:r w:rsidRPr="009C15B0">
        <w:rPr>
          <w:sz w:val="16"/>
          <w:szCs w:val="16"/>
          <w:lang w:val="es-CR"/>
        </w:rPr>
        <w:t xml:space="preserve"> Opinión Consultiva OC-17/02, </w:t>
      </w:r>
      <w:r w:rsidRPr="009C15B0">
        <w:rPr>
          <w:i/>
          <w:sz w:val="16"/>
          <w:szCs w:val="16"/>
          <w:lang w:val="es-CR"/>
        </w:rPr>
        <w:t>supra</w:t>
      </w:r>
      <w:r w:rsidRPr="009C15B0">
        <w:rPr>
          <w:sz w:val="16"/>
          <w:szCs w:val="16"/>
          <w:lang w:val="es-CR"/>
        </w:rPr>
        <w:t xml:space="preserve">, párr. 71, y </w:t>
      </w:r>
      <w:r w:rsidRPr="009C15B0">
        <w:rPr>
          <w:rFonts w:eastAsiaTheme="minorHAnsi" w:cstheme="minorBidi"/>
          <w:i/>
          <w:sz w:val="16"/>
          <w:szCs w:val="16"/>
          <w:lang w:val="es-CR" w:eastAsia="en-US"/>
        </w:rPr>
        <w:t>Caso Yarce y otras Vs. Colombia, supra</w:t>
      </w:r>
      <w:r w:rsidRPr="009C15B0">
        <w:rPr>
          <w:rFonts w:eastAsiaTheme="minorHAnsi" w:cstheme="minorBidi"/>
          <w:sz w:val="16"/>
          <w:szCs w:val="16"/>
          <w:lang w:val="es-CR" w:eastAsia="en-US"/>
        </w:rPr>
        <w:t>, párr. 246</w:t>
      </w:r>
      <w:r w:rsidRPr="009C15B0">
        <w:rPr>
          <w:bCs/>
          <w:sz w:val="16"/>
          <w:szCs w:val="16"/>
          <w:lang w:val="es-CR"/>
        </w:rPr>
        <w:t>.</w:t>
      </w:r>
    </w:p>
  </w:footnote>
  <w:footnote w:id="394">
    <w:p w14:paraId="22B4ED05" w14:textId="32DD9AF7" w:rsidR="007F7D87" w:rsidRPr="009C15B0" w:rsidRDefault="007F7D87" w:rsidP="001E6358">
      <w:pPr>
        <w:pStyle w:val="FootnoteText"/>
        <w:tabs>
          <w:tab w:val="left" w:pos="567"/>
        </w:tabs>
        <w:spacing w:after="60"/>
        <w:ind w:right="51"/>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bCs/>
          <w:i/>
          <w:sz w:val="16"/>
          <w:szCs w:val="16"/>
          <w:lang w:val="es-CR"/>
        </w:rPr>
        <w:t xml:space="preserve"> </w:t>
      </w:r>
      <w:r w:rsidRPr="009C15B0">
        <w:rPr>
          <w:rFonts w:cs="Courier New"/>
          <w:i/>
          <w:sz w:val="16"/>
          <w:szCs w:val="16"/>
          <w:lang w:val="es-CR"/>
        </w:rPr>
        <w:t>Caso de las Hermanas Serrano Cruz Vs. El Salvador. Fondo, Reparaciones y Costas, supra</w:t>
      </w:r>
      <w:r w:rsidRPr="009C15B0">
        <w:rPr>
          <w:rFonts w:cs="Courier New"/>
          <w:sz w:val="16"/>
          <w:szCs w:val="16"/>
          <w:lang w:val="es-CR"/>
        </w:rPr>
        <w:t>,</w:t>
      </w:r>
      <w:r w:rsidRPr="009C15B0">
        <w:rPr>
          <w:rFonts w:cs="Calibri"/>
          <w:sz w:val="16"/>
          <w:szCs w:val="16"/>
          <w:lang w:val="es-CR"/>
        </w:rPr>
        <w:t xml:space="preserve"> </w:t>
      </w:r>
      <w:r w:rsidRPr="009C15B0">
        <w:rPr>
          <w:sz w:val="16"/>
          <w:szCs w:val="16"/>
          <w:lang w:val="es-CR"/>
        </w:rPr>
        <w:t>párr. 142, y</w:t>
      </w:r>
      <w:r w:rsidRPr="009C15B0">
        <w:rPr>
          <w:rFonts w:cs="Courier New"/>
          <w:i/>
          <w:sz w:val="16"/>
          <w:szCs w:val="16"/>
          <w:lang w:val="es-CR"/>
        </w:rPr>
        <w:t xml:space="preserve"> Caso Rochac Hernández y otros Vs. El Salvador. Fondo, Reparaciones y Costas.</w:t>
      </w:r>
      <w:r w:rsidRPr="009C15B0">
        <w:rPr>
          <w:rFonts w:cs="Courier New"/>
          <w:sz w:val="16"/>
          <w:szCs w:val="16"/>
          <w:lang w:val="es-CR"/>
        </w:rPr>
        <w:t xml:space="preserve"> Sentencia de 14 de octubre de 2014. Serie C No. 285,</w:t>
      </w:r>
      <w:r w:rsidRPr="009C15B0">
        <w:rPr>
          <w:bCs/>
          <w:sz w:val="16"/>
          <w:szCs w:val="16"/>
          <w:lang w:val="es-CR"/>
        </w:rPr>
        <w:t xml:space="preserve"> párr. 104.</w:t>
      </w:r>
    </w:p>
  </w:footnote>
  <w:footnote w:id="395">
    <w:p w14:paraId="11F594D6" w14:textId="7E2C4BF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Alto Comisionado de Naciones Unidas para los Refugiados (ACNUR),</w:t>
      </w:r>
      <w:r w:rsidRPr="009C15B0">
        <w:rPr>
          <w:i/>
          <w:sz w:val="16"/>
          <w:szCs w:val="16"/>
          <w:lang w:val="es-CR"/>
        </w:rPr>
        <w:t xml:space="preserve"> Directrices sobre protección internacional: La persecución por motivos de género en el contexto del Artículo 1A(2) de la Convención de 1951 sobre el Estatuto de los Refugiados, y/o su Protocolo de 1967</w:t>
      </w:r>
      <w:r w:rsidRPr="009C15B0">
        <w:rPr>
          <w:sz w:val="16"/>
          <w:szCs w:val="16"/>
          <w:lang w:val="es-CR"/>
        </w:rPr>
        <w:t>, UN Doc. HCR/619/02/01, 7 de mayo de 2002, en las cuales se establece que: “[e]s un principio básico que la definición de refugiado se debe interpretar con una perspectiva de género” (párr. 2).</w:t>
      </w:r>
    </w:p>
  </w:footnote>
  <w:footnote w:id="396">
    <w:p w14:paraId="155B9C2D" w14:textId="6FBACBC8"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Comité de los Derechos del Niño,</w:t>
      </w:r>
      <w:r w:rsidRPr="009C15B0">
        <w:rPr>
          <w:i/>
          <w:sz w:val="16"/>
          <w:szCs w:val="16"/>
          <w:lang w:val="es-CR"/>
        </w:rPr>
        <w:t xml:space="preserve"> Observación General N° 6, Trato de los menores no acompañados y separados de su familia fuera de su país de origen</w:t>
      </w:r>
      <w:r w:rsidRPr="009C15B0">
        <w:rPr>
          <w:sz w:val="16"/>
          <w:szCs w:val="16"/>
          <w:lang w:val="es-CR"/>
        </w:rPr>
        <w:t>, UN Doc. CRC/GC/2005/6, 1 de septiembre de 2005, párr. 74.</w:t>
      </w:r>
    </w:p>
  </w:footnote>
  <w:footnote w:id="397">
    <w:p w14:paraId="76833A4B" w14:textId="7353F005"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Alto Comisionado de Naciones Unidas para los Refugiados (ACNUR),</w:t>
      </w:r>
      <w:r w:rsidRPr="009C15B0">
        <w:rPr>
          <w:i/>
          <w:sz w:val="16"/>
          <w:szCs w:val="16"/>
          <w:lang w:val="es-CR"/>
        </w:rPr>
        <w:t xml:space="preserve"> Directrices sobre protección internacional: La persecución por motivos de género en el contexto del Artículo 1A(2) de la Convención de 1951 sobre el Estatuto de los Refugiados, y/o su Protocolo de 1967</w:t>
      </w:r>
      <w:r w:rsidRPr="009C15B0">
        <w:rPr>
          <w:sz w:val="16"/>
          <w:szCs w:val="16"/>
          <w:lang w:val="es-CR"/>
        </w:rPr>
        <w:t>, HCR/619/02/01, 7 de mayo de 2002, párr. 9, el cual señala que “[e]l derecho internacional de los derechos humanos y el derecho penal internacional reconocen claramente que ciertos actos, como la violencia sexual, incumplen con estos estándares, y defienden su inclusión como forma grave de abuso equivalente a persecución. En este sentido, el derecho internacional puede asistir a los encargados de la toma de decisiones a determinar el carácter persecutorio de ciertos actos. No cabe duda de que la violación y otras formas de violencia de género, tales como la violencia relacionada con la dote, la mutilación genital femenina, la violencia doméstica y la trata de personas, constituyen actos que ocasionan un profundo sufrimiento y daño tanto mental como físico, y que han sido utilizadas como mecanismos de persecución, ya sea por agentes estatales o particulares</w:t>
      </w:r>
      <w:r w:rsidRPr="009C15B0">
        <w:rPr>
          <w:rFonts w:cs="Arial"/>
          <w:sz w:val="16"/>
          <w:szCs w:val="16"/>
          <w:lang w:val="es-CR"/>
        </w:rPr>
        <w:t>”.</w:t>
      </w:r>
    </w:p>
  </w:footnote>
  <w:footnote w:id="398">
    <w:p w14:paraId="2360482F" w14:textId="350EBBAD" w:rsidR="007F7D87" w:rsidRPr="009C15B0" w:rsidRDefault="007F7D87" w:rsidP="001E6358">
      <w:pPr>
        <w:tabs>
          <w:tab w:val="left" w:pos="567"/>
        </w:tabs>
        <w:autoSpaceDE w:val="0"/>
        <w:autoSpaceDN w:val="0"/>
        <w:spacing w:after="60" w:line="240" w:lineRule="auto"/>
        <w:rPr>
          <w:sz w:val="16"/>
          <w:szCs w:val="16"/>
        </w:rPr>
      </w:pPr>
      <w:r w:rsidRPr="009C15B0">
        <w:rPr>
          <w:rStyle w:val="FootnoteReference"/>
          <w:sz w:val="16"/>
          <w:szCs w:val="16"/>
        </w:rPr>
        <w:footnoteRef/>
      </w:r>
      <w:r w:rsidRPr="009C15B0">
        <w:rPr>
          <w:sz w:val="16"/>
          <w:szCs w:val="16"/>
        </w:rPr>
        <w:t xml:space="preserve"> </w:t>
      </w:r>
      <w:r w:rsidRPr="009C15B0">
        <w:rPr>
          <w:sz w:val="16"/>
          <w:szCs w:val="16"/>
        </w:rPr>
        <w:tab/>
      </w:r>
      <w:r w:rsidRPr="009C15B0">
        <w:rPr>
          <w:i/>
          <w:sz w:val="16"/>
          <w:szCs w:val="16"/>
        </w:rPr>
        <w:t xml:space="preserve">Cfr. </w:t>
      </w:r>
      <w:r w:rsidRPr="009C15B0">
        <w:rPr>
          <w:sz w:val="16"/>
          <w:szCs w:val="16"/>
        </w:rPr>
        <w:t>Alto Comisionado de Naciones Unidas para los Refugiados (ACNUR),</w:t>
      </w:r>
      <w:r w:rsidRPr="009C15B0">
        <w:rPr>
          <w:i/>
          <w:sz w:val="16"/>
          <w:szCs w:val="16"/>
        </w:rPr>
        <w:t xml:space="preserve"> Directrices sobre protección internacional: La persecución por motivos de género en el contexto del Artículo 1A(2) de la Convención de 1951 sobre el Estatuto de los Refugiados, y/o su Protocolo de 1967</w:t>
      </w:r>
      <w:r w:rsidRPr="009C15B0">
        <w:rPr>
          <w:sz w:val="16"/>
          <w:szCs w:val="16"/>
        </w:rPr>
        <w:t>, HCR/619/02/01, 7 de mayo de 2002, párr. 19, el cual indica que: “</w:t>
      </w:r>
      <w:r w:rsidRPr="009C15B0">
        <w:rPr>
          <w:rFonts w:cs="TimesNewRoman"/>
          <w:sz w:val="16"/>
          <w:szCs w:val="16"/>
        </w:rPr>
        <w:t xml:space="preserve">[d]entro de la definición de refugiado cabe reconocer agentes de persecución tanto estatales como no estatales. Si bien los actos de persecución son normalmente perpetrados por las autoridades de un país, el trato gravemente discriminatorio y otro tipo de ofensas perpetradas por la población local o por individuos pueden equipararse a persecución si las autoridades los toleran de manera deliberada o si éstas se niegan a proporcionar una protección eficaz o son incapaces de hacerlo”. En igual sentido, </w:t>
      </w:r>
      <w:r w:rsidRPr="009C15B0">
        <w:rPr>
          <w:sz w:val="16"/>
          <w:szCs w:val="16"/>
        </w:rPr>
        <w:t>Alto Comisionado de Naciones Unidas para los Refugiados (ACNUR),</w:t>
      </w:r>
      <w:r w:rsidRPr="009C15B0">
        <w:rPr>
          <w:i/>
          <w:sz w:val="16"/>
          <w:szCs w:val="16"/>
        </w:rPr>
        <w:t xml:space="preserve"> Manual y directrices sobre procedimientos y criterios para determinar la condición de refugiado en virtud de la Convención de 1951 y el protocolo de 1967 sobre el estatuto de los refugiados, </w:t>
      </w:r>
      <w:r w:rsidRPr="009C15B0">
        <w:rPr>
          <w:sz w:val="16"/>
          <w:szCs w:val="16"/>
        </w:rPr>
        <w:t>HCR/19/4/Spa/Rev.3, diciembre de 2011, que en su párrafo 65 señala que: “[l]a persecución suele ser resultado de la actuación de las autoridades de un país. Puede también emanar de sectores de la población que no respetan las normas establecidas por las leyes de su país. […] El comportamiento vejatorio o gravemente discriminatorio observado por ciertos sectores de la población local puede equipararse a la persecución si es deliberadamente tolerado por las autoridades o si éstas se niegan a proporcionar una protección eficaz o son incapaces de hacerlo”.</w:t>
      </w:r>
    </w:p>
  </w:footnote>
  <w:footnote w:id="399">
    <w:p w14:paraId="3FBDED25" w14:textId="7C2CD48A"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 xml:space="preserve">Boletas de citación judicial dirigidas a V.P.C. y L.A.C.G. por denuncias interpuestas en su contra: 1) boleta de citación judicial dirigida a V.P.C. de 19 de diciembre de 2001, en proceso penal por calumnias iniciado por la fiscal auxiliar del Departamento de Jinotega (expediente de trámite </w:t>
      </w:r>
      <w:r w:rsidRPr="009C15B0">
        <w:rPr>
          <w:rFonts w:cs="Verdana"/>
          <w:sz w:val="16"/>
          <w:szCs w:val="16"/>
          <w:lang w:val="es-CR"/>
        </w:rPr>
        <w:t>ante la Comisión</w:t>
      </w:r>
      <w:r w:rsidRPr="009C15B0">
        <w:rPr>
          <w:sz w:val="16"/>
          <w:szCs w:val="16"/>
          <w:lang w:val="es-CR"/>
        </w:rPr>
        <w:t xml:space="preserve">, tomo VII, folio 2862); 2) boletas de citación judicial dirigidas a V.P.C. de 29 de abril de 2002, 8 de mayo de 2002, 14 de mayo de 2002, en proceso penal por injurias iniciado por el médico forense (expediente de prueba, tomo XX, anexo 7.b de la prueba para mejor resolver, folios 9699, 9711, 9721); 3) boleta de citación judicial dirigida a V.P.C. de 22 de julio de 2002, en proceso penal por calumnias iniciado por el médico forense (expediente de trámite </w:t>
      </w:r>
      <w:r w:rsidRPr="009C15B0">
        <w:rPr>
          <w:rFonts w:cs="Verdana"/>
          <w:sz w:val="16"/>
          <w:szCs w:val="16"/>
          <w:lang w:val="es-CR"/>
        </w:rPr>
        <w:t>ante la Comisión</w:t>
      </w:r>
      <w:r w:rsidRPr="009C15B0">
        <w:rPr>
          <w:sz w:val="16"/>
          <w:szCs w:val="16"/>
          <w:lang w:val="es-CR"/>
        </w:rPr>
        <w:t xml:space="preserve">, tomo VII, folio 2495); 4) boleta de citación judicial dirigida a V.P.C. de 8 de mayo de 2002, en proceso penal por injurias y calumnias iniciado por la jueza de derecho y presidenta del Tribunal de Jurados (expediente de trámite </w:t>
      </w:r>
      <w:r w:rsidRPr="009C15B0">
        <w:rPr>
          <w:rFonts w:cs="Verdana"/>
          <w:sz w:val="16"/>
          <w:szCs w:val="16"/>
          <w:lang w:val="es-CR"/>
        </w:rPr>
        <w:t>ante la Comisión</w:t>
      </w:r>
      <w:r w:rsidRPr="009C15B0">
        <w:rPr>
          <w:sz w:val="16"/>
          <w:szCs w:val="16"/>
          <w:lang w:val="es-CR"/>
        </w:rPr>
        <w:t>, tomo VII, folio 2586); 5) boleta de citación judicial dirigida a V.P.C. de 8 de mayo de 2002, en proceso penal por calumnias iniciado por una integrante del Tribunal de Jurados (expediente de trámite</w:t>
      </w:r>
      <w:r w:rsidRPr="009C15B0">
        <w:rPr>
          <w:rFonts w:cs="Verdana"/>
          <w:sz w:val="16"/>
          <w:szCs w:val="16"/>
          <w:lang w:val="es-CR"/>
        </w:rPr>
        <w:t xml:space="preserve"> ante la Comisión</w:t>
      </w:r>
      <w:r w:rsidRPr="009C15B0">
        <w:rPr>
          <w:sz w:val="16"/>
          <w:szCs w:val="16"/>
          <w:lang w:val="es-CR"/>
        </w:rPr>
        <w:t>, tomo VII, folio 2587), y 6) boleta de citación judicial dirigida a L.A.C.G. de 5 de junio de 2002 (expediente de trámite</w:t>
      </w:r>
      <w:r w:rsidRPr="009C15B0">
        <w:rPr>
          <w:rFonts w:cs="Verdana"/>
          <w:sz w:val="16"/>
          <w:szCs w:val="16"/>
          <w:lang w:val="es-CR"/>
        </w:rPr>
        <w:t xml:space="preserve"> ante la Comisión</w:t>
      </w:r>
      <w:r w:rsidRPr="009C15B0">
        <w:rPr>
          <w:sz w:val="16"/>
          <w:szCs w:val="16"/>
          <w:lang w:val="es-CR"/>
        </w:rPr>
        <w:t>, tomo VII, folio 2496).</w:t>
      </w:r>
    </w:p>
  </w:footnote>
  <w:footnote w:id="400">
    <w:p w14:paraId="743F7583"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Declaración rendida ante la Corte Interamericana por V.P.C. en la audiencia pública celebrada el 16 y 17 de octubre de 2017.</w:t>
      </w:r>
    </w:p>
  </w:footnote>
  <w:footnote w:id="401">
    <w:p w14:paraId="418C10F6" w14:textId="360F4141" w:rsidR="007F7D87" w:rsidRPr="009C15B0" w:rsidRDefault="007F7D87" w:rsidP="001E6358">
      <w:pPr>
        <w:pStyle w:val="FootnoteText"/>
        <w:tabs>
          <w:tab w:val="left" w:pos="567"/>
        </w:tabs>
        <w:spacing w:after="60"/>
        <w:rPr>
          <w:i/>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Declaración rendida ante la Corte Interamericana por V.R.P. en la audiencia privada celebrada el 16 de octubre de 2017, en la cual sostuvo que: “[a su] mamá la empezaron a acusar de que lo que se había dicho del doctor, de la jueza eran calumnias. [Ella] tenía miedo que metieran a [su] mamá a la cárcel, de que [la] entregaran a [su] papá. Tenía miedo de que lo sacaran y [la] entregaran a él y que le hicieran algo a [su] mamá. [Se] tuvi[eron que ir, tuv[o] que dejar a [sus] hermanos, [quienes] eran [su] apoyo, eran los que [la] hacía[n] sentir que estaba protegida, que [se] sintiera segura”.</w:t>
      </w:r>
    </w:p>
  </w:footnote>
  <w:footnote w:id="402">
    <w:p w14:paraId="35737646" w14:textId="675E1465"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 xml:space="preserve">Declaración rendida ante fedatario público por H.J.R.P. el 9 de octubre de 2017 (expediente de prueba, tomo XVIII, </w:t>
      </w:r>
      <w:r w:rsidRPr="009C15B0">
        <w:rPr>
          <w:i/>
          <w:sz w:val="16"/>
          <w:szCs w:val="16"/>
          <w:lang w:val="es-CR"/>
        </w:rPr>
        <w:t>affidávits</w:t>
      </w:r>
      <w:r w:rsidRPr="009C15B0">
        <w:rPr>
          <w:sz w:val="16"/>
          <w:szCs w:val="16"/>
          <w:lang w:val="es-CR"/>
        </w:rPr>
        <w:t>, folio 8349).</w:t>
      </w:r>
    </w:p>
  </w:footnote>
  <w:footnote w:id="403">
    <w:p w14:paraId="298D2B28" w14:textId="0FB98904"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bCs/>
          <w:i/>
          <w:sz w:val="16"/>
          <w:szCs w:val="16"/>
          <w:lang w:val="es-CR"/>
        </w:rPr>
        <w:t>Caso Acosta y otros Vs. Nicaragua, supra</w:t>
      </w:r>
      <w:r w:rsidRPr="009C15B0">
        <w:rPr>
          <w:bCs/>
          <w:sz w:val="16"/>
          <w:szCs w:val="16"/>
          <w:lang w:val="es-CR"/>
        </w:rPr>
        <w:t>, párr. 192.</w:t>
      </w:r>
    </w:p>
  </w:footnote>
  <w:footnote w:id="404">
    <w:p w14:paraId="266079D0" w14:textId="5B331068"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 xml:space="preserve">Consejo de Derechos Humanos, </w:t>
      </w:r>
      <w:r w:rsidRPr="009C15B0">
        <w:rPr>
          <w:i/>
          <w:sz w:val="16"/>
          <w:szCs w:val="16"/>
          <w:lang w:val="es-CR"/>
        </w:rPr>
        <w:t>Informe del Grupo de Trabajo sobre el Examen Periódico Universal: Nicaragua</w:t>
      </w:r>
      <w:r w:rsidRPr="009C15B0">
        <w:rPr>
          <w:sz w:val="16"/>
          <w:szCs w:val="16"/>
          <w:lang w:val="es-CR"/>
        </w:rPr>
        <w:t xml:space="preserve">, UN Doc. A/HRC/14/3, 17 de marzo de 2010, párrs. 82, 92.36 a 92.39; Comité CEDAW, </w:t>
      </w:r>
      <w:r w:rsidRPr="009C15B0">
        <w:rPr>
          <w:i/>
          <w:sz w:val="16"/>
          <w:szCs w:val="16"/>
          <w:lang w:val="es-CR"/>
        </w:rPr>
        <w:t>Observaciones finales del Comité para la Eliminación de la Discriminación contra la Mujer: Nicaragua</w:t>
      </w:r>
      <w:r w:rsidRPr="009C15B0">
        <w:rPr>
          <w:sz w:val="16"/>
          <w:szCs w:val="16"/>
          <w:lang w:val="es-CR"/>
        </w:rPr>
        <w:t xml:space="preserve">, 2 de febrero de 2007, UN Doc. CEDAW/C/NIC/CO/6, párrs. 19 y 20; Comité de Derechos Humanos, </w:t>
      </w:r>
      <w:r w:rsidRPr="009C15B0">
        <w:rPr>
          <w:i/>
          <w:sz w:val="16"/>
          <w:szCs w:val="16"/>
          <w:lang w:val="es-CR"/>
        </w:rPr>
        <w:t>Examen de los informes presentados por los Estados Partes con arreglo al artículo 40 del Pacto. Observaciones Finales del Comité de Derechos Humanos: Nicaragua,</w:t>
      </w:r>
      <w:r w:rsidRPr="009C15B0">
        <w:rPr>
          <w:sz w:val="16"/>
          <w:szCs w:val="16"/>
          <w:lang w:val="es-CR"/>
        </w:rPr>
        <w:t xml:space="preserve"> UN Doc. CCPR/C/NIC/CO/3, 12 de diciembre de 2008, párrs. 8, 12 y 19, y Comité de los Derechos del Niño, </w:t>
      </w:r>
      <w:r w:rsidRPr="009C15B0">
        <w:rPr>
          <w:i/>
          <w:sz w:val="16"/>
          <w:szCs w:val="16"/>
          <w:lang w:val="es-CR"/>
        </w:rPr>
        <w:t>Examen de los informes presentados por los Estados partes en virtud del artículo 12, párrafo 1, del Protocolo facultativo de la Convención sobre los Derechos del Niño relativo a la venta de niños, la prostitución infantil y la utilización de niños en la pornografía</w:t>
      </w:r>
      <w:r w:rsidRPr="009C15B0">
        <w:rPr>
          <w:sz w:val="16"/>
          <w:szCs w:val="16"/>
          <w:lang w:val="es-CR"/>
        </w:rPr>
        <w:t>, UN Doc. CRC/C/OPSC/NIC/CO/1, 21 de octubre de 2010, párrs. 33 a 36.</w:t>
      </w:r>
    </w:p>
  </w:footnote>
  <w:footnote w:id="405">
    <w:p w14:paraId="5E2DE293"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rFonts w:eastAsiaTheme="majorEastAsia"/>
          <w:sz w:val="16"/>
          <w:szCs w:val="16"/>
          <w:lang w:val="es-CR"/>
        </w:rPr>
        <w:footnoteRef/>
      </w:r>
      <w:r w:rsidRPr="009C15B0">
        <w:rPr>
          <w:sz w:val="16"/>
          <w:szCs w:val="16"/>
          <w:lang w:val="es-CR"/>
        </w:rPr>
        <w:t xml:space="preserve"> </w:t>
      </w:r>
      <w:r w:rsidRPr="009C15B0">
        <w:rPr>
          <w:sz w:val="16"/>
          <w:szCs w:val="16"/>
          <w:lang w:val="es-CR"/>
        </w:rPr>
        <w:tab/>
        <w:t>El artículo 5.1 de la Convención dispone que: “[t]oda persona tiene derecho a que se respete su integridad física, psíquica y moral”.</w:t>
      </w:r>
    </w:p>
  </w:footnote>
  <w:footnote w:id="406">
    <w:p w14:paraId="2159FC38" w14:textId="2C8FFBF5" w:rsidR="007F7D87" w:rsidRPr="009C15B0" w:rsidRDefault="007F7D87" w:rsidP="001E6358">
      <w:pPr>
        <w:tabs>
          <w:tab w:val="left" w:pos="426"/>
          <w:tab w:val="left" w:pos="567"/>
        </w:tabs>
        <w:spacing w:after="60" w:line="240" w:lineRule="auto"/>
        <w:rPr>
          <w:sz w:val="16"/>
          <w:szCs w:val="16"/>
        </w:rPr>
      </w:pPr>
      <w:r w:rsidRPr="009C15B0">
        <w:rPr>
          <w:rStyle w:val="FootnoteReference"/>
          <w:sz w:val="16"/>
          <w:szCs w:val="16"/>
        </w:rPr>
        <w:footnoteRef/>
      </w:r>
      <w:r w:rsidRPr="00C946D6">
        <w:rPr>
          <w:sz w:val="16"/>
          <w:szCs w:val="16"/>
          <w:lang w:val="pt-BR"/>
        </w:rPr>
        <w:t xml:space="preserve"> </w:t>
      </w:r>
      <w:r w:rsidRPr="00C946D6">
        <w:rPr>
          <w:sz w:val="16"/>
          <w:szCs w:val="16"/>
          <w:lang w:val="pt-BR"/>
        </w:rPr>
        <w:tab/>
      </w:r>
      <w:r w:rsidRPr="00C946D6">
        <w:rPr>
          <w:i/>
          <w:sz w:val="16"/>
          <w:szCs w:val="16"/>
          <w:lang w:val="pt-BR"/>
        </w:rPr>
        <w:t xml:space="preserve">Cfr. Caso Ximenes Lopes Vs. Brasil. </w:t>
      </w:r>
      <w:r w:rsidRPr="009C15B0">
        <w:rPr>
          <w:sz w:val="16"/>
          <w:szCs w:val="16"/>
        </w:rPr>
        <w:t xml:space="preserve">Sentencia de 4 de julio de 2006. Serie C No. 149, párr. 156, y </w:t>
      </w:r>
      <w:r w:rsidRPr="009C15B0">
        <w:rPr>
          <w:i/>
          <w:sz w:val="16"/>
          <w:szCs w:val="16"/>
        </w:rPr>
        <w:t>Caso Vereda La Esperanza Vs. Colombia, supra</w:t>
      </w:r>
      <w:r w:rsidRPr="009C15B0">
        <w:rPr>
          <w:sz w:val="16"/>
          <w:szCs w:val="16"/>
        </w:rPr>
        <w:t>,</w:t>
      </w:r>
      <w:r w:rsidRPr="009C15B0">
        <w:rPr>
          <w:i/>
          <w:sz w:val="16"/>
          <w:szCs w:val="16"/>
        </w:rPr>
        <w:t xml:space="preserve"> </w:t>
      </w:r>
      <w:r w:rsidRPr="009C15B0">
        <w:rPr>
          <w:sz w:val="16"/>
          <w:szCs w:val="16"/>
        </w:rPr>
        <w:t>párr. 249.</w:t>
      </w:r>
    </w:p>
  </w:footnote>
  <w:footnote w:id="407">
    <w:p w14:paraId="142DA984" w14:textId="77777777" w:rsidR="007F7D87" w:rsidRPr="009C15B0" w:rsidRDefault="007F7D87" w:rsidP="001E6358">
      <w:pPr>
        <w:pStyle w:val="Footer"/>
        <w:tabs>
          <w:tab w:val="left" w:pos="426"/>
          <w:tab w:val="left" w:pos="567"/>
          <w:tab w:val="left" w:pos="720"/>
        </w:tabs>
        <w:spacing w:after="60"/>
        <w:jc w:val="both"/>
        <w:rPr>
          <w:rFonts w:ascii="Verdana" w:hAnsi="Verdana"/>
          <w:sz w:val="16"/>
          <w:szCs w:val="16"/>
          <w:lang w:val="es-CR"/>
        </w:rPr>
      </w:pPr>
      <w:r w:rsidRPr="009C15B0">
        <w:rPr>
          <w:rStyle w:val="FootnoteReference"/>
          <w:rFonts w:ascii="Verdana" w:hAnsi="Verdana"/>
          <w:sz w:val="16"/>
          <w:szCs w:val="16"/>
          <w:lang w:val="es-CR"/>
        </w:rPr>
        <w:footnoteRef/>
      </w:r>
      <w:r w:rsidRPr="009C15B0">
        <w:rPr>
          <w:rFonts w:ascii="Verdana" w:hAnsi="Verdana"/>
          <w:sz w:val="16"/>
          <w:szCs w:val="16"/>
          <w:lang w:val="es-CR"/>
        </w:rPr>
        <w:t xml:space="preserve"> </w:t>
      </w:r>
      <w:r w:rsidRPr="009C15B0">
        <w:rPr>
          <w:rFonts w:ascii="Verdana" w:hAnsi="Verdana"/>
          <w:sz w:val="16"/>
          <w:szCs w:val="16"/>
          <w:lang w:val="es-CR"/>
        </w:rPr>
        <w:tab/>
      </w:r>
      <w:r w:rsidRPr="009C15B0">
        <w:rPr>
          <w:rFonts w:ascii="Verdana" w:hAnsi="Verdana"/>
          <w:i/>
          <w:sz w:val="16"/>
          <w:szCs w:val="16"/>
          <w:lang w:val="es-CR"/>
        </w:rPr>
        <w:t xml:space="preserve">Cfr. Caso Blake Vs. Guatemala. Fondo. </w:t>
      </w:r>
      <w:r w:rsidRPr="009C15B0">
        <w:rPr>
          <w:rFonts w:ascii="Verdana" w:hAnsi="Verdana"/>
          <w:sz w:val="16"/>
          <w:szCs w:val="16"/>
          <w:lang w:val="es-CR"/>
        </w:rPr>
        <w:t>Sentencia de 24 de enero de 1998.</w:t>
      </w:r>
      <w:r w:rsidRPr="009C15B0">
        <w:rPr>
          <w:rFonts w:ascii="Verdana" w:hAnsi="Verdana"/>
          <w:i/>
          <w:sz w:val="16"/>
          <w:szCs w:val="16"/>
          <w:lang w:val="es-CR"/>
        </w:rPr>
        <w:t xml:space="preserve"> </w:t>
      </w:r>
      <w:r w:rsidRPr="009C15B0">
        <w:rPr>
          <w:rFonts w:ascii="Verdana" w:hAnsi="Verdana"/>
          <w:sz w:val="16"/>
          <w:szCs w:val="16"/>
          <w:lang w:val="es-CR"/>
        </w:rPr>
        <w:t xml:space="preserve">Serie C No. 36, párr. 114, y </w:t>
      </w:r>
      <w:r w:rsidRPr="009C15B0">
        <w:rPr>
          <w:rFonts w:ascii="Verdana" w:hAnsi="Verdana"/>
          <w:i/>
          <w:sz w:val="16"/>
          <w:szCs w:val="16"/>
          <w:lang w:val="es-CR"/>
        </w:rPr>
        <w:t>Caso Valencia Hinojosa y otra Vs. Ecuador. Excepciones Preliminares, Fondo, Reparaciones y Costas</w:t>
      </w:r>
      <w:r w:rsidRPr="009C15B0">
        <w:rPr>
          <w:rFonts w:ascii="Verdana" w:hAnsi="Verdana"/>
          <w:sz w:val="16"/>
          <w:szCs w:val="16"/>
          <w:lang w:val="es-CR"/>
        </w:rPr>
        <w:t>. Sentencia de 29 de noviembre de 2016. Serie C No. 327, párr. 142.</w:t>
      </w:r>
    </w:p>
  </w:footnote>
  <w:footnote w:id="408">
    <w:p w14:paraId="36CCF722" w14:textId="400F1EA7" w:rsidR="007F7D87" w:rsidRPr="009C15B0" w:rsidRDefault="007F7D87" w:rsidP="001E6358">
      <w:pPr>
        <w:tabs>
          <w:tab w:val="left" w:pos="426"/>
          <w:tab w:val="left" w:pos="567"/>
        </w:tabs>
        <w:spacing w:after="60" w:line="240" w:lineRule="auto"/>
        <w:rPr>
          <w:rFonts w:eastAsiaTheme="minorEastAsia" w:cstheme="minorBidi"/>
          <w:i/>
          <w:sz w:val="16"/>
          <w:szCs w:val="16"/>
          <w:lang w:eastAsia="es-PE"/>
        </w:rPr>
      </w:pPr>
      <w:r w:rsidRPr="009C15B0">
        <w:rPr>
          <w:rStyle w:val="FootnoteReference"/>
          <w:sz w:val="16"/>
          <w:szCs w:val="16"/>
        </w:rPr>
        <w:footnoteRef/>
      </w:r>
      <w:r w:rsidRPr="009C15B0">
        <w:rPr>
          <w:sz w:val="16"/>
          <w:szCs w:val="16"/>
        </w:rPr>
        <w:tab/>
      </w:r>
      <w:r w:rsidRPr="009C15B0">
        <w:rPr>
          <w:rFonts w:eastAsiaTheme="minorEastAsia" w:cstheme="minorBidi"/>
          <w:i/>
          <w:sz w:val="16"/>
          <w:szCs w:val="16"/>
          <w:lang w:eastAsia="es-PE"/>
        </w:rPr>
        <w:t xml:space="preserve">Cfr. Caso Bámaca Velásquez Vs. Guatemala. Fondo. </w:t>
      </w:r>
      <w:r w:rsidRPr="009C15B0">
        <w:rPr>
          <w:rFonts w:eastAsiaTheme="minorEastAsia" w:cstheme="minorBidi"/>
          <w:sz w:val="16"/>
          <w:szCs w:val="16"/>
          <w:lang w:eastAsia="es-PE"/>
        </w:rPr>
        <w:t xml:space="preserve">Sentencia de 25 de noviembre de 2000. Serie C No. 70, párr. 163, y </w:t>
      </w:r>
      <w:r w:rsidRPr="009C15B0">
        <w:rPr>
          <w:i/>
          <w:sz w:val="16"/>
          <w:szCs w:val="16"/>
        </w:rPr>
        <w:t>Caso Valencia Hinojosa y otra Vs. Ecuador, supra</w:t>
      </w:r>
      <w:r w:rsidRPr="009C15B0">
        <w:rPr>
          <w:sz w:val="16"/>
          <w:szCs w:val="16"/>
        </w:rPr>
        <w:t>, párr. 142.</w:t>
      </w:r>
    </w:p>
  </w:footnote>
  <w:footnote w:id="409">
    <w:p w14:paraId="06419654" w14:textId="60005B61" w:rsidR="007F7D87" w:rsidRPr="009C15B0" w:rsidRDefault="007F7D87" w:rsidP="001E6358">
      <w:pPr>
        <w:pStyle w:val="FootnoteText"/>
        <w:tabs>
          <w:tab w:val="left" w:pos="567"/>
          <w:tab w:val="left" w:pos="709"/>
        </w:tabs>
        <w:spacing w:after="60"/>
        <w:rPr>
          <w:rFonts w:eastAsiaTheme="minorEastAsia" w:cstheme="minorBidi"/>
          <w:sz w:val="16"/>
          <w:szCs w:val="16"/>
          <w:lang w:val="es-CR" w:eastAsia="es-PE"/>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 xml:space="preserve">La Corte ha </w:t>
      </w:r>
      <w:r w:rsidRPr="009C15B0">
        <w:rPr>
          <w:rFonts w:eastAsia="MS Mincho"/>
          <w:sz w:val="16"/>
          <w:szCs w:val="16"/>
          <w:lang w:val="es-CR"/>
        </w:rPr>
        <w:t xml:space="preserve">aplicado una presunción </w:t>
      </w:r>
      <w:r w:rsidRPr="009C15B0">
        <w:rPr>
          <w:rFonts w:eastAsia="MS Mincho"/>
          <w:i/>
          <w:sz w:val="16"/>
          <w:szCs w:val="16"/>
          <w:lang w:val="es-CR"/>
        </w:rPr>
        <w:t>iuris tantum</w:t>
      </w:r>
      <w:r w:rsidRPr="009C15B0">
        <w:rPr>
          <w:rFonts w:eastAsia="MS Mincho"/>
          <w:sz w:val="16"/>
          <w:szCs w:val="16"/>
          <w:lang w:val="es-CR"/>
        </w:rPr>
        <w:t xml:space="preserve"> respecto de madres y padres, hijas e hijos, esposos y esposas, y compañeros y compañeras permanentes, por ejemplo, en casos de masacres, desapariciones forzadas de personas y ejecuciones extrajudiciales. </w:t>
      </w:r>
      <w:r w:rsidRPr="009C15B0">
        <w:rPr>
          <w:rFonts w:eastAsia="MS Mincho"/>
          <w:i/>
          <w:sz w:val="16"/>
          <w:szCs w:val="16"/>
          <w:lang w:val="es-CR"/>
        </w:rPr>
        <w:t>Cfr. Caso Valle Jaramillo y otros Vs. Colombia, supra,</w:t>
      </w:r>
      <w:r w:rsidRPr="009C15B0">
        <w:rPr>
          <w:rFonts w:eastAsia="MS Mincho"/>
          <w:sz w:val="16"/>
          <w:szCs w:val="16"/>
          <w:lang w:val="es-CR"/>
        </w:rPr>
        <w:t xml:space="preserve"> párr. 119, y </w:t>
      </w:r>
      <w:r w:rsidRPr="009C15B0">
        <w:rPr>
          <w:i/>
          <w:sz w:val="16"/>
          <w:szCs w:val="16"/>
          <w:lang w:val="es-CR"/>
        </w:rPr>
        <w:t>Caso Espinoza Gonzáles Vs. Perú, supra</w:t>
      </w:r>
      <w:r w:rsidRPr="009C15B0">
        <w:rPr>
          <w:sz w:val="16"/>
          <w:szCs w:val="16"/>
          <w:lang w:val="es-CR"/>
        </w:rPr>
        <w:t>, párr. 296</w:t>
      </w:r>
      <w:r w:rsidRPr="009C15B0">
        <w:rPr>
          <w:rFonts w:cs="Courier New"/>
          <w:sz w:val="16"/>
          <w:szCs w:val="16"/>
          <w:lang w:val="es-CR"/>
        </w:rPr>
        <w:t>.</w:t>
      </w:r>
    </w:p>
  </w:footnote>
  <w:footnote w:id="410">
    <w:p w14:paraId="01807B31" w14:textId="45D07D36" w:rsidR="007F7D87" w:rsidRPr="009C15B0" w:rsidRDefault="007F7D87" w:rsidP="001E6358">
      <w:pPr>
        <w:pStyle w:val="FootnoteText"/>
        <w:tabs>
          <w:tab w:val="left" w:pos="567"/>
        </w:tabs>
        <w:spacing w:after="60"/>
        <w:rPr>
          <w:rFonts w:eastAsiaTheme="minorEastAsia"/>
          <w:i/>
          <w:sz w:val="16"/>
          <w:szCs w:val="16"/>
          <w:lang w:val="es-CR" w:eastAsia="es-PE"/>
        </w:rPr>
      </w:pPr>
      <w:r w:rsidRPr="009C15B0">
        <w:rPr>
          <w:rFonts w:eastAsiaTheme="minorEastAsia"/>
          <w:sz w:val="16"/>
          <w:szCs w:val="16"/>
          <w:vertAlign w:val="superscript"/>
          <w:lang w:val="es-CR" w:eastAsia="es-PE"/>
        </w:rPr>
        <w:footnoteRef/>
      </w:r>
      <w:r w:rsidRPr="009C15B0">
        <w:rPr>
          <w:rFonts w:eastAsiaTheme="minorEastAsia"/>
          <w:i/>
          <w:sz w:val="16"/>
          <w:szCs w:val="16"/>
          <w:lang w:val="es-CR" w:eastAsia="es-PE"/>
        </w:rPr>
        <w:t xml:space="preserve"> </w:t>
      </w:r>
      <w:r w:rsidRPr="009C15B0">
        <w:rPr>
          <w:rFonts w:eastAsiaTheme="minorEastAsia"/>
          <w:i/>
          <w:sz w:val="16"/>
          <w:szCs w:val="16"/>
          <w:lang w:val="es-CR" w:eastAsia="es-PE"/>
        </w:rPr>
        <w:tab/>
        <w:t>Cfr. Caso Valle Jaramillo y otros Vs. Colombia, supra</w:t>
      </w:r>
      <w:r w:rsidRPr="009C15B0">
        <w:rPr>
          <w:rFonts w:eastAsiaTheme="minorEastAsia"/>
          <w:sz w:val="16"/>
          <w:szCs w:val="16"/>
          <w:lang w:val="es-CR" w:eastAsia="es-PE"/>
        </w:rPr>
        <w:t xml:space="preserve">, párr. 119, y </w:t>
      </w:r>
      <w:r w:rsidRPr="009C15B0">
        <w:rPr>
          <w:rFonts w:eastAsiaTheme="minorEastAsia"/>
          <w:i/>
          <w:sz w:val="16"/>
          <w:szCs w:val="16"/>
          <w:lang w:val="es-CR" w:eastAsia="es-PE"/>
        </w:rPr>
        <w:t>Caso Valencia Hinojosa y otra Vs. Ecuador, supra</w:t>
      </w:r>
      <w:r w:rsidRPr="009C15B0">
        <w:rPr>
          <w:rFonts w:eastAsiaTheme="minorEastAsia"/>
          <w:sz w:val="16"/>
          <w:szCs w:val="16"/>
          <w:lang w:val="es-CR" w:eastAsia="es-PE"/>
        </w:rPr>
        <w:t>, párr. 143.</w:t>
      </w:r>
    </w:p>
  </w:footnote>
  <w:footnote w:id="411">
    <w:p w14:paraId="3902B34F" w14:textId="2D79A2E3"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Declaración rendida ante la Corte Interamericana por V.P.C. durante la audiencia pública celebrada el 17 de octubre de 2017.</w:t>
      </w:r>
    </w:p>
  </w:footnote>
  <w:footnote w:id="412">
    <w:p w14:paraId="37A5B37E" w14:textId="087B80F5"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Declaración rendida ante la Corte Interamericana por el perito Enrique Oscar Stola durante la audiencia pública celebrada el 16 y 17 de octubre de 2017.</w:t>
      </w:r>
    </w:p>
  </w:footnote>
  <w:footnote w:id="413">
    <w:p w14:paraId="3615A771" w14:textId="766AF191"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Declaración rendida ante la Corte Interamericana por V.P.C. durante la audiencia pública celebrada el 17 de octubre de 2017.</w:t>
      </w:r>
    </w:p>
  </w:footnote>
  <w:footnote w:id="414">
    <w:p w14:paraId="6AE3CD40"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Declaración rendida ante la Corte Interamericana por V.P.C. durante la audiencia pública celebrada el 17 de octubre de 2017.</w:t>
      </w:r>
    </w:p>
  </w:footnote>
  <w:footnote w:id="415">
    <w:p w14:paraId="208771D3" w14:textId="6E4AFCCC"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 xml:space="preserve">Declaración rendida ante fedatario público por H.J.R.P. el 9 de octubre de 2017 (expediente de prueba, tomo XVIII, </w:t>
      </w:r>
      <w:r w:rsidRPr="009C15B0">
        <w:rPr>
          <w:i/>
          <w:sz w:val="16"/>
          <w:szCs w:val="16"/>
          <w:lang w:val="es-CR"/>
        </w:rPr>
        <w:t>afidávits</w:t>
      </w:r>
      <w:r w:rsidRPr="009C15B0">
        <w:rPr>
          <w:sz w:val="16"/>
          <w:szCs w:val="16"/>
          <w:lang w:val="es-CR"/>
        </w:rPr>
        <w:t>, folios 8352 a 8358).</w:t>
      </w:r>
    </w:p>
  </w:footnote>
  <w:footnote w:id="416">
    <w:p w14:paraId="5887FF9E" w14:textId="39BC22F3"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 xml:space="preserve">Específicamente, manifestó que: “[a]l salir [su] madre con [sus] hermanas de Nicaragua, […] perd[ió] todas las esperanzas, no tenía quien [le] diera soporte emocional de madre no tuve quien [le] diera soporte económico para seguir estudiando […] Todo se des[m]oronó, no solo producto de lo que le pasó a [su] hermanita sino por el hecho de que las personas que tenían que cuidar por ellas no lo hicieron, las dejaron solas. […E]l hecho de no haber podido estudiar [le] ha destrozado. […L]a separación y la desintegración de nuestra familia a todos nos ha afectado muy fuerte. Es algo que no podemos superar […] Ese vacío es difícil de llenar aun después de tantos años. [Su] salud se ha debilitado por esa razón. [… L]e ha impedido esta situación desarrollar[se] como persona[, … su] meta ha sido y fue el ser un profesional. No lo pud[o] concretar por no tener a [su] madre […] Todo esto [le] ha afectado [su] sistema inmunológico con situaciones repetitivas en [su] salud”. Declaración rendida ante fedatario público por V.A.R.P. el 9 de octubre de 2017 (expediente de prueba, tomo XVIII, </w:t>
      </w:r>
      <w:r w:rsidRPr="009C15B0">
        <w:rPr>
          <w:i/>
          <w:sz w:val="16"/>
          <w:szCs w:val="16"/>
          <w:lang w:val="es-CR"/>
        </w:rPr>
        <w:t>affidávits</w:t>
      </w:r>
      <w:r w:rsidRPr="009C15B0">
        <w:rPr>
          <w:sz w:val="16"/>
          <w:szCs w:val="16"/>
          <w:lang w:val="es-CR"/>
        </w:rPr>
        <w:t xml:space="preserve">, folios 8364 a 8375). </w:t>
      </w:r>
    </w:p>
  </w:footnote>
  <w:footnote w:id="417">
    <w:p w14:paraId="5F09F814" w14:textId="0195A803"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En particular, señaló que: “[…] esta situación [le] ha afectado en todos los ámbitos de [su] vida. […] Y en el mes de junio [de 2017] fu[e] internada en el hospital psiquiátrico porque tuv[o] un relapso de eventos ocurridos en [su] pasado […]. Toda esta situación estresante vivida, post traumático estrés [sic], ha causado daños severos en [su] salud, pese a que [es] joven pero [su] salud [se ha] deteriorad[o] completamente”.</w:t>
      </w:r>
      <w:r w:rsidRPr="009C15B0">
        <w:rPr>
          <w:i/>
          <w:sz w:val="16"/>
          <w:szCs w:val="16"/>
          <w:lang w:val="es-CR"/>
        </w:rPr>
        <w:t xml:space="preserve"> </w:t>
      </w:r>
      <w:r w:rsidRPr="009C15B0">
        <w:rPr>
          <w:sz w:val="16"/>
          <w:szCs w:val="16"/>
          <w:lang w:val="es-CR"/>
        </w:rPr>
        <w:t xml:space="preserve">Declaración rendida ante fedatario público por N.R.P. el 10 de octubre de 2017 (expediente de prueba, tomo XVIII, </w:t>
      </w:r>
      <w:r w:rsidRPr="009C15B0">
        <w:rPr>
          <w:i/>
          <w:sz w:val="16"/>
          <w:szCs w:val="16"/>
          <w:lang w:val="es-CR"/>
        </w:rPr>
        <w:t>affidávits</w:t>
      </w:r>
      <w:r w:rsidRPr="009C15B0">
        <w:rPr>
          <w:sz w:val="16"/>
          <w:szCs w:val="16"/>
          <w:lang w:val="es-CR"/>
        </w:rPr>
        <w:t>, folios 8378 a 8398).</w:t>
      </w:r>
    </w:p>
  </w:footnote>
  <w:footnote w:id="418">
    <w:p w14:paraId="0EEAD246"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El artículo 63.1 de la Convención dispone que “[c]uando decida que hubo violación de un derecho o libertad protegidos en [la] Convención, la Corte dispondrá que se garantice al lesionado en el goce de su derecho o libertad conculcados. Dispondrá asimismo, si ello fuera procedente, que se reparen las consecuencias de la medida o situación que ha configurado la vulneración de esos derechos y el pago de una justa indemnización a la parte lesionada”.</w:t>
      </w:r>
    </w:p>
  </w:footnote>
  <w:footnote w:id="419">
    <w:p w14:paraId="61918924" w14:textId="78BFDBE5" w:rsidR="007F7D87" w:rsidRPr="009C15B0" w:rsidRDefault="007F7D87" w:rsidP="001E6358">
      <w:pPr>
        <w:tabs>
          <w:tab w:val="left" w:pos="567"/>
        </w:tabs>
        <w:spacing w:after="60" w:line="240" w:lineRule="auto"/>
        <w:rPr>
          <w:rFonts w:eastAsiaTheme="minorEastAsia"/>
          <w:i/>
          <w:sz w:val="16"/>
          <w:szCs w:val="16"/>
          <w:lang w:eastAsia="es-PE"/>
        </w:rPr>
      </w:pPr>
      <w:r w:rsidRPr="009C15B0">
        <w:rPr>
          <w:rStyle w:val="FootnoteReference"/>
          <w:sz w:val="16"/>
          <w:szCs w:val="16"/>
        </w:rPr>
        <w:footnoteRef/>
      </w:r>
      <w:r w:rsidRPr="009C15B0">
        <w:rPr>
          <w:sz w:val="16"/>
          <w:szCs w:val="16"/>
        </w:rPr>
        <w:t xml:space="preserve"> </w:t>
      </w:r>
      <w:r w:rsidRPr="009C15B0">
        <w:rPr>
          <w:sz w:val="16"/>
          <w:szCs w:val="16"/>
        </w:rPr>
        <w:tab/>
      </w:r>
      <w:r w:rsidRPr="009C15B0">
        <w:rPr>
          <w:rFonts w:eastAsiaTheme="minorEastAsia"/>
          <w:i/>
          <w:sz w:val="16"/>
          <w:szCs w:val="16"/>
          <w:lang w:eastAsia="es-PE"/>
        </w:rPr>
        <w:t xml:space="preserve">Cfr. Caso Velásquez Rodríguez Vs. Honduras. Reparaciones y Costas. </w:t>
      </w:r>
      <w:r w:rsidRPr="009C15B0">
        <w:rPr>
          <w:rFonts w:eastAsiaTheme="minorEastAsia"/>
          <w:sz w:val="16"/>
          <w:szCs w:val="16"/>
          <w:lang w:eastAsia="es-PE"/>
        </w:rPr>
        <w:t>Sentencia de 21 de julio de 1989. Serie C No. 7, párr. 25, y</w:t>
      </w:r>
      <w:r w:rsidRPr="009C15B0">
        <w:rPr>
          <w:rFonts w:eastAsiaTheme="minorEastAsia"/>
          <w:i/>
          <w:sz w:val="16"/>
          <w:szCs w:val="16"/>
          <w:lang w:eastAsia="es-PE"/>
        </w:rPr>
        <w:t xml:space="preserve"> Caso Trabajadores Cesados de Petroperú y otros Vs. Perú, supra, </w:t>
      </w:r>
      <w:r w:rsidRPr="009C15B0">
        <w:rPr>
          <w:rFonts w:eastAsiaTheme="minorEastAsia"/>
          <w:sz w:val="16"/>
          <w:szCs w:val="16"/>
          <w:lang w:eastAsia="es-PE"/>
        </w:rPr>
        <w:t>párr. 194.</w:t>
      </w:r>
    </w:p>
  </w:footnote>
  <w:footnote w:id="420">
    <w:p w14:paraId="27470F62" w14:textId="2FA78406" w:rsidR="007F7D87" w:rsidRPr="009C15B0" w:rsidRDefault="007F7D87" w:rsidP="001E6358">
      <w:pPr>
        <w:tabs>
          <w:tab w:val="left" w:pos="567"/>
        </w:tabs>
        <w:spacing w:after="60" w:line="240" w:lineRule="auto"/>
        <w:rPr>
          <w:rFonts w:eastAsiaTheme="minorEastAsia"/>
          <w:i/>
          <w:sz w:val="16"/>
          <w:szCs w:val="16"/>
          <w:lang w:eastAsia="es-PE"/>
        </w:rPr>
      </w:pPr>
      <w:r w:rsidRPr="009C15B0">
        <w:rPr>
          <w:rStyle w:val="FootnoteReference"/>
          <w:rFonts w:eastAsia="MS Mincho"/>
          <w:sz w:val="16"/>
          <w:szCs w:val="16"/>
        </w:rPr>
        <w:footnoteRef/>
      </w:r>
      <w:r w:rsidRPr="009C15B0">
        <w:rPr>
          <w:sz w:val="16"/>
          <w:szCs w:val="16"/>
        </w:rPr>
        <w:t xml:space="preserve"> </w:t>
      </w:r>
      <w:r w:rsidRPr="009C15B0">
        <w:rPr>
          <w:sz w:val="16"/>
          <w:szCs w:val="16"/>
        </w:rPr>
        <w:tab/>
      </w:r>
      <w:r w:rsidRPr="009C15B0">
        <w:rPr>
          <w:rFonts w:eastAsiaTheme="minorEastAsia"/>
          <w:i/>
          <w:sz w:val="16"/>
          <w:szCs w:val="16"/>
          <w:lang w:eastAsia="es-PE"/>
        </w:rPr>
        <w:t>Cfr. Caso Velásquez Rodríguez Vs. Honduras. Reparaciones y Costas, supra</w:t>
      </w:r>
      <w:r w:rsidRPr="009C15B0">
        <w:rPr>
          <w:rFonts w:eastAsiaTheme="minorEastAsia"/>
          <w:sz w:val="16"/>
          <w:szCs w:val="16"/>
          <w:lang w:eastAsia="es-PE"/>
        </w:rPr>
        <w:t xml:space="preserve">, párrs. 25 y 26, y </w:t>
      </w:r>
      <w:r w:rsidRPr="009C15B0">
        <w:rPr>
          <w:rFonts w:eastAsiaTheme="minorEastAsia"/>
          <w:i/>
          <w:sz w:val="16"/>
          <w:szCs w:val="16"/>
          <w:lang w:eastAsia="es-PE"/>
        </w:rPr>
        <w:t>Caso Trabajadores Cesados de Petroperú y otros Vs. Perú, supra</w:t>
      </w:r>
      <w:r w:rsidRPr="009C15B0">
        <w:rPr>
          <w:rFonts w:eastAsiaTheme="minorEastAsia"/>
          <w:sz w:val="16"/>
          <w:szCs w:val="16"/>
          <w:lang w:eastAsia="es-PE"/>
        </w:rPr>
        <w:t>, párrs. 194 y 195.</w:t>
      </w:r>
    </w:p>
  </w:footnote>
  <w:footnote w:id="421">
    <w:p w14:paraId="6C25EC41" w14:textId="48809DEA" w:rsidR="007F7D87" w:rsidRPr="009C15B0" w:rsidRDefault="007F7D87" w:rsidP="001E6358">
      <w:pPr>
        <w:tabs>
          <w:tab w:val="left" w:pos="567"/>
        </w:tabs>
        <w:spacing w:after="60" w:line="240" w:lineRule="auto"/>
        <w:rPr>
          <w:rFonts w:cs="Courier New"/>
          <w:bCs/>
          <w:sz w:val="16"/>
          <w:szCs w:val="16"/>
        </w:rPr>
      </w:pPr>
      <w:r w:rsidRPr="009C15B0">
        <w:rPr>
          <w:rStyle w:val="FootnoteReference"/>
          <w:sz w:val="16"/>
          <w:szCs w:val="16"/>
        </w:rPr>
        <w:footnoteRef/>
      </w:r>
      <w:r w:rsidRPr="009C15B0">
        <w:rPr>
          <w:sz w:val="16"/>
          <w:szCs w:val="16"/>
        </w:rPr>
        <w:t xml:space="preserve"> </w:t>
      </w:r>
      <w:r w:rsidRPr="009C15B0">
        <w:rPr>
          <w:sz w:val="16"/>
          <w:szCs w:val="16"/>
        </w:rPr>
        <w:tab/>
      </w:r>
      <w:r w:rsidRPr="009C15B0">
        <w:rPr>
          <w:i/>
          <w:sz w:val="16"/>
          <w:szCs w:val="16"/>
        </w:rPr>
        <w:t>Cfr.</w:t>
      </w:r>
      <w:r w:rsidRPr="009C15B0">
        <w:rPr>
          <w:bCs/>
          <w:i/>
          <w:sz w:val="16"/>
          <w:szCs w:val="16"/>
        </w:rPr>
        <w:t xml:space="preserve"> Caso Cantoral Benavides Vs. Perú. </w:t>
      </w:r>
      <w:r w:rsidRPr="009C15B0">
        <w:rPr>
          <w:i/>
          <w:sz w:val="16"/>
          <w:szCs w:val="16"/>
        </w:rPr>
        <w:t>Reparaciones y Costas</w:t>
      </w:r>
      <w:r w:rsidRPr="009C15B0">
        <w:rPr>
          <w:sz w:val="16"/>
          <w:szCs w:val="16"/>
        </w:rPr>
        <w:t xml:space="preserve">. Sentencia de 3 de diciembre de 2001. Serie C No. 88, párrs. 79 a 81, y </w:t>
      </w:r>
      <w:r w:rsidRPr="009C15B0">
        <w:rPr>
          <w:rFonts w:eastAsiaTheme="minorEastAsia"/>
          <w:i/>
          <w:sz w:val="16"/>
          <w:szCs w:val="16"/>
          <w:lang w:eastAsia="es-PE"/>
        </w:rPr>
        <w:t>Caso Trabajadores Cesados de Petroperú y otros Vs. Perú, supra</w:t>
      </w:r>
      <w:r w:rsidRPr="009C15B0">
        <w:rPr>
          <w:rFonts w:eastAsiaTheme="minorEastAsia"/>
          <w:sz w:val="16"/>
          <w:szCs w:val="16"/>
          <w:lang w:eastAsia="es-PE"/>
        </w:rPr>
        <w:t>, párr. 195.</w:t>
      </w:r>
    </w:p>
  </w:footnote>
  <w:footnote w:id="422">
    <w:p w14:paraId="05E568A9" w14:textId="09370725" w:rsidR="007F7D87" w:rsidRPr="009C15B0" w:rsidRDefault="007F7D87" w:rsidP="001E6358">
      <w:pPr>
        <w:tabs>
          <w:tab w:val="left" w:pos="567"/>
        </w:tabs>
        <w:spacing w:after="60" w:line="240" w:lineRule="auto"/>
        <w:rPr>
          <w:bCs/>
          <w:sz w:val="16"/>
          <w:szCs w:val="16"/>
        </w:rPr>
      </w:pPr>
      <w:r w:rsidRPr="009C15B0">
        <w:rPr>
          <w:rStyle w:val="FootnoteReference"/>
          <w:sz w:val="16"/>
          <w:szCs w:val="16"/>
        </w:rPr>
        <w:footnoteRef/>
      </w:r>
      <w:r w:rsidRPr="009C15B0">
        <w:rPr>
          <w:sz w:val="16"/>
          <w:szCs w:val="16"/>
        </w:rPr>
        <w:t xml:space="preserve"> </w:t>
      </w:r>
      <w:r w:rsidRPr="009C15B0">
        <w:rPr>
          <w:sz w:val="16"/>
          <w:szCs w:val="16"/>
        </w:rPr>
        <w:tab/>
      </w:r>
      <w:r w:rsidRPr="009C15B0">
        <w:rPr>
          <w:i/>
          <w:sz w:val="16"/>
          <w:szCs w:val="16"/>
        </w:rPr>
        <w:t xml:space="preserve">Cfr. Caso Ticona Estrada Vs. Bolivia. Fondo, Reparaciones y Costas. </w:t>
      </w:r>
      <w:r w:rsidRPr="009C15B0">
        <w:rPr>
          <w:sz w:val="16"/>
          <w:szCs w:val="16"/>
        </w:rPr>
        <w:t xml:space="preserve">Sentencia de 27 de noviembre de 2008. Serie C No. 191, párr. 110, y </w:t>
      </w:r>
      <w:r w:rsidRPr="009C15B0">
        <w:rPr>
          <w:rFonts w:eastAsiaTheme="minorEastAsia"/>
          <w:i/>
          <w:sz w:val="16"/>
          <w:szCs w:val="16"/>
          <w:lang w:eastAsia="es-PE"/>
        </w:rPr>
        <w:t xml:space="preserve">Caso Trabajadores Cesados de Petroperú y otros Vs. Perú, supra, </w:t>
      </w:r>
      <w:r w:rsidRPr="009C15B0">
        <w:rPr>
          <w:rFonts w:eastAsiaTheme="minorEastAsia"/>
          <w:sz w:val="16"/>
          <w:szCs w:val="16"/>
          <w:lang w:eastAsia="es-PE"/>
        </w:rPr>
        <w:t>párr. 196.</w:t>
      </w:r>
    </w:p>
  </w:footnote>
  <w:footnote w:id="423">
    <w:p w14:paraId="4CECD65D" w14:textId="6EC8F246" w:rsidR="007F7D87" w:rsidRPr="009C15B0" w:rsidRDefault="007F7D87" w:rsidP="001E6358">
      <w:pPr>
        <w:pStyle w:val="FootnoteText"/>
        <w:tabs>
          <w:tab w:val="left" w:pos="567"/>
          <w:tab w:val="left" w:pos="709"/>
        </w:tabs>
        <w:spacing w:after="60"/>
        <w:rPr>
          <w:rFonts w:eastAsiaTheme="minorEastAsia"/>
          <w:i/>
          <w:sz w:val="16"/>
          <w:szCs w:val="16"/>
          <w:lang w:val="es-CR" w:eastAsia="es-PE"/>
        </w:rPr>
      </w:pPr>
      <w:r w:rsidRPr="009C15B0">
        <w:rPr>
          <w:rStyle w:val="FootnoteReference"/>
          <w:sz w:val="16"/>
          <w:szCs w:val="16"/>
          <w:lang w:val="es-CR"/>
        </w:rPr>
        <w:footnoteRef/>
      </w:r>
      <w:r w:rsidRPr="009C15B0">
        <w:rPr>
          <w:rFonts w:cs="Verdana"/>
          <w:bCs/>
          <w:i/>
          <w:sz w:val="16"/>
          <w:szCs w:val="16"/>
          <w:lang w:val="es-CR"/>
        </w:rPr>
        <w:tab/>
      </w:r>
      <w:r w:rsidRPr="009C15B0">
        <w:rPr>
          <w:i/>
          <w:sz w:val="16"/>
          <w:szCs w:val="16"/>
          <w:lang w:val="es-CR"/>
        </w:rPr>
        <w:t>Cfr.</w:t>
      </w:r>
      <w:r w:rsidRPr="009C15B0">
        <w:rPr>
          <w:bCs/>
          <w:i/>
          <w:sz w:val="16"/>
          <w:szCs w:val="16"/>
          <w:lang w:val="es-CR"/>
        </w:rPr>
        <w:t xml:space="preserve"> Caso Velásquez Rodríguez Vs. Honduras. </w:t>
      </w:r>
      <w:r w:rsidRPr="009C15B0">
        <w:rPr>
          <w:i/>
          <w:sz w:val="16"/>
          <w:szCs w:val="16"/>
          <w:lang w:val="es-CR"/>
        </w:rPr>
        <w:t>Reparaciones y Costas</w:t>
      </w:r>
      <w:r w:rsidRPr="009C15B0">
        <w:rPr>
          <w:sz w:val="16"/>
          <w:szCs w:val="16"/>
          <w:lang w:val="es-CR"/>
        </w:rPr>
        <w:t xml:space="preserve">, </w:t>
      </w:r>
      <w:r w:rsidRPr="009C15B0">
        <w:rPr>
          <w:i/>
          <w:sz w:val="16"/>
          <w:szCs w:val="16"/>
          <w:lang w:val="es-CR"/>
        </w:rPr>
        <w:t>supra</w:t>
      </w:r>
      <w:r w:rsidRPr="009C15B0">
        <w:rPr>
          <w:sz w:val="16"/>
          <w:szCs w:val="16"/>
          <w:lang w:val="es-CR"/>
        </w:rPr>
        <w:t xml:space="preserve">, párrs. 25 a 27, y </w:t>
      </w:r>
      <w:r w:rsidRPr="009C15B0">
        <w:rPr>
          <w:rFonts w:eastAsiaTheme="minorEastAsia"/>
          <w:i/>
          <w:sz w:val="16"/>
          <w:szCs w:val="16"/>
          <w:lang w:val="es-CR" w:eastAsia="es-PE"/>
        </w:rPr>
        <w:t>Caso Trabajadores Cesados de Petroperú y otros Vs. Perú, supra</w:t>
      </w:r>
      <w:r w:rsidRPr="009C15B0">
        <w:rPr>
          <w:rFonts w:eastAsiaTheme="minorEastAsia"/>
          <w:sz w:val="16"/>
          <w:szCs w:val="16"/>
          <w:lang w:val="es-CR" w:eastAsia="es-PE"/>
        </w:rPr>
        <w:t>,</w:t>
      </w:r>
      <w:r w:rsidRPr="009C15B0">
        <w:rPr>
          <w:rFonts w:eastAsiaTheme="minorEastAsia"/>
          <w:i/>
          <w:sz w:val="16"/>
          <w:szCs w:val="16"/>
          <w:lang w:val="es-CR" w:eastAsia="es-PE"/>
        </w:rPr>
        <w:t xml:space="preserve"> </w:t>
      </w:r>
      <w:r w:rsidRPr="009C15B0">
        <w:rPr>
          <w:rFonts w:eastAsiaTheme="minorEastAsia"/>
          <w:sz w:val="16"/>
          <w:szCs w:val="16"/>
          <w:lang w:val="es-CR" w:eastAsia="es-PE"/>
        </w:rPr>
        <w:t>párr. 197.</w:t>
      </w:r>
    </w:p>
  </w:footnote>
  <w:footnote w:id="424">
    <w:p w14:paraId="34E885C1" w14:textId="28CF3291"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Certificado de defunción de H.R.A. (expediente de prueba, tomo XVII, anexo 43 a la contestación del Estado, folio 8344).</w:t>
      </w:r>
    </w:p>
  </w:footnote>
  <w:footnote w:id="425">
    <w:p w14:paraId="575FFA07" w14:textId="1582C902" w:rsidR="007F7D87" w:rsidRPr="009C15B0" w:rsidRDefault="007F7D87" w:rsidP="001E6358">
      <w:pPr>
        <w:pStyle w:val="FootnoteText"/>
        <w:tabs>
          <w:tab w:val="left" w:pos="567"/>
        </w:tabs>
        <w:spacing w:after="60"/>
        <w:rPr>
          <w:sz w:val="16"/>
          <w:szCs w:val="16"/>
          <w:lang w:val="es-CR"/>
        </w:rPr>
      </w:pPr>
      <w:r w:rsidRPr="009C15B0">
        <w:rPr>
          <w:rStyle w:val="FootnoteReference"/>
          <w:rFonts w:eastAsia="MS ????"/>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xml:space="preserve">. </w:t>
      </w:r>
      <w:r w:rsidRPr="009C15B0">
        <w:rPr>
          <w:i/>
          <w:sz w:val="16"/>
          <w:szCs w:val="16"/>
          <w:lang w:val="es-CR"/>
        </w:rPr>
        <w:t>Caso Barrios Altos Vs. Perú</w:t>
      </w:r>
      <w:r w:rsidRPr="009C15B0">
        <w:rPr>
          <w:sz w:val="16"/>
          <w:szCs w:val="16"/>
          <w:lang w:val="es-CR"/>
        </w:rPr>
        <w:t xml:space="preserve">. </w:t>
      </w:r>
      <w:r w:rsidRPr="009C15B0">
        <w:rPr>
          <w:i/>
          <w:sz w:val="16"/>
          <w:szCs w:val="16"/>
          <w:lang w:val="es-CR"/>
        </w:rPr>
        <w:t>Reparaciones y Costas.</w:t>
      </w:r>
      <w:r w:rsidRPr="009C15B0">
        <w:rPr>
          <w:sz w:val="16"/>
          <w:szCs w:val="16"/>
          <w:lang w:val="es-CR"/>
        </w:rPr>
        <w:t xml:space="preserve"> Sentencia de 30 de noviembre de 2001. Serie C No. 87, párrs. 42 y 45, y </w:t>
      </w:r>
      <w:r w:rsidRPr="009C15B0">
        <w:rPr>
          <w:rStyle w:val="Strong"/>
          <w:b w:val="0"/>
          <w:i/>
          <w:sz w:val="16"/>
          <w:szCs w:val="16"/>
          <w:lang w:val="es-CR"/>
        </w:rPr>
        <w:t xml:space="preserve">Caso </w:t>
      </w:r>
      <w:r w:rsidRPr="009C15B0">
        <w:rPr>
          <w:bCs/>
          <w:i/>
          <w:sz w:val="16"/>
          <w:szCs w:val="16"/>
          <w:lang w:val="es-CR"/>
        </w:rPr>
        <w:t>Favela Nova Brasilia Vs. Brasil, supra</w:t>
      </w:r>
      <w:r w:rsidRPr="009C15B0">
        <w:rPr>
          <w:bCs/>
          <w:sz w:val="16"/>
          <w:szCs w:val="16"/>
          <w:lang w:val="es-CR"/>
        </w:rPr>
        <w:t>, párr. 296</w:t>
      </w:r>
      <w:r w:rsidRPr="009C15B0">
        <w:rPr>
          <w:sz w:val="16"/>
          <w:szCs w:val="16"/>
          <w:lang w:val="es-CR"/>
        </w:rPr>
        <w:t>.</w:t>
      </w:r>
    </w:p>
  </w:footnote>
  <w:footnote w:id="426">
    <w:p w14:paraId="1807D23C" w14:textId="3682172C" w:rsidR="007F7D87" w:rsidRPr="009C15B0" w:rsidRDefault="007F7D87" w:rsidP="001E6358">
      <w:pPr>
        <w:pStyle w:val="FootnoteText"/>
        <w:tabs>
          <w:tab w:val="left" w:pos="567"/>
        </w:tabs>
        <w:spacing w:after="60"/>
        <w:rPr>
          <w:sz w:val="16"/>
          <w:szCs w:val="16"/>
          <w:lang w:val="es-CR"/>
        </w:rPr>
      </w:pPr>
      <w:r w:rsidRPr="009C15B0">
        <w:rPr>
          <w:rStyle w:val="FootnoteReference"/>
          <w:rFonts w:eastAsia="Calibri"/>
          <w:sz w:val="16"/>
          <w:szCs w:val="16"/>
          <w:lang w:val="es-CR"/>
        </w:rPr>
        <w:footnoteRef/>
      </w:r>
      <w:r w:rsidRPr="009C15B0">
        <w:rPr>
          <w:sz w:val="16"/>
          <w:szCs w:val="16"/>
          <w:lang w:val="es-CR"/>
        </w:rPr>
        <w:t xml:space="preserve"> </w:t>
      </w:r>
      <w:r w:rsidRPr="009C15B0">
        <w:rPr>
          <w:sz w:val="16"/>
          <w:szCs w:val="16"/>
          <w:lang w:val="es-CR"/>
        </w:rPr>
        <w:tab/>
      </w:r>
      <w:r w:rsidRPr="009C15B0">
        <w:rPr>
          <w:i/>
          <w:iCs/>
          <w:sz w:val="16"/>
          <w:szCs w:val="16"/>
          <w:lang w:val="es-CR"/>
        </w:rPr>
        <w:t>Cfr. Caso Heliodoro Portugal Vs. Panamá</w:t>
      </w:r>
      <w:r w:rsidRPr="009C15B0">
        <w:rPr>
          <w:sz w:val="16"/>
          <w:szCs w:val="16"/>
          <w:lang w:val="es-CR"/>
        </w:rPr>
        <w:t>.</w:t>
      </w:r>
      <w:r w:rsidRPr="009C15B0">
        <w:rPr>
          <w:rFonts w:cs="Verdana"/>
          <w:bCs/>
          <w:i/>
          <w:sz w:val="16"/>
          <w:szCs w:val="16"/>
          <w:lang w:val="es-CR"/>
        </w:rPr>
        <w:t xml:space="preserve"> Supervisión de Cumplimiento de Sentencia.</w:t>
      </w:r>
      <w:r w:rsidRPr="009C15B0">
        <w:rPr>
          <w:rFonts w:cs="Verdana"/>
          <w:bCs/>
          <w:sz w:val="16"/>
          <w:szCs w:val="16"/>
          <w:lang w:val="es-CR"/>
        </w:rPr>
        <w:t xml:space="preserve"> Resolución emitida por la Corte Interamericana el 28 de mayo de 2010, Considerando 28, y </w:t>
      </w:r>
      <w:r w:rsidRPr="009C15B0">
        <w:rPr>
          <w:bCs/>
          <w:i/>
          <w:sz w:val="16"/>
          <w:szCs w:val="16"/>
          <w:lang w:val="es-CR"/>
        </w:rPr>
        <w:t>Caso Ortiz Hernández y otros Vs. Venezuela, supra</w:t>
      </w:r>
      <w:r w:rsidRPr="009C15B0">
        <w:rPr>
          <w:sz w:val="16"/>
          <w:szCs w:val="16"/>
          <w:lang w:val="es-CR"/>
        </w:rPr>
        <w:t>, párr. 199</w:t>
      </w:r>
      <w:r w:rsidRPr="009C15B0">
        <w:rPr>
          <w:rFonts w:cs="Verdana"/>
          <w:bCs/>
          <w:sz w:val="16"/>
          <w:szCs w:val="16"/>
          <w:lang w:val="es-CR"/>
        </w:rPr>
        <w:t>.</w:t>
      </w:r>
    </w:p>
  </w:footnote>
  <w:footnote w:id="427">
    <w:p w14:paraId="7F190CA7" w14:textId="524FE146" w:rsidR="007F7D87" w:rsidRPr="009C15B0" w:rsidRDefault="007F7D87" w:rsidP="001E6358">
      <w:pPr>
        <w:pStyle w:val="FootnoteText"/>
        <w:tabs>
          <w:tab w:val="left" w:pos="567"/>
        </w:tabs>
        <w:spacing w:after="60"/>
        <w:rPr>
          <w:sz w:val="16"/>
          <w:szCs w:val="16"/>
          <w:lang w:val="es-CR"/>
        </w:rPr>
      </w:pPr>
      <w:r w:rsidRPr="009C15B0">
        <w:rPr>
          <w:rStyle w:val="FootnoteReference"/>
          <w:rFonts w:eastAsia="Calibri"/>
          <w:sz w:val="16"/>
          <w:szCs w:val="16"/>
          <w:lang w:val="es-CR"/>
        </w:rPr>
        <w:footnoteRef/>
      </w:r>
      <w:r w:rsidRPr="009C15B0">
        <w:rPr>
          <w:sz w:val="16"/>
          <w:szCs w:val="16"/>
          <w:lang w:val="es-CR"/>
        </w:rPr>
        <w:t xml:space="preserve"> </w:t>
      </w:r>
      <w:r w:rsidRPr="009C15B0">
        <w:rPr>
          <w:sz w:val="16"/>
          <w:szCs w:val="16"/>
          <w:lang w:val="es-CR"/>
        </w:rPr>
        <w:tab/>
      </w:r>
      <w:r w:rsidRPr="009C15B0">
        <w:rPr>
          <w:i/>
          <w:iCs/>
          <w:sz w:val="16"/>
          <w:szCs w:val="16"/>
          <w:lang w:val="es-CR"/>
        </w:rPr>
        <w:t xml:space="preserve">Cfr. </w:t>
      </w:r>
      <w:r w:rsidRPr="009C15B0">
        <w:rPr>
          <w:bCs/>
          <w:i/>
          <w:sz w:val="16"/>
          <w:szCs w:val="16"/>
          <w:lang w:val="es-CR"/>
        </w:rPr>
        <w:t xml:space="preserve">Caso de la Masacre de Las Dos Erres Vs. Guatemala. Excepción Preliminar, Fondo, Reparaciones y Costas. </w:t>
      </w:r>
      <w:r w:rsidRPr="009C15B0">
        <w:rPr>
          <w:bCs/>
          <w:sz w:val="16"/>
          <w:szCs w:val="16"/>
          <w:lang w:val="es-CR"/>
        </w:rPr>
        <w:t>Sentencia de 24 de noviembre de 2009. Serie C No. 211</w:t>
      </w:r>
      <w:r w:rsidRPr="009C15B0">
        <w:rPr>
          <w:sz w:val="16"/>
          <w:szCs w:val="16"/>
          <w:lang w:val="es-CR"/>
        </w:rPr>
        <w:t>, párr. 270,</w:t>
      </w:r>
      <w:r w:rsidRPr="009C15B0">
        <w:rPr>
          <w:rFonts w:cs="Verdana"/>
          <w:bCs/>
          <w:sz w:val="16"/>
          <w:szCs w:val="16"/>
          <w:lang w:val="es-CR"/>
        </w:rPr>
        <w:t xml:space="preserve"> y </w:t>
      </w:r>
      <w:r w:rsidRPr="009C15B0">
        <w:rPr>
          <w:bCs/>
          <w:i/>
          <w:sz w:val="16"/>
          <w:szCs w:val="16"/>
          <w:lang w:val="es-CR"/>
        </w:rPr>
        <w:t>Caso Ortiz Hernández y otros Vs. Venezuela, supra</w:t>
      </w:r>
      <w:r w:rsidRPr="009C15B0">
        <w:rPr>
          <w:sz w:val="16"/>
          <w:szCs w:val="16"/>
          <w:lang w:val="es-CR"/>
        </w:rPr>
        <w:t>, párr. 199</w:t>
      </w:r>
      <w:r w:rsidRPr="009C15B0">
        <w:rPr>
          <w:rFonts w:cs="Verdana"/>
          <w:bCs/>
          <w:sz w:val="16"/>
          <w:szCs w:val="16"/>
          <w:lang w:val="es-CR"/>
        </w:rPr>
        <w:t>.</w:t>
      </w:r>
    </w:p>
  </w:footnote>
  <w:footnote w:id="428">
    <w:p w14:paraId="7F076018" w14:textId="59CECC0B" w:rsidR="007F7D87" w:rsidRPr="009C15B0" w:rsidRDefault="007F7D87" w:rsidP="001E6358">
      <w:pPr>
        <w:pStyle w:val="FootnoteText"/>
        <w:tabs>
          <w:tab w:val="left" w:pos="567"/>
        </w:tabs>
        <w:spacing w:after="60"/>
        <w:rPr>
          <w:sz w:val="16"/>
          <w:szCs w:val="16"/>
          <w:lang w:val="es-CR"/>
        </w:rPr>
      </w:pPr>
      <w:r w:rsidRPr="009C15B0">
        <w:rPr>
          <w:rStyle w:val="FootnoteReference"/>
          <w:rFonts w:eastAsia="Calibri"/>
          <w:sz w:val="16"/>
          <w:szCs w:val="16"/>
          <w:lang w:val="es-CR"/>
        </w:rPr>
        <w:footnoteRef/>
      </w:r>
      <w:r w:rsidRPr="009C15B0">
        <w:rPr>
          <w:rFonts w:cs="Verdana"/>
          <w:bCs/>
          <w:sz w:val="16"/>
          <w:szCs w:val="16"/>
          <w:lang w:val="es-CR"/>
        </w:rPr>
        <w:tab/>
      </w:r>
      <w:r w:rsidRPr="009C15B0">
        <w:rPr>
          <w:i/>
          <w:iCs/>
          <w:sz w:val="16"/>
          <w:szCs w:val="16"/>
          <w:lang w:val="es-CR"/>
        </w:rPr>
        <w:t xml:space="preserve">Cfr. </w:t>
      </w:r>
      <w:r w:rsidRPr="009C15B0">
        <w:rPr>
          <w:bCs/>
          <w:i/>
          <w:sz w:val="16"/>
          <w:szCs w:val="16"/>
          <w:lang w:val="es-CR"/>
        </w:rPr>
        <w:t>Caso de la Masacre de Las Dos Erres Vs. Guatemala, supra</w:t>
      </w:r>
      <w:r w:rsidRPr="009C15B0">
        <w:rPr>
          <w:sz w:val="16"/>
          <w:szCs w:val="16"/>
          <w:lang w:val="es-CR"/>
        </w:rPr>
        <w:t>, párr. 270,</w:t>
      </w:r>
      <w:r w:rsidRPr="009C15B0">
        <w:rPr>
          <w:rFonts w:cs="Verdana"/>
          <w:bCs/>
          <w:sz w:val="16"/>
          <w:szCs w:val="16"/>
          <w:lang w:val="es-CR"/>
        </w:rPr>
        <w:t xml:space="preserve"> y </w:t>
      </w:r>
      <w:r w:rsidRPr="009C15B0">
        <w:rPr>
          <w:bCs/>
          <w:i/>
          <w:sz w:val="16"/>
          <w:szCs w:val="16"/>
          <w:lang w:val="es-CR"/>
        </w:rPr>
        <w:t>Caso Ortiz Hernández y otros Vs. Venezuela, supra</w:t>
      </w:r>
      <w:r w:rsidRPr="009C15B0">
        <w:rPr>
          <w:sz w:val="16"/>
          <w:szCs w:val="16"/>
          <w:lang w:val="es-CR"/>
        </w:rPr>
        <w:t>, párr. 199</w:t>
      </w:r>
      <w:r w:rsidRPr="009C15B0">
        <w:rPr>
          <w:rFonts w:cs="Verdana"/>
          <w:bCs/>
          <w:sz w:val="16"/>
          <w:szCs w:val="16"/>
          <w:lang w:val="es-CR"/>
        </w:rPr>
        <w:t>.</w:t>
      </w:r>
    </w:p>
  </w:footnote>
  <w:footnote w:id="429">
    <w:p w14:paraId="58FE7B9E" w14:textId="50381C1B" w:rsidR="007F7D87" w:rsidRPr="009C15B0" w:rsidRDefault="007F7D87" w:rsidP="001E6358">
      <w:pPr>
        <w:pStyle w:val="FootnoteText"/>
        <w:tabs>
          <w:tab w:val="left" w:pos="567"/>
        </w:tabs>
        <w:spacing w:after="60"/>
        <w:rPr>
          <w:i/>
          <w:sz w:val="16"/>
          <w:szCs w:val="16"/>
          <w:lang w:val="es-CR"/>
        </w:rPr>
      </w:pPr>
      <w:r w:rsidRPr="009C15B0">
        <w:rPr>
          <w:rStyle w:val="FootnoteReference"/>
          <w:rFonts w:eastAsia="Calibri"/>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 Caso Rosendo Cantú y otra Vs. México, supra</w:t>
      </w:r>
      <w:r w:rsidRPr="009C15B0">
        <w:rPr>
          <w:sz w:val="16"/>
          <w:szCs w:val="16"/>
          <w:lang w:val="es-CR"/>
        </w:rPr>
        <w:t>, párr. 253, y</w:t>
      </w:r>
      <w:r w:rsidRPr="009C15B0">
        <w:rPr>
          <w:i/>
          <w:sz w:val="16"/>
          <w:szCs w:val="16"/>
          <w:lang w:val="es-CR"/>
        </w:rPr>
        <w:t xml:space="preserve"> Caso Ortiz Hernández y otros Vs. Venezuela, supra</w:t>
      </w:r>
      <w:r w:rsidRPr="009C15B0">
        <w:rPr>
          <w:sz w:val="16"/>
          <w:szCs w:val="16"/>
          <w:lang w:val="es-CR"/>
        </w:rPr>
        <w:t>, párr. 199</w:t>
      </w:r>
      <w:r w:rsidRPr="009C15B0">
        <w:rPr>
          <w:i/>
          <w:sz w:val="16"/>
          <w:szCs w:val="16"/>
          <w:lang w:val="es-CR"/>
        </w:rPr>
        <w:t>.</w:t>
      </w:r>
    </w:p>
  </w:footnote>
  <w:footnote w:id="430">
    <w:p w14:paraId="35D942D4" w14:textId="6A256614" w:rsidR="007F7D87" w:rsidRPr="009C15B0" w:rsidRDefault="007F7D87" w:rsidP="001E6358">
      <w:pPr>
        <w:tabs>
          <w:tab w:val="left" w:pos="567"/>
        </w:tabs>
        <w:spacing w:after="60" w:line="240" w:lineRule="auto"/>
        <w:rPr>
          <w:sz w:val="16"/>
          <w:szCs w:val="16"/>
        </w:rPr>
      </w:pPr>
      <w:r w:rsidRPr="009C15B0">
        <w:rPr>
          <w:rStyle w:val="FootnoteReference"/>
          <w:sz w:val="16"/>
          <w:szCs w:val="16"/>
        </w:rPr>
        <w:footnoteRef/>
      </w:r>
      <w:r w:rsidRPr="009C15B0">
        <w:rPr>
          <w:sz w:val="16"/>
          <w:szCs w:val="16"/>
        </w:rPr>
        <w:t xml:space="preserve"> </w:t>
      </w:r>
      <w:r w:rsidRPr="009C15B0">
        <w:rPr>
          <w:sz w:val="16"/>
          <w:szCs w:val="16"/>
        </w:rPr>
        <w:tab/>
      </w:r>
      <w:r w:rsidRPr="009C15B0">
        <w:rPr>
          <w:i/>
          <w:sz w:val="16"/>
          <w:szCs w:val="16"/>
        </w:rPr>
        <w:t>Cfr.</w:t>
      </w:r>
      <w:r w:rsidRPr="009C15B0">
        <w:rPr>
          <w:i/>
          <w:sz w:val="16"/>
          <w:szCs w:val="16"/>
          <w:lang w:eastAsia="x-none"/>
        </w:rPr>
        <w:t xml:space="preserve"> Caso Cantoral Benavides Vs. Perú, supra</w:t>
      </w:r>
      <w:r w:rsidRPr="009C15B0">
        <w:rPr>
          <w:sz w:val="16"/>
          <w:szCs w:val="16"/>
          <w:lang w:eastAsia="x-none"/>
        </w:rPr>
        <w:t xml:space="preserve">, </w:t>
      </w:r>
      <w:r w:rsidRPr="009C15B0">
        <w:rPr>
          <w:sz w:val="16"/>
          <w:szCs w:val="16"/>
        </w:rPr>
        <w:t>párr. 79, y</w:t>
      </w:r>
      <w:r w:rsidRPr="009C15B0">
        <w:rPr>
          <w:i/>
          <w:sz w:val="16"/>
          <w:szCs w:val="16"/>
        </w:rPr>
        <w:t xml:space="preserve"> Caso Trabajadores Cesados de Petroperú y otros Vs. Perú, supra</w:t>
      </w:r>
      <w:r w:rsidRPr="009C15B0">
        <w:rPr>
          <w:sz w:val="16"/>
          <w:szCs w:val="16"/>
        </w:rPr>
        <w:t>, párr. 218.</w:t>
      </w:r>
    </w:p>
  </w:footnote>
  <w:footnote w:id="431">
    <w:p w14:paraId="6AE57E1A" w14:textId="10C0836F"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Declaración rendida por V.A.R.P. ante fedatario público el 10 de octubre de 2017 (expediente de prueba, tomo XVIII, affidávits, folios 8363 a 8365).</w:t>
      </w:r>
    </w:p>
  </w:footnote>
  <w:footnote w:id="432">
    <w:p w14:paraId="0123A967" w14:textId="31A1B826" w:rsidR="007F7D87" w:rsidRPr="009C15B0" w:rsidRDefault="007F7D87" w:rsidP="001E6358">
      <w:pPr>
        <w:pStyle w:val="FootnoteText"/>
        <w:tabs>
          <w:tab w:val="left" w:pos="567"/>
        </w:tabs>
        <w:spacing w:after="60"/>
        <w:rPr>
          <w:sz w:val="16"/>
          <w:szCs w:val="16"/>
          <w:lang w:val="es-CR"/>
        </w:rPr>
      </w:pPr>
      <w:r w:rsidRPr="009C15B0">
        <w:rPr>
          <w:rStyle w:val="FootnoteReference"/>
          <w:rFonts w:eastAsia="Calibri"/>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Caso de los Hermanos Gómez Paquiyauri Vs. Perú. Fondo, Reparaciones y Costas. </w:t>
      </w:r>
      <w:r w:rsidRPr="009C15B0">
        <w:rPr>
          <w:sz w:val="16"/>
          <w:szCs w:val="16"/>
          <w:lang w:val="es-CR"/>
        </w:rPr>
        <w:t xml:space="preserve">Sentencia de 8 de julio de 2004. Serie C No. 110, párr. 237, y </w:t>
      </w:r>
      <w:r w:rsidRPr="009C15B0">
        <w:rPr>
          <w:i/>
          <w:sz w:val="16"/>
          <w:szCs w:val="16"/>
          <w:lang w:val="es-CR"/>
        </w:rPr>
        <w:t>Caso Vereda La Esperanza Vs. Colombia, supra</w:t>
      </w:r>
      <w:r w:rsidRPr="009C15B0">
        <w:rPr>
          <w:sz w:val="16"/>
          <w:szCs w:val="16"/>
          <w:lang w:val="es-CR"/>
        </w:rPr>
        <w:t>, párr. 286.</w:t>
      </w:r>
    </w:p>
  </w:footnote>
  <w:footnote w:id="433">
    <w:p w14:paraId="7C647D7A" w14:textId="7ED0A086"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iCs/>
          <w:sz w:val="16"/>
          <w:szCs w:val="16"/>
          <w:lang w:val="es-CR"/>
        </w:rPr>
        <w:t>Cfr.</w:t>
      </w:r>
      <w:r w:rsidRPr="009C15B0">
        <w:rPr>
          <w:sz w:val="16"/>
          <w:szCs w:val="16"/>
          <w:lang w:val="es-CR"/>
        </w:rPr>
        <w:t xml:space="preserve"> Disposición N° 010/03 de la Policía Nacional, Ministerio de Gobernación. “Manual de procedimientos policiales de atención especializada a víctimas y sobrevinientes de violencia intrafamiliar y sexual” (expediente de prueba, tomo XX, prueba para mejor resolver, folios 10009 a 10015); Protocolo de actuación en atención a víctimas de violencia de género de la Unidad especializada de atención a víctimas del Ministerio Público (expediente de prueba, tomo XX, prueba para mejor resolver, folios 10108 a 10112); Protocolo de actuación del Ministerio Público en la atención a las víctimas del delito (2010) (expediente de prueba, tomo XX, prueba para mejor resolver, folios 10174 a 10176); Protocolo de Actuación de la Gestión Fiscal en materia de violencia de género de la Unidad Especializada de Delitos contra la Violencia de Género (2009) (expediente de prueba, tomo XXI, prueba para mejor resolver, folios 10902 a 10906); Modelo de atención integral a víctimas de violencia de género en Nicaragua, del Equipo Técnico de Modelo de Atención Integral (MAI) (2012) (expediente de prueba, tomo XXI, prueba para mejor resolver, folios 11012 a 11013); Normativa 031 de la Dirección General de Extensión y Calidad de la Atención, Ministerio de Salud. “Normas y Protocolos para la prevención, detección y atención de la violencia intrafamiliar y sexual” (2009)</w:t>
      </w:r>
      <w:r>
        <w:rPr>
          <w:sz w:val="16"/>
          <w:szCs w:val="16"/>
          <w:lang w:val="es-CR"/>
        </w:rPr>
        <w:t xml:space="preserve"> </w:t>
      </w:r>
      <w:r w:rsidRPr="009C15B0">
        <w:rPr>
          <w:sz w:val="16"/>
          <w:szCs w:val="16"/>
          <w:lang w:val="es-CR"/>
        </w:rPr>
        <w:t>(expediente de prueba, tomo XX, prueba para mejor resolver, folios 10281 a 10342), y Protocolo de Normas y Procedimientos para la Atención Especializada a Víctimas y Sobrevivientes de Violencia de Género, Intrafamiliar y Sexual de las Comisarías de la Mujer, la Niñez y la Adolescencia de la Policía Nacional (2014) (expediente de prueba, tomo XXI, prueba para mejor resolver, folios 10726 a 10728).</w:t>
      </w:r>
    </w:p>
  </w:footnote>
  <w:footnote w:id="434">
    <w:p w14:paraId="15EA53CD" w14:textId="07969109" w:rsidR="007F7D87" w:rsidRPr="009C15B0" w:rsidRDefault="007F7D87" w:rsidP="001E6358">
      <w:pPr>
        <w:pStyle w:val="FootnoteText"/>
        <w:tabs>
          <w:tab w:val="left" w:pos="567"/>
        </w:tabs>
        <w:spacing w:after="60"/>
        <w:rPr>
          <w:i/>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Ley N° 779, “Ley Integral Contra la Violencia hacia las Mujeres y de Reformas a la Ley N° 641, ‘Código Penal’” (expediente de prueba, tomo XX, anexo 3 de la prueba para mejor resolver, folio 9464), y Reglamento a la Ley N° 779, Ley Integral contra la Violencia hacia las Mujeres, y de Reformas a la Ley No. 641 “Código Penal”, Decreto No. 42-2014 del Presidente de la República de Nicaragua (expediente de prueba, tomo XXII, anexo 9.g de la prueba para mejor resolver, folios 11160 a 11166).</w:t>
      </w:r>
    </w:p>
  </w:footnote>
  <w:footnote w:id="435">
    <w:p w14:paraId="0720551E" w14:textId="7C7FE1D6"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xml:space="preserve"> Reglamento a la Ley N° 779, Ley Integral contra la Violencia hacia las Mujeres, y de Reformas a la Ley N° 641 “Código Penal”, Decreto No. 42-2014 del Presidente de la República de Nicaragua, y Decreto No. 43-2014 del Presidente de la República de Nicaragua, “Política de Estado para el fortalecimiento de la familia nicaragüense y prevención de la violencia” (expediente de prueba, tomo XXII, anexo 9.g de la prueba para mejor resolver, folios 11160 a 11167).</w:t>
      </w:r>
    </w:p>
  </w:footnote>
  <w:footnote w:id="436">
    <w:p w14:paraId="7E6E1A90" w14:textId="3E168927" w:rsidR="007F7D87" w:rsidRPr="009C15B0" w:rsidRDefault="007F7D87" w:rsidP="001E6358">
      <w:pPr>
        <w:tabs>
          <w:tab w:val="left" w:pos="567"/>
          <w:tab w:val="left" w:pos="720"/>
        </w:tabs>
        <w:autoSpaceDE w:val="0"/>
        <w:autoSpaceDN w:val="0"/>
        <w:spacing w:after="60" w:line="240" w:lineRule="auto"/>
        <w:rPr>
          <w:sz w:val="16"/>
          <w:szCs w:val="16"/>
        </w:rPr>
      </w:pPr>
      <w:r w:rsidRPr="009C15B0">
        <w:rPr>
          <w:rStyle w:val="FootnoteReference"/>
          <w:sz w:val="16"/>
          <w:szCs w:val="16"/>
        </w:rPr>
        <w:footnoteRef/>
      </w:r>
      <w:r w:rsidRPr="009C15B0">
        <w:rPr>
          <w:sz w:val="16"/>
          <w:szCs w:val="16"/>
        </w:rPr>
        <w:t xml:space="preserve"> </w:t>
      </w:r>
      <w:r w:rsidRPr="009C15B0">
        <w:rPr>
          <w:sz w:val="16"/>
          <w:szCs w:val="16"/>
        </w:rPr>
        <w:tab/>
      </w:r>
      <w:r w:rsidRPr="009C15B0">
        <w:rPr>
          <w:i/>
          <w:sz w:val="16"/>
          <w:szCs w:val="16"/>
        </w:rPr>
        <w:t xml:space="preserve">Cfr. </w:t>
      </w:r>
      <w:r w:rsidRPr="009C15B0">
        <w:rPr>
          <w:rStyle w:val="Strong"/>
          <w:b w:val="0"/>
          <w:i/>
          <w:sz w:val="16"/>
          <w:szCs w:val="16"/>
          <w:shd w:val="clear" w:color="auto" w:fill="FFFFFF"/>
        </w:rPr>
        <w:t>Caso Veliz Franco y otros Vs. Guatemala, supra</w:t>
      </w:r>
      <w:r w:rsidRPr="009C15B0">
        <w:rPr>
          <w:rFonts w:cs="Calibri"/>
          <w:sz w:val="16"/>
          <w:szCs w:val="16"/>
        </w:rPr>
        <w:t xml:space="preserve">, párr. 264, y </w:t>
      </w:r>
      <w:r w:rsidRPr="009C15B0">
        <w:rPr>
          <w:rFonts w:cs="Calibri"/>
          <w:i/>
          <w:sz w:val="16"/>
          <w:szCs w:val="16"/>
        </w:rPr>
        <w:t xml:space="preserve">Caso Velásquez Paiz </w:t>
      </w:r>
      <w:r w:rsidRPr="009C15B0">
        <w:rPr>
          <w:rStyle w:val="Strong"/>
          <w:b w:val="0"/>
          <w:i/>
          <w:sz w:val="16"/>
          <w:szCs w:val="16"/>
          <w:shd w:val="clear" w:color="auto" w:fill="FFFFFF"/>
        </w:rPr>
        <w:t>y otros Vs. Guatemala, supra</w:t>
      </w:r>
      <w:r w:rsidRPr="009C15B0">
        <w:rPr>
          <w:rFonts w:cs="Calibri"/>
          <w:sz w:val="16"/>
          <w:szCs w:val="16"/>
        </w:rPr>
        <w:t>, párr. 252.</w:t>
      </w:r>
    </w:p>
  </w:footnote>
  <w:footnote w:id="437">
    <w:p w14:paraId="7500703A" w14:textId="5CBE6E99"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Expediente de prueba, tomo XX, prueba para mejor resolver, folios 10009 a 10015.</w:t>
      </w:r>
    </w:p>
  </w:footnote>
  <w:footnote w:id="438">
    <w:p w14:paraId="2CDE4DF2" w14:textId="10A5DE65"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Expediente de prueba, tomo XX, prueba para mejor resolver, folios 10108 a 10112.</w:t>
      </w:r>
    </w:p>
  </w:footnote>
  <w:footnote w:id="439">
    <w:p w14:paraId="6760F8EE" w14:textId="46517101"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Expediente de prueba, tomo XX, prueba para mejor resolver, folios 10174 a 10176.</w:t>
      </w:r>
    </w:p>
  </w:footnote>
  <w:footnote w:id="440">
    <w:p w14:paraId="0E3AAF43" w14:textId="3D690290"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Expediente de prueba, tomo XXI, prueba para mejor resolver, folios 10902 a 10906.</w:t>
      </w:r>
    </w:p>
  </w:footnote>
  <w:footnote w:id="441">
    <w:p w14:paraId="7C6246EC" w14:textId="009427EE"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Expediente de prueba, tomo XXI, prueba para mejor resolver, folios 11012 a 11013.</w:t>
      </w:r>
    </w:p>
  </w:footnote>
  <w:footnote w:id="442">
    <w:p w14:paraId="6147C4AB" w14:textId="4ECC923A"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Expediente de prueba, tomo XXII, prueba para mejor resolver, folios 11273 a 11296.</w:t>
      </w:r>
    </w:p>
  </w:footnote>
  <w:footnote w:id="443">
    <w:p w14:paraId="1950B468" w14:textId="1912A0D4"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Expediente de prueba, tomo XXI, prueba para mejor resolver, folios 10726 a 10728.</w:t>
      </w:r>
    </w:p>
  </w:footnote>
  <w:footnote w:id="444">
    <w:p w14:paraId="5B17236B" w14:textId="1FC297C5"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Expediente de prueba, tomo XX, prueba para mejor resolver, folios 10227 a 10279.</w:t>
      </w:r>
    </w:p>
  </w:footnote>
  <w:footnote w:id="445">
    <w:p w14:paraId="544CD757" w14:textId="1A72319A"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Expediente de prueba, tomo XX, prueba para mejor resolver, folios 10181 a 10226.</w:t>
      </w:r>
    </w:p>
  </w:footnote>
  <w:footnote w:id="446">
    <w:p w14:paraId="62302908" w14:textId="3D94CB18"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Expediente de prueba, tomo XX, prueba para mejor resolver, folios 10281 a 10342.</w:t>
      </w:r>
    </w:p>
  </w:footnote>
  <w:footnote w:id="447">
    <w:p w14:paraId="60FE0F21" w14:textId="453BAFCC"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t xml:space="preserve">El Tribunal nota que existen experiencias comparadas mediante las cuales se han adoptado guías de buenas prácticas para la atención a víctimas de violencia y violación sexual en casos de niñas, niños y adolescentes. </w:t>
      </w:r>
      <w:r w:rsidRPr="009C15B0">
        <w:rPr>
          <w:i/>
          <w:iCs/>
          <w:sz w:val="16"/>
          <w:szCs w:val="16"/>
          <w:lang w:val="es-CR"/>
        </w:rPr>
        <w:t>Cfr.</w:t>
      </w:r>
      <w:r w:rsidRPr="009C15B0">
        <w:rPr>
          <w:sz w:val="16"/>
          <w:szCs w:val="16"/>
          <w:lang w:val="es-CR"/>
        </w:rPr>
        <w:t xml:space="preserve"> UNICEF y Asociación por los Derechos Civiles (ADC), </w:t>
      </w:r>
      <w:r w:rsidRPr="009C15B0">
        <w:rPr>
          <w:i/>
          <w:sz w:val="16"/>
          <w:szCs w:val="16"/>
          <w:lang w:val="es-CR"/>
        </w:rPr>
        <w:t>Guía de buenas prácticas para el abordaje de niños/as, adolescentes víctimas o testigos de abuso sexual y otros delitos</w:t>
      </w:r>
      <w:r w:rsidRPr="009C15B0">
        <w:rPr>
          <w:sz w:val="16"/>
          <w:szCs w:val="16"/>
          <w:lang w:val="es-CR"/>
        </w:rPr>
        <w:t>, septiembre de 2013, págs. 66 a 69, y MSP, SIPIAV, UNICEF, Mapa de ruta para la prevención y la atención de situaciones de maltrato y abuso sexual infantil en el sector salud, Uruguay, 2009.</w:t>
      </w:r>
    </w:p>
  </w:footnote>
  <w:footnote w:id="448">
    <w:p w14:paraId="0D9758E8" w14:textId="48F6C8C9" w:rsidR="007F7D87" w:rsidRPr="009C15B0" w:rsidRDefault="007F7D87" w:rsidP="001E6358">
      <w:pPr>
        <w:tabs>
          <w:tab w:val="left" w:pos="567"/>
        </w:tabs>
        <w:spacing w:after="60" w:line="240" w:lineRule="auto"/>
        <w:rPr>
          <w:sz w:val="16"/>
          <w:szCs w:val="16"/>
          <w:lang w:eastAsia="es-ES"/>
        </w:rPr>
      </w:pPr>
      <w:r w:rsidRPr="009C15B0">
        <w:rPr>
          <w:rStyle w:val="FootnoteReference"/>
          <w:rFonts w:eastAsia="MS ????"/>
          <w:sz w:val="16"/>
          <w:szCs w:val="16"/>
        </w:rPr>
        <w:footnoteRef/>
      </w:r>
      <w:r w:rsidRPr="009C15B0">
        <w:rPr>
          <w:sz w:val="16"/>
          <w:szCs w:val="16"/>
        </w:rPr>
        <w:tab/>
      </w:r>
      <w:r w:rsidRPr="009C15B0">
        <w:rPr>
          <w:i/>
          <w:sz w:val="16"/>
          <w:szCs w:val="16"/>
        </w:rPr>
        <w:t xml:space="preserve">Cfr. </w:t>
      </w:r>
      <w:r w:rsidRPr="009C15B0">
        <w:rPr>
          <w:bCs/>
          <w:i/>
          <w:sz w:val="16"/>
          <w:szCs w:val="16"/>
        </w:rPr>
        <w:t xml:space="preserve">Caso Bámaca Velásquez Vs. Guatemala. </w:t>
      </w:r>
      <w:r w:rsidRPr="009C15B0">
        <w:rPr>
          <w:i/>
          <w:sz w:val="16"/>
          <w:szCs w:val="16"/>
        </w:rPr>
        <w:t>Reparaciones y Costas</w:t>
      </w:r>
      <w:r w:rsidRPr="009C15B0">
        <w:rPr>
          <w:sz w:val="16"/>
          <w:szCs w:val="16"/>
        </w:rPr>
        <w:t xml:space="preserve">. Sentencia de 22 de febrero de 2002. Serie C No. 91, párr. 43, y </w:t>
      </w:r>
      <w:r w:rsidRPr="009C15B0">
        <w:rPr>
          <w:bCs/>
          <w:i/>
          <w:sz w:val="16"/>
          <w:szCs w:val="16"/>
        </w:rPr>
        <w:t>Caso Trabajadores Cesados de Petroperú y otros Vs. Perú, supra</w:t>
      </w:r>
      <w:r w:rsidRPr="009C15B0">
        <w:rPr>
          <w:bCs/>
          <w:sz w:val="16"/>
          <w:szCs w:val="16"/>
        </w:rPr>
        <w:t>, párr. 215.</w:t>
      </w:r>
    </w:p>
  </w:footnote>
  <w:footnote w:id="449">
    <w:p w14:paraId="023A6FB0" w14:textId="2287B733"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Comprobantes de impuestos en Estados Unidos (expediente de prueba, tomo VXI, anexo H.2 al escrito de solicitudes, argumentos y pruebas, folios 7721 a 7730).</w:t>
      </w:r>
    </w:p>
  </w:footnote>
  <w:footnote w:id="450">
    <w:p w14:paraId="16DB5748" w14:textId="2C8918C3"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sz w:val="16"/>
          <w:szCs w:val="16"/>
          <w:lang w:val="es-CR"/>
        </w:rPr>
        <w:t>Constancia de trabajo y salario a nombre de V.P.C. (expediente de prueba, tomo XVI, anexo H.1. al escrito de solicitudes y pruebas, folio 7719).</w:t>
      </w:r>
    </w:p>
  </w:footnote>
  <w:footnote w:id="451">
    <w:p w14:paraId="266C13FD" w14:textId="107A6D46" w:rsidR="007F7D87" w:rsidRPr="009C15B0" w:rsidRDefault="007F7D87" w:rsidP="001E6358">
      <w:pPr>
        <w:pStyle w:val="FootnoteText"/>
        <w:tabs>
          <w:tab w:val="left" w:pos="567"/>
          <w:tab w:val="left" w:pos="709"/>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 Caso de los “Niños de la Calle” (Villagrán Morales y otros) Vs. Guatemala</w:t>
      </w:r>
      <w:r w:rsidRPr="009C15B0">
        <w:rPr>
          <w:sz w:val="16"/>
          <w:szCs w:val="16"/>
          <w:lang w:val="es-CR"/>
        </w:rPr>
        <w:t xml:space="preserve">. </w:t>
      </w:r>
      <w:r w:rsidRPr="009C15B0">
        <w:rPr>
          <w:i/>
          <w:sz w:val="16"/>
          <w:szCs w:val="16"/>
          <w:lang w:val="es-CR"/>
        </w:rPr>
        <w:t xml:space="preserve">Reparaciones y Costas. </w:t>
      </w:r>
      <w:r w:rsidRPr="009C15B0">
        <w:rPr>
          <w:sz w:val="16"/>
          <w:szCs w:val="16"/>
          <w:lang w:val="es-CR"/>
        </w:rPr>
        <w:t>Sentencia de 26 de mayo de 2001. Serie C No. 77</w:t>
      </w:r>
      <w:r w:rsidRPr="009C15B0">
        <w:rPr>
          <w:i/>
          <w:sz w:val="16"/>
          <w:szCs w:val="16"/>
          <w:lang w:val="es-CR"/>
        </w:rPr>
        <w:t xml:space="preserve">, </w:t>
      </w:r>
      <w:r w:rsidRPr="009C15B0">
        <w:rPr>
          <w:sz w:val="16"/>
          <w:szCs w:val="16"/>
          <w:lang w:val="es-CR"/>
        </w:rPr>
        <w:t xml:space="preserve">párr. 84, y </w:t>
      </w:r>
      <w:r w:rsidRPr="009C15B0">
        <w:rPr>
          <w:bCs/>
          <w:i/>
          <w:sz w:val="16"/>
          <w:szCs w:val="16"/>
          <w:lang w:val="es-CR"/>
        </w:rPr>
        <w:t>Caso Trabajadores Cesados de Petroperú y otros Vs. Perú, supra</w:t>
      </w:r>
      <w:r w:rsidRPr="009C15B0">
        <w:rPr>
          <w:bCs/>
          <w:sz w:val="16"/>
          <w:szCs w:val="16"/>
          <w:lang w:val="es-CR"/>
        </w:rPr>
        <w:t>,</w:t>
      </w:r>
      <w:r w:rsidRPr="009C15B0">
        <w:rPr>
          <w:sz w:val="16"/>
          <w:szCs w:val="16"/>
          <w:lang w:val="es-CR"/>
        </w:rPr>
        <w:t xml:space="preserve"> p</w:t>
      </w:r>
      <w:r w:rsidRPr="009C15B0">
        <w:rPr>
          <w:rFonts w:cs="Calibri"/>
          <w:sz w:val="16"/>
          <w:szCs w:val="16"/>
          <w:lang w:val="es-CR"/>
        </w:rPr>
        <w:t>á</w:t>
      </w:r>
      <w:r w:rsidRPr="009C15B0">
        <w:rPr>
          <w:sz w:val="16"/>
          <w:szCs w:val="16"/>
          <w:lang w:val="es-CR"/>
        </w:rPr>
        <w:t>rr. 227.</w:t>
      </w:r>
    </w:p>
  </w:footnote>
  <w:footnote w:id="452">
    <w:p w14:paraId="7B123B28" w14:textId="0BFDDC4E" w:rsidR="007F7D87" w:rsidRPr="009C15B0" w:rsidRDefault="007F7D87" w:rsidP="001E6358">
      <w:pPr>
        <w:pStyle w:val="FootnoteText"/>
        <w:tabs>
          <w:tab w:val="left" w:pos="567"/>
          <w:tab w:val="left" w:pos="709"/>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rFonts w:eastAsia="Calibri"/>
          <w:bCs/>
          <w:i/>
          <w:sz w:val="16"/>
          <w:szCs w:val="16"/>
          <w:shd w:val="clear" w:color="auto" w:fill="FFFFFF"/>
          <w:lang w:val="es-CR"/>
        </w:rPr>
        <w:t>Caso Garrido y Baigorria Vs. Argentina. Reparaciones y Costas.</w:t>
      </w:r>
      <w:r w:rsidRPr="009C15B0">
        <w:rPr>
          <w:rFonts w:eastAsia="Calibri"/>
          <w:bCs/>
          <w:sz w:val="16"/>
          <w:szCs w:val="16"/>
          <w:shd w:val="clear" w:color="auto" w:fill="FFFFFF"/>
          <w:lang w:val="es-CR"/>
        </w:rPr>
        <w:t xml:space="preserve"> Sentencia de 27 de agosto de 1998. Serie C No. 39, párr. 79, y </w:t>
      </w:r>
      <w:r w:rsidRPr="009C15B0">
        <w:rPr>
          <w:bCs/>
          <w:i/>
          <w:sz w:val="16"/>
          <w:szCs w:val="16"/>
          <w:lang w:val="es-CR"/>
        </w:rPr>
        <w:t>Caso Trabajadores Cesados de Petroperú y otros Vs. Perú, supra</w:t>
      </w:r>
      <w:r w:rsidRPr="009C15B0">
        <w:rPr>
          <w:bCs/>
          <w:sz w:val="16"/>
          <w:szCs w:val="16"/>
          <w:lang w:val="es-CR"/>
        </w:rPr>
        <w:t>,</w:t>
      </w:r>
      <w:r w:rsidRPr="009C15B0">
        <w:rPr>
          <w:sz w:val="16"/>
          <w:szCs w:val="16"/>
          <w:lang w:val="es-CR"/>
        </w:rPr>
        <w:t xml:space="preserve"> p</w:t>
      </w:r>
      <w:r w:rsidRPr="009C15B0">
        <w:rPr>
          <w:rFonts w:cs="Calibri"/>
          <w:sz w:val="16"/>
          <w:szCs w:val="16"/>
          <w:lang w:val="es-CR"/>
        </w:rPr>
        <w:t>á</w:t>
      </w:r>
      <w:r w:rsidRPr="009C15B0">
        <w:rPr>
          <w:sz w:val="16"/>
          <w:szCs w:val="16"/>
          <w:lang w:val="es-CR"/>
        </w:rPr>
        <w:t>rr. 242.</w:t>
      </w:r>
    </w:p>
  </w:footnote>
  <w:footnote w:id="453">
    <w:p w14:paraId="05745CE1" w14:textId="4E9EDA32"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w:t>
      </w:r>
      <w:r w:rsidRPr="009C15B0">
        <w:rPr>
          <w:rFonts w:eastAsia="Calibri"/>
          <w:bCs/>
          <w:i/>
          <w:sz w:val="16"/>
          <w:szCs w:val="16"/>
          <w:shd w:val="clear" w:color="auto" w:fill="FFFFFF"/>
          <w:lang w:val="es-CR"/>
        </w:rPr>
        <w:t>Caso Garrido y Baigorria Vs. Argentina. Reparaciones y Costas, supra</w:t>
      </w:r>
      <w:r w:rsidRPr="009C15B0">
        <w:rPr>
          <w:sz w:val="16"/>
          <w:szCs w:val="16"/>
          <w:lang w:val="es-CR"/>
        </w:rPr>
        <w:t xml:space="preserve">, párr. 82, y </w:t>
      </w:r>
      <w:r w:rsidRPr="009C15B0">
        <w:rPr>
          <w:bCs/>
          <w:i/>
          <w:sz w:val="16"/>
          <w:szCs w:val="16"/>
          <w:lang w:val="es-CR"/>
        </w:rPr>
        <w:t>Caso Trabajadores Cesados de Petroperú y otros Vs. Perú, supra</w:t>
      </w:r>
      <w:r w:rsidRPr="009C15B0">
        <w:rPr>
          <w:rFonts w:eastAsia="Calibri"/>
          <w:bCs/>
          <w:sz w:val="16"/>
          <w:szCs w:val="16"/>
          <w:shd w:val="clear" w:color="auto" w:fill="FFFFFF"/>
          <w:lang w:val="es-CR"/>
        </w:rPr>
        <w:t>, párr. 242.</w:t>
      </w:r>
    </w:p>
  </w:footnote>
  <w:footnote w:id="454">
    <w:p w14:paraId="5C1BD437" w14:textId="751FD4BF" w:rsidR="007F7D87" w:rsidRPr="009C15B0" w:rsidRDefault="007F7D87" w:rsidP="001E6358">
      <w:pPr>
        <w:pStyle w:val="FootnoteText"/>
        <w:tabs>
          <w:tab w:val="left" w:pos="567"/>
          <w:tab w:val="left" w:pos="709"/>
        </w:tabs>
        <w:spacing w:after="60"/>
        <w:rPr>
          <w:sz w:val="16"/>
          <w:szCs w:val="16"/>
          <w:lang w:val="es-CR"/>
        </w:rPr>
      </w:pPr>
      <w:r w:rsidRPr="009C15B0">
        <w:rPr>
          <w:rStyle w:val="FootnoteReference"/>
          <w:rFonts w:eastAsia="Calibri"/>
          <w:sz w:val="16"/>
          <w:szCs w:val="16"/>
          <w:lang w:val="es-CR"/>
        </w:rPr>
        <w:footnoteRef/>
      </w:r>
      <w:r w:rsidRPr="009C15B0">
        <w:rPr>
          <w:sz w:val="16"/>
          <w:szCs w:val="16"/>
          <w:lang w:val="es-CR"/>
        </w:rPr>
        <w:tab/>
      </w:r>
      <w:r w:rsidRPr="009C15B0">
        <w:rPr>
          <w:rFonts w:eastAsia="Calibri"/>
          <w:bCs/>
          <w:i/>
          <w:sz w:val="16"/>
          <w:szCs w:val="16"/>
          <w:shd w:val="clear" w:color="auto" w:fill="FFFFFF"/>
          <w:lang w:val="es-CR"/>
        </w:rPr>
        <w:t>Caso Garrido y Baigorria Vs. Argentina. Reparaciones y Costas, supra</w:t>
      </w:r>
      <w:r w:rsidRPr="009C15B0">
        <w:rPr>
          <w:sz w:val="16"/>
          <w:szCs w:val="16"/>
          <w:lang w:val="es-CR"/>
        </w:rPr>
        <w:t>, párrs. 79 y 82,</w:t>
      </w:r>
      <w:r w:rsidRPr="009C15B0">
        <w:rPr>
          <w:i/>
          <w:sz w:val="16"/>
          <w:szCs w:val="16"/>
          <w:lang w:val="es-CR"/>
        </w:rPr>
        <w:t xml:space="preserve"> </w:t>
      </w:r>
      <w:r w:rsidRPr="009C15B0">
        <w:rPr>
          <w:sz w:val="16"/>
          <w:szCs w:val="16"/>
          <w:lang w:val="es-CR"/>
        </w:rPr>
        <w:t>y</w:t>
      </w:r>
      <w:r w:rsidRPr="009C15B0">
        <w:rPr>
          <w:i/>
          <w:sz w:val="16"/>
          <w:szCs w:val="16"/>
          <w:lang w:val="es-CR"/>
        </w:rPr>
        <w:t xml:space="preserve"> Caso Trabajadores Cesados de Petroperú y otros Vs. Perú, supra</w:t>
      </w:r>
      <w:r w:rsidRPr="009C15B0">
        <w:rPr>
          <w:sz w:val="16"/>
          <w:szCs w:val="16"/>
          <w:lang w:val="es-CR"/>
        </w:rPr>
        <w:t>, párr. 243.</w:t>
      </w:r>
    </w:p>
  </w:footnote>
  <w:footnote w:id="455">
    <w:p w14:paraId="32A92FD4" w14:textId="67492314" w:rsidR="007F7D87" w:rsidRPr="009C15B0" w:rsidRDefault="007F7D87" w:rsidP="001E6358">
      <w:pPr>
        <w:tabs>
          <w:tab w:val="left" w:pos="567"/>
        </w:tabs>
        <w:spacing w:after="60" w:line="240" w:lineRule="auto"/>
        <w:rPr>
          <w:sz w:val="16"/>
          <w:szCs w:val="16"/>
        </w:rPr>
      </w:pPr>
      <w:r w:rsidRPr="009C15B0">
        <w:rPr>
          <w:rStyle w:val="FootnoteReference"/>
          <w:rFonts w:eastAsia="Calibri"/>
          <w:sz w:val="16"/>
          <w:szCs w:val="16"/>
        </w:rPr>
        <w:footnoteRef/>
      </w:r>
      <w:r w:rsidRPr="009C15B0">
        <w:rPr>
          <w:sz w:val="16"/>
          <w:szCs w:val="16"/>
        </w:rPr>
        <w:t xml:space="preserve"> </w:t>
      </w:r>
      <w:r w:rsidRPr="009C15B0">
        <w:rPr>
          <w:sz w:val="16"/>
          <w:szCs w:val="16"/>
        </w:rPr>
        <w:tab/>
      </w:r>
      <w:r w:rsidRPr="009C15B0">
        <w:rPr>
          <w:i/>
          <w:sz w:val="16"/>
          <w:szCs w:val="16"/>
        </w:rPr>
        <w:t>Cfr. Caso Chaparro Álvarez y Lapo Íñiguez Vs. Ecuador, supra</w:t>
      </w:r>
      <w:r w:rsidRPr="009C15B0">
        <w:rPr>
          <w:sz w:val="16"/>
          <w:szCs w:val="16"/>
        </w:rPr>
        <w:t>, párr. 277, y</w:t>
      </w:r>
      <w:r w:rsidRPr="009C15B0">
        <w:rPr>
          <w:bCs/>
          <w:i/>
          <w:sz w:val="16"/>
          <w:szCs w:val="16"/>
        </w:rPr>
        <w:t xml:space="preserve"> </w:t>
      </w:r>
      <w:r w:rsidRPr="009C15B0">
        <w:rPr>
          <w:i/>
          <w:sz w:val="16"/>
          <w:szCs w:val="16"/>
        </w:rPr>
        <w:t>Caso Trabajadores Cesados de Petroperú y otros Vs. Perú, supra</w:t>
      </w:r>
      <w:r w:rsidRPr="009C15B0">
        <w:rPr>
          <w:sz w:val="16"/>
          <w:szCs w:val="16"/>
        </w:rPr>
        <w:t>, párr. 243.</w:t>
      </w:r>
    </w:p>
  </w:footnote>
  <w:footnote w:id="456">
    <w:p w14:paraId="1F9C966F" w14:textId="7C99C579"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 xml:space="preserve">Cfr. Caso Comunidad Indígena Xákmok Kásek Vs. Paraguay. Fondo, Reparaciones y Costas. </w:t>
      </w:r>
      <w:r w:rsidRPr="009C15B0">
        <w:rPr>
          <w:sz w:val="16"/>
          <w:szCs w:val="16"/>
          <w:lang w:val="es-CR"/>
        </w:rPr>
        <w:t xml:space="preserve">Sentencia de 24 de agosto de 2010. Serie C No. 214, párr. 331, y </w:t>
      </w:r>
      <w:r w:rsidRPr="009C15B0">
        <w:rPr>
          <w:bCs/>
          <w:i/>
          <w:sz w:val="16"/>
          <w:szCs w:val="16"/>
          <w:lang w:val="es-CR"/>
        </w:rPr>
        <w:t>Caso Pacheco León y otros Vs. Honduras, supra</w:t>
      </w:r>
      <w:r w:rsidRPr="009C15B0">
        <w:rPr>
          <w:bCs/>
          <w:sz w:val="16"/>
          <w:szCs w:val="16"/>
          <w:lang w:val="es-CR"/>
        </w:rPr>
        <w:t>, párr. 224.</w:t>
      </w:r>
    </w:p>
  </w:footnote>
  <w:footnote w:id="457">
    <w:p w14:paraId="5543DF90" w14:textId="77777777" w:rsidR="007F7D87" w:rsidRPr="009C15B0" w:rsidRDefault="007F7D87" w:rsidP="001E6358">
      <w:pPr>
        <w:pStyle w:val="FootnoteText"/>
        <w:tabs>
          <w:tab w:val="left" w:pos="567"/>
        </w:tabs>
        <w:spacing w:after="60"/>
        <w:rPr>
          <w:sz w:val="16"/>
          <w:szCs w:val="16"/>
          <w:u w:val="single"/>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bCs/>
          <w:sz w:val="16"/>
          <w:szCs w:val="16"/>
          <w:lang w:val="es-CR"/>
        </w:rPr>
        <w:t>AG/RES. 2426 (XXXVIII-O/08),</w:t>
      </w:r>
      <w:r w:rsidRPr="009C15B0">
        <w:rPr>
          <w:rFonts w:cs="Verdana"/>
          <w:sz w:val="16"/>
          <w:szCs w:val="16"/>
          <w:lang w:val="es-CR"/>
        </w:rPr>
        <w:t xml:space="preserve"> </w:t>
      </w:r>
      <w:r w:rsidRPr="009C15B0">
        <w:rPr>
          <w:sz w:val="16"/>
          <w:szCs w:val="16"/>
          <w:lang w:val="es-CR"/>
        </w:rPr>
        <w:t xml:space="preserve">Resolución adoptada por la Asamblea General de la OEA </w:t>
      </w:r>
      <w:r w:rsidRPr="009C15B0">
        <w:rPr>
          <w:rFonts w:cs="Verdana"/>
          <w:sz w:val="16"/>
          <w:szCs w:val="16"/>
          <w:lang w:val="es-CR"/>
        </w:rPr>
        <w:t>durante la celebración del XXXVIII Período Ordinario de Sesiones de la OEA,</w:t>
      </w:r>
      <w:r w:rsidRPr="009C15B0">
        <w:rPr>
          <w:bCs/>
          <w:sz w:val="16"/>
          <w:szCs w:val="16"/>
          <w:lang w:val="es-CR"/>
        </w:rPr>
        <w:t xml:space="preserve"> </w:t>
      </w:r>
      <w:r w:rsidRPr="009C15B0">
        <w:rPr>
          <w:sz w:val="16"/>
          <w:szCs w:val="16"/>
          <w:lang w:val="es-CR"/>
        </w:rPr>
        <w:t>en la cuarta sesión plenaria,</w:t>
      </w:r>
      <w:r w:rsidRPr="009C15B0">
        <w:rPr>
          <w:bCs/>
          <w:sz w:val="16"/>
          <w:szCs w:val="16"/>
          <w:lang w:val="es-CR"/>
        </w:rPr>
        <w:t xml:space="preserve"> </w:t>
      </w:r>
      <w:r w:rsidRPr="009C15B0">
        <w:rPr>
          <w:sz w:val="16"/>
          <w:szCs w:val="16"/>
          <w:lang w:val="es-CR"/>
        </w:rPr>
        <w:t xml:space="preserve">celebrada el 3 de junio de 2008, </w:t>
      </w:r>
      <w:r w:rsidRPr="009C15B0">
        <w:rPr>
          <w:i/>
          <w:sz w:val="16"/>
          <w:szCs w:val="16"/>
          <w:lang w:val="es-CR"/>
        </w:rPr>
        <w:t>“Creación del Fondo de Asistencia Legal del Sistema Interamericano de Derechos Humanos</w:t>
      </w:r>
      <w:r w:rsidRPr="009C15B0">
        <w:rPr>
          <w:sz w:val="16"/>
          <w:szCs w:val="16"/>
          <w:lang w:val="es-CR"/>
        </w:rPr>
        <w:t>”, Punto Resolutivo 2.a</w:t>
      </w:r>
      <w:r w:rsidRPr="009C15B0">
        <w:rPr>
          <w:rFonts w:cs="Verdana"/>
          <w:sz w:val="16"/>
          <w:szCs w:val="16"/>
          <w:lang w:val="es-CR"/>
        </w:rPr>
        <w:t xml:space="preserve">), y </w:t>
      </w:r>
      <w:r w:rsidRPr="009C15B0">
        <w:rPr>
          <w:sz w:val="16"/>
          <w:szCs w:val="16"/>
          <w:lang w:val="es-CR"/>
        </w:rPr>
        <w:t>CP/RES. 963 (1728/09), Resolución adoptada el 11 de noviembre de 2009 por el Consejo Permanente de la OEA, “</w:t>
      </w:r>
      <w:r w:rsidRPr="009C15B0">
        <w:rPr>
          <w:i/>
          <w:iCs/>
          <w:sz w:val="16"/>
          <w:szCs w:val="16"/>
          <w:lang w:val="es-CR"/>
        </w:rPr>
        <w:t xml:space="preserve">Reglamento para el Funcionamiento del Fondo de Asistencia </w:t>
      </w:r>
      <w:r w:rsidRPr="009C15B0">
        <w:rPr>
          <w:iCs/>
          <w:sz w:val="16"/>
          <w:szCs w:val="16"/>
          <w:lang w:val="es-CR"/>
        </w:rPr>
        <w:t>Legal</w:t>
      </w:r>
      <w:r w:rsidRPr="009C15B0">
        <w:rPr>
          <w:i/>
          <w:iCs/>
          <w:sz w:val="16"/>
          <w:szCs w:val="16"/>
          <w:lang w:val="es-CR"/>
        </w:rPr>
        <w:t xml:space="preserve"> del Sistema Interamericano de Derechos Humanos</w:t>
      </w:r>
      <w:r w:rsidRPr="009C15B0">
        <w:rPr>
          <w:sz w:val="16"/>
          <w:szCs w:val="16"/>
          <w:lang w:val="es-CR"/>
        </w:rPr>
        <w:t>”, artículo 1.1.</w:t>
      </w:r>
    </w:p>
  </w:footnote>
  <w:footnote w:id="458">
    <w:p w14:paraId="27E47CD8"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i/>
          <w:sz w:val="16"/>
          <w:szCs w:val="16"/>
          <w:lang w:val="es-CR"/>
        </w:rPr>
        <w:t>Cfr</w:t>
      </w:r>
      <w:r w:rsidRPr="009C15B0">
        <w:rPr>
          <w:sz w:val="16"/>
          <w:szCs w:val="16"/>
          <w:lang w:val="es-CR"/>
        </w:rPr>
        <w:t>. Resolución emitida por el Presidente de la Corte Interamericana de Derechos Humanos el 21 de setiembre de 2017 (expediente de fondo, tomo I, folios 838 a 852).</w:t>
      </w:r>
    </w:p>
  </w:footnote>
  <w:footnote w:id="459">
    <w:p w14:paraId="039622AB"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rFonts w:eastAsia="Calibri"/>
          <w:sz w:val="16"/>
          <w:szCs w:val="16"/>
          <w:lang w:val="es-CR"/>
        </w:rPr>
        <w:footnoteRef/>
      </w:r>
      <w:r w:rsidRPr="009C15B0">
        <w:rPr>
          <w:sz w:val="16"/>
          <w:szCs w:val="16"/>
          <w:lang w:val="es-CR"/>
        </w:rPr>
        <w:t xml:space="preserve"> </w:t>
      </w:r>
      <w:r w:rsidRPr="009C15B0">
        <w:rPr>
          <w:sz w:val="16"/>
          <w:szCs w:val="16"/>
          <w:lang w:val="es-CR"/>
        </w:rPr>
        <w:tab/>
        <w:t xml:space="preserve">El Fondo de Asistencia de Víctimas fue aplicado por primera vez en el caso </w:t>
      </w:r>
      <w:r w:rsidRPr="009C15B0">
        <w:rPr>
          <w:i/>
          <w:sz w:val="16"/>
          <w:szCs w:val="16"/>
          <w:lang w:val="es-CR"/>
        </w:rPr>
        <w:t>Contreras y Otros Vs. El Salvador</w:t>
      </w:r>
      <w:r w:rsidRPr="009C15B0">
        <w:rPr>
          <w:sz w:val="16"/>
          <w:szCs w:val="16"/>
          <w:lang w:val="es-CR"/>
        </w:rPr>
        <w:t>, cuya Sentencia fue emitida el de 31 de agosto de 2011.</w:t>
      </w:r>
    </w:p>
  </w:footnote>
  <w:footnote w:id="460">
    <w:p w14:paraId="31BCB671" w14:textId="7F9CF7A0" w:rsidR="007F7D87" w:rsidRPr="009C15B0" w:rsidRDefault="007F7D87" w:rsidP="001E6358">
      <w:pPr>
        <w:pStyle w:val="FootnoteText"/>
        <w:tabs>
          <w:tab w:val="left" w:pos="567"/>
          <w:tab w:val="left" w:pos="709"/>
        </w:tabs>
        <w:spacing w:after="60"/>
        <w:rPr>
          <w:sz w:val="16"/>
          <w:szCs w:val="16"/>
          <w:lang w:val="es-CR"/>
        </w:rPr>
      </w:pPr>
      <w:r w:rsidRPr="009C15B0">
        <w:rPr>
          <w:rStyle w:val="FootnoteReference"/>
          <w:sz w:val="16"/>
          <w:szCs w:val="16"/>
          <w:lang w:val="es-CR"/>
        </w:rPr>
        <w:footnoteRef/>
      </w:r>
      <w:r w:rsidRPr="009C15B0">
        <w:rPr>
          <w:sz w:val="16"/>
          <w:szCs w:val="16"/>
          <w:lang w:val="es-CR"/>
        </w:rPr>
        <w:t xml:space="preserve"> </w:t>
      </w:r>
      <w:r w:rsidRPr="009C15B0">
        <w:rPr>
          <w:sz w:val="16"/>
          <w:szCs w:val="16"/>
          <w:lang w:val="es-CR"/>
        </w:rPr>
        <w:tab/>
      </w:r>
      <w:r w:rsidRPr="009C15B0">
        <w:rPr>
          <w:rFonts w:eastAsiaTheme="minorHAnsi" w:cstheme="minorBidi"/>
          <w:i/>
          <w:sz w:val="16"/>
          <w:szCs w:val="16"/>
          <w:lang w:val="es-CR" w:eastAsia="en-US"/>
        </w:rPr>
        <w:t xml:space="preserve">Cfr. Caso Comunidad Campesina de Santa Bárbara Vs. Perú. Excepciones Preliminares, fondo, Reparaciones y Costas. </w:t>
      </w:r>
      <w:r w:rsidRPr="009C15B0">
        <w:rPr>
          <w:rFonts w:eastAsiaTheme="minorHAnsi" w:cstheme="minorBidi"/>
          <w:sz w:val="16"/>
          <w:szCs w:val="16"/>
          <w:lang w:val="es-CR" w:eastAsia="en-US"/>
        </w:rPr>
        <w:t>Sentencia de 1 de septiembre de 2015. Serie C No. 299, párr. 355, y</w:t>
      </w:r>
      <w:r w:rsidRPr="009C15B0">
        <w:rPr>
          <w:i/>
          <w:sz w:val="16"/>
          <w:szCs w:val="16"/>
          <w:lang w:val="es-CR"/>
        </w:rPr>
        <w:t xml:space="preserve"> Caso Trabajadores Cesados de Petroperú y otros Vs. Perú, supra</w:t>
      </w:r>
      <w:r w:rsidRPr="009C15B0">
        <w:rPr>
          <w:sz w:val="16"/>
          <w:szCs w:val="16"/>
          <w:lang w:val="es-CR"/>
        </w:rPr>
        <w:t>, párr. 237.</w:t>
      </w:r>
    </w:p>
  </w:footnote>
  <w:footnote w:id="461">
    <w:p w14:paraId="2FAFC8FF" w14:textId="77777777" w:rsidR="007F7D87" w:rsidRPr="009C15B0" w:rsidRDefault="007F7D87" w:rsidP="001E6358">
      <w:pPr>
        <w:pStyle w:val="FootnoteText"/>
        <w:tabs>
          <w:tab w:val="left" w:pos="567"/>
        </w:tabs>
        <w:spacing w:after="60"/>
        <w:rPr>
          <w:sz w:val="16"/>
          <w:szCs w:val="16"/>
          <w:lang w:val="es-CR"/>
        </w:rPr>
      </w:pPr>
      <w:r w:rsidRPr="009C15B0">
        <w:rPr>
          <w:rStyle w:val="FootnoteReference"/>
          <w:rFonts w:cs="Times"/>
          <w:sz w:val="16"/>
          <w:szCs w:val="16"/>
          <w:lang w:val="es-CR"/>
        </w:rPr>
        <w:footnoteRef/>
      </w:r>
      <w:r w:rsidRPr="009C15B0">
        <w:rPr>
          <w:sz w:val="16"/>
          <w:szCs w:val="16"/>
          <w:lang w:val="es-CR"/>
        </w:rPr>
        <w:t xml:space="preserve"> </w:t>
      </w:r>
      <w:r w:rsidRPr="009C15B0">
        <w:rPr>
          <w:sz w:val="16"/>
          <w:szCs w:val="16"/>
          <w:lang w:val="es-CR"/>
        </w:rPr>
        <w:tab/>
        <w:t>Dicha norma prevé que “[e]n casos de presuntas víctimas sin representación legal debidamente acreditada, el Tribunal podrá designar un Defensor Interamericano de oficio que las represente durante la tramitación de[l] caso”.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2305D" w14:textId="1B106C68" w:rsidR="007F7D87" w:rsidRPr="006A7984" w:rsidRDefault="007F7D87" w:rsidP="00DD00E7">
    <w:pPr>
      <w:pStyle w:val="Header"/>
      <w:jc w:val="center"/>
      <w:rPr>
        <w:rFonts w:ascii="Verdana" w:hAnsi="Verdana"/>
        <w:sz w:val="20"/>
        <w:szCs w:val="20"/>
      </w:rPr>
    </w:pPr>
    <w:r>
      <w:fldChar w:fldCharType="begin"/>
    </w:r>
    <w:r>
      <w:instrText xml:space="preserve"> PAGE   \* MERGEFORMAT </w:instrText>
    </w:r>
    <w:r>
      <w:fldChar w:fldCharType="separate"/>
    </w:r>
    <w:r w:rsidR="00EF48C1" w:rsidRPr="00EF48C1">
      <w:rPr>
        <w:rFonts w:ascii="Verdana" w:hAnsi="Verdana"/>
        <w:noProof/>
        <w:sz w:val="20"/>
        <w:szCs w:val="20"/>
      </w:rPr>
      <w:t>2</w:t>
    </w:r>
    <w:r>
      <w:rPr>
        <w:rFonts w:ascii="Verdana" w:hAnsi="Verdana"/>
        <w:noProof/>
        <w:sz w:val="20"/>
        <w:szCs w:val="20"/>
      </w:rPr>
      <w:fldChar w:fldCharType="end"/>
    </w:r>
  </w:p>
  <w:p w14:paraId="5A7E0335" w14:textId="77777777" w:rsidR="007F7D87" w:rsidRPr="00DF3D71" w:rsidRDefault="007F7D87">
    <w:pPr>
      <w:pStyle w:val="Header"/>
      <w:rPr>
        <w:lang w:val="es-C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4CC1BE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A1380F"/>
    <w:multiLevelType w:val="hybridMultilevel"/>
    <w:tmpl w:val="7D22E24E"/>
    <w:lvl w:ilvl="0" w:tplc="140A0015">
      <w:start w:val="1"/>
      <w:numFmt w:val="upperLetter"/>
      <w:lvlText w:val="%1."/>
      <w:lvlJc w:val="left"/>
      <w:pPr>
        <w:ind w:left="1288" w:hanging="360"/>
      </w:pPr>
    </w:lvl>
    <w:lvl w:ilvl="1" w:tplc="140A0019">
      <w:start w:val="1"/>
      <w:numFmt w:val="lowerLetter"/>
      <w:lvlText w:val="%2."/>
      <w:lvlJc w:val="left"/>
      <w:pPr>
        <w:ind w:left="2008" w:hanging="360"/>
      </w:pPr>
    </w:lvl>
    <w:lvl w:ilvl="2" w:tplc="140A001B" w:tentative="1">
      <w:start w:val="1"/>
      <w:numFmt w:val="lowerRoman"/>
      <w:lvlText w:val="%3."/>
      <w:lvlJc w:val="right"/>
      <w:pPr>
        <w:ind w:left="2728" w:hanging="180"/>
      </w:pPr>
    </w:lvl>
    <w:lvl w:ilvl="3" w:tplc="140A000F" w:tentative="1">
      <w:start w:val="1"/>
      <w:numFmt w:val="decimal"/>
      <w:lvlText w:val="%4."/>
      <w:lvlJc w:val="left"/>
      <w:pPr>
        <w:ind w:left="3448" w:hanging="360"/>
      </w:pPr>
    </w:lvl>
    <w:lvl w:ilvl="4" w:tplc="140A0019" w:tentative="1">
      <w:start w:val="1"/>
      <w:numFmt w:val="lowerLetter"/>
      <w:lvlText w:val="%5."/>
      <w:lvlJc w:val="left"/>
      <w:pPr>
        <w:ind w:left="4168" w:hanging="360"/>
      </w:pPr>
    </w:lvl>
    <w:lvl w:ilvl="5" w:tplc="140A001B" w:tentative="1">
      <w:start w:val="1"/>
      <w:numFmt w:val="lowerRoman"/>
      <w:lvlText w:val="%6."/>
      <w:lvlJc w:val="right"/>
      <w:pPr>
        <w:ind w:left="4888" w:hanging="180"/>
      </w:pPr>
    </w:lvl>
    <w:lvl w:ilvl="6" w:tplc="140A000F" w:tentative="1">
      <w:start w:val="1"/>
      <w:numFmt w:val="decimal"/>
      <w:lvlText w:val="%7."/>
      <w:lvlJc w:val="left"/>
      <w:pPr>
        <w:ind w:left="5608" w:hanging="360"/>
      </w:pPr>
    </w:lvl>
    <w:lvl w:ilvl="7" w:tplc="140A0019" w:tentative="1">
      <w:start w:val="1"/>
      <w:numFmt w:val="lowerLetter"/>
      <w:lvlText w:val="%8."/>
      <w:lvlJc w:val="left"/>
      <w:pPr>
        <w:ind w:left="6328" w:hanging="360"/>
      </w:pPr>
    </w:lvl>
    <w:lvl w:ilvl="8" w:tplc="140A001B" w:tentative="1">
      <w:start w:val="1"/>
      <w:numFmt w:val="lowerRoman"/>
      <w:lvlText w:val="%9."/>
      <w:lvlJc w:val="right"/>
      <w:pPr>
        <w:ind w:left="7048" w:hanging="180"/>
      </w:pPr>
    </w:lvl>
  </w:abstractNum>
  <w:abstractNum w:abstractNumId="2">
    <w:nsid w:val="15087C57"/>
    <w:multiLevelType w:val="hybridMultilevel"/>
    <w:tmpl w:val="4F1E90E6"/>
    <w:lvl w:ilvl="0" w:tplc="4510CD36">
      <w:start w:val="1"/>
      <w:numFmt w:val="lowerLetter"/>
      <w:lvlText w:val="%1)"/>
      <w:lvlJc w:val="left"/>
      <w:pPr>
        <w:ind w:left="1854" w:hanging="360"/>
      </w:pPr>
      <w:rPr>
        <w:rFonts w:ascii="Verdana" w:hAnsi="Verdana" w:hint="default"/>
        <w:b w:val="0"/>
        <w:i/>
        <w:color w:val="auto"/>
        <w:sz w:val="20"/>
        <w:szCs w:val="20"/>
      </w:rPr>
    </w:lvl>
    <w:lvl w:ilvl="1" w:tplc="140A0019" w:tentative="1">
      <w:start w:val="1"/>
      <w:numFmt w:val="lowerLetter"/>
      <w:lvlText w:val="%2."/>
      <w:lvlJc w:val="left"/>
      <w:pPr>
        <w:ind w:left="2574" w:hanging="360"/>
      </w:pPr>
    </w:lvl>
    <w:lvl w:ilvl="2" w:tplc="140A001B" w:tentative="1">
      <w:start w:val="1"/>
      <w:numFmt w:val="lowerRoman"/>
      <w:lvlText w:val="%3."/>
      <w:lvlJc w:val="right"/>
      <w:pPr>
        <w:ind w:left="3294" w:hanging="180"/>
      </w:pPr>
    </w:lvl>
    <w:lvl w:ilvl="3" w:tplc="140A000F" w:tentative="1">
      <w:start w:val="1"/>
      <w:numFmt w:val="decimal"/>
      <w:lvlText w:val="%4."/>
      <w:lvlJc w:val="left"/>
      <w:pPr>
        <w:ind w:left="4014" w:hanging="360"/>
      </w:pPr>
    </w:lvl>
    <w:lvl w:ilvl="4" w:tplc="140A0019" w:tentative="1">
      <w:start w:val="1"/>
      <w:numFmt w:val="lowerLetter"/>
      <w:lvlText w:val="%5."/>
      <w:lvlJc w:val="left"/>
      <w:pPr>
        <w:ind w:left="4734" w:hanging="360"/>
      </w:pPr>
    </w:lvl>
    <w:lvl w:ilvl="5" w:tplc="140A001B" w:tentative="1">
      <w:start w:val="1"/>
      <w:numFmt w:val="lowerRoman"/>
      <w:lvlText w:val="%6."/>
      <w:lvlJc w:val="right"/>
      <w:pPr>
        <w:ind w:left="5454" w:hanging="180"/>
      </w:pPr>
    </w:lvl>
    <w:lvl w:ilvl="6" w:tplc="140A000F" w:tentative="1">
      <w:start w:val="1"/>
      <w:numFmt w:val="decimal"/>
      <w:lvlText w:val="%7."/>
      <w:lvlJc w:val="left"/>
      <w:pPr>
        <w:ind w:left="6174" w:hanging="360"/>
      </w:pPr>
    </w:lvl>
    <w:lvl w:ilvl="7" w:tplc="140A0019" w:tentative="1">
      <w:start w:val="1"/>
      <w:numFmt w:val="lowerLetter"/>
      <w:lvlText w:val="%8."/>
      <w:lvlJc w:val="left"/>
      <w:pPr>
        <w:ind w:left="6894" w:hanging="360"/>
      </w:pPr>
    </w:lvl>
    <w:lvl w:ilvl="8" w:tplc="140A001B" w:tentative="1">
      <w:start w:val="1"/>
      <w:numFmt w:val="lowerRoman"/>
      <w:lvlText w:val="%9."/>
      <w:lvlJc w:val="right"/>
      <w:pPr>
        <w:ind w:left="7614" w:hanging="180"/>
      </w:pPr>
    </w:lvl>
  </w:abstractNum>
  <w:abstractNum w:abstractNumId="3">
    <w:nsid w:val="15330ACC"/>
    <w:multiLevelType w:val="hybridMultilevel"/>
    <w:tmpl w:val="49583468"/>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194A514D"/>
    <w:multiLevelType w:val="hybridMultilevel"/>
    <w:tmpl w:val="65140670"/>
    <w:lvl w:ilvl="0" w:tplc="140A0015">
      <w:start w:val="1"/>
      <w:numFmt w:val="upperLetter"/>
      <w:lvlText w:val="%1."/>
      <w:lvlJc w:val="left"/>
      <w:pPr>
        <w:ind w:left="1288" w:hanging="360"/>
      </w:pPr>
    </w:lvl>
    <w:lvl w:ilvl="1" w:tplc="140A0019">
      <w:start w:val="1"/>
      <w:numFmt w:val="lowerLetter"/>
      <w:lvlText w:val="%2."/>
      <w:lvlJc w:val="left"/>
      <w:pPr>
        <w:ind w:left="2008" w:hanging="360"/>
      </w:pPr>
    </w:lvl>
    <w:lvl w:ilvl="2" w:tplc="140A001B" w:tentative="1">
      <w:start w:val="1"/>
      <w:numFmt w:val="lowerRoman"/>
      <w:lvlText w:val="%3."/>
      <w:lvlJc w:val="right"/>
      <w:pPr>
        <w:ind w:left="2728" w:hanging="180"/>
      </w:pPr>
    </w:lvl>
    <w:lvl w:ilvl="3" w:tplc="140A000F" w:tentative="1">
      <w:start w:val="1"/>
      <w:numFmt w:val="decimal"/>
      <w:lvlText w:val="%4."/>
      <w:lvlJc w:val="left"/>
      <w:pPr>
        <w:ind w:left="3448" w:hanging="360"/>
      </w:pPr>
    </w:lvl>
    <w:lvl w:ilvl="4" w:tplc="140A0019" w:tentative="1">
      <w:start w:val="1"/>
      <w:numFmt w:val="lowerLetter"/>
      <w:lvlText w:val="%5."/>
      <w:lvlJc w:val="left"/>
      <w:pPr>
        <w:ind w:left="4168" w:hanging="360"/>
      </w:pPr>
    </w:lvl>
    <w:lvl w:ilvl="5" w:tplc="140A001B" w:tentative="1">
      <w:start w:val="1"/>
      <w:numFmt w:val="lowerRoman"/>
      <w:lvlText w:val="%6."/>
      <w:lvlJc w:val="right"/>
      <w:pPr>
        <w:ind w:left="4888" w:hanging="180"/>
      </w:pPr>
    </w:lvl>
    <w:lvl w:ilvl="6" w:tplc="140A000F" w:tentative="1">
      <w:start w:val="1"/>
      <w:numFmt w:val="decimal"/>
      <w:lvlText w:val="%7."/>
      <w:lvlJc w:val="left"/>
      <w:pPr>
        <w:ind w:left="5608" w:hanging="360"/>
      </w:pPr>
    </w:lvl>
    <w:lvl w:ilvl="7" w:tplc="140A0019" w:tentative="1">
      <w:start w:val="1"/>
      <w:numFmt w:val="lowerLetter"/>
      <w:lvlText w:val="%8."/>
      <w:lvlJc w:val="left"/>
      <w:pPr>
        <w:ind w:left="6328" w:hanging="360"/>
      </w:pPr>
    </w:lvl>
    <w:lvl w:ilvl="8" w:tplc="140A001B" w:tentative="1">
      <w:start w:val="1"/>
      <w:numFmt w:val="lowerRoman"/>
      <w:lvlText w:val="%9."/>
      <w:lvlJc w:val="right"/>
      <w:pPr>
        <w:ind w:left="7048" w:hanging="180"/>
      </w:pPr>
    </w:lvl>
  </w:abstractNum>
  <w:abstractNum w:abstractNumId="5">
    <w:nsid w:val="252365FC"/>
    <w:multiLevelType w:val="hybridMultilevel"/>
    <w:tmpl w:val="A3987190"/>
    <w:lvl w:ilvl="0" w:tplc="2B8CEE1A">
      <w:start w:val="1"/>
      <w:numFmt w:val="lowerLetter"/>
      <w:lvlText w:val="%1)"/>
      <w:lvlJc w:val="left"/>
      <w:pPr>
        <w:ind w:left="1068" w:hanging="360"/>
      </w:pPr>
      <w:rPr>
        <w:i/>
        <w:sz w:val="20"/>
        <w:szCs w:val="20"/>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6">
    <w:nsid w:val="257A74DB"/>
    <w:multiLevelType w:val="hybridMultilevel"/>
    <w:tmpl w:val="9F60C734"/>
    <w:lvl w:ilvl="0" w:tplc="140A001B">
      <w:start w:val="1"/>
      <w:numFmt w:val="lowerRoman"/>
      <w:lvlText w:val="%1."/>
      <w:lvlJc w:val="right"/>
      <w:pPr>
        <w:ind w:left="2407" w:hanging="360"/>
      </w:pPr>
    </w:lvl>
    <w:lvl w:ilvl="1" w:tplc="140A0019" w:tentative="1">
      <w:start w:val="1"/>
      <w:numFmt w:val="lowerLetter"/>
      <w:lvlText w:val="%2."/>
      <w:lvlJc w:val="left"/>
      <w:pPr>
        <w:ind w:left="3127" w:hanging="360"/>
      </w:pPr>
    </w:lvl>
    <w:lvl w:ilvl="2" w:tplc="140A001B" w:tentative="1">
      <w:start w:val="1"/>
      <w:numFmt w:val="lowerRoman"/>
      <w:lvlText w:val="%3."/>
      <w:lvlJc w:val="right"/>
      <w:pPr>
        <w:ind w:left="3847" w:hanging="180"/>
      </w:pPr>
    </w:lvl>
    <w:lvl w:ilvl="3" w:tplc="140A000F" w:tentative="1">
      <w:start w:val="1"/>
      <w:numFmt w:val="decimal"/>
      <w:lvlText w:val="%4."/>
      <w:lvlJc w:val="left"/>
      <w:pPr>
        <w:ind w:left="4567" w:hanging="360"/>
      </w:pPr>
    </w:lvl>
    <w:lvl w:ilvl="4" w:tplc="140A0019" w:tentative="1">
      <w:start w:val="1"/>
      <w:numFmt w:val="lowerLetter"/>
      <w:lvlText w:val="%5."/>
      <w:lvlJc w:val="left"/>
      <w:pPr>
        <w:ind w:left="5287" w:hanging="360"/>
      </w:pPr>
    </w:lvl>
    <w:lvl w:ilvl="5" w:tplc="140A001B" w:tentative="1">
      <w:start w:val="1"/>
      <w:numFmt w:val="lowerRoman"/>
      <w:lvlText w:val="%6."/>
      <w:lvlJc w:val="right"/>
      <w:pPr>
        <w:ind w:left="6007" w:hanging="180"/>
      </w:pPr>
    </w:lvl>
    <w:lvl w:ilvl="6" w:tplc="140A000F" w:tentative="1">
      <w:start w:val="1"/>
      <w:numFmt w:val="decimal"/>
      <w:lvlText w:val="%7."/>
      <w:lvlJc w:val="left"/>
      <w:pPr>
        <w:ind w:left="6727" w:hanging="360"/>
      </w:pPr>
    </w:lvl>
    <w:lvl w:ilvl="7" w:tplc="140A0019" w:tentative="1">
      <w:start w:val="1"/>
      <w:numFmt w:val="lowerLetter"/>
      <w:lvlText w:val="%8."/>
      <w:lvlJc w:val="left"/>
      <w:pPr>
        <w:ind w:left="7447" w:hanging="360"/>
      </w:pPr>
    </w:lvl>
    <w:lvl w:ilvl="8" w:tplc="140A001B" w:tentative="1">
      <w:start w:val="1"/>
      <w:numFmt w:val="lowerRoman"/>
      <w:lvlText w:val="%9."/>
      <w:lvlJc w:val="right"/>
      <w:pPr>
        <w:ind w:left="8167" w:hanging="180"/>
      </w:pPr>
    </w:lvl>
  </w:abstractNum>
  <w:abstractNum w:abstractNumId="7">
    <w:nsid w:val="36807B10"/>
    <w:multiLevelType w:val="hybridMultilevel"/>
    <w:tmpl w:val="1A98B54A"/>
    <w:lvl w:ilvl="0" w:tplc="9FA4F6D6">
      <w:start w:val="2"/>
      <w:numFmt w:val="lowerLetter"/>
      <w:lvlText w:val="%1)"/>
      <w:lvlJc w:val="left"/>
      <w:pPr>
        <w:ind w:left="2345" w:hanging="360"/>
      </w:pPr>
      <w:rPr>
        <w:rFonts w:hint="default"/>
      </w:rPr>
    </w:lvl>
    <w:lvl w:ilvl="1" w:tplc="140A0019" w:tentative="1">
      <w:start w:val="1"/>
      <w:numFmt w:val="lowerLetter"/>
      <w:lvlText w:val="%2."/>
      <w:lvlJc w:val="left"/>
      <w:pPr>
        <w:ind w:left="3065" w:hanging="360"/>
      </w:pPr>
    </w:lvl>
    <w:lvl w:ilvl="2" w:tplc="140A001B" w:tentative="1">
      <w:start w:val="1"/>
      <w:numFmt w:val="lowerRoman"/>
      <w:lvlText w:val="%3."/>
      <w:lvlJc w:val="right"/>
      <w:pPr>
        <w:ind w:left="3785" w:hanging="180"/>
      </w:pPr>
    </w:lvl>
    <w:lvl w:ilvl="3" w:tplc="140A000F" w:tentative="1">
      <w:start w:val="1"/>
      <w:numFmt w:val="decimal"/>
      <w:lvlText w:val="%4."/>
      <w:lvlJc w:val="left"/>
      <w:pPr>
        <w:ind w:left="4505" w:hanging="360"/>
      </w:pPr>
    </w:lvl>
    <w:lvl w:ilvl="4" w:tplc="140A0019" w:tentative="1">
      <w:start w:val="1"/>
      <w:numFmt w:val="lowerLetter"/>
      <w:lvlText w:val="%5."/>
      <w:lvlJc w:val="left"/>
      <w:pPr>
        <w:ind w:left="5225" w:hanging="360"/>
      </w:pPr>
    </w:lvl>
    <w:lvl w:ilvl="5" w:tplc="140A001B" w:tentative="1">
      <w:start w:val="1"/>
      <w:numFmt w:val="lowerRoman"/>
      <w:lvlText w:val="%6."/>
      <w:lvlJc w:val="right"/>
      <w:pPr>
        <w:ind w:left="5945" w:hanging="180"/>
      </w:pPr>
    </w:lvl>
    <w:lvl w:ilvl="6" w:tplc="140A000F" w:tentative="1">
      <w:start w:val="1"/>
      <w:numFmt w:val="decimal"/>
      <w:lvlText w:val="%7."/>
      <w:lvlJc w:val="left"/>
      <w:pPr>
        <w:ind w:left="6665" w:hanging="360"/>
      </w:pPr>
    </w:lvl>
    <w:lvl w:ilvl="7" w:tplc="140A0019" w:tentative="1">
      <w:start w:val="1"/>
      <w:numFmt w:val="lowerLetter"/>
      <w:lvlText w:val="%8."/>
      <w:lvlJc w:val="left"/>
      <w:pPr>
        <w:ind w:left="7385" w:hanging="360"/>
      </w:pPr>
    </w:lvl>
    <w:lvl w:ilvl="8" w:tplc="140A001B" w:tentative="1">
      <w:start w:val="1"/>
      <w:numFmt w:val="lowerRoman"/>
      <w:lvlText w:val="%9."/>
      <w:lvlJc w:val="right"/>
      <w:pPr>
        <w:ind w:left="8105" w:hanging="180"/>
      </w:pPr>
    </w:lvl>
  </w:abstractNum>
  <w:abstractNum w:abstractNumId="8">
    <w:nsid w:val="3AA17D5B"/>
    <w:multiLevelType w:val="hybridMultilevel"/>
    <w:tmpl w:val="EA58FA22"/>
    <w:lvl w:ilvl="0" w:tplc="7F4CEE40">
      <w:start w:val="1"/>
      <w:numFmt w:val="lowerLetter"/>
      <w:lvlText w:val="%1)"/>
      <w:lvlJc w:val="left"/>
      <w:pPr>
        <w:ind w:left="1776" w:hanging="360"/>
      </w:pPr>
      <w:rPr>
        <w:rFonts w:hint="default"/>
        <w:i/>
      </w:r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9">
    <w:nsid w:val="436C4FDE"/>
    <w:multiLevelType w:val="hybridMultilevel"/>
    <w:tmpl w:val="EA58FA22"/>
    <w:lvl w:ilvl="0" w:tplc="7F4CEE40">
      <w:start w:val="1"/>
      <w:numFmt w:val="lowerLetter"/>
      <w:lvlText w:val="%1)"/>
      <w:lvlJc w:val="left"/>
      <w:pPr>
        <w:ind w:left="1776" w:hanging="360"/>
      </w:pPr>
      <w:rPr>
        <w:rFonts w:hint="default"/>
        <w:i/>
      </w:r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10">
    <w:nsid w:val="4AFB3AB1"/>
    <w:multiLevelType w:val="hybridMultilevel"/>
    <w:tmpl w:val="EA58FA22"/>
    <w:lvl w:ilvl="0" w:tplc="7F4CEE40">
      <w:start w:val="1"/>
      <w:numFmt w:val="lowerLetter"/>
      <w:lvlText w:val="%1)"/>
      <w:lvlJc w:val="left"/>
      <w:pPr>
        <w:ind w:left="720" w:hanging="360"/>
      </w:pPr>
      <w:rPr>
        <w:rFonts w:hint="default"/>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4C5469CD"/>
    <w:multiLevelType w:val="hybridMultilevel"/>
    <w:tmpl w:val="672EBDF8"/>
    <w:lvl w:ilvl="0" w:tplc="264CB88E">
      <w:start w:val="1"/>
      <w:numFmt w:val="decimal"/>
      <w:lvlText w:val="%1."/>
      <w:lvlJc w:val="left"/>
      <w:pPr>
        <w:ind w:left="720" w:hanging="360"/>
      </w:pPr>
      <w:rPr>
        <w:rFonts w:ascii="Verdana" w:eastAsia="Calibri" w:hAnsi="Verdana" w:cs="Times New Roman" w:hint="default"/>
        <w:b w:val="0"/>
        <w:i w:val="0"/>
        <w:strike w:val="0"/>
        <w:color w:val="auto"/>
        <w:sz w:val="20"/>
        <w:szCs w:val="20"/>
      </w:rPr>
    </w:lvl>
    <w:lvl w:ilvl="1" w:tplc="63A88060">
      <w:start w:val="1"/>
      <w:numFmt w:val="lowerLetter"/>
      <w:pStyle w:val="Estilo4"/>
      <w:lvlText w:val="%2)"/>
      <w:lvlJc w:val="left"/>
      <w:pPr>
        <w:ind w:left="1440" w:hanging="360"/>
      </w:pPr>
      <w:rPr>
        <w:rFonts w:ascii="Verdana" w:hAnsi="Verdana" w:cs="Times New Roman" w:hint="default"/>
        <w:b/>
        <w:i/>
        <w:caps w:val="0"/>
        <w:strike w:val="0"/>
        <w:dstrike w:val="0"/>
        <w:vanish w:val="0"/>
        <w:color w:val="auto"/>
        <w:sz w:val="20"/>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3D671D"/>
    <w:multiLevelType w:val="hybridMultilevel"/>
    <w:tmpl w:val="7D22E24E"/>
    <w:lvl w:ilvl="0" w:tplc="140A0015">
      <w:start w:val="1"/>
      <w:numFmt w:val="upperLetter"/>
      <w:lvlText w:val="%1."/>
      <w:lvlJc w:val="left"/>
      <w:pPr>
        <w:ind w:left="1288" w:hanging="360"/>
      </w:pPr>
    </w:lvl>
    <w:lvl w:ilvl="1" w:tplc="140A0019">
      <w:start w:val="1"/>
      <w:numFmt w:val="lowerLetter"/>
      <w:lvlText w:val="%2."/>
      <w:lvlJc w:val="left"/>
      <w:pPr>
        <w:ind w:left="2008" w:hanging="360"/>
      </w:pPr>
    </w:lvl>
    <w:lvl w:ilvl="2" w:tplc="140A001B" w:tentative="1">
      <w:start w:val="1"/>
      <w:numFmt w:val="lowerRoman"/>
      <w:lvlText w:val="%3."/>
      <w:lvlJc w:val="right"/>
      <w:pPr>
        <w:ind w:left="2728" w:hanging="180"/>
      </w:pPr>
    </w:lvl>
    <w:lvl w:ilvl="3" w:tplc="140A000F" w:tentative="1">
      <w:start w:val="1"/>
      <w:numFmt w:val="decimal"/>
      <w:lvlText w:val="%4."/>
      <w:lvlJc w:val="left"/>
      <w:pPr>
        <w:ind w:left="3448" w:hanging="360"/>
      </w:pPr>
    </w:lvl>
    <w:lvl w:ilvl="4" w:tplc="140A0019" w:tentative="1">
      <w:start w:val="1"/>
      <w:numFmt w:val="lowerLetter"/>
      <w:lvlText w:val="%5."/>
      <w:lvlJc w:val="left"/>
      <w:pPr>
        <w:ind w:left="4168" w:hanging="360"/>
      </w:pPr>
    </w:lvl>
    <w:lvl w:ilvl="5" w:tplc="140A001B" w:tentative="1">
      <w:start w:val="1"/>
      <w:numFmt w:val="lowerRoman"/>
      <w:lvlText w:val="%6."/>
      <w:lvlJc w:val="right"/>
      <w:pPr>
        <w:ind w:left="4888" w:hanging="180"/>
      </w:pPr>
    </w:lvl>
    <w:lvl w:ilvl="6" w:tplc="140A000F" w:tentative="1">
      <w:start w:val="1"/>
      <w:numFmt w:val="decimal"/>
      <w:lvlText w:val="%7."/>
      <w:lvlJc w:val="left"/>
      <w:pPr>
        <w:ind w:left="5608" w:hanging="360"/>
      </w:pPr>
    </w:lvl>
    <w:lvl w:ilvl="7" w:tplc="140A0019" w:tentative="1">
      <w:start w:val="1"/>
      <w:numFmt w:val="lowerLetter"/>
      <w:lvlText w:val="%8."/>
      <w:lvlJc w:val="left"/>
      <w:pPr>
        <w:ind w:left="6328" w:hanging="360"/>
      </w:pPr>
    </w:lvl>
    <w:lvl w:ilvl="8" w:tplc="140A001B" w:tentative="1">
      <w:start w:val="1"/>
      <w:numFmt w:val="lowerRoman"/>
      <w:lvlText w:val="%9."/>
      <w:lvlJc w:val="right"/>
      <w:pPr>
        <w:ind w:left="7048" w:hanging="180"/>
      </w:pPr>
    </w:lvl>
  </w:abstractNum>
  <w:abstractNum w:abstractNumId="13">
    <w:nsid w:val="53E06E32"/>
    <w:multiLevelType w:val="hybridMultilevel"/>
    <w:tmpl w:val="178EEAA6"/>
    <w:lvl w:ilvl="0" w:tplc="47AABC80">
      <w:start w:val="1"/>
      <w:numFmt w:val="decimal"/>
      <w:lvlText w:val="%1."/>
      <w:lvlJc w:val="left"/>
      <w:pPr>
        <w:tabs>
          <w:tab w:val="num" w:pos="5057"/>
        </w:tabs>
      </w:pPr>
      <w:rPr>
        <w:rFonts w:ascii="Verdana" w:eastAsia="Times New Roman" w:hAnsi="Verdana" w:cs="Times New Roman" w:hint="default"/>
        <w:b w:val="0"/>
        <w:i w:val="0"/>
        <w:strike w:val="0"/>
        <w:color w:val="auto"/>
        <w:sz w:val="20"/>
        <w:lang w:val="es-CR"/>
      </w:rPr>
    </w:lvl>
    <w:lvl w:ilvl="1" w:tplc="91ECB87E">
      <w:start w:val="1"/>
      <w:numFmt w:val="lowerLetter"/>
      <w:lvlText w:val="%2)"/>
      <w:lvlJc w:val="left"/>
      <w:pPr>
        <w:tabs>
          <w:tab w:val="num" w:pos="1080"/>
        </w:tabs>
        <w:ind w:left="1080" w:hanging="360"/>
      </w:pPr>
      <w:rPr>
        <w:rFonts w:cs="Times New Roman" w:hint="default"/>
        <w:b w:val="0"/>
        <w:i w:val="0"/>
        <w:sz w:val="20"/>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14">
    <w:nsid w:val="56164B7C"/>
    <w:multiLevelType w:val="hybridMultilevel"/>
    <w:tmpl w:val="8CC26DFC"/>
    <w:lvl w:ilvl="0" w:tplc="CF9AFCBE">
      <w:start w:val="1"/>
      <w:numFmt w:val="lowerLetter"/>
      <w:lvlText w:val="%1)"/>
      <w:lvlJc w:val="left"/>
      <w:pPr>
        <w:ind w:left="818" w:hanging="360"/>
      </w:pPr>
      <w:rPr>
        <w:color w:val="auto"/>
      </w:rPr>
    </w:lvl>
    <w:lvl w:ilvl="1" w:tplc="140A0019">
      <w:start w:val="1"/>
      <w:numFmt w:val="lowerLetter"/>
      <w:lvlText w:val="%2."/>
      <w:lvlJc w:val="left"/>
      <w:pPr>
        <w:ind w:left="1538" w:hanging="360"/>
      </w:pPr>
    </w:lvl>
    <w:lvl w:ilvl="2" w:tplc="140A001B">
      <w:start w:val="1"/>
      <w:numFmt w:val="lowerRoman"/>
      <w:lvlText w:val="%3."/>
      <w:lvlJc w:val="right"/>
      <w:pPr>
        <w:ind w:left="2258" w:hanging="180"/>
      </w:pPr>
    </w:lvl>
    <w:lvl w:ilvl="3" w:tplc="140A000F">
      <w:start w:val="1"/>
      <w:numFmt w:val="decimal"/>
      <w:lvlText w:val="%4."/>
      <w:lvlJc w:val="left"/>
      <w:pPr>
        <w:ind w:left="2978" w:hanging="360"/>
      </w:pPr>
    </w:lvl>
    <w:lvl w:ilvl="4" w:tplc="140A0019">
      <w:start w:val="1"/>
      <w:numFmt w:val="lowerLetter"/>
      <w:lvlText w:val="%5."/>
      <w:lvlJc w:val="left"/>
      <w:pPr>
        <w:ind w:left="3698" w:hanging="360"/>
      </w:pPr>
    </w:lvl>
    <w:lvl w:ilvl="5" w:tplc="140A001B">
      <w:start w:val="1"/>
      <w:numFmt w:val="lowerRoman"/>
      <w:lvlText w:val="%6."/>
      <w:lvlJc w:val="right"/>
      <w:pPr>
        <w:ind w:left="4418" w:hanging="180"/>
      </w:pPr>
    </w:lvl>
    <w:lvl w:ilvl="6" w:tplc="140A000F">
      <w:start w:val="1"/>
      <w:numFmt w:val="decimal"/>
      <w:lvlText w:val="%7."/>
      <w:lvlJc w:val="left"/>
      <w:pPr>
        <w:ind w:left="5138" w:hanging="360"/>
      </w:pPr>
    </w:lvl>
    <w:lvl w:ilvl="7" w:tplc="140A0019">
      <w:start w:val="1"/>
      <w:numFmt w:val="lowerLetter"/>
      <w:lvlText w:val="%8."/>
      <w:lvlJc w:val="left"/>
      <w:pPr>
        <w:ind w:left="5858" w:hanging="360"/>
      </w:pPr>
    </w:lvl>
    <w:lvl w:ilvl="8" w:tplc="140A001B">
      <w:start w:val="1"/>
      <w:numFmt w:val="lowerRoman"/>
      <w:lvlText w:val="%9."/>
      <w:lvlJc w:val="right"/>
      <w:pPr>
        <w:ind w:left="6578" w:hanging="180"/>
      </w:pPr>
    </w:lvl>
  </w:abstractNum>
  <w:abstractNum w:abstractNumId="15">
    <w:nsid w:val="5C9E584E"/>
    <w:multiLevelType w:val="hybridMultilevel"/>
    <w:tmpl w:val="AD16940A"/>
    <w:lvl w:ilvl="0" w:tplc="140A0015">
      <w:start w:val="1"/>
      <w:numFmt w:val="upperLetter"/>
      <w:lvlText w:val="%1."/>
      <w:lvlJc w:val="left"/>
      <w:pPr>
        <w:ind w:left="1288" w:hanging="360"/>
      </w:pPr>
    </w:lvl>
    <w:lvl w:ilvl="1" w:tplc="140A0019">
      <w:start w:val="1"/>
      <w:numFmt w:val="lowerLetter"/>
      <w:lvlText w:val="%2."/>
      <w:lvlJc w:val="left"/>
      <w:pPr>
        <w:ind w:left="2008" w:hanging="360"/>
      </w:pPr>
    </w:lvl>
    <w:lvl w:ilvl="2" w:tplc="140A001B" w:tentative="1">
      <w:start w:val="1"/>
      <w:numFmt w:val="lowerRoman"/>
      <w:lvlText w:val="%3."/>
      <w:lvlJc w:val="right"/>
      <w:pPr>
        <w:ind w:left="2728" w:hanging="180"/>
      </w:pPr>
    </w:lvl>
    <w:lvl w:ilvl="3" w:tplc="140A000F" w:tentative="1">
      <w:start w:val="1"/>
      <w:numFmt w:val="decimal"/>
      <w:lvlText w:val="%4."/>
      <w:lvlJc w:val="left"/>
      <w:pPr>
        <w:ind w:left="3448" w:hanging="360"/>
      </w:pPr>
    </w:lvl>
    <w:lvl w:ilvl="4" w:tplc="140A0019" w:tentative="1">
      <w:start w:val="1"/>
      <w:numFmt w:val="lowerLetter"/>
      <w:lvlText w:val="%5."/>
      <w:lvlJc w:val="left"/>
      <w:pPr>
        <w:ind w:left="4168" w:hanging="360"/>
      </w:pPr>
    </w:lvl>
    <w:lvl w:ilvl="5" w:tplc="140A001B" w:tentative="1">
      <w:start w:val="1"/>
      <w:numFmt w:val="lowerRoman"/>
      <w:lvlText w:val="%6."/>
      <w:lvlJc w:val="right"/>
      <w:pPr>
        <w:ind w:left="4888" w:hanging="180"/>
      </w:pPr>
    </w:lvl>
    <w:lvl w:ilvl="6" w:tplc="140A000F" w:tentative="1">
      <w:start w:val="1"/>
      <w:numFmt w:val="decimal"/>
      <w:lvlText w:val="%7."/>
      <w:lvlJc w:val="left"/>
      <w:pPr>
        <w:ind w:left="5608" w:hanging="360"/>
      </w:pPr>
    </w:lvl>
    <w:lvl w:ilvl="7" w:tplc="140A0019" w:tentative="1">
      <w:start w:val="1"/>
      <w:numFmt w:val="lowerLetter"/>
      <w:lvlText w:val="%8."/>
      <w:lvlJc w:val="left"/>
      <w:pPr>
        <w:ind w:left="6328" w:hanging="360"/>
      </w:pPr>
    </w:lvl>
    <w:lvl w:ilvl="8" w:tplc="140A001B" w:tentative="1">
      <w:start w:val="1"/>
      <w:numFmt w:val="lowerRoman"/>
      <w:lvlText w:val="%9."/>
      <w:lvlJc w:val="right"/>
      <w:pPr>
        <w:ind w:left="7048" w:hanging="180"/>
      </w:pPr>
    </w:lvl>
  </w:abstractNum>
  <w:abstractNum w:abstractNumId="16">
    <w:nsid w:val="70401C77"/>
    <w:multiLevelType w:val="hybridMultilevel"/>
    <w:tmpl w:val="855EF884"/>
    <w:lvl w:ilvl="0" w:tplc="140A0019">
      <w:start w:val="1"/>
      <w:numFmt w:val="lowerLetter"/>
      <w:lvlText w:val="%1."/>
      <w:lvlJc w:val="left"/>
      <w:pPr>
        <w:ind w:left="1900" w:hanging="360"/>
      </w:pPr>
    </w:lvl>
    <w:lvl w:ilvl="1" w:tplc="140A0019" w:tentative="1">
      <w:start w:val="1"/>
      <w:numFmt w:val="lowerLetter"/>
      <w:lvlText w:val="%2."/>
      <w:lvlJc w:val="left"/>
      <w:pPr>
        <w:ind w:left="2620" w:hanging="360"/>
      </w:pPr>
    </w:lvl>
    <w:lvl w:ilvl="2" w:tplc="140A001B" w:tentative="1">
      <w:start w:val="1"/>
      <w:numFmt w:val="lowerRoman"/>
      <w:lvlText w:val="%3."/>
      <w:lvlJc w:val="right"/>
      <w:pPr>
        <w:ind w:left="3340" w:hanging="180"/>
      </w:pPr>
    </w:lvl>
    <w:lvl w:ilvl="3" w:tplc="140A000F" w:tentative="1">
      <w:start w:val="1"/>
      <w:numFmt w:val="decimal"/>
      <w:lvlText w:val="%4."/>
      <w:lvlJc w:val="left"/>
      <w:pPr>
        <w:ind w:left="4060" w:hanging="360"/>
      </w:pPr>
    </w:lvl>
    <w:lvl w:ilvl="4" w:tplc="140A0019" w:tentative="1">
      <w:start w:val="1"/>
      <w:numFmt w:val="lowerLetter"/>
      <w:lvlText w:val="%5."/>
      <w:lvlJc w:val="left"/>
      <w:pPr>
        <w:ind w:left="4780" w:hanging="360"/>
      </w:pPr>
    </w:lvl>
    <w:lvl w:ilvl="5" w:tplc="140A001B" w:tentative="1">
      <w:start w:val="1"/>
      <w:numFmt w:val="lowerRoman"/>
      <w:lvlText w:val="%6."/>
      <w:lvlJc w:val="right"/>
      <w:pPr>
        <w:ind w:left="5500" w:hanging="180"/>
      </w:pPr>
    </w:lvl>
    <w:lvl w:ilvl="6" w:tplc="140A000F" w:tentative="1">
      <w:start w:val="1"/>
      <w:numFmt w:val="decimal"/>
      <w:lvlText w:val="%7."/>
      <w:lvlJc w:val="left"/>
      <w:pPr>
        <w:ind w:left="6220" w:hanging="360"/>
      </w:pPr>
    </w:lvl>
    <w:lvl w:ilvl="7" w:tplc="140A0019" w:tentative="1">
      <w:start w:val="1"/>
      <w:numFmt w:val="lowerLetter"/>
      <w:lvlText w:val="%8."/>
      <w:lvlJc w:val="left"/>
      <w:pPr>
        <w:ind w:left="6940" w:hanging="360"/>
      </w:pPr>
    </w:lvl>
    <w:lvl w:ilvl="8" w:tplc="140A001B" w:tentative="1">
      <w:start w:val="1"/>
      <w:numFmt w:val="lowerRoman"/>
      <w:lvlText w:val="%9."/>
      <w:lvlJc w:val="right"/>
      <w:pPr>
        <w:ind w:left="7660" w:hanging="180"/>
      </w:pPr>
    </w:lvl>
  </w:abstractNum>
  <w:abstractNum w:abstractNumId="17">
    <w:nsid w:val="705A6F5C"/>
    <w:multiLevelType w:val="hybridMultilevel"/>
    <w:tmpl w:val="554EE8C4"/>
    <w:lvl w:ilvl="0" w:tplc="6722D962">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AR"/>
      </w:rPr>
    </w:lvl>
    <w:lvl w:ilvl="1" w:tplc="5C6C0158">
      <w:start w:val="7"/>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53E0A1F"/>
    <w:multiLevelType w:val="hybridMultilevel"/>
    <w:tmpl w:val="DED899E2"/>
    <w:lvl w:ilvl="0" w:tplc="222E845A">
      <w:start w:val="1"/>
      <w:numFmt w:val="lowerLetter"/>
      <w:lvlText w:val="%1)"/>
      <w:lvlJc w:val="left"/>
      <w:pPr>
        <w:ind w:left="2345" w:hanging="360"/>
      </w:pPr>
      <w:rPr>
        <w:rFonts w:hint="default"/>
      </w:rPr>
    </w:lvl>
    <w:lvl w:ilvl="1" w:tplc="140A0019" w:tentative="1">
      <w:start w:val="1"/>
      <w:numFmt w:val="lowerLetter"/>
      <w:lvlText w:val="%2."/>
      <w:lvlJc w:val="left"/>
      <w:pPr>
        <w:ind w:left="3065" w:hanging="360"/>
      </w:pPr>
    </w:lvl>
    <w:lvl w:ilvl="2" w:tplc="140A001B" w:tentative="1">
      <w:start w:val="1"/>
      <w:numFmt w:val="lowerRoman"/>
      <w:lvlText w:val="%3."/>
      <w:lvlJc w:val="right"/>
      <w:pPr>
        <w:ind w:left="3785" w:hanging="180"/>
      </w:pPr>
    </w:lvl>
    <w:lvl w:ilvl="3" w:tplc="140A000F" w:tentative="1">
      <w:start w:val="1"/>
      <w:numFmt w:val="decimal"/>
      <w:lvlText w:val="%4."/>
      <w:lvlJc w:val="left"/>
      <w:pPr>
        <w:ind w:left="4505" w:hanging="360"/>
      </w:pPr>
    </w:lvl>
    <w:lvl w:ilvl="4" w:tplc="140A0019" w:tentative="1">
      <w:start w:val="1"/>
      <w:numFmt w:val="lowerLetter"/>
      <w:lvlText w:val="%5."/>
      <w:lvlJc w:val="left"/>
      <w:pPr>
        <w:ind w:left="5225" w:hanging="360"/>
      </w:pPr>
    </w:lvl>
    <w:lvl w:ilvl="5" w:tplc="140A001B" w:tentative="1">
      <w:start w:val="1"/>
      <w:numFmt w:val="lowerRoman"/>
      <w:lvlText w:val="%6."/>
      <w:lvlJc w:val="right"/>
      <w:pPr>
        <w:ind w:left="5945" w:hanging="180"/>
      </w:pPr>
    </w:lvl>
    <w:lvl w:ilvl="6" w:tplc="140A000F" w:tentative="1">
      <w:start w:val="1"/>
      <w:numFmt w:val="decimal"/>
      <w:lvlText w:val="%7."/>
      <w:lvlJc w:val="left"/>
      <w:pPr>
        <w:ind w:left="6665" w:hanging="360"/>
      </w:pPr>
    </w:lvl>
    <w:lvl w:ilvl="7" w:tplc="140A0019" w:tentative="1">
      <w:start w:val="1"/>
      <w:numFmt w:val="lowerLetter"/>
      <w:lvlText w:val="%8."/>
      <w:lvlJc w:val="left"/>
      <w:pPr>
        <w:ind w:left="7385" w:hanging="360"/>
      </w:pPr>
    </w:lvl>
    <w:lvl w:ilvl="8" w:tplc="140A001B" w:tentative="1">
      <w:start w:val="1"/>
      <w:numFmt w:val="lowerRoman"/>
      <w:lvlText w:val="%9."/>
      <w:lvlJc w:val="right"/>
      <w:pPr>
        <w:ind w:left="8105" w:hanging="180"/>
      </w:pPr>
    </w:lvl>
  </w:abstractNum>
  <w:abstractNum w:abstractNumId="19">
    <w:nsid w:val="75940DAC"/>
    <w:multiLevelType w:val="hybridMultilevel"/>
    <w:tmpl w:val="4784E110"/>
    <w:lvl w:ilvl="0" w:tplc="0C0A0015">
      <w:start w:val="1"/>
      <w:numFmt w:val="upp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nsid w:val="76753A80"/>
    <w:multiLevelType w:val="hybridMultilevel"/>
    <w:tmpl w:val="B9B8489E"/>
    <w:lvl w:ilvl="0" w:tplc="5126705A">
      <w:start w:val="1"/>
      <w:numFmt w:val="decimal"/>
      <w:pStyle w:val="PrrafodeSentencia"/>
      <w:lvlText w:val="%1."/>
      <w:lvlJc w:val="left"/>
      <w:pPr>
        <w:ind w:left="0" w:firstLine="0"/>
      </w:pPr>
      <w:rPr>
        <w:rFonts w:ascii="Verdana" w:hAnsi="Verdana" w:hint="default"/>
        <w:b w:val="0"/>
        <w:i w:val="0"/>
        <w:strike w:val="0"/>
        <w:color w:val="auto"/>
        <w:sz w:val="20"/>
        <w:szCs w:val="20"/>
        <w:lang w:val="es-ES"/>
      </w:rPr>
    </w:lvl>
    <w:lvl w:ilvl="1" w:tplc="2C0A0019">
      <w:start w:val="1"/>
      <w:numFmt w:val="lowerLetter"/>
      <w:lvlText w:val="%2."/>
      <w:lvlJc w:val="left"/>
      <w:pPr>
        <w:ind w:left="1298" w:hanging="360"/>
      </w:pPr>
      <w:rPr>
        <w:rFonts w:hint="default"/>
        <w:lang w:val="es-CR"/>
      </w:rPr>
    </w:lvl>
    <w:lvl w:ilvl="2" w:tplc="4202A1AC">
      <w:start w:val="1"/>
      <w:numFmt w:val="lowerRoman"/>
      <w:lvlText w:val="%3."/>
      <w:lvlJc w:val="right"/>
      <w:pPr>
        <w:ind w:left="2018" w:hanging="180"/>
      </w:pPr>
      <w:rPr>
        <w:i/>
      </w:rPr>
    </w:lvl>
    <w:lvl w:ilvl="3" w:tplc="3F0893E6" w:tentative="1">
      <w:start w:val="1"/>
      <w:numFmt w:val="decimal"/>
      <w:lvlText w:val="%4."/>
      <w:lvlJc w:val="left"/>
      <w:pPr>
        <w:ind w:left="2738" w:hanging="360"/>
      </w:pPr>
    </w:lvl>
    <w:lvl w:ilvl="4" w:tplc="E7BA4BB6" w:tentative="1">
      <w:start w:val="1"/>
      <w:numFmt w:val="lowerLetter"/>
      <w:lvlText w:val="%5."/>
      <w:lvlJc w:val="left"/>
      <w:pPr>
        <w:ind w:left="3458" w:hanging="360"/>
      </w:pPr>
    </w:lvl>
    <w:lvl w:ilvl="5" w:tplc="2C0A001B" w:tentative="1">
      <w:start w:val="1"/>
      <w:numFmt w:val="lowerRoman"/>
      <w:lvlText w:val="%6."/>
      <w:lvlJc w:val="right"/>
      <w:pPr>
        <w:ind w:left="4178" w:hanging="180"/>
      </w:p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21">
    <w:nsid w:val="79354707"/>
    <w:multiLevelType w:val="hybridMultilevel"/>
    <w:tmpl w:val="B90EDDB8"/>
    <w:lvl w:ilvl="0" w:tplc="985C757E">
      <w:start w:val="1"/>
      <w:numFmt w:val="decimal"/>
      <w:lvlText w:val="%1."/>
      <w:lvlJc w:val="left"/>
      <w:pPr>
        <w:ind w:left="825" w:hanging="825"/>
      </w:pPr>
      <w:rPr>
        <w:rFonts w:ascii="Verdana" w:eastAsia="Verdana" w:hAnsi="Verdana" w:cs="Verdana" w:hint="default"/>
        <w:b w:val="0"/>
        <w:i w:val="0"/>
        <w:color w:val="auto"/>
        <w:sz w:val="20"/>
        <w:szCs w:val="20"/>
        <w:lang w:val="es-E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20"/>
  </w:num>
  <w:num w:numId="2">
    <w:abstractNumId w:val="2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6"/>
  </w:num>
  <w:num w:numId="6">
    <w:abstractNumId w:val="10"/>
  </w:num>
  <w:num w:numId="7">
    <w:abstractNumId w:val="11"/>
  </w:num>
  <w:num w:numId="8">
    <w:abstractNumId w:val="9"/>
  </w:num>
  <w:num w:numId="9">
    <w:abstractNumId w:val="8"/>
  </w:num>
  <w:num w:numId="10">
    <w:abstractNumId w:val="17"/>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8"/>
  </w:num>
  <w:num w:numId="14">
    <w:abstractNumId w:val="2"/>
  </w:num>
  <w:num w:numId="15">
    <w:abstractNumId w:val="12"/>
  </w:num>
  <w:num w:numId="16">
    <w:abstractNumId w:val="4"/>
  </w:num>
  <w:num w:numId="17">
    <w:abstractNumId w:val="1"/>
  </w:num>
  <w:num w:numId="18">
    <w:abstractNumId w:val="5"/>
  </w:num>
  <w:num w:numId="19">
    <w:abstractNumId w:val="3"/>
  </w:num>
  <w:num w:numId="20">
    <w:abstractNumId w:val="15"/>
  </w:num>
  <w:num w:numId="21">
    <w:abstractNumId w:val="13"/>
  </w:num>
  <w:num w:numId="22">
    <w:abstractNumId w:val="0"/>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mberto Antonio Sierra Porto">
    <w15:presenceInfo w15:providerId="Windows Live" w15:userId="31274b1d1720f6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0"/>
  <w:defaultTabStop w:val="708"/>
  <w:hyphenationZone w:val="425"/>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BDD"/>
    <w:rsid w:val="00000131"/>
    <w:rsid w:val="00000433"/>
    <w:rsid w:val="0000057A"/>
    <w:rsid w:val="000005DD"/>
    <w:rsid w:val="00000AAF"/>
    <w:rsid w:val="00000AE7"/>
    <w:rsid w:val="00000D08"/>
    <w:rsid w:val="00000D64"/>
    <w:rsid w:val="000013E8"/>
    <w:rsid w:val="000014AF"/>
    <w:rsid w:val="00001866"/>
    <w:rsid w:val="0000214E"/>
    <w:rsid w:val="00004160"/>
    <w:rsid w:val="000041B7"/>
    <w:rsid w:val="0000442C"/>
    <w:rsid w:val="00004B34"/>
    <w:rsid w:val="00004B71"/>
    <w:rsid w:val="00004CCB"/>
    <w:rsid w:val="00005FB3"/>
    <w:rsid w:val="000061EB"/>
    <w:rsid w:val="00006393"/>
    <w:rsid w:val="000063E6"/>
    <w:rsid w:val="000070CB"/>
    <w:rsid w:val="00007977"/>
    <w:rsid w:val="00007D98"/>
    <w:rsid w:val="00010133"/>
    <w:rsid w:val="0001019C"/>
    <w:rsid w:val="00010CFA"/>
    <w:rsid w:val="00010DF7"/>
    <w:rsid w:val="00011543"/>
    <w:rsid w:val="0001173B"/>
    <w:rsid w:val="00011740"/>
    <w:rsid w:val="000122E9"/>
    <w:rsid w:val="000136CC"/>
    <w:rsid w:val="0001384D"/>
    <w:rsid w:val="00013978"/>
    <w:rsid w:val="00013EA6"/>
    <w:rsid w:val="00014157"/>
    <w:rsid w:val="000146B5"/>
    <w:rsid w:val="00015005"/>
    <w:rsid w:val="000155F6"/>
    <w:rsid w:val="0001567D"/>
    <w:rsid w:val="00015E21"/>
    <w:rsid w:val="00016122"/>
    <w:rsid w:val="000166E0"/>
    <w:rsid w:val="000166FA"/>
    <w:rsid w:val="00016802"/>
    <w:rsid w:val="000168F1"/>
    <w:rsid w:val="00016B6D"/>
    <w:rsid w:val="000170FA"/>
    <w:rsid w:val="0001724D"/>
    <w:rsid w:val="00017359"/>
    <w:rsid w:val="00017C10"/>
    <w:rsid w:val="00020289"/>
    <w:rsid w:val="0002059B"/>
    <w:rsid w:val="00020A9A"/>
    <w:rsid w:val="00020D1F"/>
    <w:rsid w:val="000212D3"/>
    <w:rsid w:val="0002158D"/>
    <w:rsid w:val="000219C5"/>
    <w:rsid w:val="00021BE1"/>
    <w:rsid w:val="00022778"/>
    <w:rsid w:val="00022FA6"/>
    <w:rsid w:val="00023643"/>
    <w:rsid w:val="00024BCC"/>
    <w:rsid w:val="00024EFF"/>
    <w:rsid w:val="00025E57"/>
    <w:rsid w:val="000260AB"/>
    <w:rsid w:val="000272DF"/>
    <w:rsid w:val="000275B4"/>
    <w:rsid w:val="000277A2"/>
    <w:rsid w:val="000279A8"/>
    <w:rsid w:val="000304E8"/>
    <w:rsid w:val="00030828"/>
    <w:rsid w:val="0003095B"/>
    <w:rsid w:val="00030D94"/>
    <w:rsid w:val="00030E2E"/>
    <w:rsid w:val="00030FED"/>
    <w:rsid w:val="0003134B"/>
    <w:rsid w:val="00031598"/>
    <w:rsid w:val="000315FE"/>
    <w:rsid w:val="0003189C"/>
    <w:rsid w:val="00031D84"/>
    <w:rsid w:val="0003264F"/>
    <w:rsid w:val="0003268B"/>
    <w:rsid w:val="00032981"/>
    <w:rsid w:val="00032C84"/>
    <w:rsid w:val="00032E2F"/>
    <w:rsid w:val="00032E6D"/>
    <w:rsid w:val="000334E9"/>
    <w:rsid w:val="00033525"/>
    <w:rsid w:val="000339A2"/>
    <w:rsid w:val="00033CEC"/>
    <w:rsid w:val="0003463B"/>
    <w:rsid w:val="00034C26"/>
    <w:rsid w:val="0003552A"/>
    <w:rsid w:val="000360B5"/>
    <w:rsid w:val="000366AC"/>
    <w:rsid w:val="00036D73"/>
    <w:rsid w:val="0003709D"/>
    <w:rsid w:val="00037335"/>
    <w:rsid w:val="00037447"/>
    <w:rsid w:val="00037611"/>
    <w:rsid w:val="000377EA"/>
    <w:rsid w:val="00037A15"/>
    <w:rsid w:val="000406A3"/>
    <w:rsid w:val="00040BA7"/>
    <w:rsid w:val="00040CBD"/>
    <w:rsid w:val="000412C5"/>
    <w:rsid w:val="000415F8"/>
    <w:rsid w:val="00041DDB"/>
    <w:rsid w:val="000423C6"/>
    <w:rsid w:val="00042C39"/>
    <w:rsid w:val="00042D8A"/>
    <w:rsid w:val="000432BF"/>
    <w:rsid w:val="000435D5"/>
    <w:rsid w:val="00043B83"/>
    <w:rsid w:val="00043EAF"/>
    <w:rsid w:val="00044325"/>
    <w:rsid w:val="00044A68"/>
    <w:rsid w:val="00045958"/>
    <w:rsid w:val="00047615"/>
    <w:rsid w:val="0004781C"/>
    <w:rsid w:val="00047A3B"/>
    <w:rsid w:val="00047EC8"/>
    <w:rsid w:val="0005049A"/>
    <w:rsid w:val="00050C17"/>
    <w:rsid w:val="0005131A"/>
    <w:rsid w:val="00051707"/>
    <w:rsid w:val="00051985"/>
    <w:rsid w:val="00051EC4"/>
    <w:rsid w:val="00051F3F"/>
    <w:rsid w:val="00051F40"/>
    <w:rsid w:val="00051F81"/>
    <w:rsid w:val="000525AA"/>
    <w:rsid w:val="00053076"/>
    <w:rsid w:val="00053399"/>
    <w:rsid w:val="00053475"/>
    <w:rsid w:val="00053B96"/>
    <w:rsid w:val="00053DEB"/>
    <w:rsid w:val="000542BC"/>
    <w:rsid w:val="0005490E"/>
    <w:rsid w:val="0005494C"/>
    <w:rsid w:val="00055993"/>
    <w:rsid w:val="0005630B"/>
    <w:rsid w:val="000563B3"/>
    <w:rsid w:val="0005710F"/>
    <w:rsid w:val="00057163"/>
    <w:rsid w:val="000572F7"/>
    <w:rsid w:val="00057D51"/>
    <w:rsid w:val="00057F48"/>
    <w:rsid w:val="0006089B"/>
    <w:rsid w:val="000608E0"/>
    <w:rsid w:val="00060FFF"/>
    <w:rsid w:val="0006181A"/>
    <w:rsid w:val="00061DF9"/>
    <w:rsid w:val="00062285"/>
    <w:rsid w:val="00063C4E"/>
    <w:rsid w:val="0006464E"/>
    <w:rsid w:val="00064713"/>
    <w:rsid w:val="000659BC"/>
    <w:rsid w:val="000669CD"/>
    <w:rsid w:val="00066D4A"/>
    <w:rsid w:val="00066F3A"/>
    <w:rsid w:val="00067E98"/>
    <w:rsid w:val="000704CD"/>
    <w:rsid w:val="00070941"/>
    <w:rsid w:val="0007139B"/>
    <w:rsid w:val="000719E6"/>
    <w:rsid w:val="00072121"/>
    <w:rsid w:val="000723CB"/>
    <w:rsid w:val="0007284F"/>
    <w:rsid w:val="000732AE"/>
    <w:rsid w:val="00073A86"/>
    <w:rsid w:val="00073ECE"/>
    <w:rsid w:val="000744BD"/>
    <w:rsid w:val="00074874"/>
    <w:rsid w:val="00074DBF"/>
    <w:rsid w:val="00074F7C"/>
    <w:rsid w:val="0007552A"/>
    <w:rsid w:val="00075585"/>
    <w:rsid w:val="0007586C"/>
    <w:rsid w:val="00075931"/>
    <w:rsid w:val="00075B12"/>
    <w:rsid w:val="00077564"/>
    <w:rsid w:val="000775B9"/>
    <w:rsid w:val="000779A3"/>
    <w:rsid w:val="00077C7F"/>
    <w:rsid w:val="00080CCE"/>
    <w:rsid w:val="0008155F"/>
    <w:rsid w:val="00081AC2"/>
    <w:rsid w:val="00082225"/>
    <w:rsid w:val="00082283"/>
    <w:rsid w:val="00082A67"/>
    <w:rsid w:val="00082AC3"/>
    <w:rsid w:val="00084D8C"/>
    <w:rsid w:val="000852DF"/>
    <w:rsid w:val="00085704"/>
    <w:rsid w:val="00085AC8"/>
    <w:rsid w:val="00085BDD"/>
    <w:rsid w:val="00085C23"/>
    <w:rsid w:val="00085FE6"/>
    <w:rsid w:val="00086920"/>
    <w:rsid w:val="00086B49"/>
    <w:rsid w:val="00086C46"/>
    <w:rsid w:val="00086DFF"/>
    <w:rsid w:val="00086E9E"/>
    <w:rsid w:val="000875F9"/>
    <w:rsid w:val="00087D96"/>
    <w:rsid w:val="0009078C"/>
    <w:rsid w:val="00090A46"/>
    <w:rsid w:val="00091890"/>
    <w:rsid w:val="000920E9"/>
    <w:rsid w:val="000926F7"/>
    <w:rsid w:val="000932A6"/>
    <w:rsid w:val="000937EB"/>
    <w:rsid w:val="00094584"/>
    <w:rsid w:val="0009464E"/>
    <w:rsid w:val="0009524D"/>
    <w:rsid w:val="00097021"/>
    <w:rsid w:val="000977B9"/>
    <w:rsid w:val="000A0FE8"/>
    <w:rsid w:val="000A0FEB"/>
    <w:rsid w:val="000A1265"/>
    <w:rsid w:val="000A19C2"/>
    <w:rsid w:val="000A1BFB"/>
    <w:rsid w:val="000A1D79"/>
    <w:rsid w:val="000A257A"/>
    <w:rsid w:val="000A29A8"/>
    <w:rsid w:val="000A30A9"/>
    <w:rsid w:val="000A3356"/>
    <w:rsid w:val="000A373E"/>
    <w:rsid w:val="000A3F33"/>
    <w:rsid w:val="000A4675"/>
    <w:rsid w:val="000A4835"/>
    <w:rsid w:val="000A4962"/>
    <w:rsid w:val="000A5483"/>
    <w:rsid w:val="000A5724"/>
    <w:rsid w:val="000A5E7C"/>
    <w:rsid w:val="000A606B"/>
    <w:rsid w:val="000A6094"/>
    <w:rsid w:val="000A6BEC"/>
    <w:rsid w:val="000A6CE7"/>
    <w:rsid w:val="000A6D89"/>
    <w:rsid w:val="000A6F9C"/>
    <w:rsid w:val="000A701A"/>
    <w:rsid w:val="000A72F5"/>
    <w:rsid w:val="000A7866"/>
    <w:rsid w:val="000A7CBB"/>
    <w:rsid w:val="000B0801"/>
    <w:rsid w:val="000B08FF"/>
    <w:rsid w:val="000B12F8"/>
    <w:rsid w:val="000B18D8"/>
    <w:rsid w:val="000B1D4F"/>
    <w:rsid w:val="000B1E30"/>
    <w:rsid w:val="000B252B"/>
    <w:rsid w:val="000B2842"/>
    <w:rsid w:val="000B4230"/>
    <w:rsid w:val="000B44AC"/>
    <w:rsid w:val="000B4F6D"/>
    <w:rsid w:val="000B532D"/>
    <w:rsid w:val="000B5D06"/>
    <w:rsid w:val="000B6A6F"/>
    <w:rsid w:val="000B6B01"/>
    <w:rsid w:val="000B6C42"/>
    <w:rsid w:val="000B6E81"/>
    <w:rsid w:val="000B7358"/>
    <w:rsid w:val="000B7373"/>
    <w:rsid w:val="000B747A"/>
    <w:rsid w:val="000C03C2"/>
    <w:rsid w:val="000C0406"/>
    <w:rsid w:val="000C09FE"/>
    <w:rsid w:val="000C16AF"/>
    <w:rsid w:val="000C175D"/>
    <w:rsid w:val="000C18A8"/>
    <w:rsid w:val="000C1B19"/>
    <w:rsid w:val="000C2265"/>
    <w:rsid w:val="000C2E18"/>
    <w:rsid w:val="000C3041"/>
    <w:rsid w:val="000C3436"/>
    <w:rsid w:val="000C3DF5"/>
    <w:rsid w:val="000C44D9"/>
    <w:rsid w:val="000C47E8"/>
    <w:rsid w:val="000C4892"/>
    <w:rsid w:val="000C49C6"/>
    <w:rsid w:val="000C4D4F"/>
    <w:rsid w:val="000C506F"/>
    <w:rsid w:val="000C54B0"/>
    <w:rsid w:val="000C563D"/>
    <w:rsid w:val="000C5821"/>
    <w:rsid w:val="000C5D8A"/>
    <w:rsid w:val="000C69ED"/>
    <w:rsid w:val="000C7392"/>
    <w:rsid w:val="000C7C05"/>
    <w:rsid w:val="000D0095"/>
    <w:rsid w:val="000D080E"/>
    <w:rsid w:val="000D0AE0"/>
    <w:rsid w:val="000D11D5"/>
    <w:rsid w:val="000D1638"/>
    <w:rsid w:val="000D1BC8"/>
    <w:rsid w:val="000D1FDF"/>
    <w:rsid w:val="000D230F"/>
    <w:rsid w:val="000D25AA"/>
    <w:rsid w:val="000D264C"/>
    <w:rsid w:val="000D2734"/>
    <w:rsid w:val="000D2B4C"/>
    <w:rsid w:val="000D2D98"/>
    <w:rsid w:val="000D309F"/>
    <w:rsid w:val="000D3303"/>
    <w:rsid w:val="000D41E0"/>
    <w:rsid w:val="000D421E"/>
    <w:rsid w:val="000D437F"/>
    <w:rsid w:val="000D4F2A"/>
    <w:rsid w:val="000D4F90"/>
    <w:rsid w:val="000D5CD4"/>
    <w:rsid w:val="000D6123"/>
    <w:rsid w:val="000D65EF"/>
    <w:rsid w:val="000D6B6B"/>
    <w:rsid w:val="000D6F86"/>
    <w:rsid w:val="000D7043"/>
    <w:rsid w:val="000D7768"/>
    <w:rsid w:val="000D7883"/>
    <w:rsid w:val="000E0085"/>
    <w:rsid w:val="000E01D3"/>
    <w:rsid w:val="000E0708"/>
    <w:rsid w:val="000E0902"/>
    <w:rsid w:val="000E0C09"/>
    <w:rsid w:val="000E117B"/>
    <w:rsid w:val="000E1CAA"/>
    <w:rsid w:val="000E2289"/>
    <w:rsid w:val="000E2BEF"/>
    <w:rsid w:val="000E307E"/>
    <w:rsid w:val="000E33C8"/>
    <w:rsid w:val="000E3E31"/>
    <w:rsid w:val="000E434E"/>
    <w:rsid w:val="000E47C8"/>
    <w:rsid w:val="000E4E75"/>
    <w:rsid w:val="000E53C9"/>
    <w:rsid w:val="000E53DE"/>
    <w:rsid w:val="000E56BB"/>
    <w:rsid w:val="000E59A9"/>
    <w:rsid w:val="000E65EE"/>
    <w:rsid w:val="000E6B1F"/>
    <w:rsid w:val="000E6E63"/>
    <w:rsid w:val="000E73D9"/>
    <w:rsid w:val="000E7866"/>
    <w:rsid w:val="000E78C6"/>
    <w:rsid w:val="000E7C80"/>
    <w:rsid w:val="000E7ECB"/>
    <w:rsid w:val="000F072D"/>
    <w:rsid w:val="000F093D"/>
    <w:rsid w:val="000F0D61"/>
    <w:rsid w:val="000F14B8"/>
    <w:rsid w:val="000F1648"/>
    <w:rsid w:val="000F1755"/>
    <w:rsid w:val="000F2206"/>
    <w:rsid w:val="000F2375"/>
    <w:rsid w:val="000F26A4"/>
    <w:rsid w:val="000F278F"/>
    <w:rsid w:val="000F2AAB"/>
    <w:rsid w:val="000F2E4C"/>
    <w:rsid w:val="000F3296"/>
    <w:rsid w:val="000F35F9"/>
    <w:rsid w:val="000F37C9"/>
    <w:rsid w:val="000F44C5"/>
    <w:rsid w:val="000F57E3"/>
    <w:rsid w:val="000F5ADD"/>
    <w:rsid w:val="000F5B29"/>
    <w:rsid w:val="000F6179"/>
    <w:rsid w:val="000F62F7"/>
    <w:rsid w:val="000F697D"/>
    <w:rsid w:val="000F6B73"/>
    <w:rsid w:val="000F6BA6"/>
    <w:rsid w:val="000F7278"/>
    <w:rsid w:val="000F756E"/>
    <w:rsid w:val="000F78D0"/>
    <w:rsid w:val="000F7EA2"/>
    <w:rsid w:val="000F7FC9"/>
    <w:rsid w:val="0010034A"/>
    <w:rsid w:val="001008EF"/>
    <w:rsid w:val="00100ACF"/>
    <w:rsid w:val="00100F58"/>
    <w:rsid w:val="00100FA7"/>
    <w:rsid w:val="0010100E"/>
    <w:rsid w:val="00101076"/>
    <w:rsid w:val="00101574"/>
    <w:rsid w:val="00101AAD"/>
    <w:rsid w:val="00102249"/>
    <w:rsid w:val="00103031"/>
    <w:rsid w:val="001049F8"/>
    <w:rsid w:val="00104B22"/>
    <w:rsid w:val="0010585E"/>
    <w:rsid w:val="001065D4"/>
    <w:rsid w:val="00107455"/>
    <w:rsid w:val="0010746C"/>
    <w:rsid w:val="00107649"/>
    <w:rsid w:val="00107C41"/>
    <w:rsid w:val="00110188"/>
    <w:rsid w:val="00110716"/>
    <w:rsid w:val="00110B3D"/>
    <w:rsid w:val="00110E3E"/>
    <w:rsid w:val="00110FC4"/>
    <w:rsid w:val="0011165C"/>
    <w:rsid w:val="00111B66"/>
    <w:rsid w:val="001123F2"/>
    <w:rsid w:val="00113316"/>
    <w:rsid w:val="0011340A"/>
    <w:rsid w:val="0011342A"/>
    <w:rsid w:val="001135DA"/>
    <w:rsid w:val="0011383A"/>
    <w:rsid w:val="00113FF5"/>
    <w:rsid w:val="00114139"/>
    <w:rsid w:val="00114577"/>
    <w:rsid w:val="0011473D"/>
    <w:rsid w:val="0011543E"/>
    <w:rsid w:val="001155C5"/>
    <w:rsid w:val="0011586B"/>
    <w:rsid w:val="00115986"/>
    <w:rsid w:val="00115B27"/>
    <w:rsid w:val="001160A2"/>
    <w:rsid w:val="0011659B"/>
    <w:rsid w:val="001165F9"/>
    <w:rsid w:val="00116807"/>
    <w:rsid w:val="00116A67"/>
    <w:rsid w:val="00116B64"/>
    <w:rsid w:val="00116D6D"/>
    <w:rsid w:val="00117BEC"/>
    <w:rsid w:val="00117C71"/>
    <w:rsid w:val="0012038C"/>
    <w:rsid w:val="00120392"/>
    <w:rsid w:val="00120592"/>
    <w:rsid w:val="00120E41"/>
    <w:rsid w:val="00120FF3"/>
    <w:rsid w:val="001213BE"/>
    <w:rsid w:val="001216F5"/>
    <w:rsid w:val="00121894"/>
    <w:rsid w:val="00122A38"/>
    <w:rsid w:val="0012335E"/>
    <w:rsid w:val="001242D0"/>
    <w:rsid w:val="00124478"/>
    <w:rsid w:val="00124A33"/>
    <w:rsid w:val="00125A17"/>
    <w:rsid w:val="00125F25"/>
    <w:rsid w:val="0012612E"/>
    <w:rsid w:val="00126A7D"/>
    <w:rsid w:val="00126DBA"/>
    <w:rsid w:val="00126EA4"/>
    <w:rsid w:val="00127556"/>
    <w:rsid w:val="00127805"/>
    <w:rsid w:val="001301C4"/>
    <w:rsid w:val="00130531"/>
    <w:rsid w:val="0013081F"/>
    <w:rsid w:val="00130944"/>
    <w:rsid w:val="00131356"/>
    <w:rsid w:val="001317E8"/>
    <w:rsid w:val="00132097"/>
    <w:rsid w:val="0013235D"/>
    <w:rsid w:val="00132CFF"/>
    <w:rsid w:val="00133521"/>
    <w:rsid w:val="00133941"/>
    <w:rsid w:val="00133B67"/>
    <w:rsid w:val="00134608"/>
    <w:rsid w:val="00134BEC"/>
    <w:rsid w:val="00135580"/>
    <w:rsid w:val="00136108"/>
    <w:rsid w:val="0013612B"/>
    <w:rsid w:val="00136B8A"/>
    <w:rsid w:val="0013799D"/>
    <w:rsid w:val="001379B5"/>
    <w:rsid w:val="0014134B"/>
    <w:rsid w:val="0014155F"/>
    <w:rsid w:val="00141692"/>
    <w:rsid w:val="00141AD2"/>
    <w:rsid w:val="001424A8"/>
    <w:rsid w:val="001424D5"/>
    <w:rsid w:val="00142649"/>
    <w:rsid w:val="00142DD3"/>
    <w:rsid w:val="00143425"/>
    <w:rsid w:val="0014352D"/>
    <w:rsid w:val="00143866"/>
    <w:rsid w:val="00144757"/>
    <w:rsid w:val="00145A34"/>
    <w:rsid w:val="00145EDA"/>
    <w:rsid w:val="001474AF"/>
    <w:rsid w:val="00147721"/>
    <w:rsid w:val="00147909"/>
    <w:rsid w:val="00150189"/>
    <w:rsid w:val="00150638"/>
    <w:rsid w:val="0015069B"/>
    <w:rsid w:val="001508AC"/>
    <w:rsid w:val="00150D4F"/>
    <w:rsid w:val="001512CA"/>
    <w:rsid w:val="001516A1"/>
    <w:rsid w:val="00151E4D"/>
    <w:rsid w:val="00151EBB"/>
    <w:rsid w:val="001521C3"/>
    <w:rsid w:val="00152B77"/>
    <w:rsid w:val="00152FBF"/>
    <w:rsid w:val="001532C0"/>
    <w:rsid w:val="00153315"/>
    <w:rsid w:val="00153436"/>
    <w:rsid w:val="001535F8"/>
    <w:rsid w:val="00153FCE"/>
    <w:rsid w:val="00154484"/>
    <w:rsid w:val="001544FC"/>
    <w:rsid w:val="00154886"/>
    <w:rsid w:val="00155E8E"/>
    <w:rsid w:val="00156A04"/>
    <w:rsid w:val="00156D22"/>
    <w:rsid w:val="001579D1"/>
    <w:rsid w:val="001600D6"/>
    <w:rsid w:val="00160819"/>
    <w:rsid w:val="00160BB6"/>
    <w:rsid w:val="0016140A"/>
    <w:rsid w:val="001617ED"/>
    <w:rsid w:val="0016216D"/>
    <w:rsid w:val="0016280F"/>
    <w:rsid w:val="00162D62"/>
    <w:rsid w:val="00162DF3"/>
    <w:rsid w:val="001633F8"/>
    <w:rsid w:val="0016372E"/>
    <w:rsid w:val="00163FD0"/>
    <w:rsid w:val="00164083"/>
    <w:rsid w:val="0016485A"/>
    <w:rsid w:val="0016488D"/>
    <w:rsid w:val="00164DD1"/>
    <w:rsid w:val="00164F13"/>
    <w:rsid w:val="00164F7B"/>
    <w:rsid w:val="001656F7"/>
    <w:rsid w:val="00165F9C"/>
    <w:rsid w:val="001667A9"/>
    <w:rsid w:val="00166AD4"/>
    <w:rsid w:val="00166F3E"/>
    <w:rsid w:val="001701D3"/>
    <w:rsid w:val="001705C2"/>
    <w:rsid w:val="00170720"/>
    <w:rsid w:val="001713A1"/>
    <w:rsid w:val="00171A5D"/>
    <w:rsid w:val="00171B4B"/>
    <w:rsid w:val="00171F67"/>
    <w:rsid w:val="001721BD"/>
    <w:rsid w:val="001726AA"/>
    <w:rsid w:val="00172747"/>
    <w:rsid w:val="00172FDA"/>
    <w:rsid w:val="00172FE0"/>
    <w:rsid w:val="0017365B"/>
    <w:rsid w:val="0017401E"/>
    <w:rsid w:val="00174377"/>
    <w:rsid w:val="00174739"/>
    <w:rsid w:val="00174D2D"/>
    <w:rsid w:val="0017539B"/>
    <w:rsid w:val="001754D4"/>
    <w:rsid w:val="001754FC"/>
    <w:rsid w:val="00175618"/>
    <w:rsid w:val="00175C16"/>
    <w:rsid w:val="0017602D"/>
    <w:rsid w:val="001760C9"/>
    <w:rsid w:val="001761FC"/>
    <w:rsid w:val="001763B2"/>
    <w:rsid w:val="00176EE5"/>
    <w:rsid w:val="001770EA"/>
    <w:rsid w:val="00177292"/>
    <w:rsid w:val="00177399"/>
    <w:rsid w:val="001773EF"/>
    <w:rsid w:val="00177588"/>
    <w:rsid w:val="00177605"/>
    <w:rsid w:val="00177D3C"/>
    <w:rsid w:val="00180117"/>
    <w:rsid w:val="00180A6E"/>
    <w:rsid w:val="00180AD7"/>
    <w:rsid w:val="00181369"/>
    <w:rsid w:val="001813BF"/>
    <w:rsid w:val="00181C72"/>
    <w:rsid w:val="00182629"/>
    <w:rsid w:val="001826D8"/>
    <w:rsid w:val="00182928"/>
    <w:rsid w:val="00182A7C"/>
    <w:rsid w:val="00182DC6"/>
    <w:rsid w:val="00183265"/>
    <w:rsid w:val="00184103"/>
    <w:rsid w:val="001841C5"/>
    <w:rsid w:val="0018429A"/>
    <w:rsid w:val="001844E5"/>
    <w:rsid w:val="0018538B"/>
    <w:rsid w:val="00185D43"/>
    <w:rsid w:val="00185F9F"/>
    <w:rsid w:val="001860D1"/>
    <w:rsid w:val="00186404"/>
    <w:rsid w:val="00186F72"/>
    <w:rsid w:val="001878A1"/>
    <w:rsid w:val="001908F8"/>
    <w:rsid w:val="00190CCC"/>
    <w:rsid w:val="00190E75"/>
    <w:rsid w:val="0019170F"/>
    <w:rsid w:val="0019187D"/>
    <w:rsid w:val="00191950"/>
    <w:rsid w:val="00191F14"/>
    <w:rsid w:val="0019211A"/>
    <w:rsid w:val="00192CF7"/>
    <w:rsid w:val="00192F16"/>
    <w:rsid w:val="001931D1"/>
    <w:rsid w:val="001932EF"/>
    <w:rsid w:val="00194A45"/>
    <w:rsid w:val="00194FF1"/>
    <w:rsid w:val="00195333"/>
    <w:rsid w:val="0019584C"/>
    <w:rsid w:val="00195867"/>
    <w:rsid w:val="00195F9B"/>
    <w:rsid w:val="00196E41"/>
    <w:rsid w:val="0019703C"/>
    <w:rsid w:val="001975E2"/>
    <w:rsid w:val="00197777"/>
    <w:rsid w:val="001978B2"/>
    <w:rsid w:val="00197D5A"/>
    <w:rsid w:val="001A107F"/>
    <w:rsid w:val="001A113C"/>
    <w:rsid w:val="001A29DE"/>
    <w:rsid w:val="001A2BBA"/>
    <w:rsid w:val="001A2E32"/>
    <w:rsid w:val="001A31E6"/>
    <w:rsid w:val="001A3986"/>
    <w:rsid w:val="001A3EA4"/>
    <w:rsid w:val="001A5B32"/>
    <w:rsid w:val="001A5C40"/>
    <w:rsid w:val="001A6085"/>
    <w:rsid w:val="001A622B"/>
    <w:rsid w:val="001A751D"/>
    <w:rsid w:val="001A7676"/>
    <w:rsid w:val="001A76EC"/>
    <w:rsid w:val="001A7B45"/>
    <w:rsid w:val="001B0177"/>
    <w:rsid w:val="001B02F1"/>
    <w:rsid w:val="001B0324"/>
    <w:rsid w:val="001B1AD5"/>
    <w:rsid w:val="001B2DEA"/>
    <w:rsid w:val="001B334A"/>
    <w:rsid w:val="001B3F7F"/>
    <w:rsid w:val="001B425F"/>
    <w:rsid w:val="001B44E3"/>
    <w:rsid w:val="001B5224"/>
    <w:rsid w:val="001B53DF"/>
    <w:rsid w:val="001B5AD7"/>
    <w:rsid w:val="001B5B01"/>
    <w:rsid w:val="001B5E43"/>
    <w:rsid w:val="001B6569"/>
    <w:rsid w:val="001B6A46"/>
    <w:rsid w:val="001B6F70"/>
    <w:rsid w:val="001B7255"/>
    <w:rsid w:val="001B7433"/>
    <w:rsid w:val="001B7672"/>
    <w:rsid w:val="001B7AE0"/>
    <w:rsid w:val="001B7E69"/>
    <w:rsid w:val="001C013B"/>
    <w:rsid w:val="001C03B7"/>
    <w:rsid w:val="001C07A3"/>
    <w:rsid w:val="001C0876"/>
    <w:rsid w:val="001C09CF"/>
    <w:rsid w:val="001C0BD0"/>
    <w:rsid w:val="001C1AF9"/>
    <w:rsid w:val="001C2530"/>
    <w:rsid w:val="001C43D1"/>
    <w:rsid w:val="001C46AD"/>
    <w:rsid w:val="001C5850"/>
    <w:rsid w:val="001C5F7B"/>
    <w:rsid w:val="001C7108"/>
    <w:rsid w:val="001C7633"/>
    <w:rsid w:val="001C7B60"/>
    <w:rsid w:val="001C7E37"/>
    <w:rsid w:val="001C7F8F"/>
    <w:rsid w:val="001D084C"/>
    <w:rsid w:val="001D0D75"/>
    <w:rsid w:val="001D133A"/>
    <w:rsid w:val="001D1448"/>
    <w:rsid w:val="001D1AE4"/>
    <w:rsid w:val="001D1CDA"/>
    <w:rsid w:val="001D2174"/>
    <w:rsid w:val="001D33AE"/>
    <w:rsid w:val="001D35A0"/>
    <w:rsid w:val="001D3CA2"/>
    <w:rsid w:val="001D3E76"/>
    <w:rsid w:val="001D3F0C"/>
    <w:rsid w:val="001D4863"/>
    <w:rsid w:val="001D523B"/>
    <w:rsid w:val="001D570C"/>
    <w:rsid w:val="001D593F"/>
    <w:rsid w:val="001D5D94"/>
    <w:rsid w:val="001D6700"/>
    <w:rsid w:val="001D67F0"/>
    <w:rsid w:val="001D6B4F"/>
    <w:rsid w:val="001D6D2A"/>
    <w:rsid w:val="001D7E93"/>
    <w:rsid w:val="001E002F"/>
    <w:rsid w:val="001E0790"/>
    <w:rsid w:val="001E1CBD"/>
    <w:rsid w:val="001E1D73"/>
    <w:rsid w:val="001E2126"/>
    <w:rsid w:val="001E21D4"/>
    <w:rsid w:val="001E272C"/>
    <w:rsid w:val="001E2769"/>
    <w:rsid w:val="001E2A72"/>
    <w:rsid w:val="001E3889"/>
    <w:rsid w:val="001E43C6"/>
    <w:rsid w:val="001E47AC"/>
    <w:rsid w:val="001E5369"/>
    <w:rsid w:val="001E536B"/>
    <w:rsid w:val="001E5AFC"/>
    <w:rsid w:val="001E5DF9"/>
    <w:rsid w:val="001E6358"/>
    <w:rsid w:val="001E651F"/>
    <w:rsid w:val="001E6BD9"/>
    <w:rsid w:val="001E7AE3"/>
    <w:rsid w:val="001E7EDD"/>
    <w:rsid w:val="001F033C"/>
    <w:rsid w:val="001F04F6"/>
    <w:rsid w:val="001F0728"/>
    <w:rsid w:val="001F0787"/>
    <w:rsid w:val="001F136E"/>
    <w:rsid w:val="001F24B1"/>
    <w:rsid w:val="001F2FE7"/>
    <w:rsid w:val="001F313A"/>
    <w:rsid w:val="001F35D9"/>
    <w:rsid w:val="001F3796"/>
    <w:rsid w:val="001F3AAD"/>
    <w:rsid w:val="001F3E25"/>
    <w:rsid w:val="001F4518"/>
    <w:rsid w:val="001F570C"/>
    <w:rsid w:val="001F595B"/>
    <w:rsid w:val="001F604C"/>
    <w:rsid w:val="001F67C0"/>
    <w:rsid w:val="001F68A6"/>
    <w:rsid w:val="001F770D"/>
    <w:rsid w:val="001F7B33"/>
    <w:rsid w:val="00200019"/>
    <w:rsid w:val="00200FC3"/>
    <w:rsid w:val="00201BAC"/>
    <w:rsid w:val="002024D5"/>
    <w:rsid w:val="00202AED"/>
    <w:rsid w:val="0020308C"/>
    <w:rsid w:val="002035CD"/>
    <w:rsid w:val="00203A6C"/>
    <w:rsid w:val="00203B8D"/>
    <w:rsid w:val="00204B8D"/>
    <w:rsid w:val="00204D29"/>
    <w:rsid w:val="0020518D"/>
    <w:rsid w:val="002054AB"/>
    <w:rsid w:val="0020768A"/>
    <w:rsid w:val="00210616"/>
    <w:rsid w:val="002108C0"/>
    <w:rsid w:val="00210C5A"/>
    <w:rsid w:val="00210DF6"/>
    <w:rsid w:val="0021162F"/>
    <w:rsid w:val="00211E7C"/>
    <w:rsid w:val="00212711"/>
    <w:rsid w:val="002132DB"/>
    <w:rsid w:val="00213A4C"/>
    <w:rsid w:val="0021400B"/>
    <w:rsid w:val="002143A9"/>
    <w:rsid w:val="002143AA"/>
    <w:rsid w:val="00214499"/>
    <w:rsid w:val="00214C9A"/>
    <w:rsid w:val="00215790"/>
    <w:rsid w:val="00215F77"/>
    <w:rsid w:val="00216D7B"/>
    <w:rsid w:val="00216E17"/>
    <w:rsid w:val="002179B0"/>
    <w:rsid w:val="002179E6"/>
    <w:rsid w:val="00217C59"/>
    <w:rsid w:val="002201C8"/>
    <w:rsid w:val="00220C9A"/>
    <w:rsid w:val="00221042"/>
    <w:rsid w:val="0022111B"/>
    <w:rsid w:val="002217FA"/>
    <w:rsid w:val="00222BE8"/>
    <w:rsid w:val="00222E0D"/>
    <w:rsid w:val="00223B9F"/>
    <w:rsid w:val="00223DC5"/>
    <w:rsid w:val="00224CF6"/>
    <w:rsid w:val="00224DA6"/>
    <w:rsid w:val="002257BA"/>
    <w:rsid w:val="0022594B"/>
    <w:rsid w:val="00225EF6"/>
    <w:rsid w:val="00225F9C"/>
    <w:rsid w:val="0022684F"/>
    <w:rsid w:val="00227ECE"/>
    <w:rsid w:val="00227F83"/>
    <w:rsid w:val="002304F8"/>
    <w:rsid w:val="00230B05"/>
    <w:rsid w:val="00231052"/>
    <w:rsid w:val="00231122"/>
    <w:rsid w:val="002317D6"/>
    <w:rsid w:val="002325E4"/>
    <w:rsid w:val="00232B5E"/>
    <w:rsid w:val="00232BFD"/>
    <w:rsid w:val="00232EE0"/>
    <w:rsid w:val="00233525"/>
    <w:rsid w:val="0023392F"/>
    <w:rsid w:val="002341DD"/>
    <w:rsid w:val="002345C0"/>
    <w:rsid w:val="00234A20"/>
    <w:rsid w:val="0023528D"/>
    <w:rsid w:val="00236127"/>
    <w:rsid w:val="002366DB"/>
    <w:rsid w:val="00236C13"/>
    <w:rsid w:val="00236D1C"/>
    <w:rsid w:val="00236DB3"/>
    <w:rsid w:val="002372BF"/>
    <w:rsid w:val="00237A68"/>
    <w:rsid w:val="00237B54"/>
    <w:rsid w:val="00240256"/>
    <w:rsid w:val="002404D0"/>
    <w:rsid w:val="0024103A"/>
    <w:rsid w:val="002411E4"/>
    <w:rsid w:val="00241E31"/>
    <w:rsid w:val="00241F19"/>
    <w:rsid w:val="0024226B"/>
    <w:rsid w:val="00243446"/>
    <w:rsid w:val="00245D81"/>
    <w:rsid w:val="002460B5"/>
    <w:rsid w:val="0024621C"/>
    <w:rsid w:val="00246255"/>
    <w:rsid w:val="00246782"/>
    <w:rsid w:val="002468DB"/>
    <w:rsid w:val="00246CF6"/>
    <w:rsid w:val="002476ED"/>
    <w:rsid w:val="002504A1"/>
    <w:rsid w:val="00250809"/>
    <w:rsid w:val="00250943"/>
    <w:rsid w:val="00250B81"/>
    <w:rsid w:val="00250C15"/>
    <w:rsid w:val="00250C82"/>
    <w:rsid w:val="00250F3D"/>
    <w:rsid w:val="002517F2"/>
    <w:rsid w:val="00251879"/>
    <w:rsid w:val="00251A24"/>
    <w:rsid w:val="00251DEC"/>
    <w:rsid w:val="002520AF"/>
    <w:rsid w:val="00252231"/>
    <w:rsid w:val="002523BF"/>
    <w:rsid w:val="00252A87"/>
    <w:rsid w:val="00252E26"/>
    <w:rsid w:val="00252E46"/>
    <w:rsid w:val="002533FE"/>
    <w:rsid w:val="00253891"/>
    <w:rsid w:val="002538FE"/>
    <w:rsid w:val="00253F03"/>
    <w:rsid w:val="00254342"/>
    <w:rsid w:val="0025595E"/>
    <w:rsid w:val="00257B0D"/>
    <w:rsid w:val="00257B56"/>
    <w:rsid w:val="00257C75"/>
    <w:rsid w:val="00260095"/>
    <w:rsid w:val="002606EA"/>
    <w:rsid w:val="00260D3B"/>
    <w:rsid w:val="00260F52"/>
    <w:rsid w:val="00261285"/>
    <w:rsid w:val="00261E01"/>
    <w:rsid w:val="00261FCE"/>
    <w:rsid w:val="00262786"/>
    <w:rsid w:val="002628BF"/>
    <w:rsid w:val="00262A33"/>
    <w:rsid w:val="00262AE4"/>
    <w:rsid w:val="00263423"/>
    <w:rsid w:val="002638C9"/>
    <w:rsid w:val="00263BD6"/>
    <w:rsid w:val="00263D58"/>
    <w:rsid w:val="0026404B"/>
    <w:rsid w:val="00264C1D"/>
    <w:rsid w:val="0026509B"/>
    <w:rsid w:val="002655BC"/>
    <w:rsid w:val="00265B04"/>
    <w:rsid w:val="0026608A"/>
    <w:rsid w:val="00266BC6"/>
    <w:rsid w:val="00266CE6"/>
    <w:rsid w:val="00266D66"/>
    <w:rsid w:val="00267054"/>
    <w:rsid w:val="0026739F"/>
    <w:rsid w:val="00267587"/>
    <w:rsid w:val="002675AE"/>
    <w:rsid w:val="00267703"/>
    <w:rsid w:val="00267D80"/>
    <w:rsid w:val="0027043A"/>
    <w:rsid w:val="00270756"/>
    <w:rsid w:val="00270ED1"/>
    <w:rsid w:val="00270FCC"/>
    <w:rsid w:val="0027107F"/>
    <w:rsid w:val="0027127F"/>
    <w:rsid w:val="00271304"/>
    <w:rsid w:val="00271B41"/>
    <w:rsid w:val="002720F4"/>
    <w:rsid w:val="00272833"/>
    <w:rsid w:val="002738BB"/>
    <w:rsid w:val="00273A48"/>
    <w:rsid w:val="00273EE0"/>
    <w:rsid w:val="002740A1"/>
    <w:rsid w:val="00274123"/>
    <w:rsid w:val="00274135"/>
    <w:rsid w:val="0027432F"/>
    <w:rsid w:val="002755C3"/>
    <w:rsid w:val="002756CE"/>
    <w:rsid w:val="002758B6"/>
    <w:rsid w:val="00275B80"/>
    <w:rsid w:val="00275C57"/>
    <w:rsid w:val="00275D74"/>
    <w:rsid w:val="00276267"/>
    <w:rsid w:val="0027661C"/>
    <w:rsid w:val="002768A8"/>
    <w:rsid w:val="00276A87"/>
    <w:rsid w:val="00277001"/>
    <w:rsid w:val="00277031"/>
    <w:rsid w:val="00277354"/>
    <w:rsid w:val="002773E7"/>
    <w:rsid w:val="002774BE"/>
    <w:rsid w:val="00277C1E"/>
    <w:rsid w:val="00277D84"/>
    <w:rsid w:val="00277EBB"/>
    <w:rsid w:val="00280180"/>
    <w:rsid w:val="0028033B"/>
    <w:rsid w:val="0028036A"/>
    <w:rsid w:val="00280724"/>
    <w:rsid w:val="002807C6"/>
    <w:rsid w:val="002810A9"/>
    <w:rsid w:val="00281FD8"/>
    <w:rsid w:val="002826C3"/>
    <w:rsid w:val="00283330"/>
    <w:rsid w:val="002850E6"/>
    <w:rsid w:val="00285DC7"/>
    <w:rsid w:val="00286C05"/>
    <w:rsid w:val="00287191"/>
    <w:rsid w:val="0028733B"/>
    <w:rsid w:val="0028766B"/>
    <w:rsid w:val="002878EC"/>
    <w:rsid w:val="00287A07"/>
    <w:rsid w:val="00287FC4"/>
    <w:rsid w:val="00290039"/>
    <w:rsid w:val="002900D1"/>
    <w:rsid w:val="0029043A"/>
    <w:rsid w:val="00290CED"/>
    <w:rsid w:val="002916E0"/>
    <w:rsid w:val="002925AA"/>
    <w:rsid w:val="002926B6"/>
    <w:rsid w:val="00294899"/>
    <w:rsid w:val="00294951"/>
    <w:rsid w:val="002953DB"/>
    <w:rsid w:val="00295906"/>
    <w:rsid w:val="00295CFC"/>
    <w:rsid w:val="00295D8B"/>
    <w:rsid w:val="00295FF0"/>
    <w:rsid w:val="00296802"/>
    <w:rsid w:val="002977A8"/>
    <w:rsid w:val="002A02FD"/>
    <w:rsid w:val="002A0A51"/>
    <w:rsid w:val="002A13B1"/>
    <w:rsid w:val="002A17D5"/>
    <w:rsid w:val="002A188F"/>
    <w:rsid w:val="002A22B8"/>
    <w:rsid w:val="002A285B"/>
    <w:rsid w:val="002A382C"/>
    <w:rsid w:val="002A41C4"/>
    <w:rsid w:val="002A4265"/>
    <w:rsid w:val="002A4337"/>
    <w:rsid w:val="002A43A0"/>
    <w:rsid w:val="002A4402"/>
    <w:rsid w:val="002A45EC"/>
    <w:rsid w:val="002A463B"/>
    <w:rsid w:val="002A47A3"/>
    <w:rsid w:val="002A488F"/>
    <w:rsid w:val="002A4CAB"/>
    <w:rsid w:val="002A4FDB"/>
    <w:rsid w:val="002A50DB"/>
    <w:rsid w:val="002A5123"/>
    <w:rsid w:val="002A51CA"/>
    <w:rsid w:val="002A54B6"/>
    <w:rsid w:val="002A5D01"/>
    <w:rsid w:val="002A61EB"/>
    <w:rsid w:val="002A63FD"/>
    <w:rsid w:val="002A698E"/>
    <w:rsid w:val="002B0943"/>
    <w:rsid w:val="002B0D2F"/>
    <w:rsid w:val="002B12BC"/>
    <w:rsid w:val="002B12BE"/>
    <w:rsid w:val="002B1C33"/>
    <w:rsid w:val="002B2180"/>
    <w:rsid w:val="002B240B"/>
    <w:rsid w:val="002B2979"/>
    <w:rsid w:val="002B2ED9"/>
    <w:rsid w:val="002B31C9"/>
    <w:rsid w:val="002B360E"/>
    <w:rsid w:val="002B4075"/>
    <w:rsid w:val="002B460F"/>
    <w:rsid w:val="002B490F"/>
    <w:rsid w:val="002B49DF"/>
    <w:rsid w:val="002B5243"/>
    <w:rsid w:val="002B5619"/>
    <w:rsid w:val="002B5B79"/>
    <w:rsid w:val="002B648A"/>
    <w:rsid w:val="002B7B25"/>
    <w:rsid w:val="002B7B3B"/>
    <w:rsid w:val="002B7BEC"/>
    <w:rsid w:val="002C0526"/>
    <w:rsid w:val="002C1255"/>
    <w:rsid w:val="002C165C"/>
    <w:rsid w:val="002C199F"/>
    <w:rsid w:val="002C2235"/>
    <w:rsid w:val="002C2258"/>
    <w:rsid w:val="002C2297"/>
    <w:rsid w:val="002C2972"/>
    <w:rsid w:val="002C38D2"/>
    <w:rsid w:val="002C3F2F"/>
    <w:rsid w:val="002C415B"/>
    <w:rsid w:val="002C4AD1"/>
    <w:rsid w:val="002C5137"/>
    <w:rsid w:val="002C5273"/>
    <w:rsid w:val="002C5668"/>
    <w:rsid w:val="002C579C"/>
    <w:rsid w:val="002C5AE0"/>
    <w:rsid w:val="002C646D"/>
    <w:rsid w:val="002C78D7"/>
    <w:rsid w:val="002D0041"/>
    <w:rsid w:val="002D0B3A"/>
    <w:rsid w:val="002D1A5B"/>
    <w:rsid w:val="002D20D9"/>
    <w:rsid w:val="002D2141"/>
    <w:rsid w:val="002D219E"/>
    <w:rsid w:val="002D2D7E"/>
    <w:rsid w:val="002D2EDF"/>
    <w:rsid w:val="002D2FD0"/>
    <w:rsid w:val="002D3524"/>
    <w:rsid w:val="002D3853"/>
    <w:rsid w:val="002D3E5E"/>
    <w:rsid w:val="002D4428"/>
    <w:rsid w:val="002D444C"/>
    <w:rsid w:val="002D466B"/>
    <w:rsid w:val="002D481C"/>
    <w:rsid w:val="002D48AE"/>
    <w:rsid w:val="002D499C"/>
    <w:rsid w:val="002D4E40"/>
    <w:rsid w:val="002D5393"/>
    <w:rsid w:val="002D54E6"/>
    <w:rsid w:val="002D5F9F"/>
    <w:rsid w:val="002D64C1"/>
    <w:rsid w:val="002D699E"/>
    <w:rsid w:val="002D6ECC"/>
    <w:rsid w:val="002D74EC"/>
    <w:rsid w:val="002D755D"/>
    <w:rsid w:val="002D76C1"/>
    <w:rsid w:val="002E0259"/>
    <w:rsid w:val="002E07EE"/>
    <w:rsid w:val="002E0836"/>
    <w:rsid w:val="002E0BF1"/>
    <w:rsid w:val="002E0CEA"/>
    <w:rsid w:val="002E0E96"/>
    <w:rsid w:val="002E1325"/>
    <w:rsid w:val="002E13ED"/>
    <w:rsid w:val="002E1C87"/>
    <w:rsid w:val="002E1EE5"/>
    <w:rsid w:val="002E2199"/>
    <w:rsid w:val="002E2D2E"/>
    <w:rsid w:val="002E342D"/>
    <w:rsid w:val="002E379D"/>
    <w:rsid w:val="002E3DEB"/>
    <w:rsid w:val="002E3E91"/>
    <w:rsid w:val="002E444E"/>
    <w:rsid w:val="002E51A7"/>
    <w:rsid w:val="002E5257"/>
    <w:rsid w:val="002E57DE"/>
    <w:rsid w:val="002E5915"/>
    <w:rsid w:val="002E5AE5"/>
    <w:rsid w:val="002E6061"/>
    <w:rsid w:val="002E635C"/>
    <w:rsid w:val="002E6439"/>
    <w:rsid w:val="002E6448"/>
    <w:rsid w:val="002E6629"/>
    <w:rsid w:val="002E6C12"/>
    <w:rsid w:val="002E6E7D"/>
    <w:rsid w:val="002E73B3"/>
    <w:rsid w:val="002F009E"/>
    <w:rsid w:val="002F0436"/>
    <w:rsid w:val="002F05BB"/>
    <w:rsid w:val="002F0BA5"/>
    <w:rsid w:val="002F0F8D"/>
    <w:rsid w:val="002F13EB"/>
    <w:rsid w:val="002F15E1"/>
    <w:rsid w:val="002F2481"/>
    <w:rsid w:val="002F278F"/>
    <w:rsid w:val="002F2869"/>
    <w:rsid w:val="002F2FB1"/>
    <w:rsid w:val="002F362A"/>
    <w:rsid w:val="002F381E"/>
    <w:rsid w:val="002F42DF"/>
    <w:rsid w:val="002F52EB"/>
    <w:rsid w:val="002F5E37"/>
    <w:rsid w:val="002F5F28"/>
    <w:rsid w:val="002F5FF5"/>
    <w:rsid w:val="002F63BF"/>
    <w:rsid w:val="002F67EC"/>
    <w:rsid w:val="002F731A"/>
    <w:rsid w:val="002F7A4C"/>
    <w:rsid w:val="002F7F92"/>
    <w:rsid w:val="00300233"/>
    <w:rsid w:val="00300318"/>
    <w:rsid w:val="00300424"/>
    <w:rsid w:val="00300432"/>
    <w:rsid w:val="0030053E"/>
    <w:rsid w:val="0030066F"/>
    <w:rsid w:val="00300A42"/>
    <w:rsid w:val="00300C97"/>
    <w:rsid w:val="00300D33"/>
    <w:rsid w:val="0030107B"/>
    <w:rsid w:val="0030109D"/>
    <w:rsid w:val="0030145D"/>
    <w:rsid w:val="003018E5"/>
    <w:rsid w:val="00301C6B"/>
    <w:rsid w:val="00301DCB"/>
    <w:rsid w:val="00302365"/>
    <w:rsid w:val="00302950"/>
    <w:rsid w:val="0030311C"/>
    <w:rsid w:val="0030381D"/>
    <w:rsid w:val="00303C29"/>
    <w:rsid w:val="003040B1"/>
    <w:rsid w:val="003041C3"/>
    <w:rsid w:val="0030498F"/>
    <w:rsid w:val="00304F71"/>
    <w:rsid w:val="00305C47"/>
    <w:rsid w:val="00306A29"/>
    <w:rsid w:val="00306B01"/>
    <w:rsid w:val="00307458"/>
    <w:rsid w:val="00307673"/>
    <w:rsid w:val="00307E6C"/>
    <w:rsid w:val="00307E84"/>
    <w:rsid w:val="00307F5C"/>
    <w:rsid w:val="00310213"/>
    <w:rsid w:val="003108B8"/>
    <w:rsid w:val="0031175A"/>
    <w:rsid w:val="00311A9C"/>
    <w:rsid w:val="00311B5D"/>
    <w:rsid w:val="00312217"/>
    <w:rsid w:val="00312D11"/>
    <w:rsid w:val="0031341D"/>
    <w:rsid w:val="00313812"/>
    <w:rsid w:val="00315090"/>
    <w:rsid w:val="0031520C"/>
    <w:rsid w:val="003155AD"/>
    <w:rsid w:val="00315C5F"/>
    <w:rsid w:val="00315EF1"/>
    <w:rsid w:val="003160E8"/>
    <w:rsid w:val="003163B7"/>
    <w:rsid w:val="003169F0"/>
    <w:rsid w:val="00316AB9"/>
    <w:rsid w:val="00316EA1"/>
    <w:rsid w:val="00316FBC"/>
    <w:rsid w:val="0031710B"/>
    <w:rsid w:val="0031725D"/>
    <w:rsid w:val="003176B8"/>
    <w:rsid w:val="00317BC4"/>
    <w:rsid w:val="00317E68"/>
    <w:rsid w:val="0032081D"/>
    <w:rsid w:val="00320BB4"/>
    <w:rsid w:val="003224B2"/>
    <w:rsid w:val="00322D69"/>
    <w:rsid w:val="00323329"/>
    <w:rsid w:val="0032362E"/>
    <w:rsid w:val="00323B3A"/>
    <w:rsid w:val="003245CC"/>
    <w:rsid w:val="0032498A"/>
    <w:rsid w:val="003254C6"/>
    <w:rsid w:val="003258E8"/>
    <w:rsid w:val="003267DB"/>
    <w:rsid w:val="003270BD"/>
    <w:rsid w:val="00327465"/>
    <w:rsid w:val="003278AA"/>
    <w:rsid w:val="0032791F"/>
    <w:rsid w:val="00327B38"/>
    <w:rsid w:val="00327B8E"/>
    <w:rsid w:val="00327F49"/>
    <w:rsid w:val="00330396"/>
    <w:rsid w:val="003309A0"/>
    <w:rsid w:val="00332017"/>
    <w:rsid w:val="00332034"/>
    <w:rsid w:val="003325D4"/>
    <w:rsid w:val="00332630"/>
    <w:rsid w:val="003326A2"/>
    <w:rsid w:val="0033298B"/>
    <w:rsid w:val="00332E34"/>
    <w:rsid w:val="00332EA1"/>
    <w:rsid w:val="0033396D"/>
    <w:rsid w:val="00333CDE"/>
    <w:rsid w:val="00333E18"/>
    <w:rsid w:val="00334425"/>
    <w:rsid w:val="00334F4D"/>
    <w:rsid w:val="003350E6"/>
    <w:rsid w:val="00335798"/>
    <w:rsid w:val="00335B72"/>
    <w:rsid w:val="00335C32"/>
    <w:rsid w:val="00335E6E"/>
    <w:rsid w:val="0033628C"/>
    <w:rsid w:val="00336B03"/>
    <w:rsid w:val="00337F39"/>
    <w:rsid w:val="00340404"/>
    <w:rsid w:val="00340927"/>
    <w:rsid w:val="00340B97"/>
    <w:rsid w:val="0034144B"/>
    <w:rsid w:val="003414F8"/>
    <w:rsid w:val="00341624"/>
    <w:rsid w:val="0034199C"/>
    <w:rsid w:val="00341BF1"/>
    <w:rsid w:val="00341C5A"/>
    <w:rsid w:val="00341CDC"/>
    <w:rsid w:val="00342199"/>
    <w:rsid w:val="003422CC"/>
    <w:rsid w:val="00342D38"/>
    <w:rsid w:val="00343715"/>
    <w:rsid w:val="00343716"/>
    <w:rsid w:val="0034375B"/>
    <w:rsid w:val="0034439B"/>
    <w:rsid w:val="00345370"/>
    <w:rsid w:val="00346477"/>
    <w:rsid w:val="00346688"/>
    <w:rsid w:val="00346A60"/>
    <w:rsid w:val="00347EDC"/>
    <w:rsid w:val="0035061C"/>
    <w:rsid w:val="0035139B"/>
    <w:rsid w:val="003516DF"/>
    <w:rsid w:val="00351842"/>
    <w:rsid w:val="0035263A"/>
    <w:rsid w:val="00352A6D"/>
    <w:rsid w:val="00352F2A"/>
    <w:rsid w:val="0035348F"/>
    <w:rsid w:val="003539BE"/>
    <w:rsid w:val="00354417"/>
    <w:rsid w:val="00354BD5"/>
    <w:rsid w:val="00354E20"/>
    <w:rsid w:val="003551BA"/>
    <w:rsid w:val="003555F3"/>
    <w:rsid w:val="00355EB2"/>
    <w:rsid w:val="00355ED9"/>
    <w:rsid w:val="00356E2C"/>
    <w:rsid w:val="00356E5D"/>
    <w:rsid w:val="00356FDA"/>
    <w:rsid w:val="00357211"/>
    <w:rsid w:val="003574D4"/>
    <w:rsid w:val="00357DE8"/>
    <w:rsid w:val="00360357"/>
    <w:rsid w:val="0036056E"/>
    <w:rsid w:val="0036062A"/>
    <w:rsid w:val="00360666"/>
    <w:rsid w:val="003607C1"/>
    <w:rsid w:val="003608F6"/>
    <w:rsid w:val="00360D48"/>
    <w:rsid w:val="00360E36"/>
    <w:rsid w:val="00360F95"/>
    <w:rsid w:val="003617A2"/>
    <w:rsid w:val="00361B6A"/>
    <w:rsid w:val="00361EF5"/>
    <w:rsid w:val="0036216B"/>
    <w:rsid w:val="00362983"/>
    <w:rsid w:val="00362A2A"/>
    <w:rsid w:val="00362BB4"/>
    <w:rsid w:val="00362CC1"/>
    <w:rsid w:val="00362DA6"/>
    <w:rsid w:val="00362DB2"/>
    <w:rsid w:val="00363BEE"/>
    <w:rsid w:val="003640A2"/>
    <w:rsid w:val="0036426D"/>
    <w:rsid w:val="00364B77"/>
    <w:rsid w:val="00364DCD"/>
    <w:rsid w:val="0036509B"/>
    <w:rsid w:val="0036542F"/>
    <w:rsid w:val="003654BF"/>
    <w:rsid w:val="0036569C"/>
    <w:rsid w:val="0036570C"/>
    <w:rsid w:val="0036691F"/>
    <w:rsid w:val="00366CB9"/>
    <w:rsid w:val="003670DF"/>
    <w:rsid w:val="0036746D"/>
    <w:rsid w:val="003677C7"/>
    <w:rsid w:val="00370FCA"/>
    <w:rsid w:val="00371F4B"/>
    <w:rsid w:val="00372004"/>
    <w:rsid w:val="003723E3"/>
    <w:rsid w:val="003730AC"/>
    <w:rsid w:val="003737A1"/>
    <w:rsid w:val="003738D9"/>
    <w:rsid w:val="00373CD6"/>
    <w:rsid w:val="00374633"/>
    <w:rsid w:val="00374897"/>
    <w:rsid w:val="00374D79"/>
    <w:rsid w:val="00374DA6"/>
    <w:rsid w:val="00374EE4"/>
    <w:rsid w:val="00374EE5"/>
    <w:rsid w:val="00375B25"/>
    <w:rsid w:val="003765A7"/>
    <w:rsid w:val="0037767A"/>
    <w:rsid w:val="0037783B"/>
    <w:rsid w:val="003801F3"/>
    <w:rsid w:val="003806C5"/>
    <w:rsid w:val="00380837"/>
    <w:rsid w:val="003810C4"/>
    <w:rsid w:val="003813B9"/>
    <w:rsid w:val="00381E1F"/>
    <w:rsid w:val="0038230F"/>
    <w:rsid w:val="003827FB"/>
    <w:rsid w:val="0038290B"/>
    <w:rsid w:val="00383283"/>
    <w:rsid w:val="0038400D"/>
    <w:rsid w:val="00384158"/>
    <w:rsid w:val="00384386"/>
    <w:rsid w:val="00384CD3"/>
    <w:rsid w:val="003852C8"/>
    <w:rsid w:val="00385CC3"/>
    <w:rsid w:val="00385F97"/>
    <w:rsid w:val="00386BA9"/>
    <w:rsid w:val="003874B5"/>
    <w:rsid w:val="003875EC"/>
    <w:rsid w:val="003878F0"/>
    <w:rsid w:val="00390277"/>
    <w:rsid w:val="003908D0"/>
    <w:rsid w:val="00391572"/>
    <w:rsid w:val="0039254B"/>
    <w:rsid w:val="003925D9"/>
    <w:rsid w:val="00392A25"/>
    <w:rsid w:val="003935CB"/>
    <w:rsid w:val="00393690"/>
    <w:rsid w:val="00393931"/>
    <w:rsid w:val="00393D8D"/>
    <w:rsid w:val="003944F9"/>
    <w:rsid w:val="00394745"/>
    <w:rsid w:val="00394B9A"/>
    <w:rsid w:val="0039676A"/>
    <w:rsid w:val="00397EA9"/>
    <w:rsid w:val="00397EF6"/>
    <w:rsid w:val="003A005E"/>
    <w:rsid w:val="003A0838"/>
    <w:rsid w:val="003A14C5"/>
    <w:rsid w:val="003A15F8"/>
    <w:rsid w:val="003A1B18"/>
    <w:rsid w:val="003A1EE9"/>
    <w:rsid w:val="003A2292"/>
    <w:rsid w:val="003A236A"/>
    <w:rsid w:val="003A30FF"/>
    <w:rsid w:val="003A3708"/>
    <w:rsid w:val="003A3D9D"/>
    <w:rsid w:val="003A4333"/>
    <w:rsid w:val="003A4487"/>
    <w:rsid w:val="003A45E0"/>
    <w:rsid w:val="003A46E0"/>
    <w:rsid w:val="003A4D0B"/>
    <w:rsid w:val="003A51CB"/>
    <w:rsid w:val="003A58AF"/>
    <w:rsid w:val="003A6303"/>
    <w:rsid w:val="003A6657"/>
    <w:rsid w:val="003A7633"/>
    <w:rsid w:val="003A7739"/>
    <w:rsid w:val="003A7F24"/>
    <w:rsid w:val="003B0185"/>
    <w:rsid w:val="003B046D"/>
    <w:rsid w:val="003B1340"/>
    <w:rsid w:val="003B1465"/>
    <w:rsid w:val="003B274A"/>
    <w:rsid w:val="003B2AA0"/>
    <w:rsid w:val="003B2FED"/>
    <w:rsid w:val="003B3B17"/>
    <w:rsid w:val="003B4210"/>
    <w:rsid w:val="003B445C"/>
    <w:rsid w:val="003B481B"/>
    <w:rsid w:val="003B4BAE"/>
    <w:rsid w:val="003B5090"/>
    <w:rsid w:val="003B5AE5"/>
    <w:rsid w:val="003B69E6"/>
    <w:rsid w:val="003B6A9D"/>
    <w:rsid w:val="003B6CA7"/>
    <w:rsid w:val="003B6F74"/>
    <w:rsid w:val="003B7E40"/>
    <w:rsid w:val="003C0254"/>
    <w:rsid w:val="003C094D"/>
    <w:rsid w:val="003C0CC7"/>
    <w:rsid w:val="003C122A"/>
    <w:rsid w:val="003C1FDD"/>
    <w:rsid w:val="003C2917"/>
    <w:rsid w:val="003C296B"/>
    <w:rsid w:val="003C2B4C"/>
    <w:rsid w:val="003C305E"/>
    <w:rsid w:val="003C3DDA"/>
    <w:rsid w:val="003C418D"/>
    <w:rsid w:val="003C4534"/>
    <w:rsid w:val="003C5C33"/>
    <w:rsid w:val="003C63B4"/>
    <w:rsid w:val="003C69E7"/>
    <w:rsid w:val="003C76CC"/>
    <w:rsid w:val="003C7B72"/>
    <w:rsid w:val="003C7E7A"/>
    <w:rsid w:val="003D03EA"/>
    <w:rsid w:val="003D0AD7"/>
    <w:rsid w:val="003D0D9C"/>
    <w:rsid w:val="003D1148"/>
    <w:rsid w:val="003D148B"/>
    <w:rsid w:val="003D1BAB"/>
    <w:rsid w:val="003D1DC1"/>
    <w:rsid w:val="003D1DED"/>
    <w:rsid w:val="003D221D"/>
    <w:rsid w:val="003D231B"/>
    <w:rsid w:val="003D24D2"/>
    <w:rsid w:val="003D2912"/>
    <w:rsid w:val="003D34BB"/>
    <w:rsid w:val="003D3507"/>
    <w:rsid w:val="003D36BF"/>
    <w:rsid w:val="003D3A4A"/>
    <w:rsid w:val="003D42E7"/>
    <w:rsid w:val="003D51A7"/>
    <w:rsid w:val="003D51CA"/>
    <w:rsid w:val="003D55AD"/>
    <w:rsid w:val="003D5699"/>
    <w:rsid w:val="003D581C"/>
    <w:rsid w:val="003D592C"/>
    <w:rsid w:val="003D5C15"/>
    <w:rsid w:val="003D5E82"/>
    <w:rsid w:val="003D5EFF"/>
    <w:rsid w:val="003D5FBA"/>
    <w:rsid w:val="003D60C7"/>
    <w:rsid w:val="003D6ACE"/>
    <w:rsid w:val="003D7674"/>
    <w:rsid w:val="003D7DA3"/>
    <w:rsid w:val="003E1017"/>
    <w:rsid w:val="003E1128"/>
    <w:rsid w:val="003E1D3C"/>
    <w:rsid w:val="003E1D49"/>
    <w:rsid w:val="003E1DA7"/>
    <w:rsid w:val="003E1ECD"/>
    <w:rsid w:val="003E2646"/>
    <w:rsid w:val="003E34B2"/>
    <w:rsid w:val="003E36FF"/>
    <w:rsid w:val="003E3AA9"/>
    <w:rsid w:val="003E3C19"/>
    <w:rsid w:val="003E42C5"/>
    <w:rsid w:val="003E4770"/>
    <w:rsid w:val="003E488F"/>
    <w:rsid w:val="003E49CC"/>
    <w:rsid w:val="003E4FAE"/>
    <w:rsid w:val="003E5E9C"/>
    <w:rsid w:val="003E676B"/>
    <w:rsid w:val="003E74F4"/>
    <w:rsid w:val="003E7BB0"/>
    <w:rsid w:val="003E7CFD"/>
    <w:rsid w:val="003F01F0"/>
    <w:rsid w:val="003F0556"/>
    <w:rsid w:val="003F0817"/>
    <w:rsid w:val="003F107B"/>
    <w:rsid w:val="003F167A"/>
    <w:rsid w:val="003F1D7C"/>
    <w:rsid w:val="003F1E3C"/>
    <w:rsid w:val="003F2657"/>
    <w:rsid w:val="003F27B2"/>
    <w:rsid w:val="003F3006"/>
    <w:rsid w:val="003F35D0"/>
    <w:rsid w:val="003F3A48"/>
    <w:rsid w:val="003F3B0A"/>
    <w:rsid w:val="003F3DA9"/>
    <w:rsid w:val="003F4368"/>
    <w:rsid w:val="003F43EC"/>
    <w:rsid w:val="003F4409"/>
    <w:rsid w:val="003F44D6"/>
    <w:rsid w:val="003F482F"/>
    <w:rsid w:val="003F4FC9"/>
    <w:rsid w:val="003F4FDF"/>
    <w:rsid w:val="003F51D3"/>
    <w:rsid w:val="003F5623"/>
    <w:rsid w:val="003F5694"/>
    <w:rsid w:val="003F59FE"/>
    <w:rsid w:val="003F5C05"/>
    <w:rsid w:val="003F653D"/>
    <w:rsid w:val="003F66BF"/>
    <w:rsid w:val="003F706B"/>
    <w:rsid w:val="003F760A"/>
    <w:rsid w:val="003F78F7"/>
    <w:rsid w:val="00400177"/>
    <w:rsid w:val="004001C4"/>
    <w:rsid w:val="004002B2"/>
    <w:rsid w:val="00400469"/>
    <w:rsid w:val="0040047C"/>
    <w:rsid w:val="00401AC4"/>
    <w:rsid w:val="0040215C"/>
    <w:rsid w:val="004021D8"/>
    <w:rsid w:val="00402215"/>
    <w:rsid w:val="004033BB"/>
    <w:rsid w:val="00403CCC"/>
    <w:rsid w:val="0040507C"/>
    <w:rsid w:val="00405DFF"/>
    <w:rsid w:val="004060AF"/>
    <w:rsid w:val="004063C1"/>
    <w:rsid w:val="004068BC"/>
    <w:rsid w:val="00406AF5"/>
    <w:rsid w:val="00407664"/>
    <w:rsid w:val="00407820"/>
    <w:rsid w:val="00407BD8"/>
    <w:rsid w:val="00407E71"/>
    <w:rsid w:val="00410748"/>
    <w:rsid w:val="00410B28"/>
    <w:rsid w:val="00410DB8"/>
    <w:rsid w:val="00410DFA"/>
    <w:rsid w:val="004110D8"/>
    <w:rsid w:val="004111C3"/>
    <w:rsid w:val="0041169A"/>
    <w:rsid w:val="00411937"/>
    <w:rsid w:val="00411D22"/>
    <w:rsid w:val="00411E14"/>
    <w:rsid w:val="00411EF5"/>
    <w:rsid w:val="004135D6"/>
    <w:rsid w:val="0041384C"/>
    <w:rsid w:val="00413F6D"/>
    <w:rsid w:val="00414B68"/>
    <w:rsid w:val="00414B80"/>
    <w:rsid w:val="00414C68"/>
    <w:rsid w:val="00414F4D"/>
    <w:rsid w:val="0041516D"/>
    <w:rsid w:val="0041557F"/>
    <w:rsid w:val="004155AB"/>
    <w:rsid w:val="00415836"/>
    <w:rsid w:val="00415D0D"/>
    <w:rsid w:val="00415D14"/>
    <w:rsid w:val="00415EF8"/>
    <w:rsid w:val="00416AA0"/>
    <w:rsid w:val="00416DFA"/>
    <w:rsid w:val="00416EC0"/>
    <w:rsid w:val="00420246"/>
    <w:rsid w:val="004203FF"/>
    <w:rsid w:val="0042042C"/>
    <w:rsid w:val="00420BB7"/>
    <w:rsid w:val="004214E3"/>
    <w:rsid w:val="0042225E"/>
    <w:rsid w:val="004222DC"/>
    <w:rsid w:val="004229B7"/>
    <w:rsid w:val="00422D55"/>
    <w:rsid w:val="0042308A"/>
    <w:rsid w:val="004236FA"/>
    <w:rsid w:val="004246C9"/>
    <w:rsid w:val="00424B0A"/>
    <w:rsid w:val="00424B63"/>
    <w:rsid w:val="0043048A"/>
    <w:rsid w:val="004307E1"/>
    <w:rsid w:val="00430983"/>
    <w:rsid w:val="0043100B"/>
    <w:rsid w:val="004311FD"/>
    <w:rsid w:val="004312BA"/>
    <w:rsid w:val="00431327"/>
    <w:rsid w:val="00431403"/>
    <w:rsid w:val="004317CE"/>
    <w:rsid w:val="00431F9F"/>
    <w:rsid w:val="0043278C"/>
    <w:rsid w:val="00432C15"/>
    <w:rsid w:val="00432D8A"/>
    <w:rsid w:val="00433E6F"/>
    <w:rsid w:val="004342C8"/>
    <w:rsid w:val="0043433B"/>
    <w:rsid w:val="00434483"/>
    <w:rsid w:val="00434489"/>
    <w:rsid w:val="004345DD"/>
    <w:rsid w:val="00434B81"/>
    <w:rsid w:val="00435259"/>
    <w:rsid w:val="00436740"/>
    <w:rsid w:val="004367F6"/>
    <w:rsid w:val="00436B7E"/>
    <w:rsid w:val="00436D11"/>
    <w:rsid w:val="0043704C"/>
    <w:rsid w:val="00437918"/>
    <w:rsid w:val="00437A56"/>
    <w:rsid w:val="00437B83"/>
    <w:rsid w:val="00437EB8"/>
    <w:rsid w:val="0044053E"/>
    <w:rsid w:val="00441D3D"/>
    <w:rsid w:val="0044295D"/>
    <w:rsid w:val="00442A4D"/>
    <w:rsid w:val="00442BB2"/>
    <w:rsid w:val="00442CC5"/>
    <w:rsid w:val="00442F78"/>
    <w:rsid w:val="00443303"/>
    <w:rsid w:val="004437D1"/>
    <w:rsid w:val="00444091"/>
    <w:rsid w:val="00444319"/>
    <w:rsid w:val="00444526"/>
    <w:rsid w:val="004448A5"/>
    <w:rsid w:val="00444B4C"/>
    <w:rsid w:val="00445160"/>
    <w:rsid w:val="0044516E"/>
    <w:rsid w:val="00445339"/>
    <w:rsid w:val="004456F1"/>
    <w:rsid w:val="00445E28"/>
    <w:rsid w:val="00446D11"/>
    <w:rsid w:val="00446DDA"/>
    <w:rsid w:val="00450585"/>
    <w:rsid w:val="00450D2C"/>
    <w:rsid w:val="00450D62"/>
    <w:rsid w:val="00451534"/>
    <w:rsid w:val="00451625"/>
    <w:rsid w:val="00451739"/>
    <w:rsid w:val="00451E86"/>
    <w:rsid w:val="004521E1"/>
    <w:rsid w:val="004523E0"/>
    <w:rsid w:val="0045242E"/>
    <w:rsid w:val="00452EE0"/>
    <w:rsid w:val="00453242"/>
    <w:rsid w:val="0045413E"/>
    <w:rsid w:val="00454141"/>
    <w:rsid w:val="0045455C"/>
    <w:rsid w:val="004546DF"/>
    <w:rsid w:val="004549A9"/>
    <w:rsid w:val="00454D8E"/>
    <w:rsid w:val="00454EEA"/>
    <w:rsid w:val="00454FEF"/>
    <w:rsid w:val="004555C4"/>
    <w:rsid w:val="00455FBF"/>
    <w:rsid w:val="00456746"/>
    <w:rsid w:val="004568E1"/>
    <w:rsid w:val="00456A9D"/>
    <w:rsid w:val="00456B78"/>
    <w:rsid w:val="00456F5F"/>
    <w:rsid w:val="004575DE"/>
    <w:rsid w:val="00457742"/>
    <w:rsid w:val="00457766"/>
    <w:rsid w:val="00460078"/>
    <w:rsid w:val="00460411"/>
    <w:rsid w:val="00460450"/>
    <w:rsid w:val="004605F3"/>
    <w:rsid w:val="004610BE"/>
    <w:rsid w:val="004610D5"/>
    <w:rsid w:val="004611F0"/>
    <w:rsid w:val="004616A4"/>
    <w:rsid w:val="0046240C"/>
    <w:rsid w:val="0046269E"/>
    <w:rsid w:val="00462AA4"/>
    <w:rsid w:val="00463B80"/>
    <w:rsid w:val="00464297"/>
    <w:rsid w:val="0046460D"/>
    <w:rsid w:val="00464B78"/>
    <w:rsid w:val="00465B28"/>
    <w:rsid w:val="00465B7D"/>
    <w:rsid w:val="00465B8C"/>
    <w:rsid w:val="00465DA8"/>
    <w:rsid w:val="00465FCF"/>
    <w:rsid w:val="00466488"/>
    <w:rsid w:val="0046731A"/>
    <w:rsid w:val="004707E3"/>
    <w:rsid w:val="00470F52"/>
    <w:rsid w:val="00470F9C"/>
    <w:rsid w:val="0047130D"/>
    <w:rsid w:val="00471A10"/>
    <w:rsid w:val="00471B72"/>
    <w:rsid w:val="004723FC"/>
    <w:rsid w:val="004727F1"/>
    <w:rsid w:val="00472FC5"/>
    <w:rsid w:val="00473343"/>
    <w:rsid w:val="00473CF8"/>
    <w:rsid w:val="00473D19"/>
    <w:rsid w:val="00474932"/>
    <w:rsid w:val="00474ADD"/>
    <w:rsid w:val="00474E45"/>
    <w:rsid w:val="00474EE6"/>
    <w:rsid w:val="0047501D"/>
    <w:rsid w:val="00475387"/>
    <w:rsid w:val="004755A8"/>
    <w:rsid w:val="004755AD"/>
    <w:rsid w:val="00476690"/>
    <w:rsid w:val="004766A7"/>
    <w:rsid w:val="00476DA8"/>
    <w:rsid w:val="00476F87"/>
    <w:rsid w:val="004773AB"/>
    <w:rsid w:val="0047788C"/>
    <w:rsid w:val="00477BFF"/>
    <w:rsid w:val="0048005A"/>
    <w:rsid w:val="00480196"/>
    <w:rsid w:val="00480319"/>
    <w:rsid w:val="00480EC1"/>
    <w:rsid w:val="00481778"/>
    <w:rsid w:val="004817B0"/>
    <w:rsid w:val="00481C3B"/>
    <w:rsid w:val="00482091"/>
    <w:rsid w:val="004822DA"/>
    <w:rsid w:val="00482D8B"/>
    <w:rsid w:val="00482E11"/>
    <w:rsid w:val="00483013"/>
    <w:rsid w:val="00483820"/>
    <w:rsid w:val="00483CE1"/>
    <w:rsid w:val="00483E0B"/>
    <w:rsid w:val="0048423A"/>
    <w:rsid w:val="0048481B"/>
    <w:rsid w:val="00484C68"/>
    <w:rsid w:val="00484CCF"/>
    <w:rsid w:val="0048513E"/>
    <w:rsid w:val="004854EF"/>
    <w:rsid w:val="004863BE"/>
    <w:rsid w:val="00486513"/>
    <w:rsid w:val="00486A0D"/>
    <w:rsid w:val="00486A69"/>
    <w:rsid w:val="00486AF7"/>
    <w:rsid w:val="004870F8"/>
    <w:rsid w:val="0048718C"/>
    <w:rsid w:val="00490BF0"/>
    <w:rsid w:val="00490C6F"/>
    <w:rsid w:val="0049199F"/>
    <w:rsid w:val="00491B37"/>
    <w:rsid w:val="004920F4"/>
    <w:rsid w:val="0049258D"/>
    <w:rsid w:val="0049291B"/>
    <w:rsid w:val="004932BF"/>
    <w:rsid w:val="0049359E"/>
    <w:rsid w:val="00493B4F"/>
    <w:rsid w:val="00494E8E"/>
    <w:rsid w:val="004959F0"/>
    <w:rsid w:val="00495E03"/>
    <w:rsid w:val="00496EE1"/>
    <w:rsid w:val="00497035"/>
    <w:rsid w:val="00497BF5"/>
    <w:rsid w:val="004A0B57"/>
    <w:rsid w:val="004A116E"/>
    <w:rsid w:val="004A1210"/>
    <w:rsid w:val="004A12EC"/>
    <w:rsid w:val="004A1608"/>
    <w:rsid w:val="004A17F1"/>
    <w:rsid w:val="004A18D1"/>
    <w:rsid w:val="004A1B11"/>
    <w:rsid w:val="004A2558"/>
    <w:rsid w:val="004A27D9"/>
    <w:rsid w:val="004A2CE4"/>
    <w:rsid w:val="004A2DC5"/>
    <w:rsid w:val="004A3ED9"/>
    <w:rsid w:val="004A4192"/>
    <w:rsid w:val="004A424B"/>
    <w:rsid w:val="004A4B3D"/>
    <w:rsid w:val="004A4FA6"/>
    <w:rsid w:val="004A51E5"/>
    <w:rsid w:val="004A5218"/>
    <w:rsid w:val="004A5797"/>
    <w:rsid w:val="004A5897"/>
    <w:rsid w:val="004A5A15"/>
    <w:rsid w:val="004A5A98"/>
    <w:rsid w:val="004A6440"/>
    <w:rsid w:val="004A647D"/>
    <w:rsid w:val="004A6E03"/>
    <w:rsid w:val="004A71AF"/>
    <w:rsid w:val="004A781B"/>
    <w:rsid w:val="004B1140"/>
    <w:rsid w:val="004B2395"/>
    <w:rsid w:val="004B2A92"/>
    <w:rsid w:val="004B32A6"/>
    <w:rsid w:val="004B3A0D"/>
    <w:rsid w:val="004B47EE"/>
    <w:rsid w:val="004B485B"/>
    <w:rsid w:val="004B50F2"/>
    <w:rsid w:val="004B58EC"/>
    <w:rsid w:val="004B6135"/>
    <w:rsid w:val="004B69B5"/>
    <w:rsid w:val="004B6D26"/>
    <w:rsid w:val="004B70E8"/>
    <w:rsid w:val="004B76BB"/>
    <w:rsid w:val="004B7B1D"/>
    <w:rsid w:val="004C02A8"/>
    <w:rsid w:val="004C115D"/>
    <w:rsid w:val="004C15EA"/>
    <w:rsid w:val="004C1BBB"/>
    <w:rsid w:val="004C24DE"/>
    <w:rsid w:val="004C2A62"/>
    <w:rsid w:val="004C2F3B"/>
    <w:rsid w:val="004C341F"/>
    <w:rsid w:val="004C3A8C"/>
    <w:rsid w:val="004C3D74"/>
    <w:rsid w:val="004C45AC"/>
    <w:rsid w:val="004C4759"/>
    <w:rsid w:val="004C477D"/>
    <w:rsid w:val="004C5B8B"/>
    <w:rsid w:val="004C5E16"/>
    <w:rsid w:val="004C5F4D"/>
    <w:rsid w:val="004C621E"/>
    <w:rsid w:val="004C7691"/>
    <w:rsid w:val="004C7FA5"/>
    <w:rsid w:val="004D073D"/>
    <w:rsid w:val="004D0B4A"/>
    <w:rsid w:val="004D0BDF"/>
    <w:rsid w:val="004D0D5D"/>
    <w:rsid w:val="004D0F5F"/>
    <w:rsid w:val="004D1430"/>
    <w:rsid w:val="004D1873"/>
    <w:rsid w:val="004D1969"/>
    <w:rsid w:val="004D1EA5"/>
    <w:rsid w:val="004D1EF8"/>
    <w:rsid w:val="004D23A2"/>
    <w:rsid w:val="004D2954"/>
    <w:rsid w:val="004D2B42"/>
    <w:rsid w:val="004D3078"/>
    <w:rsid w:val="004D338A"/>
    <w:rsid w:val="004D3F3C"/>
    <w:rsid w:val="004D41D9"/>
    <w:rsid w:val="004D4585"/>
    <w:rsid w:val="004D4C98"/>
    <w:rsid w:val="004D4E43"/>
    <w:rsid w:val="004D4F16"/>
    <w:rsid w:val="004D5010"/>
    <w:rsid w:val="004D51F7"/>
    <w:rsid w:val="004D6372"/>
    <w:rsid w:val="004D659E"/>
    <w:rsid w:val="004E0261"/>
    <w:rsid w:val="004E03EF"/>
    <w:rsid w:val="004E03F6"/>
    <w:rsid w:val="004E0CA0"/>
    <w:rsid w:val="004E179E"/>
    <w:rsid w:val="004E2184"/>
    <w:rsid w:val="004E26DC"/>
    <w:rsid w:val="004E2789"/>
    <w:rsid w:val="004E28D5"/>
    <w:rsid w:val="004E2D71"/>
    <w:rsid w:val="004E38EA"/>
    <w:rsid w:val="004E3DCA"/>
    <w:rsid w:val="004E3FE8"/>
    <w:rsid w:val="004E43C0"/>
    <w:rsid w:val="004E4EB7"/>
    <w:rsid w:val="004E5057"/>
    <w:rsid w:val="004E5082"/>
    <w:rsid w:val="004E51EA"/>
    <w:rsid w:val="004E5810"/>
    <w:rsid w:val="004E5D37"/>
    <w:rsid w:val="004E6503"/>
    <w:rsid w:val="004E6620"/>
    <w:rsid w:val="004E6A8F"/>
    <w:rsid w:val="004E6A9B"/>
    <w:rsid w:val="004E6B37"/>
    <w:rsid w:val="004F0A13"/>
    <w:rsid w:val="004F1424"/>
    <w:rsid w:val="004F1888"/>
    <w:rsid w:val="004F23E7"/>
    <w:rsid w:val="004F32C5"/>
    <w:rsid w:val="004F459F"/>
    <w:rsid w:val="004F460C"/>
    <w:rsid w:val="004F4CFC"/>
    <w:rsid w:val="004F5167"/>
    <w:rsid w:val="004F51C3"/>
    <w:rsid w:val="004F5657"/>
    <w:rsid w:val="004F5829"/>
    <w:rsid w:val="004F5B3D"/>
    <w:rsid w:val="004F5B40"/>
    <w:rsid w:val="004F5ECE"/>
    <w:rsid w:val="004F65D3"/>
    <w:rsid w:val="004F6AD0"/>
    <w:rsid w:val="004F7AF2"/>
    <w:rsid w:val="004F7B38"/>
    <w:rsid w:val="005000F0"/>
    <w:rsid w:val="0050012E"/>
    <w:rsid w:val="005001E3"/>
    <w:rsid w:val="005006C3"/>
    <w:rsid w:val="00500D8E"/>
    <w:rsid w:val="0050125C"/>
    <w:rsid w:val="00501362"/>
    <w:rsid w:val="00501708"/>
    <w:rsid w:val="00501999"/>
    <w:rsid w:val="00501B73"/>
    <w:rsid w:val="005028E3"/>
    <w:rsid w:val="00502A3A"/>
    <w:rsid w:val="00502B43"/>
    <w:rsid w:val="00502C5F"/>
    <w:rsid w:val="0050312F"/>
    <w:rsid w:val="00503639"/>
    <w:rsid w:val="00505711"/>
    <w:rsid w:val="00505D00"/>
    <w:rsid w:val="005069D8"/>
    <w:rsid w:val="005073A4"/>
    <w:rsid w:val="005074F7"/>
    <w:rsid w:val="00507A36"/>
    <w:rsid w:val="005108A8"/>
    <w:rsid w:val="00510A23"/>
    <w:rsid w:val="00510A90"/>
    <w:rsid w:val="00511A03"/>
    <w:rsid w:val="00511E4A"/>
    <w:rsid w:val="00511E89"/>
    <w:rsid w:val="00512BEA"/>
    <w:rsid w:val="00512C11"/>
    <w:rsid w:val="0051305E"/>
    <w:rsid w:val="005133A3"/>
    <w:rsid w:val="0051442A"/>
    <w:rsid w:val="005145E9"/>
    <w:rsid w:val="00514AD5"/>
    <w:rsid w:val="00514B47"/>
    <w:rsid w:val="00515318"/>
    <w:rsid w:val="005155B4"/>
    <w:rsid w:val="005156D2"/>
    <w:rsid w:val="0051570D"/>
    <w:rsid w:val="00515978"/>
    <w:rsid w:val="00515AFA"/>
    <w:rsid w:val="00515FB4"/>
    <w:rsid w:val="00516097"/>
    <w:rsid w:val="00516162"/>
    <w:rsid w:val="00516FA0"/>
    <w:rsid w:val="0051702C"/>
    <w:rsid w:val="00517083"/>
    <w:rsid w:val="00517514"/>
    <w:rsid w:val="00517E1A"/>
    <w:rsid w:val="00520517"/>
    <w:rsid w:val="005206AD"/>
    <w:rsid w:val="00520CCD"/>
    <w:rsid w:val="005213C8"/>
    <w:rsid w:val="0052281A"/>
    <w:rsid w:val="00522B60"/>
    <w:rsid w:val="00522F92"/>
    <w:rsid w:val="00523160"/>
    <w:rsid w:val="00523226"/>
    <w:rsid w:val="0052367E"/>
    <w:rsid w:val="00523FA6"/>
    <w:rsid w:val="00524176"/>
    <w:rsid w:val="0052452C"/>
    <w:rsid w:val="00524DB5"/>
    <w:rsid w:val="00525DF6"/>
    <w:rsid w:val="00525E92"/>
    <w:rsid w:val="00525ED8"/>
    <w:rsid w:val="00525FDC"/>
    <w:rsid w:val="005262C3"/>
    <w:rsid w:val="00526985"/>
    <w:rsid w:val="005277FC"/>
    <w:rsid w:val="00527C83"/>
    <w:rsid w:val="005308C7"/>
    <w:rsid w:val="00530CA7"/>
    <w:rsid w:val="00530E99"/>
    <w:rsid w:val="005315DE"/>
    <w:rsid w:val="005316CB"/>
    <w:rsid w:val="00531741"/>
    <w:rsid w:val="00531D0E"/>
    <w:rsid w:val="00532A07"/>
    <w:rsid w:val="00532DA9"/>
    <w:rsid w:val="00533480"/>
    <w:rsid w:val="00533BCD"/>
    <w:rsid w:val="00534252"/>
    <w:rsid w:val="00534E55"/>
    <w:rsid w:val="00534EB4"/>
    <w:rsid w:val="0053508A"/>
    <w:rsid w:val="0053539A"/>
    <w:rsid w:val="00535BF4"/>
    <w:rsid w:val="0053628F"/>
    <w:rsid w:val="0053642E"/>
    <w:rsid w:val="00536EF6"/>
    <w:rsid w:val="00537451"/>
    <w:rsid w:val="00537C69"/>
    <w:rsid w:val="00537F77"/>
    <w:rsid w:val="00537FF1"/>
    <w:rsid w:val="005403EB"/>
    <w:rsid w:val="00540556"/>
    <w:rsid w:val="0054061E"/>
    <w:rsid w:val="00540684"/>
    <w:rsid w:val="0054087F"/>
    <w:rsid w:val="00540FE9"/>
    <w:rsid w:val="005419F8"/>
    <w:rsid w:val="00542201"/>
    <w:rsid w:val="00542637"/>
    <w:rsid w:val="00542A4A"/>
    <w:rsid w:val="00543841"/>
    <w:rsid w:val="005446D4"/>
    <w:rsid w:val="005449F0"/>
    <w:rsid w:val="005451E9"/>
    <w:rsid w:val="00545693"/>
    <w:rsid w:val="00545820"/>
    <w:rsid w:val="0054596C"/>
    <w:rsid w:val="00545CA0"/>
    <w:rsid w:val="00545E1D"/>
    <w:rsid w:val="00546701"/>
    <w:rsid w:val="0054681A"/>
    <w:rsid w:val="00546F7B"/>
    <w:rsid w:val="005474C2"/>
    <w:rsid w:val="0055045C"/>
    <w:rsid w:val="00550480"/>
    <w:rsid w:val="0055158C"/>
    <w:rsid w:val="00551EEF"/>
    <w:rsid w:val="0055250A"/>
    <w:rsid w:val="005527F9"/>
    <w:rsid w:val="00552DD8"/>
    <w:rsid w:val="005533E9"/>
    <w:rsid w:val="00553514"/>
    <w:rsid w:val="00553D1C"/>
    <w:rsid w:val="00553F0D"/>
    <w:rsid w:val="005540A0"/>
    <w:rsid w:val="00554CCB"/>
    <w:rsid w:val="005555BA"/>
    <w:rsid w:val="00555DF5"/>
    <w:rsid w:val="00556339"/>
    <w:rsid w:val="005568FD"/>
    <w:rsid w:val="0055703C"/>
    <w:rsid w:val="00557176"/>
    <w:rsid w:val="00557632"/>
    <w:rsid w:val="00557F97"/>
    <w:rsid w:val="00560E1D"/>
    <w:rsid w:val="005617C7"/>
    <w:rsid w:val="005623B0"/>
    <w:rsid w:val="005624D3"/>
    <w:rsid w:val="00562CA3"/>
    <w:rsid w:val="00562EF2"/>
    <w:rsid w:val="00562F00"/>
    <w:rsid w:val="0056308D"/>
    <w:rsid w:val="00563E36"/>
    <w:rsid w:val="00564842"/>
    <w:rsid w:val="00564DD9"/>
    <w:rsid w:val="00565413"/>
    <w:rsid w:val="00565870"/>
    <w:rsid w:val="005661A9"/>
    <w:rsid w:val="0056725D"/>
    <w:rsid w:val="005678F1"/>
    <w:rsid w:val="005678F6"/>
    <w:rsid w:val="00567CD2"/>
    <w:rsid w:val="00567CE5"/>
    <w:rsid w:val="00567F0A"/>
    <w:rsid w:val="00570EA8"/>
    <w:rsid w:val="005715BA"/>
    <w:rsid w:val="00572128"/>
    <w:rsid w:val="00572657"/>
    <w:rsid w:val="00572831"/>
    <w:rsid w:val="00572F3A"/>
    <w:rsid w:val="005730BA"/>
    <w:rsid w:val="0057415B"/>
    <w:rsid w:val="0057444B"/>
    <w:rsid w:val="005747CB"/>
    <w:rsid w:val="00574CEA"/>
    <w:rsid w:val="00575BC2"/>
    <w:rsid w:val="005769FE"/>
    <w:rsid w:val="00576E82"/>
    <w:rsid w:val="00577EEF"/>
    <w:rsid w:val="00580B6C"/>
    <w:rsid w:val="0058113B"/>
    <w:rsid w:val="005813EC"/>
    <w:rsid w:val="00581CAD"/>
    <w:rsid w:val="0058236F"/>
    <w:rsid w:val="00582C07"/>
    <w:rsid w:val="00582F88"/>
    <w:rsid w:val="005836B4"/>
    <w:rsid w:val="00583824"/>
    <w:rsid w:val="00583A77"/>
    <w:rsid w:val="00583DD6"/>
    <w:rsid w:val="005847E3"/>
    <w:rsid w:val="005851F6"/>
    <w:rsid w:val="005852AD"/>
    <w:rsid w:val="00585CB9"/>
    <w:rsid w:val="00585E43"/>
    <w:rsid w:val="00586435"/>
    <w:rsid w:val="00586518"/>
    <w:rsid w:val="00586523"/>
    <w:rsid w:val="00586752"/>
    <w:rsid w:val="00586FF1"/>
    <w:rsid w:val="00587BD6"/>
    <w:rsid w:val="0059016D"/>
    <w:rsid w:val="00590559"/>
    <w:rsid w:val="00590618"/>
    <w:rsid w:val="00590D49"/>
    <w:rsid w:val="00591054"/>
    <w:rsid w:val="005918A0"/>
    <w:rsid w:val="00591941"/>
    <w:rsid w:val="00591A35"/>
    <w:rsid w:val="00592420"/>
    <w:rsid w:val="005929E6"/>
    <w:rsid w:val="0059400B"/>
    <w:rsid w:val="00594244"/>
    <w:rsid w:val="005942AC"/>
    <w:rsid w:val="005946A6"/>
    <w:rsid w:val="005946CD"/>
    <w:rsid w:val="0059470B"/>
    <w:rsid w:val="00594B2E"/>
    <w:rsid w:val="00594CE1"/>
    <w:rsid w:val="00595113"/>
    <w:rsid w:val="005955E5"/>
    <w:rsid w:val="0059606E"/>
    <w:rsid w:val="0059686C"/>
    <w:rsid w:val="00596E5A"/>
    <w:rsid w:val="00597361"/>
    <w:rsid w:val="0059795E"/>
    <w:rsid w:val="005A0B77"/>
    <w:rsid w:val="005A16FB"/>
    <w:rsid w:val="005A1724"/>
    <w:rsid w:val="005A2370"/>
    <w:rsid w:val="005A27AA"/>
    <w:rsid w:val="005A2976"/>
    <w:rsid w:val="005A2A26"/>
    <w:rsid w:val="005A3421"/>
    <w:rsid w:val="005A34F9"/>
    <w:rsid w:val="005A3CF5"/>
    <w:rsid w:val="005A3F57"/>
    <w:rsid w:val="005A4608"/>
    <w:rsid w:val="005A48FE"/>
    <w:rsid w:val="005A59C7"/>
    <w:rsid w:val="005A5E7B"/>
    <w:rsid w:val="005A6267"/>
    <w:rsid w:val="005A66B7"/>
    <w:rsid w:val="005A686D"/>
    <w:rsid w:val="005A6D44"/>
    <w:rsid w:val="005A6DCF"/>
    <w:rsid w:val="005A6FC7"/>
    <w:rsid w:val="005A730E"/>
    <w:rsid w:val="005A75E7"/>
    <w:rsid w:val="005A7647"/>
    <w:rsid w:val="005A79EA"/>
    <w:rsid w:val="005A7A51"/>
    <w:rsid w:val="005B0906"/>
    <w:rsid w:val="005B0E5F"/>
    <w:rsid w:val="005B283C"/>
    <w:rsid w:val="005B2D4A"/>
    <w:rsid w:val="005B2D83"/>
    <w:rsid w:val="005B306E"/>
    <w:rsid w:val="005B36BF"/>
    <w:rsid w:val="005B3B3D"/>
    <w:rsid w:val="005B4304"/>
    <w:rsid w:val="005B457C"/>
    <w:rsid w:val="005B4670"/>
    <w:rsid w:val="005B46F8"/>
    <w:rsid w:val="005B4A04"/>
    <w:rsid w:val="005B4C57"/>
    <w:rsid w:val="005B52E1"/>
    <w:rsid w:val="005B592B"/>
    <w:rsid w:val="005B5EE0"/>
    <w:rsid w:val="005B5FE7"/>
    <w:rsid w:val="005B62B6"/>
    <w:rsid w:val="005B63DF"/>
    <w:rsid w:val="005B7216"/>
    <w:rsid w:val="005B7746"/>
    <w:rsid w:val="005B7901"/>
    <w:rsid w:val="005B7EA5"/>
    <w:rsid w:val="005C06ED"/>
    <w:rsid w:val="005C08A3"/>
    <w:rsid w:val="005C0C42"/>
    <w:rsid w:val="005C1C0D"/>
    <w:rsid w:val="005C1D06"/>
    <w:rsid w:val="005C1E45"/>
    <w:rsid w:val="005C259E"/>
    <w:rsid w:val="005C3110"/>
    <w:rsid w:val="005C3198"/>
    <w:rsid w:val="005C5213"/>
    <w:rsid w:val="005C5479"/>
    <w:rsid w:val="005C5516"/>
    <w:rsid w:val="005C564E"/>
    <w:rsid w:val="005C6502"/>
    <w:rsid w:val="005C66A4"/>
    <w:rsid w:val="005C66BC"/>
    <w:rsid w:val="005C729D"/>
    <w:rsid w:val="005C77A8"/>
    <w:rsid w:val="005C7B93"/>
    <w:rsid w:val="005D003D"/>
    <w:rsid w:val="005D04FF"/>
    <w:rsid w:val="005D0AB2"/>
    <w:rsid w:val="005D0C7A"/>
    <w:rsid w:val="005D1263"/>
    <w:rsid w:val="005D202F"/>
    <w:rsid w:val="005D2883"/>
    <w:rsid w:val="005D30A2"/>
    <w:rsid w:val="005D350D"/>
    <w:rsid w:val="005D382F"/>
    <w:rsid w:val="005D44A0"/>
    <w:rsid w:val="005D459B"/>
    <w:rsid w:val="005D4761"/>
    <w:rsid w:val="005D4AAE"/>
    <w:rsid w:val="005D5050"/>
    <w:rsid w:val="005D55C1"/>
    <w:rsid w:val="005D5CFE"/>
    <w:rsid w:val="005D64A7"/>
    <w:rsid w:val="005D657F"/>
    <w:rsid w:val="005D68AD"/>
    <w:rsid w:val="005D7234"/>
    <w:rsid w:val="005D7460"/>
    <w:rsid w:val="005D7628"/>
    <w:rsid w:val="005D772F"/>
    <w:rsid w:val="005E01C8"/>
    <w:rsid w:val="005E0B32"/>
    <w:rsid w:val="005E0BD0"/>
    <w:rsid w:val="005E0CFA"/>
    <w:rsid w:val="005E11F1"/>
    <w:rsid w:val="005E1546"/>
    <w:rsid w:val="005E1605"/>
    <w:rsid w:val="005E174D"/>
    <w:rsid w:val="005E18C3"/>
    <w:rsid w:val="005E18C4"/>
    <w:rsid w:val="005E1A6C"/>
    <w:rsid w:val="005E1C95"/>
    <w:rsid w:val="005E23C4"/>
    <w:rsid w:val="005E3877"/>
    <w:rsid w:val="005E40B6"/>
    <w:rsid w:val="005E4241"/>
    <w:rsid w:val="005E45C2"/>
    <w:rsid w:val="005E4D2D"/>
    <w:rsid w:val="005E505F"/>
    <w:rsid w:val="005E5844"/>
    <w:rsid w:val="005E5B71"/>
    <w:rsid w:val="005E6643"/>
    <w:rsid w:val="005E6785"/>
    <w:rsid w:val="005E7304"/>
    <w:rsid w:val="005E7829"/>
    <w:rsid w:val="005E7B72"/>
    <w:rsid w:val="005F0632"/>
    <w:rsid w:val="005F0942"/>
    <w:rsid w:val="005F0978"/>
    <w:rsid w:val="005F0AE5"/>
    <w:rsid w:val="005F1290"/>
    <w:rsid w:val="005F18CB"/>
    <w:rsid w:val="005F1B7E"/>
    <w:rsid w:val="005F1C88"/>
    <w:rsid w:val="005F34DA"/>
    <w:rsid w:val="005F3956"/>
    <w:rsid w:val="005F3969"/>
    <w:rsid w:val="005F3F45"/>
    <w:rsid w:val="005F4359"/>
    <w:rsid w:val="005F4DF7"/>
    <w:rsid w:val="005F5171"/>
    <w:rsid w:val="005F5242"/>
    <w:rsid w:val="005F5AFD"/>
    <w:rsid w:val="005F5D90"/>
    <w:rsid w:val="005F687F"/>
    <w:rsid w:val="005F7362"/>
    <w:rsid w:val="005F73CB"/>
    <w:rsid w:val="005F73D7"/>
    <w:rsid w:val="005F76BB"/>
    <w:rsid w:val="005F7B3D"/>
    <w:rsid w:val="005F7E29"/>
    <w:rsid w:val="00600DD9"/>
    <w:rsid w:val="0060141D"/>
    <w:rsid w:val="006015B2"/>
    <w:rsid w:val="00601B45"/>
    <w:rsid w:val="00601D72"/>
    <w:rsid w:val="00601D88"/>
    <w:rsid w:val="0060210B"/>
    <w:rsid w:val="00602517"/>
    <w:rsid w:val="00602A58"/>
    <w:rsid w:val="006036FE"/>
    <w:rsid w:val="00604E4C"/>
    <w:rsid w:val="00604FED"/>
    <w:rsid w:val="0060530D"/>
    <w:rsid w:val="0060562F"/>
    <w:rsid w:val="006060D6"/>
    <w:rsid w:val="00606CAB"/>
    <w:rsid w:val="00606F0D"/>
    <w:rsid w:val="006078AE"/>
    <w:rsid w:val="006078F8"/>
    <w:rsid w:val="00607A41"/>
    <w:rsid w:val="00607FEE"/>
    <w:rsid w:val="006118FE"/>
    <w:rsid w:val="00611ED2"/>
    <w:rsid w:val="00612410"/>
    <w:rsid w:val="00612A63"/>
    <w:rsid w:val="00612B35"/>
    <w:rsid w:val="00612C39"/>
    <w:rsid w:val="00612DC3"/>
    <w:rsid w:val="00612ECC"/>
    <w:rsid w:val="006137ED"/>
    <w:rsid w:val="00613C00"/>
    <w:rsid w:val="006145CE"/>
    <w:rsid w:val="006158E5"/>
    <w:rsid w:val="00615A5D"/>
    <w:rsid w:val="006160FD"/>
    <w:rsid w:val="0061671A"/>
    <w:rsid w:val="006168D5"/>
    <w:rsid w:val="00616DDA"/>
    <w:rsid w:val="00617031"/>
    <w:rsid w:val="00617423"/>
    <w:rsid w:val="0061771F"/>
    <w:rsid w:val="00617CE8"/>
    <w:rsid w:val="006206B7"/>
    <w:rsid w:val="00621658"/>
    <w:rsid w:val="006219A3"/>
    <w:rsid w:val="00622073"/>
    <w:rsid w:val="006233E7"/>
    <w:rsid w:val="006234FE"/>
    <w:rsid w:val="00623673"/>
    <w:rsid w:val="00623889"/>
    <w:rsid w:val="00623C22"/>
    <w:rsid w:val="00624389"/>
    <w:rsid w:val="006247BB"/>
    <w:rsid w:val="00625594"/>
    <w:rsid w:val="006256C3"/>
    <w:rsid w:val="0062647A"/>
    <w:rsid w:val="0062664E"/>
    <w:rsid w:val="00626BE4"/>
    <w:rsid w:val="00627007"/>
    <w:rsid w:val="00627657"/>
    <w:rsid w:val="00627D65"/>
    <w:rsid w:val="0063023F"/>
    <w:rsid w:val="006309C6"/>
    <w:rsid w:val="00631785"/>
    <w:rsid w:val="00631DD6"/>
    <w:rsid w:val="00631F29"/>
    <w:rsid w:val="00631F52"/>
    <w:rsid w:val="006320D8"/>
    <w:rsid w:val="006323AD"/>
    <w:rsid w:val="006324DE"/>
    <w:rsid w:val="00632DC0"/>
    <w:rsid w:val="00632FC4"/>
    <w:rsid w:val="0063322E"/>
    <w:rsid w:val="006347FA"/>
    <w:rsid w:val="00635183"/>
    <w:rsid w:val="00635A3B"/>
    <w:rsid w:val="00635B7F"/>
    <w:rsid w:val="00635E15"/>
    <w:rsid w:val="0063655F"/>
    <w:rsid w:val="00636E55"/>
    <w:rsid w:val="0063788A"/>
    <w:rsid w:val="0063790F"/>
    <w:rsid w:val="00637BC7"/>
    <w:rsid w:val="006405A3"/>
    <w:rsid w:val="006406C9"/>
    <w:rsid w:val="00640E30"/>
    <w:rsid w:val="00640E7D"/>
    <w:rsid w:val="00641088"/>
    <w:rsid w:val="00641350"/>
    <w:rsid w:val="00642B69"/>
    <w:rsid w:val="0064345D"/>
    <w:rsid w:val="00643664"/>
    <w:rsid w:val="0064376A"/>
    <w:rsid w:val="00643CDD"/>
    <w:rsid w:val="0064446E"/>
    <w:rsid w:val="00644CC3"/>
    <w:rsid w:val="0064505C"/>
    <w:rsid w:val="006457BC"/>
    <w:rsid w:val="00646A09"/>
    <w:rsid w:val="00646A54"/>
    <w:rsid w:val="00646CC5"/>
    <w:rsid w:val="00646DAF"/>
    <w:rsid w:val="00646DFC"/>
    <w:rsid w:val="0064709C"/>
    <w:rsid w:val="0064737B"/>
    <w:rsid w:val="00647808"/>
    <w:rsid w:val="00647C76"/>
    <w:rsid w:val="0065128E"/>
    <w:rsid w:val="00651445"/>
    <w:rsid w:val="00652C4B"/>
    <w:rsid w:val="00653A3E"/>
    <w:rsid w:val="00653D93"/>
    <w:rsid w:val="00654175"/>
    <w:rsid w:val="006543DF"/>
    <w:rsid w:val="006546A6"/>
    <w:rsid w:val="00654917"/>
    <w:rsid w:val="00654AAF"/>
    <w:rsid w:val="00654AB8"/>
    <w:rsid w:val="00654B1D"/>
    <w:rsid w:val="00654B3D"/>
    <w:rsid w:val="00655FF8"/>
    <w:rsid w:val="0065621C"/>
    <w:rsid w:val="00656CE7"/>
    <w:rsid w:val="0065705B"/>
    <w:rsid w:val="006601BF"/>
    <w:rsid w:val="006602F6"/>
    <w:rsid w:val="0066069D"/>
    <w:rsid w:val="00660708"/>
    <w:rsid w:val="00661E6A"/>
    <w:rsid w:val="006625BF"/>
    <w:rsid w:val="00662CFA"/>
    <w:rsid w:val="00664050"/>
    <w:rsid w:val="006655E4"/>
    <w:rsid w:val="006664B2"/>
    <w:rsid w:val="00666EB0"/>
    <w:rsid w:val="006671D9"/>
    <w:rsid w:val="006673EC"/>
    <w:rsid w:val="00670225"/>
    <w:rsid w:val="00670348"/>
    <w:rsid w:val="00671138"/>
    <w:rsid w:val="0067116F"/>
    <w:rsid w:val="006723FB"/>
    <w:rsid w:val="006725E2"/>
    <w:rsid w:val="00672A28"/>
    <w:rsid w:val="00673408"/>
    <w:rsid w:val="00674531"/>
    <w:rsid w:val="0067469B"/>
    <w:rsid w:val="00674F6E"/>
    <w:rsid w:val="00675313"/>
    <w:rsid w:val="0067571B"/>
    <w:rsid w:val="006758BF"/>
    <w:rsid w:val="006778E7"/>
    <w:rsid w:val="00677C4E"/>
    <w:rsid w:val="006801CD"/>
    <w:rsid w:val="00680A27"/>
    <w:rsid w:val="0068183F"/>
    <w:rsid w:val="00681AE9"/>
    <w:rsid w:val="006833AF"/>
    <w:rsid w:val="00683734"/>
    <w:rsid w:val="00683C9F"/>
    <w:rsid w:val="00684042"/>
    <w:rsid w:val="006840FA"/>
    <w:rsid w:val="00684631"/>
    <w:rsid w:val="00684B38"/>
    <w:rsid w:val="00684CE6"/>
    <w:rsid w:val="00684EE0"/>
    <w:rsid w:val="006854BF"/>
    <w:rsid w:val="00685AA1"/>
    <w:rsid w:val="00685C4F"/>
    <w:rsid w:val="00685EA2"/>
    <w:rsid w:val="00685F27"/>
    <w:rsid w:val="006864C0"/>
    <w:rsid w:val="006864F5"/>
    <w:rsid w:val="00686A8C"/>
    <w:rsid w:val="00686D6A"/>
    <w:rsid w:val="00687A07"/>
    <w:rsid w:val="00687A15"/>
    <w:rsid w:val="006905D0"/>
    <w:rsid w:val="00691662"/>
    <w:rsid w:val="0069199E"/>
    <w:rsid w:val="00692A3A"/>
    <w:rsid w:val="00692B75"/>
    <w:rsid w:val="00692FAE"/>
    <w:rsid w:val="00693023"/>
    <w:rsid w:val="00693029"/>
    <w:rsid w:val="00693379"/>
    <w:rsid w:val="0069381B"/>
    <w:rsid w:val="00693F02"/>
    <w:rsid w:val="00694053"/>
    <w:rsid w:val="006944A2"/>
    <w:rsid w:val="006944C6"/>
    <w:rsid w:val="0069453F"/>
    <w:rsid w:val="0069454E"/>
    <w:rsid w:val="00694610"/>
    <w:rsid w:val="00695168"/>
    <w:rsid w:val="006954EE"/>
    <w:rsid w:val="00695768"/>
    <w:rsid w:val="00695A9E"/>
    <w:rsid w:val="006962BC"/>
    <w:rsid w:val="006964E6"/>
    <w:rsid w:val="00696506"/>
    <w:rsid w:val="00696906"/>
    <w:rsid w:val="00696E4E"/>
    <w:rsid w:val="00696FB2"/>
    <w:rsid w:val="006974AD"/>
    <w:rsid w:val="0069764D"/>
    <w:rsid w:val="00697FBD"/>
    <w:rsid w:val="006A0692"/>
    <w:rsid w:val="006A0957"/>
    <w:rsid w:val="006A0B0C"/>
    <w:rsid w:val="006A0FF4"/>
    <w:rsid w:val="006A1285"/>
    <w:rsid w:val="006A16C8"/>
    <w:rsid w:val="006A1747"/>
    <w:rsid w:val="006A271A"/>
    <w:rsid w:val="006A2F96"/>
    <w:rsid w:val="006A302D"/>
    <w:rsid w:val="006A3D6C"/>
    <w:rsid w:val="006A46F9"/>
    <w:rsid w:val="006A4EAB"/>
    <w:rsid w:val="006A4F6B"/>
    <w:rsid w:val="006A552C"/>
    <w:rsid w:val="006A5849"/>
    <w:rsid w:val="006A600B"/>
    <w:rsid w:val="006A671B"/>
    <w:rsid w:val="006A6D9B"/>
    <w:rsid w:val="006A6F80"/>
    <w:rsid w:val="006A725F"/>
    <w:rsid w:val="006A770C"/>
    <w:rsid w:val="006A7984"/>
    <w:rsid w:val="006B02E9"/>
    <w:rsid w:val="006B05F7"/>
    <w:rsid w:val="006B0A71"/>
    <w:rsid w:val="006B17E0"/>
    <w:rsid w:val="006B1865"/>
    <w:rsid w:val="006B18E9"/>
    <w:rsid w:val="006B1BC8"/>
    <w:rsid w:val="006B2049"/>
    <w:rsid w:val="006B2309"/>
    <w:rsid w:val="006B25F3"/>
    <w:rsid w:val="006B28C3"/>
    <w:rsid w:val="006B305A"/>
    <w:rsid w:val="006B3141"/>
    <w:rsid w:val="006B31A2"/>
    <w:rsid w:val="006B4385"/>
    <w:rsid w:val="006B542F"/>
    <w:rsid w:val="006B54EE"/>
    <w:rsid w:val="006B6580"/>
    <w:rsid w:val="006B6A49"/>
    <w:rsid w:val="006B7316"/>
    <w:rsid w:val="006B7531"/>
    <w:rsid w:val="006B77A4"/>
    <w:rsid w:val="006B7989"/>
    <w:rsid w:val="006C0820"/>
    <w:rsid w:val="006C0E46"/>
    <w:rsid w:val="006C1013"/>
    <w:rsid w:val="006C128C"/>
    <w:rsid w:val="006C1836"/>
    <w:rsid w:val="006C2C6C"/>
    <w:rsid w:val="006C32D0"/>
    <w:rsid w:val="006C37C9"/>
    <w:rsid w:val="006C398C"/>
    <w:rsid w:val="006C3E33"/>
    <w:rsid w:val="006C3FC8"/>
    <w:rsid w:val="006C4F66"/>
    <w:rsid w:val="006C564D"/>
    <w:rsid w:val="006C5AD8"/>
    <w:rsid w:val="006C5CE7"/>
    <w:rsid w:val="006C6911"/>
    <w:rsid w:val="006C6A15"/>
    <w:rsid w:val="006C6F9D"/>
    <w:rsid w:val="006C6FE3"/>
    <w:rsid w:val="006C7606"/>
    <w:rsid w:val="006D0111"/>
    <w:rsid w:val="006D0E88"/>
    <w:rsid w:val="006D1D96"/>
    <w:rsid w:val="006D3097"/>
    <w:rsid w:val="006D30C3"/>
    <w:rsid w:val="006D37D3"/>
    <w:rsid w:val="006D3C42"/>
    <w:rsid w:val="006D3F9E"/>
    <w:rsid w:val="006D484D"/>
    <w:rsid w:val="006D4BD8"/>
    <w:rsid w:val="006D4C33"/>
    <w:rsid w:val="006D53BB"/>
    <w:rsid w:val="006D5C94"/>
    <w:rsid w:val="006D69CD"/>
    <w:rsid w:val="006D6A5A"/>
    <w:rsid w:val="006D6F25"/>
    <w:rsid w:val="006D73D0"/>
    <w:rsid w:val="006D754E"/>
    <w:rsid w:val="006D75F7"/>
    <w:rsid w:val="006D7709"/>
    <w:rsid w:val="006D787F"/>
    <w:rsid w:val="006D7AC0"/>
    <w:rsid w:val="006D7ECE"/>
    <w:rsid w:val="006E0342"/>
    <w:rsid w:val="006E04F8"/>
    <w:rsid w:val="006E0894"/>
    <w:rsid w:val="006E0CC2"/>
    <w:rsid w:val="006E0D35"/>
    <w:rsid w:val="006E114C"/>
    <w:rsid w:val="006E2468"/>
    <w:rsid w:val="006E34A3"/>
    <w:rsid w:val="006E44F6"/>
    <w:rsid w:val="006E452C"/>
    <w:rsid w:val="006E472A"/>
    <w:rsid w:val="006E5661"/>
    <w:rsid w:val="006E579E"/>
    <w:rsid w:val="006E5BF7"/>
    <w:rsid w:val="006E5F5E"/>
    <w:rsid w:val="006E71D6"/>
    <w:rsid w:val="006E754A"/>
    <w:rsid w:val="006E78BE"/>
    <w:rsid w:val="006F10C3"/>
    <w:rsid w:val="006F1855"/>
    <w:rsid w:val="006F1D06"/>
    <w:rsid w:val="006F1EDE"/>
    <w:rsid w:val="006F2074"/>
    <w:rsid w:val="006F233B"/>
    <w:rsid w:val="006F277B"/>
    <w:rsid w:val="006F2CD7"/>
    <w:rsid w:val="006F339E"/>
    <w:rsid w:val="006F3F08"/>
    <w:rsid w:val="006F43CE"/>
    <w:rsid w:val="006F47A2"/>
    <w:rsid w:val="006F4DEC"/>
    <w:rsid w:val="006F5048"/>
    <w:rsid w:val="006F54B8"/>
    <w:rsid w:val="006F5B8D"/>
    <w:rsid w:val="006F5D1D"/>
    <w:rsid w:val="006F6796"/>
    <w:rsid w:val="006F6C66"/>
    <w:rsid w:val="006F71B8"/>
    <w:rsid w:val="006F7307"/>
    <w:rsid w:val="006F77C0"/>
    <w:rsid w:val="00700075"/>
    <w:rsid w:val="007000AC"/>
    <w:rsid w:val="00700536"/>
    <w:rsid w:val="007006C0"/>
    <w:rsid w:val="00700CB0"/>
    <w:rsid w:val="0070121D"/>
    <w:rsid w:val="00701BA0"/>
    <w:rsid w:val="00702648"/>
    <w:rsid w:val="00702889"/>
    <w:rsid w:val="00702B1D"/>
    <w:rsid w:val="0070330E"/>
    <w:rsid w:val="00703FA8"/>
    <w:rsid w:val="00704856"/>
    <w:rsid w:val="00704ADB"/>
    <w:rsid w:val="007057F7"/>
    <w:rsid w:val="00705FEE"/>
    <w:rsid w:val="007065C5"/>
    <w:rsid w:val="00706B9F"/>
    <w:rsid w:val="00706BB3"/>
    <w:rsid w:val="00706C42"/>
    <w:rsid w:val="00706CE6"/>
    <w:rsid w:val="0070729A"/>
    <w:rsid w:val="0070743B"/>
    <w:rsid w:val="00707C6F"/>
    <w:rsid w:val="00710780"/>
    <w:rsid w:val="0071118D"/>
    <w:rsid w:val="007113F5"/>
    <w:rsid w:val="00711488"/>
    <w:rsid w:val="00711774"/>
    <w:rsid w:val="00711811"/>
    <w:rsid w:val="00711ED9"/>
    <w:rsid w:val="0071233F"/>
    <w:rsid w:val="0071238B"/>
    <w:rsid w:val="007123E3"/>
    <w:rsid w:val="00713261"/>
    <w:rsid w:val="007136AF"/>
    <w:rsid w:val="007141D9"/>
    <w:rsid w:val="007143D4"/>
    <w:rsid w:val="007145A9"/>
    <w:rsid w:val="00714914"/>
    <w:rsid w:val="0071582F"/>
    <w:rsid w:val="00715CEA"/>
    <w:rsid w:val="007162F0"/>
    <w:rsid w:val="00716C30"/>
    <w:rsid w:val="00716FDA"/>
    <w:rsid w:val="007171C1"/>
    <w:rsid w:val="007173C5"/>
    <w:rsid w:val="007174BF"/>
    <w:rsid w:val="00717F4B"/>
    <w:rsid w:val="00720096"/>
    <w:rsid w:val="00720C15"/>
    <w:rsid w:val="00721176"/>
    <w:rsid w:val="007218BF"/>
    <w:rsid w:val="00721D19"/>
    <w:rsid w:val="0072265A"/>
    <w:rsid w:val="00722FC1"/>
    <w:rsid w:val="0072329F"/>
    <w:rsid w:val="0072493B"/>
    <w:rsid w:val="00724B11"/>
    <w:rsid w:val="00724CF8"/>
    <w:rsid w:val="00725AE8"/>
    <w:rsid w:val="00725CB0"/>
    <w:rsid w:val="0072645B"/>
    <w:rsid w:val="00726590"/>
    <w:rsid w:val="007267BA"/>
    <w:rsid w:val="00727570"/>
    <w:rsid w:val="007276BD"/>
    <w:rsid w:val="00727809"/>
    <w:rsid w:val="00727880"/>
    <w:rsid w:val="00727911"/>
    <w:rsid w:val="00727DF7"/>
    <w:rsid w:val="0073006E"/>
    <w:rsid w:val="007305A3"/>
    <w:rsid w:val="0073067B"/>
    <w:rsid w:val="00730731"/>
    <w:rsid w:val="00730A09"/>
    <w:rsid w:val="00730B0A"/>
    <w:rsid w:val="00730CA7"/>
    <w:rsid w:val="00732BEC"/>
    <w:rsid w:val="007331BA"/>
    <w:rsid w:val="007331CA"/>
    <w:rsid w:val="007332D9"/>
    <w:rsid w:val="007334E5"/>
    <w:rsid w:val="00733CE2"/>
    <w:rsid w:val="007347FD"/>
    <w:rsid w:val="00734BD3"/>
    <w:rsid w:val="00734E5A"/>
    <w:rsid w:val="00735197"/>
    <w:rsid w:val="00736402"/>
    <w:rsid w:val="00736AA2"/>
    <w:rsid w:val="0073762E"/>
    <w:rsid w:val="007379EB"/>
    <w:rsid w:val="00740376"/>
    <w:rsid w:val="007416CA"/>
    <w:rsid w:val="00741AFD"/>
    <w:rsid w:val="00742337"/>
    <w:rsid w:val="00742CEC"/>
    <w:rsid w:val="00743301"/>
    <w:rsid w:val="007435D7"/>
    <w:rsid w:val="00743666"/>
    <w:rsid w:val="00743B06"/>
    <w:rsid w:val="00744CDD"/>
    <w:rsid w:val="00744F46"/>
    <w:rsid w:val="00744FDE"/>
    <w:rsid w:val="00745492"/>
    <w:rsid w:val="0074553C"/>
    <w:rsid w:val="0074598D"/>
    <w:rsid w:val="00745C3F"/>
    <w:rsid w:val="00745F4F"/>
    <w:rsid w:val="0074653A"/>
    <w:rsid w:val="00746E20"/>
    <w:rsid w:val="007470FF"/>
    <w:rsid w:val="00747194"/>
    <w:rsid w:val="0074764E"/>
    <w:rsid w:val="00747B71"/>
    <w:rsid w:val="007501BB"/>
    <w:rsid w:val="00750D6F"/>
    <w:rsid w:val="00750EE4"/>
    <w:rsid w:val="00751137"/>
    <w:rsid w:val="00751BB7"/>
    <w:rsid w:val="007526A9"/>
    <w:rsid w:val="007526D4"/>
    <w:rsid w:val="00752D85"/>
    <w:rsid w:val="00753479"/>
    <w:rsid w:val="00753606"/>
    <w:rsid w:val="00753849"/>
    <w:rsid w:val="00754D63"/>
    <w:rsid w:val="00754D7B"/>
    <w:rsid w:val="00755164"/>
    <w:rsid w:val="00755620"/>
    <w:rsid w:val="00755BA7"/>
    <w:rsid w:val="00755D99"/>
    <w:rsid w:val="00756794"/>
    <w:rsid w:val="00756801"/>
    <w:rsid w:val="0075685F"/>
    <w:rsid w:val="007571E8"/>
    <w:rsid w:val="00757929"/>
    <w:rsid w:val="00757AA1"/>
    <w:rsid w:val="00757B12"/>
    <w:rsid w:val="00757D93"/>
    <w:rsid w:val="007603A1"/>
    <w:rsid w:val="00760507"/>
    <w:rsid w:val="007607A6"/>
    <w:rsid w:val="00760A5E"/>
    <w:rsid w:val="00760B51"/>
    <w:rsid w:val="00761234"/>
    <w:rsid w:val="00761F3B"/>
    <w:rsid w:val="00761FF9"/>
    <w:rsid w:val="00762232"/>
    <w:rsid w:val="00763EAC"/>
    <w:rsid w:val="0076442B"/>
    <w:rsid w:val="0076525E"/>
    <w:rsid w:val="00765481"/>
    <w:rsid w:val="00765681"/>
    <w:rsid w:val="00765D13"/>
    <w:rsid w:val="0076634F"/>
    <w:rsid w:val="0076681C"/>
    <w:rsid w:val="00766D9C"/>
    <w:rsid w:val="00766F43"/>
    <w:rsid w:val="0076714D"/>
    <w:rsid w:val="00767D07"/>
    <w:rsid w:val="00767D21"/>
    <w:rsid w:val="00771E3B"/>
    <w:rsid w:val="007728EF"/>
    <w:rsid w:val="00772D57"/>
    <w:rsid w:val="007733FC"/>
    <w:rsid w:val="00774CD3"/>
    <w:rsid w:val="0077554A"/>
    <w:rsid w:val="007758E6"/>
    <w:rsid w:val="007763C9"/>
    <w:rsid w:val="00777CBF"/>
    <w:rsid w:val="00777F26"/>
    <w:rsid w:val="00777F80"/>
    <w:rsid w:val="0078041F"/>
    <w:rsid w:val="007804FE"/>
    <w:rsid w:val="00780C9B"/>
    <w:rsid w:val="007814C0"/>
    <w:rsid w:val="00781759"/>
    <w:rsid w:val="00781D9B"/>
    <w:rsid w:val="00782FF7"/>
    <w:rsid w:val="00783185"/>
    <w:rsid w:val="007831D4"/>
    <w:rsid w:val="00783E31"/>
    <w:rsid w:val="00784296"/>
    <w:rsid w:val="00785188"/>
    <w:rsid w:val="007851C5"/>
    <w:rsid w:val="0078579C"/>
    <w:rsid w:val="007859E5"/>
    <w:rsid w:val="00785BBD"/>
    <w:rsid w:val="00785D5B"/>
    <w:rsid w:val="0078709C"/>
    <w:rsid w:val="00787D9C"/>
    <w:rsid w:val="00790B5F"/>
    <w:rsid w:val="00791071"/>
    <w:rsid w:val="00791118"/>
    <w:rsid w:val="00791285"/>
    <w:rsid w:val="0079154A"/>
    <w:rsid w:val="00791DD6"/>
    <w:rsid w:val="00792CC4"/>
    <w:rsid w:val="00792EAE"/>
    <w:rsid w:val="0079350C"/>
    <w:rsid w:val="00793804"/>
    <w:rsid w:val="00793A87"/>
    <w:rsid w:val="00794C24"/>
    <w:rsid w:val="00794CC2"/>
    <w:rsid w:val="007958BC"/>
    <w:rsid w:val="00795A5E"/>
    <w:rsid w:val="00795DA6"/>
    <w:rsid w:val="00797662"/>
    <w:rsid w:val="0079780B"/>
    <w:rsid w:val="00797E9E"/>
    <w:rsid w:val="007A0374"/>
    <w:rsid w:val="007A0443"/>
    <w:rsid w:val="007A074C"/>
    <w:rsid w:val="007A0F0B"/>
    <w:rsid w:val="007A10F3"/>
    <w:rsid w:val="007A111F"/>
    <w:rsid w:val="007A17A3"/>
    <w:rsid w:val="007A17DE"/>
    <w:rsid w:val="007A1A14"/>
    <w:rsid w:val="007A1D73"/>
    <w:rsid w:val="007A2416"/>
    <w:rsid w:val="007A2A90"/>
    <w:rsid w:val="007A2E06"/>
    <w:rsid w:val="007A37EF"/>
    <w:rsid w:val="007A3D65"/>
    <w:rsid w:val="007A42E1"/>
    <w:rsid w:val="007A48A3"/>
    <w:rsid w:val="007A4BD8"/>
    <w:rsid w:val="007A52C2"/>
    <w:rsid w:val="007A632E"/>
    <w:rsid w:val="007A6789"/>
    <w:rsid w:val="007A6902"/>
    <w:rsid w:val="007A6CEA"/>
    <w:rsid w:val="007A6F15"/>
    <w:rsid w:val="007A7252"/>
    <w:rsid w:val="007A7855"/>
    <w:rsid w:val="007A7B2C"/>
    <w:rsid w:val="007B01C1"/>
    <w:rsid w:val="007B1148"/>
    <w:rsid w:val="007B22C9"/>
    <w:rsid w:val="007B230B"/>
    <w:rsid w:val="007B23E9"/>
    <w:rsid w:val="007B2C96"/>
    <w:rsid w:val="007B389A"/>
    <w:rsid w:val="007B3EED"/>
    <w:rsid w:val="007B4BC4"/>
    <w:rsid w:val="007B4CF3"/>
    <w:rsid w:val="007B4E6C"/>
    <w:rsid w:val="007B60BD"/>
    <w:rsid w:val="007B6184"/>
    <w:rsid w:val="007B6452"/>
    <w:rsid w:val="007B6AF3"/>
    <w:rsid w:val="007B6CCF"/>
    <w:rsid w:val="007B6D6F"/>
    <w:rsid w:val="007B75F1"/>
    <w:rsid w:val="007B788A"/>
    <w:rsid w:val="007B7A6A"/>
    <w:rsid w:val="007B7F69"/>
    <w:rsid w:val="007C07CE"/>
    <w:rsid w:val="007C0DC4"/>
    <w:rsid w:val="007C2296"/>
    <w:rsid w:val="007C28D2"/>
    <w:rsid w:val="007C2917"/>
    <w:rsid w:val="007C2E84"/>
    <w:rsid w:val="007C30DE"/>
    <w:rsid w:val="007C37B3"/>
    <w:rsid w:val="007C395D"/>
    <w:rsid w:val="007C43EF"/>
    <w:rsid w:val="007C5A47"/>
    <w:rsid w:val="007C5E70"/>
    <w:rsid w:val="007C631C"/>
    <w:rsid w:val="007C71EB"/>
    <w:rsid w:val="007C7B49"/>
    <w:rsid w:val="007D00D9"/>
    <w:rsid w:val="007D01B7"/>
    <w:rsid w:val="007D08D3"/>
    <w:rsid w:val="007D093D"/>
    <w:rsid w:val="007D09EC"/>
    <w:rsid w:val="007D09F2"/>
    <w:rsid w:val="007D1BE9"/>
    <w:rsid w:val="007D1FED"/>
    <w:rsid w:val="007D23E2"/>
    <w:rsid w:val="007D2815"/>
    <w:rsid w:val="007D28BC"/>
    <w:rsid w:val="007D2A94"/>
    <w:rsid w:val="007D2FED"/>
    <w:rsid w:val="007D37D5"/>
    <w:rsid w:val="007D4840"/>
    <w:rsid w:val="007D496D"/>
    <w:rsid w:val="007D61D6"/>
    <w:rsid w:val="007D69CB"/>
    <w:rsid w:val="007D6AD8"/>
    <w:rsid w:val="007D7081"/>
    <w:rsid w:val="007D73B1"/>
    <w:rsid w:val="007D7D81"/>
    <w:rsid w:val="007E026A"/>
    <w:rsid w:val="007E08D6"/>
    <w:rsid w:val="007E0EC1"/>
    <w:rsid w:val="007E0F4E"/>
    <w:rsid w:val="007E1082"/>
    <w:rsid w:val="007E10B9"/>
    <w:rsid w:val="007E171B"/>
    <w:rsid w:val="007E1729"/>
    <w:rsid w:val="007E2412"/>
    <w:rsid w:val="007E2554"/>
    <w:rsid w:val="007E2A77"/>
    <w:rsid w:val="007E2E6F"/>
    <w:rsid w:val="007E2F30"/>
    <w:rsid w:val="007E2FB5"/>
    <w:rsid w:val="007E3026"/>
    <w:rsid w:val="007E36B7"/>
    <w:rsid w:val="007E37DD"/>
    <w:rsid w:val="007E3FBB"/>
    <w:rsid w:val="007E472C"/>
    <w:rsid w:val="007E52FE"/>
    <w:rsid w:val="007E5683"/>
    <w:rsid w:val="007E56CF"/>
    <w:rsid w:val="007E57A3"/>
    <w:rsid w:val="007E62F5"/>
    <w:rsid w:val="007E669E"/>
    <w:rsid w:val="007E67EE"/>
    <w:rsid w:val="007E7BCF"/>
    <w:rsid w:val="007F093F"/>
    <w:rsid w:val="007F115C"/>
    <w:rsid w:val="007F1D5B"/>
    <w:rsid w:val="007F1FA6"/>
    <w:rsid w:val="007F26E4"/>
    <w:rsid w:val="007F2C0D"/>
    <w:rsid w:val="007F2D69"/>
    <w:rsid w:val="007F313F"/>
    <w:rsid w:val="007F348D"/>
    <w:rsid w:val="007F35DB"/>
    <w:rsid w:val="007F3A86"/>
    <w:rsid w:val="007F3F8A"/>
    <w:rsid w:val="007F4A16"/>
    <w:rsid w:val="007F4DDA"/>
    <w:rsid w:val="007F4DF2"/>
    <w:rsid w:val="007F5673"/>
    <w:rsid w:val="007F5783"/>
    <w:rsid w:val="007F57F9"/>
    <w:rsid w:val="007F5991"/>
    <w:rsid w:val="007F5CAA"/>
    <w:rsid w:val="007F63EB"/>
    <w:rsid w:val="007F667E"/>
    <w:rsid w:val="007F6915"/>
    <w:rsid w:val="007F6D85"/>
    <w:rsid w:val="007F718A"/>
    <w:rsid w:val="007F7AA0"/>
    <w:rsid w:val="007F7D30"/>
    <w:rsid w:val="007F7D87"/>
    <w:rsid w:val="00800077"/>
    <w:rsid w:val="00800834"/>
    <w:rsid w:val="008008A5"/>
    <w:rsid w:val="00802B70"/>
    <w:rsid w:val="0080326A"/>
    <w:rsid w:val="00803C26"/>
    <w:rsid w:val="00804036"/>
    <w:rsid w:val="00804282"/>
    <w:rsid w:val="00804459"/>
    <w:rsid w:val="008057AA"/>
    <w:rsid w:val="0080616B"/>
    <w:rsid w:val="008063D2"/>
    <w:rsid w:val="00806688"/>
    <w:rsid w:val="00807D42"/>
    <w:rsid w:val="00810637"/>
    <w:rsid w:val="008108C4"/>
    <w:rsid w:val="00810C63"/>
    <w:rsid w:val="008111F3"/>
    <w:rsid w:val="00811862"/>
    <w:rsid w:val="00812345"/>
    <w:rsid w:val="008124D4"/>
    <w:rsid w:val="008126CE"/>
    <w:rsid w:val="00812EC2"/>
    <w:rsid w:val="00813820"/>
    <w:rsid w:val="0081403F"/>
    <w:rsid w:val="00814600"/>
    <w:rsid w:val="0081511A"/>
    <w:rsid w:val="00815AFF"/>
    <w:rsid w:val="00816383"/>
    <w:rsid w:val="00817F8F"/>
    <w:rsid w:val="00820552"/>
    <w:rsid w:val="00820CEC"/>
    <w:rsid w:val="00821074"/>
    <w:rsid w:val="00821DFA"/>
    <w:rsid w:val="0082289B"/>
    <w:rsid w:val="008236DF"/>
    <w:rsid w:val="008236E5"/>
    <w:rsid w:val="00823735"/>
    <w:rsid w:val="00823AB0"/>
    <w:rsid w:val="00823CEB"/>
    <w:rsid w:val="00824008"/>
    <w:rsid w:val="008240FF"/>
    <w:rsid w:val="0082425E"/>
    <w:rsid w:val="008247AD"/>
    <w:rsid w:val="0082496B"/>
    <w:rsid w:val="008264B6"/>
    <w:rsid w:val="008273E3"/>
    <w:rsid w:val="00827BF9"/>
    <w:rsid w:val="00827DEC"/>
    <w:rsid w:val="00830298"/>
    <w:rsid w:val="008304EF"/>
    <w:rsid w:val="00830A32"/>
    <w:rsid w:val="008311E2"/>
    <w:rsid w:val="00831337"/>
    <w:rsid w:val="00832AF9"/>
    <w:rsid w:val="00832D31"/>
    <w:rsid w:val="00832F9D"/>
    <w:rsid w:val="00832FF9"/>
    <w:rsid w:val="00833963"/>
    <w:rsid w:val="008339DC"/>
    <w:rsid w:val="00833B66"/>
    <w:rsid w:val="00833D15"/>
    <w:rsid w:val="00834A2E"/>
    <w:rsid w:val="00834C0D"/>
    <w:rsid w:val="00834D18"/>
    <w:rsid w:val="0083511E"/>
    <w:rsid w:val="008353ED"/>
    <w:rsid w:val="00835710"/>
    <w:rsid w:val="00835904"/>
    <w:rsid w:val="00836B35"/>
    <w:rsid w:val="00836D38"/>
    <w:rsid w:val="00837266"/>
    <w:rsid w:val="008374C7"/>
    <w:rsid w:val="00837713"/>
    <w:rsid w:val="00837C14"/>
    <w:rsid w:val="00840233"/>
    <w:rsid w:val="008403C4"/>
    <w:rsid w:val="008405AE"/>
    <w:rsid w:val="0084080E"/>
    <w:rsid w:val="00840E72"/>
    <w:rsid w:val="00841EAC"/>
    <w:rsid w:val="00841FF6"/>
    <w:rsid w:val="008420DB"/>
    <w:rsid w:val="00842188"/>
    <w:rsid w:val="00842932"/>
    <w:rsid w:val="008429FE"/>
    <w:rsid w:val="00842A2B"/>
    <w:rsid w:val="00842B31"/>
    <w:rsid w:val="00842B58"/>
    <w:rsid w:val="00843450"/>
    <w:rsid w:val="0084352D"/>
    <w:rsid w:val="0084359F"/>
    <w:rsid w:val="00843F40"/>
    <w:rsid w:val="0084418C"/>
    <w:rsid w:val="008446C9"/>
    <w:rsid w:val="00845187"/>
    <w:rsid w:val="00845737"/>
    <w:rsid w:val="00845D26"/>
    <w:rsid w:val="008464C1"/>
    <w:rsid w:val="008466E0"/>
    <w:rsid w:val="00846785"/>
    <w:rsid w:val="0084691F"/>
    <w:rsid w:val="00847606"/>
    <w:rsid w:val="00847CD1"/>
    <w:rsid w:val="008505B8"/>
    <w:rsid w:val="00850630"/>
    <w:rsid w:val="00850A1B"/>
    <w:rsid w:val="00850E99"/>
    <w:rsid w:val="00850EF9"/>
    <w:rsid w:val="008513A5"/>
    <w:rsid w:val="00851A12"/>
    <w:rsid w:val="0085242C"/>
    <w:rsid w:val="008529B4"/>
    <w:rsid w:val="00852A1B"/>
    <w:rsid w:val="00852B4B"/>
    <w:rsid w:val="00852DD6"/>
    <w:rsid w:val="008532D9"/>
    <w:rsid w:val="008539EE"/>
    <w:rsid w:val="00853A92"/>
    <w:rsid w:val="008542D1"/>
    <w:rsid w:val="0085451F"/>
    <w:rsid w:val="00855665"/>
    <w:rsid w:val="008557E8"/>
    <w:rsid w:val="00855904"/>
    <w:rsid w:val="008562EA"/>
    <w:rsid w:val="00856442"/>
    <w:rsid w:val="00856608"/>
    <w:rsid w:val="008567B4"/>
    <w:rsid w:val="0085772C"/>
    <w:rsid w:val="008603D1"/>
    <w:rsid w:val="0086090E"/>
    <w:rsid w:val="00860B19"/>
    <w:rsid w:val="008610E9"/>
    <w:rsid w:val="00861A68"/>
    <w:rsid w:val="00861B53"/>
    <w:rsid w:val="0086210B"/>
    <w:rsid w:val="00862941"/>
    <w:rsid w:val="00862C0A"/>
    <w:rsid w:val="00863318"/>
    <w:rsid w:val="00863676"/>
    <w:rsid w:val="00863FE4"/>
    <w:rsid w:val="0086493F"/>
    <w:rsid w:val="008651FD"/>
    <w:rsid w:val="0086531F"/>
    <w:rsid w:val="00865B4E"/>
    <w:rsid w:val="008660E9"/>
    <w:rsid w:val="008669F1"/>
    <w:rsid w:val="00867066"/>
    <w:rsid w:val="00867E7F"/>
    <w:rsid w:val="00867F2F"/>
    <w:rsid w:val="00870022"/>
    <w:rsid w:val="008701B5"/>
    <w:rsid w:val="00871008"/>
    <w:rsid w:val="00871217"/>
    <w:rsid w:val="00871870"/>
    <w:rsid w:val="00871AE2"/>
    <w:rsid w:val="00871DD7"/>
    <w:rsid w:val="00871EF3"/>
    <w:rsid w:val="00873335"/>
    <w:rsid w:val="00873C8C"/>
    <w:rsid w:val="0087452B"/>
    <w:rsid w:val="0087468D"/>
    <w:rsid w:val="00874839"/>
    <w:rsid w:val="00874DF5"/>
    <w:rsid w:val="00875827"/>
    <w:rsid w:val="00875C8A"/>
    <w:rsid w:val="00875D6F"/>
    <w:rsid w:val="0087641E"/>
    <w:rsid w:val="0087771A"/>
    <w:rsid w:val="00877916"/>
    <w:rsid w:val="0088079E"/>
    <w:rsid w:val="00880D4E"/>
    <w:rsid w:val="0088117D"/>
    <w:rsid w:val="008815C2"/>
    <w:rsid w:val="0088180E"/>
    <w:rsid w:val="008824B7"/>
    <w:rsid w:val="00882938"/>
    <w:rsid w:val="00882ED4"/>
    <w:rsid w:val="00883360"/>
    <w:rsid w:val="008834E4"/>
    <w:rsid w:val="008840C9"/>
    <w:rsid w:val="00884552"/>
    <w:rsid w:val="008849DA"/>
    <w:rsid w:val="00884C7A"/>
    <w:rsid w:val="0088537F"/>
    <w:rsid w:val="00885D58"/>
    <w:rsid w:val="00885EE8"/>
    <w:rsid w:val="00885FD2"/>
    <w:rsid w:val="00886047"/>
    <w:rsid w:val="008873C4"/>
    <w:rsid w:val="0088767D"/>
    <w:rsid w:val="00887701"/>
    <w:rsid w:val="00887822"/>
    <w:rsid w:val="00890389"/>
    <w:rsid w:val="00890857"/>
    <w:rsid w:val="00890EB6"/>
    <w:rsid w:val="00891108"/>
    <w:rsid w:val="0089129D"/>
    <w:rsid w:val="008917CC"/>
    <w:rsid w:val="008920BF"/>
    <w:rsid w:val="00892379"/>
    <w:rsid w:val="0089259F"/>
    <w:rsid w:val="00893A25"/>
    <w:rsid w:val="00894628"/>
    <w:rsid w:val="00894B93"/>
    <w:rsid w:val="0089570C"/>
    <w:rsid w:val="0089592D"/>
    <w:rsid w:val="00895A39"/>
    <w:rsid w:val="00895C4D"/>
    <w:rsid w:val="00896D85"/>
    <w:rsid w:val="00897146"/>
    <w:rsid w:val="00897895"/>
    <w:rsid w:val="00897ABB"/>
    <w:rsid w:val="008A0C5E"/>
    <w:rsid w:val="008A1115"/>
    <w:rsid w:val="008A1467"/>
    <w:rsid w:val="008A1B7C"/>
    <w:rsid w:val="008A2F7E"/>
    <w:rsid w:val="008A332B"/>
    <w:rsid w:val="008A36C6"/>
    <w:rsid w:val="008A43A5"/>
    <w:rsid w:val="008A49C4"/>
    <w:rsid w:val="008A4CF8"/>
    <w:rsid w:val="008A5119"/>
    <w:rsid w:val="008A610E"/>
    <w:rsid w:val="008A61D0"/>
    <w:rsid w:val="008A6487"/>
    <w:rsid w:val="008A6937"/>
    <w:rsid w:val="008A7BAE"/>
    <w:rsid w:val="008A7C1A"/>
    <w:rsid w:val="008B0200"/>
    <w:rsid w:val="008B0209"/>
    <w:rsid w:val="008B06CE"/>
    <w:rsid w:val="008B11A2"/>
    <w:rsid w:val="008B17C7"/>
    <w:rsid w:val="008B1A12"/>
    <w:rsid w:val="008B1E81"/>
    <w:rsid w:val="008B26F3"/>
    <w:rsid w:val="008B35F7"/>
    <w:rsid w:val="008B385E"/>
    <w:rsid w:val="008B3984"/>
    <w:rsid w:val="008B425D"/>
    <w:rsid w:val="008B4302"/>
    <w:rsid w:val="008B46FE"/>
    <w:rsid w:val="008B4865"/>
    <w:rsid w:val="008B4875"/>
    <w:rsid w:val="008B5225"/>
    <w:rsid w:val="008B585A"/>
    <w:rsid w:val="008B5F35"/>
    <w:rsid w:val="008B60C4"/>
    <w:rsid w:val="008B617C"/>
    <w:rsid w:val="008B6294"/>
    <w:rsid w:val="008B6766"/>
    <w:rsid w:val="008B6C50"/>
    <w:rsid w:val="008B6E5F"/>
    <w:rsid w:val="008B72D4"/>
    <w:rsid w:val="008B7F49"/>
    <w:rsid w:val="008C033C"/>
    <w:rsid w:val="008C0723"/>
    <w:rsid w:val="008C0EE9"/>
    <w:rsid w:val="008C1059"/>
    <w:rsid w:val="008C1277"/>
    <w:rsid w:val="008C14F4"/>
    <w:rsid w:val="008C1AEC"/>
    <w:rsid w:val="008C29B5"/>
    <w:rsid w:val="008C2A28"/>
    <w:rsid w:val="008C3321"/>
    <w:rsid w:val="008C38A5"/>
    <w:rsid w:val="008C3BD1"/>
    <w:rsid w:val="008C3DBC"/>
    <w:rsid w:val="008C42B1"/>
    <w:rsid w:val="008C453D"/>
    <w:rsid w:val="008C4F59"/>
    <w:rsid w:val="008C4FFE"/>
    <w:rsid w:val="008C5677"/>
    <w:rsid w:val="008C576D"/>
    <w:rsid w:val="008C5DA0"/>
    <w:rsid w:val="008C5F52"/>
    <w:rsid w:val="008C6226"/>
    <w:rsid w:val="008C750D"/>
    <w:rsid w:val="008C7E07"/>
    <w:rsid w:val="008C7FE4"/>
    <w:rsid w:val="008D0202"/>
    <w:rsid w:val="008D0463"/>
    <w:rsid w:val="008D0691"/>
    <w:rsid w:val="008D0B77"/>
    <w:rsid w:val="008D0DAC"/>
    <w:rsid w:val="008D14D4"/>
    <w:rsid w:val="008D1887"/>
    <w:rsid w:val="008D1A20"/>
    <w:rsid w:val="008D1A32"/>
    <w:rsid w:val="008D21C1"/>
    <w:rsid w:val="008D2B82"/>
    <w:rsid w:val="008D2C24"/>
    <w:rsid w:val="008D3BF2"/>
    <w:rsid w:val="008D46D7"/>
    <w:rsid w:val="008D4EB8"/>
    <w:rsid w:val="008D5BE4"/>
    <w:rsid w:val="008D5BE8"/>
    <w:rsid w:val="008D609E"/>
    <w:rsid w:val="008D63D9"/>
    <w:rsid w:val="008D6791"/>
    <w:rsid w:val="008D6A91"/>
    <w:rsid w:val="008D6DBF"/>
    <w:rsid w:val="008D6F8B"/>
    <w:rsid w:val="008D74EE"/>
    <w:rsid w:val="008E020D"/>
    <w:rsid w:val="008E0352"/>
    <w:rsid w:val="008E0570"/>
    <w:rsid w:val="008E169A"/>
    <w:rsid w:val="008E189B"/>
    <w:rsid w:val="008E1F78"/>
    <w:rsid w:val="008E2178"/>
    <w:rsid w:val="008E21A4"/>
    <w:rsid w:val="008E2676"/>
    <w:rsid w:val="008E2973"/>
    <w:rsid w:val="008E2E79"/>
    <w:rsid w:val="008E2FAF"/>
    <w:rsid w:val="008E33B8"/>
    <w:rsid w:val="008E3C9D"/>
    <w:rsid w:val="008E4584"/>
    <w:rsid w:val="008E467A"/>
    <w:rsid w:val="008E5458"/>
    <w:rsid w:val="008E65A4"/>
    <w:rsid w:val="008E6A18"/>
    <w:rsid w:val="008E6CC5"/>
    <w:rsid w:val="008E6DBE"/>
    <w:rsid w:val="008E7378"/>
    <w:rsid w:val="008E756E"/>
    <w:rsid w:val="008E769B"/>
    <w:rsid w:val="008E78EB"/>
    <w:rsid w:val="008F0341"/>
    <w:rsid w:val="008F05F3"/>
    <w:rsid w:val="008F10E7"/>
    <w:rsid w:val="008F1161"/>
    <w:rsid w:val="008F14D7"/>
    <w:rsid w:val="008F1A1F"/>
    <w:rsid w:val="008F1F44"/>
    <w:rsid w:val="008F2376"/>
    <w:rsid w:val="008F281D"/>
    <w:rsid w:val="008F3821"/>
    <w:rsid w:val="008F3B13"/>
    <w:rsid w:val="008F3D97"/>
    <w:rsid w:val="008F578B"/>
    <w:rsid w:val="008F60B6"/>
    <w:rsid w:val="008F6162"/>
    <w:rsid w:val="008F6839"/>
    <w:rsid w:val="008F6E3F"/>
    <w:rsid w:val="008F6F5D"/>
    <w:rsid w:val="008F7074"/>
    <w:rsid w:val="008F7087"/>
    <w:rsid w:val="008F7091"/>
    <w:rsid w:val="008F7852"/>
    <w:rsid w:val="008F7B38"/>
    <w:rsid w:val="008F7DD9"/>
    <w:rsid w:val="00900EBA"/>
    <w:rsid w:val="009014AF"/>
    <w:rsid w:val="009017A9"/>
    <w:rsid w:val="0090190B"/>
    <w:rsid w:val="009020F5"/>
    <w:rsid w:val="009027CE"/>
    <w:rsid w:val="00902B4C"/>
    <w:rsid w:val="00902D92"/>
    <w:rsid w:val="00902FF3"/>
    <w:rsid w:val="0090438F"/>
    <w:rsid w:val="00904555"/>
    <w:rsid w:val="00905131"/>
    <w:rsid w:val="0090540F"/>
    <w:rsid w:val="00905E09"/>
    <w:rsid w:val="009066F0"/>
    <w:rsid w:val="00906B4E"/>
    <w:rsid w:val="00906ED3"/>
    <w:rsid w:val="00906F7C"/>
    <w:rsid w:val="0090722C"/>
    <w:rsid w:val="00907338"/>
    <w:rsid w:val="00907F82"/>
    <w:rsid w:val="00910C78"/>
    <w:rsid w:val="00910EA7"/>
    <w:rsid w:val="00910F6C"/>
    <w:rsid w:val="00911143"/>
    <w:rsid w:val="00911489"/>
    <w:rsid w:val="009117BE"/>
    <w:rsid w:val="009120B4"/>
    <w:rsid w:val="009124DA"/>
    <w:rsid w:val="00913694"/>
    <w:rsid w:val="009137CF"/>
    <w:rsid w:val="0091481D"/>
    <w:rsid w:val="009157A2"/>
    <w:rsid w:val="00915BBA"/>
    <w:rsid w:val="00915C50"/>
    <w:rsid w:val="00915FF6"/>
    <w:rsid w:val="0091627D"/>
    <w:rsid w:val="009167FE"/>
    <w:rsid w:val="009169F4"/>
    <w:rsid w:val="00916B75"/>
    <w:rsid w:val="00916C0C"/>
    <w:rsid w:val="00916FDC"/>
    <w:rsid w:val="0091702E"/>
    <w:rsid w:val="00917B15"/>
    <w:rsid w:val="009201F5"/>
    <w:rsid w:val="00920439"/>
    <w:rsid w:val="009209EC"/>
    <w:rsid w:val="00920B09"/>
    <w:rsid w:val="00921115"/>
    <w:rsid w:val="009213AE"/>
    <w:rsid w:val="00921596"/>
    <w:rsid w:val="009243C1"/>
    <w:rsid w:val="009258CB"/>
    <w:rsid w:val="00925FAA"/>
    <w:rsid w:val="00926B9B"/>
    <w:rsid w:val="00926D1B"/>
    <w:rsid w:val="00926D33"/>
    <w:rsid w:val="009278B1"/>
    <w:rsid w:val="00927C7A"/>
    <w:rsid w:val="00927E30"/>
    <w:rsid w:val="00927FDF"/>
    <w:rsid w:val="00930D2E"/>
    <w:rsid w:val="00930F65"/>
    <w:rsid w:val="0093185C"/>
    <w:rsid w:val="00931C0D"/>
    <w:rsid w:val="0093288E"/>
    <w:rsid w:val="00932F9E"/>
    <w:rsid w:val="0093300A"/>
    <w:rsid w:val="00933375"/>
    <w:rsid w:val="009334DB"/>
    <w:rsid w:val="00933E5E"/>
    <w:rsid w:val="00933FD4"/>
    <w:rsid w:val="00934195"/>
    <w:rsid w:val="0093445D"/>
    <w:rsid w:val="009351CD"/>
    <w:rsid w:val="009358A0"/>
    <w:rsid w:val="00935B36"/>
    <w:rsid w:val="00935C51"/>
    <w:rsid w:val="00935CD3"/>
    <w:rsid w:val="00935EC2"/>
    <w:rsid w:val="0093627A"/>
    <w:rsid w:val="00940E4E"/>
    <w:rsid w:val="00941023"/>
    <w:rsid w:val="009417B7"/>
    <w:rsid w:val="00941984"/>
    <w:rsid w:val="009421B3"/>
    <w:rsid w:val="00942DFB"/>
    <w:rsid w:val="00942FD4"/>
    <w:rsid w:val="00943600"/>
    <w:rsid w:val="009436CF"/>
    <w:rsid w:val="009437CE"/>
    <w:rsid w:val="00943EDA"/>
    <w:rsid w:val="009445BC"/>
    <w:rsid w:val="009446BC"/>
    <w:rsid w:val="0094554D"/>
    <w:rsid w:val="00945A37"/>
    <w:rsid w:val="00945A6E"/>
    <w:rsid w:val="00945A71"/>
    <w:rsid w:val="00945D0C"/>
    <w:rsid w:val="00945FBA"/>
    <w:rsid w:val="00946094"/>
    <w:rsid w:val="009460A4"/>
    <w:rsid w:val="009466B8"/>
    <w:rsid w:val="009468B2"/>
    <w:rsid w:val="00946CBF"/>
    <w:rsid w:val="00947985"/>
    <w:rsid w:val="009479CA"/>
    <w:rsid w:val="00950DFA"/>
    <w:rsid w:val="009511ED"/>
    <w:rsid w:val="009517A9"/>
    <w:rsid w:val="009517C1"/>
    <w:rsid w:val="00951EDD"/>
    <w:rsid w:val="00953023"/>
    <w:rsid w:val="00953836"/>
    <w:rsid w:val="009543BE"/>
    <w:rsid w:val="00954685"/>
    <w:rsid w:val="00954835"/>
    <w:rsid w:val="0095485C"/>
    <w:rsid w:val="009558C5"/>
    <w:rsid w:val="00955C70"/>
    <w:rsid w:val="00955D19"/>
    <w:rsid w:val="00955F4A"/>
    <w:rsid w:val="0095623E"/>
    <w:rsid w:val="00956BC3"/>
    <w:rsid w:val="0095744C"/>
    <w:rsid w:val="00957A51"/>
    <w:rsid w:val="00957D78"/>
    <w:rsid w:val="00957E38"/>
    <w:rsid w:val="00957F30"/>
    <w:rsid w:val="0096054C"/>
    <w:rsid w:val="00960E8C"/>
    <w:rsid w:val="00961DED"/>
    <w:rsid w:val="00961E6A"/>
    <w:rsid w:val="0096280D"/>
    <w:rsid w:val="009630DA"/>
    <w:rsid w:val="00963AF3"/>
    <w:rsid w:val="00963F2B"/>
    <w:rsid w:val="009647EB"/>
    <w:rsid w:val="009651A9"/>
    <w:rsid w:val="00965668"/>
    <w:rsid w:val="00965E4A"/>
    <w:rsid w:val="0096646C"/>
    <w:rsid w:val="00966BDF"/>
    <w:rsid w:val="00966FE1"/>
    <w:rsid w:val="00967A2C"/>
    <w:rsid w:val="00967B67"/>
    <w:rsid w:val="00967FCB"/>
    <w:rsid w:val="00972E6B"/>
    <w:rsid w:val="00973D32"/>
    <w:rsid w:val="00973F03"/>
    <w:rsid w:val="00973FE6"/>
    <w:rsid w:val="00974664"/>
    <w:rsid w:val="0097487C"/>
    <w:rsid w:val="00974B49"/>
    <w:rsid w:val="00974E1B"/>
    <w:rsid w:val="009754C6"/>
    <w:rsid w:val="00975C02"/>
    <w:rsid w:val="00975E30"/>
    <w:rsid w:val="009764EF"/>
    <w:rsid w:val="00976759"/>
    <w:rsid w:val="00977A63"/>
    <w:rsid w:val="009805AB"/>
    <w:rsid w:val="00980760"/>
    <w:rsid w:val="00980B14"/>
    <w:rsid w:val="009810B5"/>
    <w:rsid w:val="009814F8"/>
    <w:rsid w:val="0098165A"/>
    <w:rsid w:val="009816FB"/>
    <w:rsid w:val="00981872"/>
    <w:rsid w:val="0098291D"/>
    <w:rsid w:val="00982A11"/>
    <w:rsid w:val="00983B8A"/>
    <w:rsid w:val="00984AA0"/>
    <w:rsid w:val="0098569D"/>
    <w:rsid w:val="00985A98"/>
    <w:rsid w:val="00985C83"/>
    <w:rsid w:val="00985E20"/>
    <w:rsid w:val="0098635C"/>
    <w:rsid w:val="009867D6"/>
    <w:rsid w:val="0098709C"/>
    <w:rsid w:val="00987714"/>
    <w:rsid w:val="00987A0D"/>
    <w:rsid w:val="00987DA7"/>
    <w:rsid w:val="00987F91"/>
    <w:rsid w:val="009900CF"/>
    <w:rsid w:val="00990886"/>
    <w:rsid w:val="009908FD"/>
    <w:rsid w:val="009910C4"/>
    <w:rsid w:val="00991597"/>
    <w:rsid w:val="0099287A"/>
    <w:rsid w:val="00992B00"/>
    <w:rsid w:val="0099348C"/>
    <w:rsid w:val="00993C6D"/>
    <w:rsid w:val="00994180"/>
    <w:rsid w:val="009943EE"/>
    <w:rsid w:val="009944A6"/>
    <w:rsid w:val="009945AE"/>
    <w:rsid w:val="00994613"/>
    <w:rsid w:val="0099485F"/>
    <w:rsid w:val="00994879"/>
    <w:rsid w:val="00994B32"/>
    <w:rsid w:val="00994C8A"/>
    <w:rsid w:val="0099548A"/>
    <w:rsid w:val="0099590D"/>
    <w:rsid w:val="00995AD4"/>
    <w:rsid w:val="00995B02"/>
    <w:rsid w:val="00995B44"/>
    <w:rsid w:val="00995F87"/>
    <w:rsid w:val="00996363"/>
    <w:rsid w:val="009963BB"/>
    <w:rsid w:val="009964AC"/>
    <w:rsid w:val="00996BF1"/>
    <w:rsid w:val="00997CF0"/>
    <w:rsid w:val="009A0060"/>
    <w:rsid w:val="009A04A2"/>
    <w:rsid w:val="009A0520"/>
    <w:rsid w:val="009A0C93"/>
    <w:rsid w:val="009A0EF3"/>
    <w:rsid w:val="009A0F59"/>
    <w:rsid w:val="009A1370"/>
    <w:rsid w:val="009A2250"/>
    <w:rsid w:val="009A38EB"/>
    <w:rsid w:val="009A3CB2"/>
    <w:rsid w:val="009A3E37"/>
    <w:rsid w:val="009A4445"/>
    <w:rsid w:val="009A51A6"/>
    <w:rsid w:val="009A547E"/>
    <w:rsid w:val="009A5889"/>
    <w:rsid w:val="009A5B92"/>
    <w:rsid w:val="009A6AA7"/>
    <w:rsid w:val="009A6D39"/>
    <w:rsid w:val="009A7037"/>
    <w:rsid w:val="009B04EC"/>
    <w:rsid w:val="009B0534"/>
    <w:rsid w:val="009B0755"/>
    <w:rsid w:val="009B0EAA"/>
    <w:rsid w:val="009B0EC4"/>
    <w:rsid w:val="009B1767"/>
    <w:rsid w:val="009B198A"/>
    <w:rsid w:val="009B1FE4"/>
    <w:rsid w:val="009B220F"/>
    <w:rsid w:val="009B2777"/>
    <w:rsid w:val="009B27E0"/>
    <w:rsid w:val="009B28C6"/>
    <w:rsid w:val="009B2C99"/>
    <w:rsid w:val="009B2DB7"/>
    <w:rsid w:val="009B2FB2"/>
    <w:rsid w:val="009B320D"/>
    <w:rsid w:val="009B3EBD"/>
    <w:rsid w:val="009B408E"/>
    <w:rsid w:val="009B5105"/>
    <w:rsid w:val="009B607B"/>
    <w:rsid w:val="009B6633"/>
    <w:rsid w:val="009B67CE"/>
    <w:rsid w:val="009B6C09"/>
    <w:rsid w:val="009B6CB9"/>
    <w:rsid w:val="009B7559"/>
    <w:rsid w:val="009B7960"/>
    <w:rsid w:val="009C054F"/>
    <w:rsid w:val="009C1118"/>
    <w:rsid w:val="009C137E"/>
    <w:rsid w:val="009C15B0"/>
    <w:rsid w:val="009C1C2E"/>
    <w:rsid w:val="009C1FCF"/>
    <w:rsid w:val="009C221F"/>
    <w:rsid w:val="009C22FA"/>
    <w:rsid w:val="009C231C"/>
    <w:rsid w:val="009C2966"/>
    <w:rsid w:val="009C2AF2"/>
    <w:rsid w:val="009C3BDE"/>
    <w:rsid w:val="009C3DF0"/>
    <w:rsid w:val="009C4178"/>
    <w:rsid w:val="009C473D"/>
    <w:rsid w:val="009C5FE9"/>
    <w:rsid w:val="009C62D0"/>
    <w:rsid w:val="009C75A6"/>
    <w:rsid w:val="009C76BC"/>
    <w:rsid w:val="009C7793"/>
    <w:rsid w:val="009C7A84"/>
    <w:rsid w:val="009D01BA"/>
    <w:rsid w:val="009D0B2B"/>
    <w:rsid w:val="009D11EF"/>
    <w:rsid w:val="009D12A7"/>
    <w:rsid w:val="009D1EBC"/>
    <w:rsid w:val="009D2AAA"/>
    <w:rsid w:val="009D3678"/>
    <w:rsid w:val="009D420B"/>
    <w:rsid w:val="009D4913"/>
    <w:rsid w:val="009D500F"/>
    <w:rsid w:val="009D546A"/>
    <w:rsid w:val="009D5E29"/>
    <w:rsid w:val="009D6205"/>
    <w:rsid w:val="009D646B"/>
    <w:rsid w:val="009D661E"/>
    <w:rsid w:val="009D69C1"/>
    <w:rsid w:val="009D6B92"/>
    <w:rsid w:val="009D771C"/>
    <w:rsid w:val="009E055A"/>
    <w:rsid w:val="009E077B"/>
    <w:rsid w:val="009E07E7"/>
    <w:rsid w:val="009E0A16"/>
    <w:rsid w:val="009E12B4"/>
    <w:rsid w:val="009E2029"/>
    <w:rsid w:val="009E259D"/>
    <w:rsid w:val="009E2A5B"/>
    <w:rsid w:val="009E2B27"/>
    <w:rsid w:val="009E2D35"/>
    <w:rsid w:val="009E3966"/>
    <w:rsid w:val="009E49EB"/>
    <w:rsid w:val="009E507A"/>
    <w:rsid w:val="009E5385"/>
    <w:rsid w:val="009E5AD1"/>
    <w:rsid w:val="009E5D7F"/>
    <w:rsid w:val="009E6277"/>
    <w:rsid w:val="009E649E"/>
    <w:rsid w:val="009E6D8D"/>
    <w:rsid w:val="009E6E53"/>
    <w:rsid w:val="009E758A"/>
    <w:rsid w:val="009E7B5D"/>
    <w:rsid w:val="009F015A"/>
    <w:rsid w:val="009F0767"/>
    <w:rsid w:val="009F0D62"/>
    <w:rsid w:val="009F0E23"/>
    <w:rsid w:val="009F0F61"/>
    <w:rsid w:val="009F0F98"/>
    <w:rsid w:val="009F0FC8"/>
    <w:rsid w:val="009F112A"/>
    <w:rsid w:val="009F1757"/>
    <w:rsid w:val="009F1A09"/>
    <w:rsid w:val="009F1F26"/>
    <w:rsid w:val="009F26BE"/>
    <w:rsid w:val="009F30EC"/>
    <w:rsid w:val="009F3187"/>
    <w:rsid w:val="009F39CB"/>
    <w:rsid w:val="009F412E"/>
    <w:rsid w:val="009F475F"/>
    <w:rsid w:val="009F4886"/>
    <w:rsid w:val="009F48CA"/>
    <w:rsid w:val="009F509D"/>
    <w:rsid w:val="009F6426"/>
    <w:rsid w:val="009F687B"/>
    <w:rsid w:val="009F6A90"/>
    <w:rsid w:val="009F6E7D"/>
    <w:rsid w:val="009F74CE"/>
    <w:rsid w:val="009F7C9B"/>
    <w:rsid w:val="009F7D42"/>
    <w:rsid w:val="00A01862"/>
    <w:rsid w:val="00A01AA9"/>
    <w:rsid w:val="00A01C02"/>
    <w:rsid w:val="00A02FB7"/>
    <w:rsid w:val="00A03804"/>
    <w:rsid w:val="00A03C5B"/>
    <w:rsid w:val="00A03CDB"/>
    <w:rsid w:val="00A053F1"/>
    <w:rsid w:val="00A055CB"/>
    <w:rsid w:val="00A05871"/>
    <w:rsid w:val="00A05AA3"/>
    <w:rsid w:val="00A063FD"/>
    <w:rsid w:val="00A06C89"/>
    <w:rsid w:val="00A074F3"/>
    <w:rsid w:val="00A07760"/>
    <w:rsid w:val="00A10BF9"/>
    <w:rsid w:val="00A10FFE"/>
    <w:rsid w:val="00A11333"/>
    <w:rsid w:val="00A113EB"/>
    <w:rsid w:val="00A11CC7"/>
    <w:rsid w:val="00A12BA9"/>
    <w:rsid w:val="00A132A2"/>
    <w:rsid w:val="00A1332B"/>
    <w:rsid w:val="00A13E2D"/>
    <w:rsid w:val="00A1408D"/>
    <w:rsid w:val="00A148DD"/>
    <w:rsid w:val="00A14B91"/>
    <w:rsid w:val="00A1553B"/>
    <w:rsid w:val="00A1616F"/>
    <w:rsid w:val="00A1637E"/>
    <w:rsid w:val="00A166A7"/>
    <w:rsid w:val="00A169C0"/>
    <w:rsid w:val="00A173EC"/>
    <w:rsid w:val="00A17650"/>
    <w:rsid w:val="00A176E2"/>
    <w:rsid w:val="00A177BC"/>
    <w:rsid w:val="00A17B77"/>
    <w:rsid w:val="00A20472"/>
    <w:rsid w:val="00A2086D"/>
    <w:rsid w:val="00A21278"/>
    <w:rsid w:val="00A224C6"/>
    <w:rsid w:val="00A22A01"/>
    <w:rsid w:val="00A22E8D"/>
    <w:rsid w:val="00A23E29"/>
    <w:rsid w:val="00A24269"/>
    <w:rsid w:val="00A24670"/>
    <w:rsid w:val="00A246A1"/>
    <w:rsid w:val="00A24964"/>
    <w:rsid w:val="00A24B7F"/>
    <w:rsid w:val="00A2523A"/>
    <w:rsid w:val="00A256D4"/>
    <w:rsid w:val="00A2587C"/>
    <w:rsid w:val="00A25E39"/>
    <w:rsid w:val="00A263E6"/>
    <w:rsid w:val="00A26522"/>
    <w:rsid w:val="00A268CA"/>
    <w:rsid w:val="00A26F4E"/>
    <w:rsid w:val="00A26FA9"/>
    <w:rsid w:val="00A26FFD"/>
    <w:rsid w:val="00A2783A"/>
    <w:rsid w:val="00A279EB"/>
    <w:rsid w:val="00A27BE6"/>
    <w:rsid w:val="00A30577"/>
    <w:rsid w:val="00A307E5"/>
    <w:rsid w:val="00A309F3"/>
    <w:rsid w:val="00A30A9E"/>
    <w:rsid w:val="00A30E34"/>
    <w:rsid w:val="00A32354"/>
    <w:rsid w:val="00A32830"/>
    <w:rsid w:val="00A328F6"/>
    <w:rsid w:val="00A32A17"/>
    <w:rsid w:val="00A32A5E"/>
    <w:rsid w:val="00A32E83"/>
    <w:rsid w:val="00A32F1C"/>
    <w:rsid w:val="00A32FB4"/>
    <w:rsid w:val="00A340D0"/>
    <w:rsid w:val="00A34109"/>
    <w:rsid w:val="00A34D22"/>
    <w:rsid w:val="00A34F70"/>
    <w:rsid w:val="00A35056"/>
    <w:rsid w:val="00A3578B"/>
    <w:rsid w:val="00A3617C"/>
    <w:rsid w:val="00A36D68"/>
    <w:rsid w:val="00A371D3"/>
    <w:rsid w:val="00A37590"/>
    <w:rsid w:val="00A37648"/>
    <w:rsid w:val="00A37A04"/>
    <w:rsid w:val="00A37C03"/>
    <w:rsid w:val="00A37E3B"/>
    <w:rsid w:val="00A37EC3"/>
    <w:rsid w:val="00A40487"/>
    <w:rsid w:val="00A40F4A"/>
    <w:rsid w:val="00A4114A"/>
    <w:rsid w:val="00A4184D"/>
    <w:rsid w:val="00A41DAC"/>
    <w:rsid w:val="00A42106"/>
    <w:rsid w:val="00A422F9"/>
    <w:rsid w:val="00A42E5B"/>
    <w:rsid w:val="00A4321F"/>
    <w:rsid w:val="00A43C46"/>
    <w:rsid w:val="00A43FE8"/>
    <w:rsid w:val="00A44FD8"/>
    <w:rsid w:val="00A45478"/>
    <w:rsid w:val="00A4555D"/>
    <w:rsid w:val="00A4581D"/>
    <w:rsid w:val="00A45DF0"/>
    <w:rsid w:val="00A464D8"/>
    <w:rsid w:val="00A46AD1"/>
    <w:rsid w:val="00A46B71"/>
    <w:rsid w:val="00A46CA4"/>
    <w:rsid w:val="00A46EFD"/>
    <w:rsid w:val="00A470D3"/>
    <w:rsid w:val="00A471BD"/>
    <w:rsid w:val="00A473DF"/>
    <w:rsid w:val="00A50544"/>
    <w:rsid w:val="00A507E2"/>
    <w:rsid w:val="00A513AB"/>
    <w:rsid w:val="00A51640"/>
    <w:rsid w:val="00A524E0"/>
    <w:rsid w:val="00A52E82"/>
    <w:rsid w:val="00A53474"/>
    <w:rsid w:val="00A5356B"/>
    <w:rsid w:val="00A536F2"/>
    <w:rsid w:val="00A538B5"/>
    <w:rsid w:val="00A53FD8"/>
    <w:rsid w:val="00A54114"/>
    <w:rsid w:val="00A54761"/>
    <w:rsid w:val="00A54BE5"/>
    <w:rsid w:val="00A558B0"/>
    <w:rsid w:val="00A559AF"/>
    <w:rsid w:val="00A55B91"/>
    <w:rsid w:val="00A55D8D"/>
    <w:rsid w:val="00A60103"/>
    <w:rsid w:val="00A60538"/>
    <w:rsid w:val="00A60D4A"/>
    <w:rsid w:val="00A61050"/>
    <w:rsid w:val="00A61888"/>
    <w:rsid w:val="00A62420"/>
    <w:rsid w:val="00A62F04"/>
    <w:rsid w:val="00A637AA"/>
    <w:rsid w:val="00A63BDD"/>
    <w:rsid w:val="00A6468A"/>
    <w:rsid w:val="00A64877"/>
    <w:rsid w:val="00A650C8"/>
    <w:rsid w:val="00A6603E"/>
    <w:rsid w:val="00A6681F"/>
    <w:rsid w:val="00A66DBB"/>
    <w:rsid w:val="00A67061"/>
    <w:rsid w:val="00A67230"/>
    <w:rsid w:val="00A6746A"/>
    <w:rsid w:val="00A675BC"/>
    <w:rsid w:val="00A676C0"/>
    <w:rsid w:val="00A67989"/>
    <w:rsid w:val="00A67C2B"/>
    <w:rsid w:val="00A67D93"/>
    <w:rsid w:val="00A67DF8"/>
    <w:rsid w:val="00A70289"/>
    <w:rsid w:val="00A70429"/>
    <w:rsid w:val="00A7133E"/>
    <w:rsid w:val="00A71482"/>
    <w:rsid w:val="00A71D2A"/>
    <w:rsid w:val="00A72628"/>
    <w:rsid w:val="00A72BD7"/>
    <w:rsid w:val="00A72FDE"/>
    <w:rsid w:val="00A7309A"/>
    <w:rsid w:val="00A73EE4"/>
    <w:rsid w:val="00A740DF"/>
    <w:rsid w:val="00A74954"/>
    <w:rsid w:val="00A74F5A"/>
    <w:rsid w:val="00A75652"/>
    <w:rsid w:val="00A7669A"/>
    <w:rsid w:val="00A767BC"/>
    <w:rsid w:val="00A76F9F"/>
    <w:rsid w:val="00A77311"/>
    <w:rsid w:val="00A777D4"/>
    <w:rsid w:val="00A77892"/>
    <w:rsid w:val="00A77C0B"/>
    <w:rsid w:val="00A809A6"/>
    <w:rsid w:val="00A80C5D"/>
    <w:rsid w:val="00A814D1"/>
    <w:rsid w:val="00A81BD0"/>
    <w:rsid w:val="00A824D2"/>
    <w:rsid w:val="00A8292F"/>
    <w:rsid w:val="00A82E37"/>
    <w:rsid w:val="00A83436"/>
    <w:rsid w:val="00A842BE"/>
    <w:rsid w:val="00A84E71"/>
    <w:rsid w:val="00A84F03"/>
    <w:rsid w:val="00A85017"/>
    <w:rsid w:val="00A8579B"/>
    <w:rsid w:val="00A85909"/>
    <w:rsid w:val="00A85E34"/>
    <w:rsid w:val="00A87654"/>
    <w:rsid w:val="00A878DB"/>
    <w:rsid w:val="00A87980"/>
    <w:rsid w:val="00A90211"/>
    <w:rsid w:val="00A90265"/>
    <w:rsid w:val="00A903C7"/>
    <w:rsid w:val="00A90433"/>
    <w:rsid w:val="00A91B59"/>
    <w:rsid w:val="00A924BF"/>
    <w:rsid w:val="00A92CC2"/>
    <w:rsid w:val="00A92E9E"/>
    <w:rsid w:val="00A92F2B"/>
    <w:rsid w:val="00A92F94"/>
    <w:rsid w:val="00A93182"/>
    <w:rsid w:val="00A93967"/>
    <w:rsid w:val="00A93E8D"/>
    <w:rsid w:val="00A9438C"/>
    <w:rsid w:val="00A9444B"/>
    <w:rsid w:val="00A94AA9"/>
    <w:rsid w:val="00A94CA2"/>
    <w:rsid w:val="00A94D8D"/>
    <w:rsid w:val="00A94E12"/>
    <w:rsid w:val="00A954C6"/>
    <w:rsid w:val="00A95AEB"/>
    <w:rsid w:val="00A95E0D"/>
    <w:rsid w:val="00A96991"/>
    <w:rsid w:val="00A96ED4"/>
    <w:rsid w:val="00A9708C"/>
    <w:rsid w:val="00A9765D"/>
    <w:rsid w:val="00A97EE0"/>
    <w:rsid w:val="00AA0065"/>
    <w:rsid w:val="00AA0159"/>
    <w:rsid w:val="00AA0541"/>
    <w:rsid w:val="00AA0646"/>
    <w:rsid w:val="00AA0BD6"/>
    <w:rsid w:val="00AA0CDA"/>
    <w:rsid w:val="00AA0FA9"/>
    <w:rsid w:val="00AA1A44"/>
    <w:rsid w:val="00AA21E1"/>
    <w:rsid w:val="00AA2BAE"/>
    <w:rsid w:val="00AA2DA5"/>
    <w:rsid w:val="00AA34D5"/>
    <w:rsid w:val="00AA360D"/>
    <w:rsid w:val="00AA380D"/>
    <w:rsid w:val="00AA3A97"/>
    <w:rsid w:val="00AA3F07"/>
    <w:rsid w:val="00AA413F"/>
    <w:rsid w:val="00AA4CD3"/>
    <w:rsid w:val="00AA539D"/>
    <w:rsid w:val="00AA548E"/>
    <w:rsid w:val="00AA56B4"/>
    <w:rsid w:val="00AA59EB"/>
    <w:rsid w:val="00AA5AA4"/>
    <w:rsid w:val="00AA62BF"/>
    <w:rsid w:val="00AA62CC"/>
    <w:rsid w:val="00AA6342"/>
    <w:rsid w:val="00AA69E8"/>
    <w:rsid w:val="00AA6BDB"/>
    <w:rsid w:val="00AA6CD7"/>
    <w:rsid w:val="00AA74BD"/>
    <w:rsid w:val="00AA7EA3"/>
    <w:rsid w:val="00AB042D"/>
    <w:rsid w:val="00AB0621"/>
    <w:rsid w:val="00AB084F"/>
    <w:rsid w:val="00AB0ECA"/>
    <w:rsid w:val="00AB18BF"/>
    <w:rsid w:val="00AB19C1"/>
    <w:rsid w:val="00AB1E05"/>
    <w:rsid w:val="00AB262F"/>
    <w:rsid w:val="00AB2703"/>
    <w:rsid w:val="00AB2D60"/>
    <w:rsid w:val="00AB3639"/>
    <w:rsid w:val="00AB3988"/>
    <w:rsid w:val="00AB4843"/>
    <w:rsid w:val="00AB4872"/>
    <w:rsid w:val="00AB49CB"/>
    <w:rsid w:val="00AB5703"/>
    <w:rsid w:val="00AB5813"/>
    <w:rsid w:val="00AB59D1"/>
    <w:rsid w:val="00AB5AB5"/>
    <w:rsid w:val="00AB5E1D"/>
    <w:rsid w:val="00AB6E08"/>
    <w:rsid w:val="00AB792F"/>
    <w:rsid w:val="00AC054E"/>
    <w:rsid w:val="00AC0823"/>
    <w:rsid w:val="00AC0AA2"/>
    <w:rsid w:val="00AC10DE"/>
    <w:rsid w:val="00AC11E1"/>
    <w:rsid w:val="00AC1B2A"/>
    <w:rsid w:val="00AC1CA9"/>
    <w:rsid w:val="00AC20A5"/>
    <w:rsid w:val="00AC2794"/>
    <w:rsid w:val="00AC2D0D"/>
    <w:rsid w:val="00AC2E62"/>
    <w:rsid w:val="00AC3521"/>
    <w:rsid w:val="00AC3FA7"/>
    <w:rsid w:val="00AC42B8"/>
    <w:rsid w:val="00AC6062"/>
    <w:rsid w:val="00AC63AE"/>
    <w:rsid w:val="00AC693E"/>
    <w:rsid w:val="00AC6BF4"/>
    <w:rsid w:val="00AC6D4E"/>
    <w:rsid w:val="00AC78B6"/>
    <w:rsid w:val="00AC7939"/>
    <w:rsid w:val="00AC7E36"/>
    <w:rsid w:val="00AD0116"/>
    <w:rsid w:val="00AD07BD"/>
    <w:rsid w:val="00AD0A94"/>
    <w:rsid w:val="00AD0DB3"/>
    <w:rsid w:val="00AD1189"/>
    <w:rsid w:val="00AD18F3"/>
    <w:rsid w:val="00AD1B18"/>
    <w:rsid w:val="00AD1D5F"/>
    <w:rsid w:val="00AD1E2B"/>
    <w:rsid w:val="00AD1FAB"/>
    <w:rsid w:val="00AD24A5"/>
    <w:rsid w:val="00AD27F6"/>
    <w:rsid w:val="00AD29A3"/>
    <w:rsid w:val="00AD2AD3"/>
    <w:rsid w:val="00AD3B94"/>
    <w:rsid w:val="00AD41C1"/>
    <w:rsid w:val="00AD49AB"/>
    <w:rsid w:val="00AD51B9"/>
    <w:rsid w:val="00AD523C"/>
    <w:rsid w:val="00AD5A1D"/>
    <w:rsid w:val="00AD5F30"/>
    <w:rsid w:val="00AD61CE"/>
    <w:rsid w:val="00AD627C"/>
    <w:rsid w:val="00AD6B91"/>
    <w:rsid w:val="00AD750C"/>
    <w:rsid w:val="00AD7576"/>
    <w:rsid w:val="00AD76A2"/>
    <w:rsid w:val="00AD7EBA"/>
    <w:rsid w:val="00AE04A9"/>
    <w:rsid w:val="00AE0661"/>
    <w:rsid w:val="00AE0729"/>
    <w:rsid w:val="00AE1392"/>
    <w:rsid w:val="00AE192D"/>
    <w:rsid w:val="00AE1EEC"/>
    <w:rsid w:val="00AE270B"/>
    <w:rsid w:val="00AE33E5"/>
    <w:rsid w:val="00AE389B"/>
    <w:rsid w:val="00AE3ACB"/>
    <w:rsid w:val="00AE3D63"/>
    <w:rsid w:val="00AE3F0D"/>
    <w:rsid w:val="00AE47C6"/>
    <w:rsid w:val="00AE5370"/>
    <w:rsid w:val="00AE5423"/>
    <w:rsid w:val="00AE585E"/>
    <w:rsid w:val="00AE58F8"/>
    <w:rsid w:val="00AE5AE1"/>
    <w:rsid w:val="00AE6175"/>
    <w:rsid w:val="00AE6FAB"/>
    <w:rsid w:val="00AE7554"/>
    <w:rsid w:val="00AE76AC"/>
    <w:rsid w:val="00AF015C"/>
    <w:rsid w:val="00AF0800"/>
    <w:rsid w:val="00AF089D"/>
    <w:rsid w:val="00AF0C20"/>
    <w:rsid w:val="00AF1623"/>
    <w:rsid w:val="00AF1E94"/>
    <w:rsid w:val="00AF24CB"/>
    <w:rsid w:val="00AF2FF9"/>
    <w:rsid w:val="00AF3761"/>
    <w:rsid w:val="00AF3CE7"/>
    <w:rsid w:val="00AF41D0"/>
    <w:rsid w:val="00AF471C"/>
    <w:rsid w:val="00AF57A7"/>
    <w:rsid w:val="00AF6019"/>
    <w:rsid w:val="00AF6616"/>
    <w:rsid w:val="00AF6914"/>
    <w:rsid w:val="00AF6BF4"/>
    <w:rsid w:val="00AF7166"/>
    <w:rsid w:val="00AF7858"/>
    <w:rsid w:val="00AF7A40"/>
    <w:rsid w:val="00AF7A50"/>
    <w:rsid w:val="00AF7CB6"/>
    <w:rsid w:val="00B000F3"/>
    <w:rsid w:val="00B00201"/>
    <w:rsid w:val="00B00242"/>
    <w:rsid w:val="00B00256"/>
    <w:rsid w:val="00B00294"/>
    <w:rsid w:val="00B00C4C"/>
    <w:rsid w:val="00B01378"/>
    <w:rsid w:val="00B01429"/>
    <w:rsid w:val="00B02163"/>
    <w:rsid w:val="00B0256C"/>
    <w:rsid w:val="00B025CA"/>
    <w:rsid w:val="00B04DD4"/>
    <w:rsid w:val="00B04DF3"/>
    <w:rsid w:val="00B0601C"/>
    <w:rsid w:val="00B06971"/>
    <w:rsid w:val="00B076A4"/>
    <w:rsid w:val="00B077C1"/>
    <w:rsid w:val="00B07860"/>
    <w:rsid w:val="00B0792E"/>
    <w:rsid w:val="00B07C9D"/>
    <w:rsid w:val="00B108A4"/>
    <w:rsid w:val="00B10FFA"/>
    <w:rsid w:val="00B111CD"/>
    <w:rsid w:val="00B1154F"/>
    <w:rsid w:val="00B11851"/>
    <w:rsid w:val="00B11BA4"/>
    <w:rsid w:val="00B12F32"/>
    <w:rsid w:val="00B13403"/>
    <w:rsid w:val="00B13C64"/>
    <w:rsid w:val="00B13F8F"/>
    <w:rsid w:val="00B145FE"/>
    <w:rsid w:val="00B1487D"/>
    <w:rsid w:val="00B14AA8"/>
    <w:rsid w:val="00B14DC5"/>
    <w:rsid w:val="00B158A8"/>
    <w:rsid w:val="00B15F5A"/>
    <w:rsid w:val="00B164A2"/>
    <w:rsid w:val="00B202C3"/>
    <w:rsid w:val="00B207A2"/>
    <w:rsid w:val="00B20BFA"/>
    <w:rsid w:val="00B211B4"/>
    <w:rsid w:val="00B22112"/>
    <w:rsid w:val="00B221DA"/>
    <w:rsid w:val="00B22FA0"/>
    <w:rsid w:val="00B23010"/>
    <w:rsid w:val="00B230DF"/>
    <w:rsid w:val="00B231B0"/>
    <w:rsid w:val="00B23718"/>
    <w:rsid w:val="00B2417E"/>
    <w:rsid w:val="00B24384"/>
    <w:rsid w:val="00B246EF"/>
    <w:rsid w:val="00B24FAD"/>
    <w:rsid w:val="00B2546F"/>
    <w:rsid w:val="00B25807"/>
    <w:rsid w:val="00B2588E"/>
    <w:rsid w:val="00B25D97"/>
    <w:rsid w:val="00B26051"/>
    <w:rsid w:val="00B26781"/>
    <w:rsid w:val="00B3091C"/>
    <w:rsid w:val="00B30A4C"/>
    <w:rsid w:val="00B30B89"/>
    <w:rsid w:val="00B3107A"/>
    <w:rsid w:val="00B31B77"/>
    <w:rsid w:val="00B32E26"/>
    <w:rsid w:val="00B332C0"/>
    <w:rsid w:val="00B33907"/>
    <w:rsid w:val="00B33B83"/>
    <w:rsid w:val="00B33D5C"/>
    <w:rsid w:val="00B34199"/>
    <w:rsid w:val="00B343B3"/>
    <w:rsid w:val="00B355CC"/>
    <w:rsid w:val="00B35A2A"/>
    <w:rsid w:val="00B35BD4"/>
    <w:rsid w:val="00B36506"/>
    <w:rsid w:val="00B365AA"/>
    <w:rsid w:val="00B37096"/>
    <w:rsid w:val="00B37553"/>
    <w:rsid w:val="00B376A4"/>
    <w:rsid w:val="00B415F3"/>
    <w:rsid w:val="00B41F76"/>
    <w:rsid w:val="00B421B7"/>
    <w:rsid w:val="00B437B2"/>
    <w:rsid w:val="00B43E7D"/>
    <w:rsid w:val="00B44634"/>
    <w:rsid w:val="00B4498E"/>
    <w:rsid w:val="00B44C45"/>
    <w:rsid w:val="00B44EE9"/>
    <w:rsid w:val="00B451A5"/>
    <w:rsid w:val="00B4532E"/>
    <w:rsid w:val="00B45619"/>
    <w:rsid w:val="00B45977"/>
    <w:rsid w:val="00B45E0B"/>
    <w:rsid w:val="00B46168"/>
    <w:rsid w:val="00B46338"/>
    <w:rsid w:val="00B466AF"/>
    <w:rsid w:val="00B469FE"/>
    <w:rsid w:val="00B47822"/>
    <w:rsid w:val="00B47BE3"/>
    <w:rsid w:val="00B47F2F"/>
    <w:rsid w:val="00B47FEB"/>
    <w:rsid w:val="00B5001E"/>
    <w:rsid w:val="00B500E0"/>
    <w:rsid w:val="00B50F1E"/>
    <w:rsid w:val="00B51167"/>
    <w:rsid w:val="00B5125C"/>
    <w:rsid w:val="00B5139E"/>
    <w:rsid w:val="00B51700"/>
    <w:rsid w:val="00B51763"/>
    <w:rsid w:val="00B51B55"/>
    <w:rsid w:val="00B51C39"/>
    <w:rsid w:val="00B51D0B"/>
    <w:rsid w:val="00B51D8E"/>
    <w:rsid w:val="00B51E3C"/>
    <w:rsid w:val="00B5213F"/>
    <w:rsid w:val="00B522B9"/>
    <w:rsid w:val="00B523E3"/>
    <w:rsid w:val="00B524B7"/>
    <w:rsid w:val="00B528F7"/>
    <w:rsid w:val="00B5312C"/>
    <w:rsid w:val="00B531FC"/>
    <w:rsid w:val="00B53418"/>
    <w:rsid w:val="00B5341A"/>
    <w:rsid w:val="00B536DB"/>
    <w:rsid w:val="00B537B8"/>
    <w:rsid w:val="00B5399E"/>
    <w:rsid w:val="00B539DA"/>
    <w:rsid w:val="00B546D8"/>
    <w:rsid w:val="00B54948"/>
    <w:rsid w:val="00B54E5D"/>
    <w:rsid w:val="00B555F1"/>
    <w:rsid w:val="00B55DA8"/>
    <w:rsid w:val="00B55DCC"/>
    <w:rsid w:val="00B55FE3"/>
    <w:rsid w:val="00B5618C"/>
    <w:rsid w:val="00B561AB"/>
    <w:rsid w:val="00B5625C"/>
    <w:rsid w:val="00B564C6"/>
    <w:rsid w:val="00B56AF1"/>
    <w:rsid w:val="00B5705B"/>
    <w:rsid w:val="00B57B64"/>
    <w:rsid w:val="00B57CDC"/>
    <w:rsid w:val="00B57D59"/>
    <w:rsid w:val="00B57ED5"/>
    <w:rsid w:val="00B6074F"/>
    <w:rsid w:val="00B60E2D"/>
    <w:rsid w:val="00B61209"/>
    <w:rsid w:val="00B612CF"/>
    <w:rsid w:val="00B62957"/>
    <w:rsid w:val="00B62AE3"/>
    <w:rsid w:val="00B631DD"/>
    <w:rsid w:val="00B635D2"/>
    <w:rsid w:val="00B646E3"/>
    <w:rsid w:val="00B64A40"/>
    <w:rsid w:val="00B64EFC"/>
    <w:rsid w:val="00B655DD"/>
    <w:rsid w:val="00B65DC0"/>
    <w:rsid w:val="00B66C88"/>
    <w:rsid w:val="00B67758"/>
    <w:rsid w:val="00B67BFE"/>
    <w:rsid w:val="00B67ED3"/>
    <w:rsid w:val="00B70148"/>
    <w:rsid w:val="00B701EA"/>
    <w:rsid w:val="00B70973"/>
    <w:rsid w:val="00B70CEC"/>
    <w:rsid w:val="00B7100D"/>
    <w:rsid w:val="00B71BC9"/>
    <w:rsid w:val="00B72C0C"/>
    <w:rsid w:val="00B73244"/>
    <w:rsid w:val="00B732EB"/>
    <w:rsid w:val="00B7376E"/>
    <w:rsid w:val="00B73C14"/>
    <w:rsid w:val="00B73D96"/>
    <w:rsid w:val="00B74197"/>
    <w:rsid w:val="00B74230"/>
    <w:rsid w:val="00B7476C"/>
    <w:rsid w:val="00B74E43"/>
    <w:rsid w:val="00B7508C"/>
    <w:rsid w:val="00B75431"/>
    <w:rsid w:val="00B75585"/>
    <w:rsid w:val="00B75B6D"/>
    <w:rsid w:val="00B75D00"/>
    <w:rsid w:val="00B774A1"/>
    <w:rsid w:val="00B7767F"/>
    <w:rsid w:val="00B77F2D"/>
    <w:rsid w:val="00B800C4"/>
    <w:rsid w:val="00B801A3"/>
    <w:rsid w:val="00B8023F"/>
    <w:rsid w:val="00B80E69"/>
    <w:rsid w:val="00B80ECA"/>
    <w:rsid w:val="00B8140A"/>
    <w:rsid w:val="00B81479"/>
    <w:rsid w:val="00B822B3"/>
    <w:rsid w:val="00B824B2"/>
    <w:rsid w:val="00B825BC"/>
    <w:rsid w:val="00B82B39"/>
    <w:rsid w:val="00B82C2E"/>
    <w:rsid w:val="00B836E9"/>
    <w:rsid w:val="00B837A4"/>
    <w:rsid w:val="00B84E7B"/>
    <w:rsid w:val="00B85083"/>
    <w:rsid w:val="00B8529E"/>
    <w:rsid w:val="00B859B8"/>
    <w:rsid w:val="00B863E2"/>
    <w:rsid w:val="00B86E15"/>
    <w:rsid w:val="00B86FF9"/>
    <w:rsid w:val="00B870E9"/>
    <w:rsid w:val="00B913BA"/>
    <w:rsid w:val="00B91FA4"/>
    <w:rsid w:val="00B9231E"/>
    <w:rsid w:val="00B92597"/>
    <w:rsid w:val="00B9271C"/>
    <w:rsid w:val="00B929D2"/>
    <w:rsid w:val="00B92A72"/>
    <w:rsid w:val="00B93041"/>
    <w:rsid w:val="00B93409"/>
    <w:rsid w:val="00B9405B"/>
    <w:rsid w:val="00B942EC"/>
    <w:rsid w:val="00B94478"/>
    <w:rsid w:val="00B94C6B"/>
    <w:rsid w:val="00B95978"/>
    <w:rsid w:val="00B960C1"/>
    <w:rsid w:val="00B96624"/>
    <w:rsid w:val="00B97499"/>
    <w:rsid w:val="00B97516"/>
    <w:rsid w:val="00B97993"/>
    <w:rsid w:val="00B97EA2"/>
    <w:rsid w:val="00BA0616"/>
    <w:rsid w:val="00BA0FC3"/>
    <w:rsid w:val="00BA1DFE"/>
    <w:rsid w:val="00BA2DC8"/>
    <w:rsid w:val="00BA2E4B"/>
    <w:rsid w:val="00BA3245"/>
    <w:rsid w:val="00BA32C7"/>
    <w:rsid w:val="00BA457D"/>
    <w:rsid w:val="00BA47CA"/>
    <w:rsid w:val="00BA499D"/>
    <w:rsid w:val="00BA4E1E"/>
    <w:rsid w:val="00BA5087"/>
    <w:rsid w:val="00BA5356"/>
    <w:rsid w:val="00BA5BD2"/>
    <w:rsid w:val="00BA60B1"/>
    <w:rsid w:val="00BA71D7"/>
    <w:rsid w:val="00BA7301"/>
    <w:rsid w:val="00BA74D6"/>
    <w:rsid w:val="00BA7D11"/>
    <w:rsid w:val="00BB0086"/>
    <w:rsid w:val="00BB0C1D"/>
    <w:rsid w:val="00BB0DBE"/>
    <w:rsid w:val="00BB0E16"/>
    <w:rsid w:val="00BB15B5"/>
    <w:rsid w:val="00BB25CB"/>
    <w:rsid w:val="00BB27BE"/>
    <w:rsid w:val="00BB29CB"/>
    <w:rsid w:val="00BB2EF1"/>
    <w:rsid w:val="00BB3092"/>
    <w:rsid w:val="00BB3304"/>
    <w:rsid w:val="00BB369A"/>
    <w:rsid w:val="00BB3AF0"/>
    <w:rsid w:val="00BB410E"/>
    <w:rsid w:val="00BB428E"/>
    <w:rsid w:val="00BB4593"/>
    <w:rsid w:val="00BB480A"/>
    <w:rsid w:val="00BB4D06"/>
    <w:rsid w:val="00BB6A71"/>
    <w:rsid w:val="00BB74B0"/>
    <w:rsid w:val="00BB7562"/>
    <w:rsid w:val="00BB7957"/>
    <w:rsid w:val="00BB7AE2"/>
    <w:rsid w:val="00BB7E7B"/>
    <w:rsid w:val="00BC0288"/>
    <w:rsid w:val="00BC054D"/>
    <w:rsid w:val="00BC0687"/>
    <w:rsid w:val="00BC100B"/>
    <w:rsid w:val="00BC1629"/>
    <w:rsid w:val="00BC1D77"/>
    <w:rsid w:val="00BC22DD"/>
    <w:rsid w:val="00BC2312"/>
    <w:rsid w:val="00BC2DF3"/>
    <w:rsid w:val="00BC32E7"/>
    <w:rsid w:val="00BC3DB4"/>
    <w:rsid w:val="00BC3E69"/>
    <w:rsid w:val="00BC4020"/>
    <w:rsid w:val="00BC46DB"/>
    <w:rsid w:val="00BC5592"/>
    <w:rsid w:val="00BC55F6"/>
    <w:rsid w:val="00BC5600"/>
    <w:rsid w:val="00BC64B4"/>
    <w:rsid w:val="00BC65F7"/>
    <w:rsid w:val="00BC72F7"/>
    <w:rsid w:val="00BC7398"/>
    <w:rsid w:val="00BC74DD"/>
    <w:rsid w:val="00BC7574"/>
    <w:rsid w:val="00BC7CDF"/>
    <w:rsid w:val="00BD0129"/>
    <w:rsid w:val="00BD0179"/>
    <w:rsid w:val="00BD0832"/>
    <w:rsid w:val="00BD0E41"/>
    <w:rsid w:val="00BD0E79"/>
    <w:rsid w:val="00BD142E"/>
    <w:rsid w:val="00BD1F51"/>
    <w:rsid w:val="00BD269F"/>
    <w:rsid w:val="00BD26CD"/>
    <w:rsid w:val="00BD2878"/>
    <w:rsid w:val="00BD2E77"/>
    <w:rsid w:val="00BD2FA8"/>
    <w:rsid w:val="00BD39A8"/>
    <w:rsid w:val="00BD3E85"/>
    <w:rsid w:val="00BD4405"/>
    <w:rsid w:val="00BD4AF8"/>
    <w:rsid w:val="00BD5858"/>
    <w:rsid w:val="00BD595A"/>
    <w:rsid w:val="00BD5F93"/>
    <w:rsid w:val="00BD6078"/>
    <w:rsid w:val="00BD7A99"/>
    <w:rsid w:val="00BD7FA2"/>
    <w:rsid w:val="00BE0170"/>
    <w:rsid w:val="00BE0D72"/>
    <w:rsid w:val="00BE1197"/>
    <w:rsid w:val="00BE17ED"/>
    <w:rsid w:val="00BE20C1"/>
    <w:rsid w:val="00BE2490"/>
    <w:rsid w:val="00BE3D42"/>
    <w:rsid w:val="00BE3FB3"/>
    <w:rsid w:val="00BE45B8"/>
    <w:rsid w:val="00BE4A81"/>
    <w:rsid w:val="00BE4EA2"/>
    <w:rsid w:val="00BE5576"/>
    <w:rsid w:val="00BE5699"/>
    <w:rsid w:val="00BE5A0C"/>
    <w:rsid w:val="00BE6128"/>
    <w:rsid w:val="00BE67B2"/>
    <w:rsid w:val="00BE7893"/>
    <w:rsid w:val="00BF024D"/>
    <w:rsid w:val="00BF02DA"/>
    <w:rsid w:val="00BF09E6"/>
    <w:rsid w:val="00BF0F73"/>
    <w:rsid w:val="00BF180E"/>
    <w:rsid w:val="00BF1D46"/>
    <w:rsid w:val="00BF1DA4"/>
    <w:rsid w:val="00BF248D"/>
    <w:rsid w:val="00BF2658"/>
    <w:rsid w:val="00BF2785"/>
    <w:rsid w:val="00BF298A"/>
    <w:rsid w:val="00BF2AE0"/>
    <w:rsid w:val="00BF32D6"/>
    <w:rsid w:val="00BF3AD1"/>
    <w:rsid w:val="00BF3F1D"/>
    <w:rsid w:val="00BF4A8B"/>
    <w:rsid w:val="00BF5271"/>
    <w:rsid w:val="00BF6A57"/>
    <w:rsid w:val="00BF798C"/>
    <w:rsid w:val="00C003A2"/>
    <w:rsid w:val="00C0084C"/>
    <w:rsid w:val="00C00A35"/>
    <w:rsid w:val="00C01B0E"/>
    <w:rsid w:val="00C01C52"/>
    <w:rsid w:val="00C02390"/>
    <w:rsid w:val="00C0261D"/>
    <w:rsid w:val="00C0273E"/>
    <w:rsid w:val="00C02811"/>
    <w:rsid w:val="00C03417"/>
    <w:rsid w:val="00C0349E"/>
    <w:rsid w:val="00C041B6"/>
    <w:rsid w:val="00C04CA6"/>
    <w:rsid w:val="00C04DE1"/>
    <w:rsid w:val="00C05384"/>
    <w:rsid w:val="00C05D37"/>
    <w:rsid w:val="00C06077"/>
    <w:rsid w:val="00C0638C"/>
    <w:rsid w:val="00C063ED"/>
    <w:rsid w:val="00C075B4"/>
    <w:rsid w:val="00C07F65"/>
    <w:rsid w:val="00C105C6"/>
    <w:rsid w:val="00C10979"/>
    <w:rsid w:val="00C10E32"/>
    <w:rsid w:val="00C114B8"/>
    <w:rsid w:val="00C11747"/>
    <w:rsid w:val="00C11E77"/>
    <w:rsid w:val="00C121FD"/>
    <w:rsid w:val="00C12E91"/>
    <w:rsid w:val="00C12FEB"/>
    <w:rsid w:val="00C13AFF"/>
    <w:rsid w:val="00C13CC1"/>
    <w:rsid w:val="00C14325"/>
    <w:rsid w:val="00C14C29"/>
    <w:rsid w:val="00C14EA6"/>
    <w:rsid w:val="00C151E3"/>
    <w:rsid w:val="00C1522B"/>
    <w:rsid w:val="00C1565B"/>
    <w:rsid w:val="00C156F6"/>
    <w:rsid w:val="00C15A2E"/>
    <w:rsid w:val="00C17C4D"/>
    <w:rsid w:val="00C2038D"/>
    <w:rsid w:val="00C20629"/>
    <w:rsid w:val="00C2091B"/>
    <w:rsid w:val="00C21068"/>
    <w:rsid w:val="00C22431"/>
    <w:rsid w:val="00C22600"/>
    <w:rsid w:val="00C22646"/>
    <w:rsid w:val="00C22D74"/>
    <w:rsid w:val="00C22ECC"/>
    <w:rsid w:val="00C2343F"/>
    <w:rsid w:val="00C235EA"/>
    <w:rsid w:val="00C23D09"/>
    <w:rsid w:val="00C23D9C"/>
    <w:rsid w:val="00C2427A"/>
    <w:rsid w:val="00C24A33"/>
    <w:rsid w:val="00C25E27"/>
    <w:rsid w:val="00C25E48"/>
    <w:rsid w:val="00C264FC"/>
    <w:rsid w:val="00C26AC2"/>
    <w:rsid w:val="00C26B30"/>
    <w:rsid w:val="00C26F98"/>
    <w:rsid w:val="00C2705B"/>
    <w:rsid w:val="00C27685"/>
    <w:rsid w:val="00C302EE"/>
    <w:rsid w:val="00C303D1"/>
    <w:rsid w:val="00C3050C"/>
    <w:rsid w:val="00C3365E"/>
    <w:rsid w:val="00C33D5B"/>
    <w:rsid w:val="00C340FB"/>
    <w:rsid w:val="00C3414B"/>
    <w:rsid w:val="00C3479F"/>
    <w:rsid w:val="00C347D2"/>
    <w:rsid w:val="00C348D2"/>
    <w:rsid w:val="00C35068"/>
    <w:rsid w:val="00C355B7"/>
    <w:rsid w:val="00C35CE3"/>
    <w:rsid w:val="00C361F3"/>
    <w:rsid w:val="00C362F2"/>
    <w:rsid w:val="00C37341"/>
    <w:rsid w:val="00C37B3C"/>
    <w:rsid w:val="00C37B59"/>
    <w:rsid w:val="00C37DAE"/>
    <w:rsid w:val="00C4050E"/>
    <w:rsid w:val="00C40724"/>
    <w:rsid w:val="00C409CE"/>
    <w:rsid w:val="00C409F9"/>
    <w:rsid w:val="00C4122C"/>
    <w:rsid w:val="00C4126C"/>
    <w:rsid w:val="00C41375"/>
    <w:rsid w:val="00C4151B"/>
    <w:rsid w:val="00C42202"/>
    <w:rsid w:val="00C427E1"/>
    <w:rsid w:val="00C42967"/>
    <w:rsid w:val="00C42996"/>
    <w:rsid w:val="00C429EB"/>
    <w:rsid w:val="00C434C9"/>
    <w:rsid w:val="00C4488A"/>
    <w:rsid w:val="00C464BF"/>
    <w:rsid w:val="00C46524"/>
    <w:rsid w:val="00C46E0A"/>
    <w:rsid w:val="00C470A3"/>
    <w:rsid w:val="00C47906"/>
    <w:rsid w:val="00C50746"/>
    <w:rsid w:val="00C50795"/>
    <w:rsid w:val="00C5084D"/>
    <w:rsid w:val="00C50A0B"/>
    <w:rsid w:val="00C50FCB"/>
    <w:rsid w:val="00C5112D"/>
    <w:rsid w:val="00C51805"/>
    <w:rsid w:val="00C51B54"/>
    <w:rsid w:val="00C52428"/>
    <w:rsid w:val="00C527BA"/>
    <w:rsid w:val="00C52F5E"/>
    <w:rsid w:val="00C540DB"/>
    <w:rsid w:val="00C542C9"/>
    <w:rsid w:val="00C54434"/>
    <w:rsid w:val="00C5553A"/>
    <w:rsid w:val="00C55653"/>
    <w:rsid w:val="00C563F1"/>
    <w:rsid w:val="00C564CF"/>
    <w:rsid w:val="00C56643"/>
    <w:rsid w:val="00C569AC"/>
    <w:rsid w:val="00C56A67"/>
    <w:rsid w:val="00C57E28"/>
    <w:rsid w:val="00C602E9"/>
    <w:rsid w:val="00C6051F"/>
    <w:rsid w:val="00C607DD"/>
    <w:rsid w:val="00C60C6C"/>
    <w:rsid w:val="00C61410"/>
    <w:rsid w:val="00C61523"/>
    <w:rsid w:val="00C62707"/>
    <w:rsid w:val="00C633AD"/>
    <w:rsid w:val="00C641E9"/>
    <w:rsid w:val="00C64B34"/>
    <w:rsid w:val="00C663AB"/>
    <w:rsid w:val="00C663C3"/>
    <w:rsid w:val="00C667C8"/>
    <w:rsid w:val="00C67008"/>
    <w:rsid w:val="00C6782D"/>
    <w:rsid w:val="00C67B5D"/>
    <w:rsid w:val="00C67F3A"/>
    <w:rsid w:val="00C70798"/>
    <w:rsid w:val="00C71C72"/>
    <w:rsid w:val="00C72646"/>
    <w:rsid w:val="00C7277C"/>
    <w:rsid w:val="00C72DE4"/>
    <w:rsid w:val="00C72F93"/>
    <w:rsid w:val="00C732FE"/>
    <w:rsid w:val="00C73387"/>
    <w:rsid w:val="00C734EA"/>
    <w:rsid w:val="00C73741"/>
    <w:rsid w:val="00C73AD8"/>
    <w:rsid w:val="00C73C3E"/>
    <w:rsid w:val="00C742FD"/>
    <w:rsid w:val="00C743BA"/>
    <w:rsid w:val="00C74A03"/>
    <w:rsid w:val="00C75417"/>
    <w:rsid w:val="00C75DF0"/>
    <w:rsid w:val="00C7601A"/>
    <w:rsid w:val="00C766DD"/>
    <w:rsid w:val="00C768EB"/>
    <w:rsid w:val="00C76EF4"/>
    <w:rsid w:val="00C8070B"/>
    <w:rsid w:val="00C8094A"/>
    <w:rsid w:val="00C821A3"/>
    <w:rsid w:val="00C8288B"/>
    <w:rsid w:val="00C82E2C"/>
    <w:rsid w:val="00C831E9"/>
    <w:rsid w:val="00C83B56"/>
    <w:rsid w:val="00C83C5F"/>
    <w:rsid w:val="00C84565"/>
    <w:rsid w:val="00C84707"/>
    <w:rsid w:val="00C848D0"/>
    <w:rsid w:val="00C84E97"/>
    <w:rsid w:val="00C85E4C"/>
    <w:rsid w:val="00C86320"/>
    <w:rsid w:val="00C870C0"/>
    <w:rsid w:val="00C8740F"/>
    <w:rsid w:val="00C876A2"/>
    <w:rsid w:val="00C900A2"/>
    <w:rsid w:val="00C91358"/>
    <w:rsid w:val="00C9138B"/>
    <w:rsid w:val="00C91DFD"/>
    <w:rsid w:val="00C9237C"/>
    <w:rsid w:val="00C92904"/>
    <w:rsid w:val="00C929CA"/>
    <w:rsid w:val="00C929DE"/>
    <w:rsid w:val="00C92A43"/>
    <w:rsid w:val="00C9313A"/>
    <w:rsid w:val="00C93381"/>
    <w:rsid w:val="00C93405"/>
    <w:rsid w:val="00C936AE"/>
    <w:rsid w:val="00C93FB2"/>
    <w:rsid w:val="00C946D6"/>
    <w:rsid w:val="00C9501F"/>
    <w:rsid w:val="00C951D1"/>
    <w:rsid w:val="00C95AD2"/>
    <w:rsid w:val="00C9641E"/>
    <w:rsid w:val="00C9647A"/>
    <w:rsid w:val="00C96FD1"/>
    <w:rsid w:val="00C97048"/>
    <w:rsid w:val="00C97666"/>
    <w:rsid w:val="00C9777B"/>
    <w:rsid w:val="00C9789B"/>
    <w:rsid w:val="00CA0A75"/>
    <w:rsid w:val="00CA0D9D"/>
    <w:rsid w:val="00CA0DA6"/>
    <w:rsid w:val="00CA136A"/>
    <w:rsid w:val="00CA13A9"/>
    <w:rsid w:val="00CA13C9"/>
    <w:rsid w:val="00CA1448"/>
    <w:rsid w:val="00CA147E"/>
    <w:rsid w:val="00CA16B2"/>
    <w:rsid w:val="00CA175F"/>
    <w:rsid w:val="00CA2395"/>
    <w:rsid w:val="00CA292B"/>
    <w:rsid w:val="00CA2E2D"/>
    <w:rsid w:val="00CA401A"/>
    <w:rsid w:val="00CA4774"/>
    <w:rsid w:val="00CA4D91"/>
    <w:rsid w:val="00CA4F20"/>
    <w:rsid w:val="00CA5D2C"/>
    <w:rsid w:val="00CA6420"/>
    <w:rsid w:val="00CA6540"/>
    <w:rsid w:val="00CA6659"/>
    <w:rsid w:val="00CA6E47"/>
    <w:rsid w:val="00CA7754"/>
    <w:rsid w:val="00CA78D6"/>
    <w:rsid w:val="00CA7981"/>
    <w:rsid w:val="00CB0E00"/>
    <w:rsid w:val="00CB1096"/>
    <w:rsid w:val="00CB178D"/>
    <w:rsid w:val="00CB2028"/>
    <w:rsid w:val="00CB3296"/>
    <w:rsid w:val="00CB3491"/>
    <w:rsid w:val="00CB4AF7"/>
    <w:rsid w:val="00CB4D44"/>
    <w:rsid w:val="00CB4DCB"/>
    <w:rsid w:val="00CB5329"/>
    <w:rsid w:val="00CB5403"/>
    <w:rsid w:val="00CB635A"/>
    <w:rsid w:val="00CB6E8D"/>
    <w:rsid w:val="00CB7970"/>
    <w:rsid w:val="00CB79E4"/>
    <w:rsid w:val="00CC0252"/>
    <w:rsid w:val="00CC0EFF"/>
    <w:rsid w:val="00CC17C6"/>
    <w:rsid w:val="00CC2238"/>
    <w:rsid w:val="00CC261A"/>
    <w:rsid w:val="00CC28FC"/>
    <w:rsid w:val="00CC3098"/>
    <w:rsid w:val="00CC3523"/>
    <w:rsid w:val="00CC363B"/>
    <w:rsid w:val="00CC3CAA"/>
    <w:rsid w:val="00CC49E2"/>
    <w:rsid w:val="00CC4A5D"/>
    <w:rsid w:val="00CC6103"/>
    <w:rsid w:val="00CC63B1"/>
    <w:rsid w:val="00CC67AB"/>
    <w:rsid w:val="00CC6BE8"/>
    <w:rsid w:val="00CC7568"/>
    <w:rsid w:val="00CD012D"/>
    <w:rsid w:val="00CD0EB9"/>
    <w:rsid w:val="00CD12BD"/>
    <w:rsid w:val="00CD15E7"/>
    <w:rsid w:val="00CD1C1C"/>
    <w:rsid w:val="00CD1C6F"/>
    <w:rsid w:val="00CD1C8D"/>
    <w:rsid w:val="00CD2035"/>
    <w:rsid w:val="00CD2303"/>
    <w:rsid w:val="00CD287C"/>
    <w:rsid w:val="00CD3A46"/>
    <w:rsid w:val="00CD3B6C"/>
    <w:rsid w:val="00CD3FD7"/>
    <w:rsid w:val="00CD50CF"/>
    <w:rsid w:val="00CD54D2"/>
    <w:rsid w:val="00CD565D"/>
    <w:rsid w:val="00CD579C"/>
    <w:rsid w:val="00CD5C6F"/>
    <w:rsid w:val="00CD5E53"/>
    <w:rsid w:val="00CE03DC"/>
    <w:rsid w:val="00CE08AD"/>
    <w:rsid w:val="00CE0E84"/>
    <w:rsid w:val="00CE17F9"/>
    <w:rsid w:val="00CE1C96"/>
    <w:rsid w:val="00CE1FF1"/>
    <w:rsid w:val="00CE217E"/>
    <w:rsid w:val="00CE225A"/>
    <w:rsid w:val="00CE274E"/>
    <w:rsid w:val="00CE2959"/>
    <w:rsid w:val="00CE2E4B"/>
    <w:rsid w:val="00CE3358"/>
    <w:rsid w:val="00CE3D6A"/>
    <w:rsid w:val="00CE4313"/>
    <w:rsid w:val="00CE447E"/>
    <w:rsid w:val="00CE44B6"/>
    <w:rsid w:val="00CE543E"/>
    <w:rsid w:val="00CE5758"/>
    <w:rsid w:val="00CE5858"/>
    <w:rsid w:val="00CE599D"/>
    <w:rsid w:val="00CE64F8"/>
    <w:rsid w:val="00CE6832"/>
    <w:rsid w:val="00CE77BD"/>
    <w:rsid w:val="00CE7F66"/>
    <w:rsid w:val="00CF0022"/>
    <w:rsid w:val="00CF068B"/>
    <w:rsid w:val="00CF0719"/>
    <w:rsid w:val="00CF0B81"/>
    <w:rsid w:val="00CF0E47"/>
    <w:rsid w:val="00CF17F1"/>
    <w:rsid w:val="00CF1A5D"/>
    <w:rsid w:val="00CF1CA2"/>
    <w:rsid w:val="00CF1DD9"/>
    <w:rsid w:val="00CF201E"/>
    <w:rsid w:val="00CF3842"/>
    <w:rsid w:val="00CF3F2F"/>
    <w:rsid w:val="00CF417F"/>
    <w:rsid w:val="00CF45A7"/>
    <w:rsid w:val="00CF4D1B"/>
    <w:rsid w:val="00CF5248"/>
    <w:rsid w:val="00CF5623"/>
    <w:rsid w:val="00CF585F"/>
    <w:rsid w:val="00CF63E8"/>
    <w:rsid w:val="00CF67E1"/>
    <w:rsid w:val="00CF68FA"/>
    <w:rsid w:val="00CF71D7"/>
    <w:rsid w:val="00CF770D"/>
    <w:rsid w:val="00CF7D0F"/>
    <w:rsid w:val="00D002C8"/>
    <w:rsid w:val="00D00965"/>
    <w:rsid w:val="00D0178F"/>
    <w:rsid w:val="00D017AF"/>
    <w:rsid w:val="00D0228E"/>
    <w:rsid w:val="00D022A9"/>
    <w:rsid w:val="00D02439"/>
    <w:rsid w:val="00D024A0"/>
    <w:rsid w:val="00D0265F"/>
    <w:rsid w:val="00D027C5"/>
    <w:rsid w:val="00D02881"/>
    <w:rsid w:val="00D032B2"/>
    <w:rsid w:val="00D039BD"/>
    <w:rsid w:val="00D03A38"/>
    <w:rsid w:val="00D03AE9"/>
    <w:rsid w:val="00D03CD4"/>
    <w:rsid w:val="00D04CCC"/>
    <w:rsid w:val="00D050F0"/>
    <w:rsid w:val="00D05E7B"/>
    <w:rsid w:val="00D05EE6"/>
    <w:rsid w:val="00D0617F"/>
    <w:rsid w:val="00D06231"/>
    <w:rsid w:val="00D06861"/>
    <w:rsid w:val="00D06B55"/>
    <w:rsid w:val="00D071F6"/>
    <w:rsid w:val="00D074A1"/>
    <w:rsid w:val="00D07B06"/>
    <w:rsid w:val="00D10EE8"/>
    <w:rsid w:val="00D116A8"/>
    <w:rsid w:val="00D11C66"/>
    <w:rsid w:val="00D12002"/>
    <w:rsid w:val="00D12629"/>
    <w:rsid w:val="00D126F8"/>
    <w:rsid w:val="00D12BF7"/>
    <w:rsid w:val="00D12C87"/>
    <w:rsid w:val="00D13227"/>
    <w:rsid w:val="00D13792"/>
    <w:rsid w:val="00D13FB1"/>
    <w:rsid w:val="00D15268"/>
    <w:rsid w:val="00D15315"/>
    <w:rsid w:val="00D159BA"/>
    <w:rsid w:val="00D167CF"/>
    <w:rsid w:val="00D16B6C"/>
    <w:rsid w:val="00D17358"/>
    <w:rsid w:val="00D173BB"/>
    <w:rsid w:val="00D20333"/>
    <w:rsid w:val="00D205DE"/>
    <w:rsid w:val="00D20AA9"/>
    <w:rsid w:val="00D210EE"/>
    <w:rsid w:val="00D2129E"/>
    <w:rsid w:val="00D217C7"/>
    <w:rsid w:val="00D21815"/>
    <w:rsid w:val="00D21AD9"/>
    <w:rsid w:val="00D21D21"/>
    <w:rsid w:val="00D21DE5"/>
    <w:rsid w:val="00D22445"/>
    <w:rsid w:val="00D229FA"/>
    <w:rsid w:val="00D22E25"/>
    <w:rsid w:val="00D230E4"/>
    <w:rsid w:val="00D241B8"/>
    <w:rsid w:val="00D24303"/>
    <w:rsid w:val="00D249A9"/>
    <w:rsid w:val="00D24E24"/>
    <w:rsid w:val="00D24E5A"/>
    <w:rsid w:val="00D2540E"/>
    <w:rsid w:val="00D2586E"/>
    <w:rsid w:val="00D25A47"/>
    <w:rsid w:val="00D25B22"/>
    <w:rsid w:val="00D25E3F"/>
    <w:rsid w:val="00D25F41"/>
    <w:rsid w:val="00D25F59"/>
    <w:rsid w:val="00D25FD2"/>
    <w:rsid w:val="00D26077"/>
    <w:rsid w:val="00D26619"/>
    <w:rsid w:val="00D2737A"/>
    <w:rsid w:val="00D2788D"/>
    <w:rsid w:val="00D27A9B"/>
    <w:rsid w:val="00D319E1"/>
    <w:rsid w:val="00D31A7D"/>
    <w:rsid w:val="00D31E95"/>
    <w:rsid w:val="00D32083"/>
    <w:rsid w:val="00D32B67"/>
    <w:rsid w:val="00D32FC9"/>
    <w:rsid w:val="00D331CB"/>
    <w:rsid w:val="00D33504"/>
    <w:rsid w:val="00D33554"/>
    <w:rsid w:val="00D33DA4"/>
    <w:rsid w:val="00D345DA"/>
    <w:rsid w:val="00D36A93"/>
    <w:rsid w:val="00D36FC2"/>
    <w:rsid w:val="00D37922"/>
    <w:rsid w:val="00D37F43"/>
    <w:rsid w:val="00D37FFE"/>
    <w:rsid w:val="00D40284"/>
    <w:rsid w:val="00D405C1"/>
    <w:rsid w:val="00D407D4"/>
    <w:rsid w:val="00D408FE"/>
    <w:rsid w:val="00D40FC5"/>
    <w:rsid w:val="00D411B7"/>
    <w:rsid w:val="00D417DB"/>
    <w:rsid w:val="00D41A56"/>
    <w:rsid w:val="00D4215C"/>
    <w:rsid w:val="00D42199"/>
    <w:rsid w:val="00D4268B"/>
    <w:rsid w:val="00D42D55"/>
    <w:rsid w:val="00D43115"/>
    <w:rsid w:val="00D43723"/>
    <w:rsid w:val="00D43941"/>
    <w:rsid w:val="00D447CF"/>
    <w:rsid w:val="00D44F80"/>
    <w:rsid w:val="00D44FA1"/>
    <w:rsid w:val="00D451FE"/>
    <w:rsid w:val="00D4593C"/>
    <w:rsid w:val="00D459E1"/>
    <w:rsid w:val="00D46AC3"/>
    <w:rsid w:val="00D4724E"/>
    <w:rsid w:val="00D47A75"/>
    <w:rsid w:val="00D50058"/>
    <w:rsid w:val="00D5014A"/>
    <w:rsid w:val="00D506C0"/>
    <w:rsid w:val="00D506FE"/>
    <w:rsid w:val="00D50E9A"/>
    <w:rsid w:val="00D5116E"/>
    <w:rsid w:val="00D513F8"/>
    <w:rsid w:val="00D51423"/>
    <w:rsid w:val="00D51C27"/>
    <w:rsid w:val="00D52374"/>
    <w:rsid w:val="00D526EE"/>
    <w:rsid w:val="00D52C89"/>
    <w:rsid w:val="00D52EE9"/>
    <w:rsid w:val="00D52EFD"/>
    <w:rsid w:val="00D52FE3"/>
    <w:rsid w:val="00D530D3"/>
    <w:rsid w:val="00D53260"/>
    <w:rsid w:val="00D532F2"/>
    <w:rsid w:val="00D534AF"/>
    <w:rsid w:val="00D539BA"/>
    <w:rsid w:val="00D541A2"/>
    <w:rsid w:val="00D552B9"/>
    <w:rsid w:val="00D553A8"/>
    <w:rsid w:val="00D55F24"/>
    <w:rsid w:val="00D5637E"/>
    <w:rsid w:val="00D566C9"/>
    <w:rsid w:val="00D56902"/>
    <w:rsid w:val="00D56A5F"/>
    <w:rsid w:val="00D57004"/>
    <w:rsid w:val="00D57336"/>
    <w:rsid w:val="00D57585"/>
    <w:rsid w:val="00D57AFA"/>
    <w:rsid w:val="00D57BA4"/>
    <w:rsid w:val="00D60549"/>
    <w:rsid w:val="00D607DD"/>
    <w:rsid w:val="00D610B8"/>
    <w:rsid w:val="00D61200"/>
    <w:rsid w:val="00D61933"/>
    <w:rsid w:val="00D61CF0"/>
    <w:rsid w:val="00D61D4C"/>
    <w:rsid w:val="00D62756"/>
    <w:rsid w:val="00D630CE"/>
    <w:rsid w:val="00D638CA"/>
    <w:rsid w:val="00D64073"/>
    <w:rsid w:val="00D643D2"/>
    <w:rsid w:val="00D644BC"/>
    <w:rsid w:val="00D64822"/>
    <w:rsid w:val="00D64C81"/>
    <w:rsid w:val="00D64FDD"/>
    <w:rsid w:val="00D66264"/>
    <w:rsid w:val="00D66702"/>
    <w:rsid w:val="00D6695E"/>
    <w:rsid w:val="00D66AEE"/>
    <w:rsid w:val="00D66C80"/>
    <w:rsid w:val="00D674A1"/>
    <w:rsid w:val="00D67B15"/>
    <w:rsid w:val="00D67F52"/>
    <w:rsid w:val="00D67F92"/>
    <w:rsid w:val="00D70BA6"/>
    <w:rsid w:val="00D713CB"/>
    <w:rsid w:val="00D715C8"/>
    <w:rsid w:val="00D715D6"/>
    <w:rsid w:val="00D71968"/>
    <w:rsid w:val="00D7241F"/>
    <w:rsid w:val="00D725C9"/>
    <w:rsid w:val="00D7299F"/>
    <w:rsid w:val="00D72D96"/>
    <w:rsid w:val="00D72F7F"/>
    <w:rsid w:val="00D7367A"/>
    <w:rsid w:val="00D7413D"/>
    <w:rsid w:val="00D7436F"/>
    <w:rsid w:val="00D74921"/>
    <w:rsid w:val="00D7533F"/>
    <w:rsid w:val="00D75403"/>
    <w:rsid w:val="00D75459"/>
    <w:rsid w:val="00D7634E"/>
    <w:rsid w:val="00D76542"/>
    <w:rsid w:val="00D76766"/>
    <w:rsid w:val="00D76C64"/>
    <w:rsid w:val="00D76EBE"/>
    <w:rsid w:val="00D77066"/>
    <w:rsid w:val="00D771B7"/>
    <w:rsid w:val="00D77368"/>
    <w:rsid w:val="00D800FD"/>
    <w:rsid w:val="00D8020C"/>
    <w:rsid w:val="00D803D4"/>
    <w:rsid w:val="00D8179B"/>
    <w:rsid w:val="00D81A86"/>
    <w:rsid w:val="00D81B6D"/>
    <w:rsid w:val="00D827DA"/>
    <w:rsid w:val="00D82FCB"/>
    <w:rsid w:val="00D83467"/>
    <w:rsid w:val="00D849EA"/>
    <w:rsid w:val="00D85261"/>
    <w:rsid w:val="00D85EA7"/>
    <w:rsid w:val="00D8602B"/>
    <w:rsid w:val="00D863D9"/>
    <w:rsid w:val="00D86A9A"/>
    <w:rsid w:val="00D871D2"/>
    <w:rsid w:val="00D87AE4"/>
    <w:rsid w:val="00D87E4C"/>
    <w:rsid w:val="00D9021C"/>
    <w:rsid w:val="00D90499"/>
    <w:rsid w:val="00D9072D"/>
    <w:rsid w:val="00D90ADF"/>
    <w:rsid w:val="00D90AFD"/>
    <w:rsid w:val="00D90BC1"/>
    <w:rsid w:val="00D91088"/>
    <w:rsid w:val="00D913A8"/>
    <w:rsid w:val="00D916D5"/>
    <w:rsid w:val="00D9177E"/>
    <w:rsid w:val="00D91C02"/>
    <w:rsid w:val="00D91E58"/>
    <w:rsid w:val="00D921A7"/>
    <w:rsid w:val="00D925AB"/>
    <w:rsid w:val="00D931D9"/>
    <w:rsid w:val="00D9340B"/>
    <w:rsid w:val="00D9393D"/>
    <w:rsid w:val="00D93FA4"/>
    <w:rsid w:val="00D94E84"/>
    <w:rsid w:val="00D95BFD"/>
    <w:rsid w:val="00D95C28"/>
    <w:rsid w:val="00D95C67"/>
    <w:rsid w:val="00D960A1"/>
    <w:rsid w:val="00D968D8"/>
    <w:rsid w:val="00D97344"/>
    <w:rsid w:val="00D97A51"/>
    <w:rsid w:val="00D97BC2"/>
    <w:rsid w:val="00D97C20"/>
    <w:rsid w:val="00D97C6A"/>
    <w:rsid w:val="00DA01A2"/>
    <w:rsid w:val="00DA05D5"/>
    <w:rsid w:val="00DA0E76"/>
    <w:rsid w:val="00DA2085"/>
    <w:rsid w:val="00DA2738"/>
    <w:rsid w:val="00DA29DD"/>
    <w:rsid w:val="00DA2B84"/>
    <w:rsid w:val="00DA305A"/>
    <w:rsid w:val="00DA3A82"/>
    <w:rsid w:val="00DA3AC4"/>
    <w:rsid w:val="00DA4B2F"/>
    <w:rsid w:val="00DA5641"/>
    <w:rsid w:val="00DA56AC"/>
    <w:rsid w:val="00DA5A79"/>
    <w:rsid w:val="00DA5ACC"/>
    <w:rsid w:val="00DA5AE7"/>
    <w:rsid w:val="00DA5CF5"/>
    <w:rsid w:val="00DA6676"/>
    <w:rsid w:val="00DA6886"/>
    <w:rsid w:val="00DA6A54"/>
    <w:rsid w:val="00DA704D"/>
    <w:rsid w:val="00DA70CC"/>
    <w:rsid w:val="00DA72C1"/>
    <w:rsid w:val="00DB07A7"/>
    <w:rsid w:val="00DB0BF0"/>
    <w:rsid w:val="00DB14D0"/>
    <w:rsid w:val="00DB28C0"/>
    <w:rsid w:val="00DB2DCF"/>
    <w:rsid w:val="00DB3049"/>
    <w:rsid w:val="00DB3AAC"/>
    <w:rsid w:val="00DB3B5C"/>
    <w:rsid w:val="00DB4615"/>
    <w:rsid w:val="00DB4CD3"/>
    <w:rsid w:val="00DB5B6B"/>
    <w:rsid w:val="00DB5B9E"/>
    <w:rsid w:val="00DB5E05"/>
    <w:rsid w:val="00DB5EC3"/>
    <w:rsid w:val="00DB607D"/>
    <w:rsid w:val="00DB6542"/>
    <w:rsid w:val="00DB6679"/>
    <w:rsid w:val="00DB6B4D"/>
    <w:rsid w:val="00DB6F2C"/>
    <w:rsid w:val="00DB6FC5"/>
    <w:rsid w:val="00DB7022"/>
    <w:rsid w:val="00DB72D6"/>
    <w:rsid w:val="00DB7711"/>
    <w:rsid w:val="00DC01BC"/>
    <w:rsid w:val="00DC043B"/>
    <w:rsid w:val="00DC0857"/>
    <w:rsid w:val="00DC0E63"/>
    <w:rsid w:val="00DC111A"/>
    <w:rsid w:val="00DC1C97"/>
    <w:rsid w:val="00DC1CE5"/>
    <w:rsid w:val="00DC1DD6"/>
    <w:rsid w:val="00DC2094"/>
    <w:rsid w:val="00DC2820"/>
    <w:rsid w:val="00DC2B5B"/>
    <w:rsid w:val="00DC2BED"/>
    <w:rsid w:val="00DC33DB"/>
    <w:rsid w:val="00DC3802"/>
    <w:rsid w:val="00DC3943"/>
    <w:rsid w:val="00DC3CEA"/>
    <w:rsid w:val="00DC4C1F"/>
    <w:rsid w:val="00DC4DC6"/>
    <w:rsid w:val="00DC637D"/>
    <w:rsid w:val="00DC7069"/>
    <w:rsid w:val="00DC7912"/>
    <w:rsid w:val="00DC7A53"/>
    <w:rsid w:val="00DC7B28"/>
    <w:rsid w:val="00DC7D35"/>
    <w:rsid w:val="00DD008E"/>
    <w:rsid w:val="00DD00E7"/>
    <w:rsid w:val="00DD06F8"/>
    <w:rsid w:val="00DD0F9E"/>
    <w:rsid w:val="00DD1DDB"/>
    <w:rsid w:val="00DD2367"/>
    <w:rsid w:val="00DD2713"/>
    <w:rsid w:val="00DD2A3F"/>
    <w:rsid w:val="00DD2D75"/>
    <w:rsid w:val="00DD31EF"/>
    <w:rsid w:val="00DD3C94"/>
    <w:rsid w:val="00DD47CA"/>
    <w:rsid w:val="00DD49DF"/>
    <w:rsid w:val="00DD4D74"/>
    <w:rsid w:val="00DD5247"/>
    <w:rsid w:val="00DD558D"/>
    <w:rsid w:val="00DD577D"/>
    <w:rsid w:val="00DD5A9A"/>
    <w:rsid w:val="00DD6D0E"/>
    <w:rsid w:val="00DD6E95"/>
    <w:rsid w:val="00DD768D"/>
    <w:rsid w:val="00DE0697"/>
    <w:rsid w:val="00DE0AE2"/>
    <w:rsid w:val="00DE16C3"/>
    <w:rsid w:val="00DE1DE3"/>
    <w:rsid w:val="00DE2465"/>
    <w:rsid w:val="00DE2A08"/>
    <w:rsid w:val="00DE3428"/>
    <w:rsid w:val="00DE38DD"/>
    <w:rsid w:val="00DE419B"/>
    <w:rsid w:val="00DE4941"/>
    <w:rsid w:val="00DE4E2F"/>
    <w:rsid w:val="00DE5B12"/>
    <w:rsid w:val="00DE5E83"/>
    <w:rsid w:val="00DE6240"/>
    <w:rsid w:val="00DE6893"/>
    <w:rsid w:val="00DE6ECA"/>
    <w:rsid w:val="00DE728A"/>
    <w:rsid w:val="00DE7305"/>
    <w:rsid w:val="00DE77C1"/>
    <w:rsid w:val="00DE7EDB"/>
    <w:rsid w:val="00DF0C3D"/>
    <w:rsid w:val="00DF141F"/>
    <w:rsid w:val="00DF1FBB"/>
    <w:rsid w:val="00DF289C"/>
    <w:rsid w:val="00DF395C"/>
    <w:rsid w:val="00DF39DA"/>
    <w:rsid w:val="00DF3D71"/>
    <w:rsid w:val="00DF4998"/>
    <w:rsid w:val="00DF4CDE"/>
    <w:rsid w:val="00DF51E0"/>
    <w:rsid w:val="00DF5313"/>
    <w:rsid w:val="00DF5943"/>
    <w:rsid w:val="00DF5DAC"/>
    <w:rsid w:val="00DF65CF"/>
    <w:rsid w:val="00DF65EA"/>
    <w:rsid w:val="00DF695C"/>
    <w:rsid w:val="00DF6A06"/>
    <w:rsid w:val="00DF7411"/>
    <w:rsid w:val="00DF7C24"/>
    <w:rsid w:val="00E0027A"/>
    <w:rsid w:val="00E004AB"/>
    <w:rsid w:val="00E00B9B"/>
    <w:rsid w:val="00E00BA5"/>
    <w:rsid w:val="00E01D91"/>
    <w:rsid w:val="00E01F12"/>
    <w:rsid w:val="00E020C8"/>
    <w:rsid w:val="00E03098"/>
    <w:rsid w:val="00E0544E"/>
    <w:rsid w:val="00E05AF0"/>
    <w:rsid w:val="00E06043"/>
    <w:rsid w:val="00E06A16"/>
    <w:rsid w:val="00E06B26"/>
    <w:rsid w:val="00E077B6"/>
    <w:rsid w:val="00E07D1F"/>
    <w:rsid w:val="00E101E2"/>
    <w:rsid w:val="00E10854"/>
    <w:rsid w:val="00E10AF3"/>
    <w:rsid w:val="00E10E63"/>
    <w:rsid w:val="00E1123D"/>
    <w:rsid w:val="00E112EF"/>
    <w:rsid w:val="00E11CD9"/>
    <w:rsid w:val="00E122AF"/>
    <w:rsid w:val="00E126B7"/>
    <w:rsid w:val="00E12888"/>
    <w:rsid w:val="00E1299C"/>
    <w:rsid w:val="00E12B07"/>
    <w:rsid w:val="00E12BB2"/>
    <w:rsid w:val="00E12E88"/>
    <w:rsid w:val="00E12FC5"/>
    <w:rsid w:val="00E12FCE"/>
    <w:rsid w:val="00E13CC6"/>
    <w:rsid w:val="00E13E33"/>
    <w:rsid w:val="00E143D3"/>
    <w:rsid w:val="00E14A9E"/>
    <w:rsid w:val="00E14FA3"/>
    <w:rsid w:val="00E15A19"/>
    <w:rsid w:val="00E16176"/>
    <w:rsid w:val="00E169C9"/>
    <w:rsid w:val="00E16F0C"/>
    <w:rsid w:val="00E17499"/>
    <w:rsid w:val="00E1773F"/>
    <w:rsid w:val="00E1789D"/>
    <w:rsid w:val="00E17AF2"/>
    <w:rsid w:val="00E20B3F"/>
    <w:rsid w:val="00E21A75"/>
    <w:rsid w:val="00E220E0"/>
    <w:rsid w:val="00E22400"/>
    <w:rsid w:val="00E2242C"/>
    <w:rsid w:val="00E22A7F"/>
    <w:rsid w:val="00E22E00"/>
    <w:rsid w:val="00E2329B"/>
    <w:rsid w:val="00E235D4"/>
    <w:rsid w:val="00E23D00"/>
    <w:rsid w:val="00E24907"/>
    <w:rsid w:val="00E25004"/>
    <w:rsid w:val="00E25113"/>
    <w:rsid w:val="00E254E8"/>
    <w:rsid w:val="00E2580B"/>
    <w:rsid w:val="00E25B13"/>
    <w:rsid w:val="00E262A1"/>
    <w:rsid w:val="00E26AE1"/>
    <w:rsid w:val="00E2793B"/>
    <w:rsid w:val="00E27C29"/>
    <w:rsid w:val="00E30579"/>
    <w:rsid w:val="00E3057D"/>
    <w:rsid w:val="00E30A08"/>
    <w:rsid w:val="00E30A74"/>
    <w:rsid w:val="00E31BCA"/>
    <w:rsid w:val="00E31DDC"/>
    <w:rsid w:val="00E32190"/>
    <w:rsid w:val="00E32A7F"/>
    <w:rsid w:val="00E33046"/>
    <w:rsid w:val="00E33221"/>
    <w:rsid w:val="00E3402B"/>
    <w:rsid w:val="00E3445D"/>
    <w:rsid w:val="00E3447E"/>
    <w:rsid w:val="00E34C1A"/>
    <w:rsid w:val="00E35E14"/>
    <w:rsid w:val="00E363D6"/>
    <w:rsid w:val="00E36E0B"/>
    <w:rsid w:val="00E37695"/>
    <w:rsid w:val="00E37ADF"/>
    <w:rsid w:val="00E37F0D"/>
    <w:rsid w:val="00E40761"/>
    <w:rsid w:val="00E407B9"/>
    <w:rsid w:val="00E40CD7"/>
    <w:rsid w:val="00E41098"/>
    <w:rsid w:val="00E41204"/>
    <w:rsid w:val="00E41546"/>
    <w:rsid w:val="00E4195E"/>
    <w:rsid w:val="00E41A00"/>
    <w:rsid w:val="00E41BF1"/>
    <w:rsid w:val="00E42EC4"/>
    <w:rsid w:val="00E430CE"/>
    <w:rsid w:val="00E4459F"/>
    <w:rsid w:val="00E44B9B"/>
    <w:rsid w:val="00E4575B"/>
    <w:rsid w:val="00E459D5"/>
    <w:rsid w:val="00E45B82"/>
    <w:rsid w:val="00E475A6"/>
    <w:rsid w:val="00E4760B"/>
    <w:rsid w:val="00E50443"/>
    <w:rsid w:val="00E50575"/>
    <w:rsid w:val="00E51B99"/>
    <w:rsid w:val="00E51FFF"/>
    <w:rsid w:val="00E5264E"/>
    <w:rsid w:val="00E53006"/>
    <w:rsid w:val="00E53117"/>
    <w:rsid w:val="00E53F07"/>
    <w:rsid w:val="00E54588"/>
    <w:rsid w:val="00E5496E"/>
    <w:rsid w:val="00E54EE1"/>
    <w:rsid w:val="00E55228"/>
    <w:rsid w:val="00E55458"/>
    <w:rsid w:val="00E55BFB"/>
    <w:rsid w:val="00E56062"/>
    <w:rsid w:val="00E56A72"/>
    <w:rsid w:val="00E57DF5"/>
    <w:rsid w:val="00E601A3"/>
    <w:rsid w:val="00E60972"/>
    <w:rsid w:val="00E60C44"/>
    <w:rsid w:val="00E61ABE"/>
    <w:rsid w:val="00E61ED7"/>
    <w:rsid w:val="00E621FE"/>
    <w:rsid w:val="00E6268D"/>
    <w:rsid w:val="00E6292A"/>
    <w:rsid w:val="00E6297A"/>
    <w:rsid w:val="00E6298B"/>
    <w:rsid w:val="00E62A87"/>
    <w:rsid w:val="00E630D7"/>
    <w:rsid w:val="00E631AA"/>
    <w:rsid w:val="00E648A2"/>
    <w:rsid w:val="00E659A5"/>
    <w:rsid w:val="00E65D23"/>
    <w:rsid w:val="00E663C7"/>
    <w:rsid w:val="00E66786"/>
    <w:rsid w:val="00E67FC0"/>
    <w:rsid w:val="00E7003E"/>
    <w:rsid w:val="00E70501"/>
    <w:rsid w:val="00E7053C"/>
    <w:rsid w:val="00E70C54"/>
    <w:rsid w:val="00E714E5"/>
    <w:rsid w:val="00E71553"/>
    <w:rsid w:val="00E71889"/>
    <w:rsid w:val="00E71A37"/>
    <w:rsid w:val="00E71B21"/>
    <w:rsid w:val="00E720DF"/>
    <w:rsid w:val="00E723B8"/>
    <w:rsid w:val="00E72F0A"/>
    <w:rsid w:val="00E730BD"/>
    <w:rsid w:val="00E731EC"/>
    <w:rsid w:val="00E73C20"/>
    <w:rsid w:val="00E7432A"/>
    <w:rsid w:val="00E7432D"/>
    <w:rsid w:val="00E747B5"/>
    <w:rsid w:val="00E7485E"/>
    <w:rsid w:val="00E75B79"/>
    <w:rsid w:val="00E75F4D"/>
    <w:rsid w:val="00E762AE"/>
    <w:rsid w:val="00E76E1E"/>
    <w:rsid w:val="00E76F78"/>
    <w:rsid w:val="00E778F3"/>
    <w:rsid w:val="00E77CA5"/>
    <w:rsid w:val="00E80343"/>
    <w:rsid w:val="00E804B0"/>
    <w:rsid w:val="00E804DE"/>
    <w:rsid w:val="00E80585"/>
    <w:rsid w:val="00E80778"/>
    <w:rsid w:val="00E809CA"/>
    <w:rsid w:val="00E81743"/>
    <w:rsid w:val="00E819C1"/>
    <w:rsid w:val="00E81E82"/>
    <w:rsid w:val="00E82269"/>
    <w:rsid w:val="00E826CE"/>
    <w:rsid w:val="00E829C2"/>
    <w:rsid w:val="00E8345B"/>
    <w:rsid w:val="00E83E4F"/>
    <w:rsid w:val="00E84A77"/>
    <w:rsid w:val="00E85F36"/>
    <w:rsid w:val="00E8608E"/>
    <w:rsid w:val="00E8786A"/>
    <w:rsid w:val="00E87923"/>
    <w:rsid w:val="00E87DE3"/>
    <w:rsid w:val="00E90088"/>
    <w:rsid w:val="00E90C39"/>
    <w:rsid w:val="00E90EA4"/>
    <w:rsid w:val="00E912DB"/>
    <w:rsid w:val="00E91694"/>
    <w:rsid w:val="00E91C75"/>
    <w:rsid w:val="00E92164"/>
    <w:rsid w:val="00E92BBD"/>
    <w:rsid w:val="00E931DA"/>
    <w:rsid w:val="00E9340D"/>
    <w:rsid w:val="00E936EE"/>
    <w:rsid w:val="00E93930"/>
    <w:rsid w:val="00E93F30"/>
    <w:rsid w:val="00E9455A"/>
    <w:rsid w:val="00E9481C"/>
    <w:rsid w:val="00E94E06"/>
    <w:rsid w:val="00E952B8"/>
    <w:rsid w:val="00E95A72"/>
    <w:rsid w:val="00E95B9F"/>
    <w:rsid w:val="00E964D0"/>
    <w:rsid w:val="00E96629"/>
    <w:rsid w:val="00E966BA"/>
    <w:rsid w:val="00E96A8C"/>
    <w:rsid w:val="00E96D8C"/>
    <w:rsid w:val="00E97052"/>
    <w:rsid w:val="00E972F2"/>
    <w:rsid w:val="00E97713"/>
    <w:rsid w:val="00E97B58"/>
    <w:rsid w:val="00EA0BA8"/>
    <w:rsid w:val="00EA114D"/>
    <w:rsid w:val="00EA1BC2"/>
    <w:rsid w:val="00EA20AB"/>
    <w:rsid w:val="00EA20D0"/>
    <w:rsid w:val="00EA25B1"/>
    <w:rsid w:val="00EA2746"/>
    <w:rsid w:val="00EA2CA7"/>
    <w:rsid w:val="00EA3818"/>
    <w:rsid w:val="00EA458A"/>
    <w:rsid w:val="00EA51B7"/>
    <w:rsid w:val="00EA5343"/>
    <w:rsid w:val="00EA5B52"/>
    <w:rsid w:val="00EA5BC3"/>
    <w:rsid w:val="00EA7091"/>
    <w:rsid w:val="00EA74FE"/>
    <w:rsid w:val="00EB0077"/>
    <w:rsid w:val="00EB007F"/>
    <w:rsid w:val="00EB184D"/>
    <w:rsid w:val="00EB1D96"/>
    <w:rsid w:val="00EB1E64"/>
    <w:rsid w:val="00EB2046"/>
    <w:rsid w:val="00EB34D2"/>
    <w:rsid w:val="00EB3E59"/>
    <w:rsid w:val="00EB3F3D"/>
    <w:rsid w:val="00EB4290"/>
    <w:rsid w:val="00EB440E"/>
    <w:rsid w:val="00EB48A7"/>
    <w:rsid w:val="00EB49EB"/>
    <w:rsid w:val="00EB57B3"/>
    <w:rsid w:val="00EB5B7C"/>
    <w:rsid w:val="00EB5C06"/>
    <w:rsid w:val="00EB5FDD"/>
    <w:rsid w:val="00EB676C"/>
    <w:rsid w:val="00EB6B5D"/>
    <w:rsid w:val="00EB6EA2"/>
    <w:rsid w:val="00EB6F8E"/>
    <w:rsid w:val="00EB7709"/>
    <w:rsid w:val="00EC070E"/>
    <w:rsid w:val="00EC10CC"/>
    <w:rsid w:val="00EC14FD"/>
    <w:rsid w:val="00EC1907"/>
    <w:rsid w:val="00EC236B"/>
    <w:rsid w:val="00EC2A79"/>
    <w:rsid w:val="00EC2E97"/>
    <w:rsid w:val="00EC35D8"/>
    <w:rsid w:val="00EC3B84"/>
    <w:rsid w:val="00EC44F9"/>
    <w:rsid w:val="00EC48AA"/>
    <w:rsid w:val="00EC4ED5"/>
    <w:rsid w:val="00EC5842"/>
    <w:rsid w:val="00EC5962"/>
    <w:rsid w:val="00EC6D6C"/>
    <w:rsid w:val="00EC6FD6"/>
    <w:rsid w:val="00EC71CA"/>
    <w:rsid w:val="00EC7384"/>
    <w:rsid w:val="00EC7AED"/>
    <w:rsid w:val="00EC7F72"/>
    <w:rsid w:val="00EC7F78"/>
    <w:rsid w:val="00ED07B2"/>
    <w:rsid w:val="00ED0A59"/>
    <w:rsid w:val="00ED0A84"/>
    <w:rsid w:val="00ED0C38"/>
    <w:rsid w:val="00ED105D"/>
    <w:rsid w:val="00ED1C54"/>
    <w:rsid w:val="00ED1DBA"/>
    <w:rsid w:val="00ED2088"/>
    <w:rsid w:val="00ED2388"/>
    <w:rsid w:val="00ED25C7"/>
    <w:rsid w:val="00ED2ADE"/>
    <w:rsid w:val="00ED2FF2"/>
    <w:rsid w:val="00ED3C55"/>
    <w:rsid w:val="00ED4147"/>
    <w:rsid w:val="00ED41F7"/>
    <w:rsid w:val="00ED45C6"/>
    <w:rsid w:val="00ED4D2A"/>
    <w:rsid w:val="00ED5B92"/>
    <w:rsid w:val="00ED5EA0"/>
    <w:rsid w:val="00ED61E1"/>
    <w:rsid w:val="00ED61EE"/>
    <w:rsid w:val="00ED68FB"/>
    <w:rsid w:val="00ED6B5D"/>
    <w:rsid w:val="00ED6DBC"/>
    <w:rsid w:val="00ED7723"/>
    <w:rsid w:val="00ED78D3"/>
    <w:rsid w:val="00ED7C0B"/>
    <w:rsid w:val="00EE05DC"/>
    <w:rsid w:val="00EE0911"/>
    <w:rsid w:val="00EE0AF2"/>
    <w:rsid w:val="00EE10B8"/>
    <w:rsid w:val="00EE16E2"/>
    <w:rsid w:val="00EE275E"/>
    <w:rsid w:val="00EE33AC"/>
    <w:rsid w:val="00EE3E7F"/>
    <w:rsid w:val="00EE3F08"/>
    <w:rsid w:val="00EE49B7"/>
    <w:rsid w:val="00EE51BD"/>
    <w:rsid w:val="00EE5350"/>
    <w:rsid w:val="00EE62F5"/>
    <w:rsid w:val="00EE672A"/>
    <w:rsid w:val="00EE6764"/>
    <w:rsid w:val="00EE6992"/>
    <w:rsid w:val="00EE6DED"/>
    <w:rsid w:val="00EE75B9"/>
    <w:rsid w:val="00EE7950"/>
    <w:rsid w:val="00EE7AF5"/>
    <w:rsid w:val="00EE7DAA"/>
    <w:rsid w:val="00EF07B8"/>
    <w:rsid w:val="00EF157B"/>
    <w:rsid w:val="00EF2336"/>
    <w:rsid w:val="00EF2384"/>
    <w:rsid w:val="00EF264F"/>
    <w:rsid w:val="00EF2AFC"/>
    <w:rsid w:val="00EF3C45"/>
    <w:rsid w:val="00EF3D6A"/>
    <w:rsid w:val="00EF451C"/>
    <w:rsid w:val="00EF48C1"/>
    <w:rsid w:val="00EF4C88"/>
    <w:rsid w:val="00EF5452"/>
    <w:rsid w:val="00EF5462"/>
    <w:rsid w:val="00EF57B6"/>
    <w:rsid w:val="00EF5879"/>
    <w:rsid w:val="00EF5C5A"/>
    <w:rsid w:val="00EF602C"/>
    <w:rsid w:val="00EF6F7C"/>
    <w:rsid w:val="00EF722C"/>
    <w:rsid w:val="00EF7A01"/>
    <w:rsid w:val="00F00011"/>
    <w:rsid w:val="00F00053"/>
    <w:rsid w:val="00F005DA"/>
    <w:rsid w:val="00F00AA0"/>
    <w:rsid w:val="00F01334"/>
    <w:rsid w:val="00F01840"/>
    <w:rsid w:val="00F02390"/>
    <w:rsid w:val="00F02478"/>
    <w:rsid w:val="00F0282F"/>
    <w:rsid w:val="00F02843"/>
    <w:rsid w:val="00F035DC"/>
    <w:rsid w:val="00F03A93"/>
    <w:rsid w:val="00F04400"/>
    <w:rsid w:val="00F0448F"/>
    <w:rsid w:val="00F06151"/>
    <w:rsid w:val="00F06247"/>
    <w:rsid w:val="00F0635A"/>
    <w:rsid w:val="00F06BCE"/>
    <w:rsid w:val="00F07DED"/>
    <w:rsid w:val="00F10587"/>
    <w:rsid w:val="00F10695"/>
    <w:rsid w:val="00F10CDE"/>
    <w:rsid w:val="00F11668"/>
    <w:rsid w:val="00F117EC"/>
    <w:rsid w:val="00F1260F"/>
    <w:rsid w:val="00F1293D"/>
    <w:rsid w:val="00F13F3B"/>
    <w:rsid w:val="00F14674"/>
    <w:rsid w:val="00F15AA2"/>
    <w:rsid w:val="00F15C52"/>
    <w:rsid w:val="00F15CDC"/>
    <w:rsid w:val="00F15D7B"/>
    <w:rsid w:val="00F16499"/>
    <w:rsid w:val="00F168A5"/>
    <w:rsid w:val="00F169AE"/>
    <w:rsid w:val="00F16F27"/>
    <w:rsid w:val="00F17255"/>
    <w:rsid w:val="00F17651"/>
    <w:rsid w:val="00F179D6"/>
    <w:rsid w:val="00F20A5E"/>
    <w:rsid w:val="00F20B01"/>
    <w:rsid w:val="00F213EC"/>
    <w:rsid w:val="00F21627"/>
    <w:rsid w:val="00F21A4F"/>
    <w:rsid w:val="00F21C5F"/>
    <w:rsid w:val="00F22958"/>
    <w:rsid w:val="00F22D7C"/>
    <w:rsid w:val="00F2372D"/>
    <w:rsid w:val="00F2382F"/>
    <w:rsid w:val="00F23D3A"/>
    <w:rsid w:val="00F23EC8"/>
    <w:rsid w:val="00F254A5"/>
    <w:rsid w:val="00F255A3"/>
    <w:rsid w:val="00F259E7"/>
    <w:rsid w:val="00F25F01"/>
    <w:rsid w:val="00F26107"/>
    <w:rsid w:val="00F26784"/>
    <w:rsid w:val="00F26F4F"/>
    <w:rsid w:val="00F302F3"/>
    <w:rsid w:val="00F30FC5"/>
    <w:rsid w:val="00F3172C"/>
    <w:rsid w:val="00F319F9"/>
    <w:rsid w:val="00F31A2D"/>
    <w:rsid w:val="00F31CE7"/>
    <w:rsid w:val="00F31F89"/>
    <w:rsid w:val="00F32062"/>
    <w:rsid w:val="00F32976"/>
    <w:rsid w:val="00F32EFF"/>
    <w:rsid w:val="00F343DF"/>
    <w:rsid w:val="00F34415"/>
    <w:rsid w:val="00F34763"/>
    <w:rsid w:val="00F348B2"/>
    <w:rsid w:val="00F34901"/>
    <w:rsid w:val="00F34965"/>
    <w:rsid w:val="00F3547D"/>
    <w:rsid w:val="00F357FF"/>
    <w:rsid w:val="00F35C1B"/>
    <w:rsid w:val="00F3605A"/>
    <w:rsid w:val="00F36723"/>
    <w:rsid w:val="00F36CFC"/>
    <w:rsid w:val="00F37001"/>
    <w:rsid w:val="00F3738A"/>
    <w:rsid w:val="00F3759A"/>
    <w:rsid w:val="00F37C51"/>
    <w:rsid w:val="00F37FD7"/>
    <w:rsid w:val="00F40321"/>
    <w:rsid w:val="00F40601"/>
    <w:rsid w:val="00F4144A"/>
    <w:rsid w:val="00F414CE"/>
    <w:rsid w:val="00F41DB9"/>
    <w:rsid w:val="00F42857"/>
    <w:rsid w:val="00F42900"/>
    <w:rsid w:val="00F431D8"/>
    <w:rsid w:val="00F4337D"/>
    <w:rsid w:val="00F43566"/>
    <w:rsid w:val="00F438C5"/>
    <w:rsid w:val="00F44837"/>
    <w:rsid w:val="00F4487F"/>
    <w:rsid w:val="00F45F1A"/>
    <w:rsid w:val="00F46094"/>
    <w:rsid w:val="00F460E8"/>
    <w:rsid w:val="00F462EF"/>
    <w:rsid w:val="00F4640C"/>
    <w:rsid w:val="00F46834"/>
    <w:rsid w:val="00F46A40"/>
    <w:rsid w:val="00F478D4"/>
    <w:rsid w:val="00F47B73"/>
    <w:rsid w:val="00F47C7A"/>
    <w:rsid w:val="00F47CE8"/>
    <w:rsid w:val="00F50258"/>
    <w:rsid w:val="00F5095C"/>
    <w:rsid w:val="00F50AAC"/>
    <w:rsid w:val="00F51022"/>
    <w:rsid w:val="00F51883"/>
    <w:rsid w:val="00F51A4B"/>
    <w:rsid w:val="00F52123"/>
    <w:rsid w:val="00F5287E"/>
    <w:rsid w:val="00F52C04"/>
    <w:rsid w:val="00F52C6A"/>
    <w:rsid w:val="00F534A9"/>
    <w:rsid w:val="00F5371A"/>
    <w:rsid w:val="00F5383B"/>
    <w:rsid w:val="00F53A08"/>
    <w:rsid w:val="00F53A20"/>
    <w:rsid w:val="00F53A54"/>
    <w:rsid w:val="00F5409C"/>
    <w:rsid w:val="00F54D8B"/>
    <w:rsid w:val="00F55296"/>
    <w:rsid w:val="00F55E07"/>
    <w:rsid w:val="00F562CD"/>
    <w:rsid w:val="00F56AA8"/>
    <w:rsid w:val="00F56EBF"/>
    <w:rsid w:val="00F57C5C"/>
    <w:rsid w:val="00F57EE3"/>
    <w:rsid w:val="00F603DF"/>
    <w:rsid w:val="00F60572"/>
    <w:rsid w:val="00F607F4"/>
    <w:rsid w:val="00F608D1"/>
    <w:rsid w:val="00F60DDA"/>
    <w:rsid w:val="00F612DA"/>
    <w:rsid w:val="00F619B6"/>
    <w:rsid w:val="00F61C4D"/>
    <w:rsid w:val="00F626D6"/>
    <w:rsid w:val="00F6290A"/>
    <w:rsid w:val="00F62A21"/>
    <w:rsid w:val="00F62D71"/>
    <w:rsid w:val="00F634C9"/>
    <w:rsid w:val="00F63B16"/>
    <w:rsid w:val="00F63EBB"/>
    <w:rsid w:val="00F63F35"/>
    <w:rsid w:val="00F641AD"/>
    <w:rsid w:val="00F64690"/>
    <w:rsid w:val="00F6481E"/>
    <w:rsid w:val="00F64AEA"/>
    <w:rsid w:val="00F64EC1"/>
    <w:rsid w:val="00F6671B"/>
    <w:rsid w:val="00F670FD"/>
    <w:rsid w:val="00F67453"/>
    <w:rsid w:val="00F70008"/>
    <w:rsid w:val="00F70FC2"/>
    <w:rsid w:val="00F718DB"/>
    <w:rsid w:val="00F72A3A"/>
    <w:rsid w:val="00F72B23"/>
    <w:rsid w:val="00F72CCE"/>
    <w:rsid w:val="00F73118"/>
    <w:rsid w:val="00F733B6"/>
    <w:rsid w:val="00F735CE"/>
    <w:rsid w:val="00F73FB6"/>
    <w:rsid w:val="00F7482C"/>
    <w:rsid w:val="00F74CCE"/>
    <w:rsid w:val="00F74EE0"/>
    <w:rsid w:val="00F752A6"/>
    <w:rsid w:val="00F7533B"/>
    <w:rsid w:val="00F75425"/>
    <w:rsid w:val="00F75770"/>
    <w:rsid w:val="00F757E2"/>
    <w:rsid w:val="00F75804"/>
    <w:rsid w:val="00F75CA4"/>
    <w:rsid w:val="00F7616B"/>
    <w:rsid w:val="00F766C6"/>
    <w:rsid w:val="00F767B2"/>
    <w:rsid w:val="00F76AB1"/>
    <w:rsid w:val="00F76CCA"/>
    <w:rsid w:val="00F77702"/>
    <w:rsid w:val="00F779E5"/>
    <w:rsid w:val="00F80076"/>
    <w:rsid w:val="00F8105A"/>
    <w:rsid w:val="00F815DB"/>
    <w:rsid w:val="00F82021"/>
    <w:rsid w:val="00F84166"/>
    <w:rsid w:val="00F847E0"/>
    <w:rsid w:val="00F854BD"/>
    <w:rsid w:val="00F855EC"/>
    <w:rsid w:val="00F85ACA"/>
    <w:rsid w:val="00F86030"/>
    <w:rsid w:val="00F860EC"/>
    <w:rsid w:val="00F86E10"/>
    <w:rsid w:val="00F86F17"/>
    <w:rsid w:val="00F8723F"/>
    <w:rsid w:val="00F8766A"/>
    <w:rsid w:val="00F878B6"/>
    <w:rsid w:val="00F87CC7"/>
    <w:rsid w:val="00F87D22"/>
    <w:rsid w:val="00F9005B"/>
    <w:rsid w:val="00F90264"/>
    <w:rsid w:val="00F903D6"/>
    <w:rsid w:val="00F906F8"/>
    <w:rsid w:val="00F90CA4"/>
    <w:rsid w:val="00F919FF"/>
    <w:rsid w:val="00F91E64"/>
    <w:rsid w:val="00F91EBE"/>
    <w:rsid w:val="00F92515"/>
    <w:rsid w:val="00F93279"/>
    <w:rsid w:val="00F9328C"/>
    <w:rsid w:val="00F950BC"/>
    <w:rsid w:val="00F95960"/>
    <w:rsid w:val="00F96291"/>
    <w:rsid w:val="00F9655F"/>
    <w:rsid w:val="00F972C7"/>
    <w:rsid w:val="00F97467"/>
    <w:rsid w:val="00F977EC"/>
    <w:rsid w:val="00F97CA8"/>
    <w:rsid w:val="00F97EA9"/>
    <w:rsid w:val="00FA044E"/>
    <w:rsid w:val="00FA0912"/>
    <w:rsid w:val="00FA0DC0"/>
    <w:rsid w:val="00FA146D"/>
    <w:rsid w:val="00FA1699"/>
    <w:rsid w:val="00FA1E3B"/>
    <w:rsid w:val="00FA24CE"/>
    <w:rsid w:val="00FA28BC"/>
    <w:rsid w:val="00FA2A14"/>
    <w:rsid w:val="00FA36E8"/>
    <w:rsid w:val="00FA42D2"/>
    <w:rsid w:val="00FA522A"/>
    <w:rsid w:val="00FA5549"/>
    <w:rsid w:val="00FA5ECA"/>
    <w:rsid w:val="00FA603A"/>
    <w:rsid w:val="00FA67E8"/>
    <w:rsid w:val="00FA687A"/>
    <w:rsid w:val="00FA6913"/>
    <w:rsid w:val="00FA6CA2"/>
    <w:rsid w:val="00FA70B8"/>
    <w:rsid w:val="00FB0046"/>
    <w:rsid w:val="00FB01D0"/>
    <w:rsid w:val="00FB01D2"/>
    <w:rsid w:val="00FB0A69"/>
    <w:rsid w:val="00FB0B3D"/>
    <w:rsid w:val="00FB0C2A"/>
    <w:rsid w:val="00FB0C73"/>
    <w:rsid w:val="00FB0CFD"/>
    <w:rsid w:val="00FB1497"/>
    <w:rsid w:val="00FB185E"/>
    <w:rsid w:val="00FB1B5A"/>
    <w:rsid w:val="00FB1DF8"/>
    <w:rsid w:val="00FB1E4E"/>
    <w:rsid w:val="00FB251F"/>
    <w:rsid w:val="00FB2832"/>
    <w:rsid w:val="00FB359E"/>
    <w:rsid w:val="00FB3DB2"/>
    <w:rsid w:val="00FB3DD4"/>
    <w:rsid w:val="00FB3DFF"/>
    <w:rsid w:val="00FB431E"/>
    <w:rsid w:val="00FB4741"/>
    <w:rsid w:val="00FB4836"/>
    <w:rsid w:val="00FB4B09"/>
    <w:rsid w:val="00FB5361"/>
    <w:rsid w:val="00FB5A18"/>
    <w:rsid w:val="00FB680E"/>
    <w:rsid w:val="00FB6B39"/>
    <w:rsid w:val="00FB6E90"/>
    <w:rsid w:val="00FB7337"/>
    <w:rsid w:val="00FB78AA"/>
    <w:rsid w:val="00FB7C42"/>
    <w:rsid w:val="00FC06C2"/>
    <w:rsid w:val="00FC0D25"/>
    <w:rsid w:val="00FC1528"/>
    <w:rsid w:val="00FC1949"/>
    <w:rsid w:val="00FC1CF1"/>
    <w:rsid w:val="00FC2074"/>
    <w:rsid w:val="00FC210C"/>
    <w:rsid w:val="00FC226E"/>
    <w:rsid w:val="00FC2379"/>
    <w:rsid w:val="00FC28B0"/>
    <w:rsid w:val="00FC32B1"/>
    <w:rsid w:val="00FC358A"/>
    <w:rsid w:val="00FC3967"/>
    <w:rsid w:val="00FC39C1"/>
    <w:rsid w:val="00FC3BB0"/>
    <w:rsid w:val="00FC3BF6"/>
    <w:rsid w:val="00FC473A"/>
    <w:rsid w:val="00FC4854"/>
    <w:rsid w:val="00FC573B"/>
    <w:rsid w:val="00FC5879"/>
    <w:rsid w:val="00FC5B00"/>
    <w:rsid w:val="00FC609F"/>
    <w:rsid w:val="00FC6D6B"/>
    <w:rsid w:val="00FC7151"/>
    <w:rsid w:val="00FC7260"/>
    <w:rsid w:val="00FC7382"/>
    <w:rsid w:val="00FC770E"/>
    <w:rsid w:val="00FD0F7C"/>
    <w:rsid w:val="00FD1913"/>
    <w:rsid w:val="00FD1A32"/>
    <w:rsid w:val="00FD2267"/>
    <w:rsid w:val="00FD2B2D"/>
    <w:rsid w:val="00FD36FF"/>
    <w:rsid w:val="00FD388E"/>
    <w:rsid w:val="00FD399E"/>
    <w:rsid w:val="00FD41A9"/>
    <w:rsid w:val="00FD432B"/>
    <w:rsid w:val="00FD4557"/>
    <w:rsid w:val="00FD4682"/>
    <w:rsid w:val="00FD4CA6"/>
    <w:rsid w:val="00FD4F89"/>
    <w:rsid w:val="00FD5032"/>
    <w:rsid w:val="00FD5E2A"/>
    <w:rsid w:val="00FD6F21"/>
    <w:rsid w:val="00FD768B"/>
    <w:rsid w:val="00FD78FB"/>
    <w:rsid w:val="00FD7A2F"/>
    <w:rsid w:val="00FE0291"/>
    <w:rsid w:val="00FE0541"/>
    <w:rsid w:val="00FE07E9"/>
    <w:rsid w:val="00FE183B"/>
    <w:rsid w:val="00FE1EE1"/>
    <w:rsid w:val="00FE24B1"/>
    <w:rsid w:val="00FE27BF"/>
    <w:rsid w:val="00FE2952"/>
    <w:rsid w:val="00FE29FE"/>
    <w:rsid w:val="00FE3826"/>
    <w:rsid w:val="00FE39FB"/>
    <w:rsid w:val="00FE3E45"/>
    <w:rsid w:val="00FE45D6"/>
    <w:rsid w:val="00FE4B48"/>
    <w:rsid w:val="00FE54E4"/>
    <w:rsid w:val="00FE56DA"/>
    <w:rsid w:val="00FE741B"/>
    <w:rsid w:val="00FE766F"/>
    <w:rsid w:val="00FE78E0"/>
    <w:rsid w:val="00FE7D0C"/>
    <w:rsid w:val="00FE7FDB"/>
    <w:rsid w:val="00FF05D4"/>
    <w:rsid w:val="00FF0691"/>
    <w:rsid w:val="00FF0F2E"/>
    <w:rsid w:val="00FF12DA"/>
    <w:rsid w:val="00FF1703"/>
    <w:rsid w:val="00FF20F4"/>
    <w:rsid w:val="00FF23D8"/>
    <w:rsid w:val="00FF39CA"/>
    <w:rsid w:val="00FF3A65"/>
    <w:rsid w:val="00FF3EC1"/>
    <w:rsid w:val="00FF404C"/>
    <w:rsid w:val="00FF466C"/>
    <w:rsid w:val="00FF504A"/>
    <w:rsid w:val="00FF5512"/>
    <w:rsid w:val="00FF5843"/>
    <w:rsid w:val="00FF5943"/>
    <w:rsid w:val="00FF7A0E"/>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F9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BDD"/>
    <w:pPr>
      <w:widowControl w:val="0"/>
      <w:adjustRightInd w:val="0"/>
      <w:spacing w:after="0" w:line="360" w:lineRule="atLeast"/>
      <w:jc w:val="both"/>
      <w:textAlignment w:val="baseline"/>
    </w:pPr>
    <w:rPr>
      <w:rFonts w:ascii="Verdana" w:eastAsia="Times New Roman" w:hAnsi="Verdana" w:cs="Times New Roman"/>
      <w:sz w:val="24"/>
      <w:szCs w:val="24"/>
      <w:lang w:eastAsia="es-CR"/>
    </w:rPr>
  </w:style>
  <w:style w:type="paragraph" w:styleId="Heading1">
    <w:name w:val="heading 1"/>
    <w:aliases w:val="Título Verdana"/>
    <w:basedOn w:val="Normal"/>
    <w:next w:val="Normal"/>
    <w:link w:val="Heading1Char"/>
    <w:uiPriority w:val="9"/>
    <w:qFormat/>
    <w:rsid w:val="00085BDD"/>
    <w:pPr>
      <w:keepNext/>
      <w:keepLines/>
      <w:tabs>
        <w:tab w:val="left" w:pos="720"/>
      </w:tabs>
      <w:spacing w:line="240" w:lineRule="auto"/>
      <w:jc w:val="center"/>
      <w:outlineLvl w:val="0"/>
    </w:pPr>
    <w:rPr>
      <w:rFonts w:eastAsia="MS ????"/>
      <w:b/>
      <w:bCs/>
      <w:caps/>
      <w:snapToGrid w:val="0"/>
      <w:spacing w:val="-2"/>
      <w:sz w:val="20"/>
      <w:szCs w:val="20"/>
      <w:lang w:val="x-none" w:eastAsia="es-ES"/>
    </w:rPr>
  </w:style>
  <w:style w:type="paragraph" w:styleId="Heading2">
    <w:name w:val="heading 2"/>
    <w:basedOn w:val="Normal"/>
    <w:next w:val="Normal"/>
    <w:link w:val="Heading2Char"/>
    <w:uiPriority w:val="9"/>
    <w:unhideWhenUsed/>
    <w:qFormat/>
    <w:rsid w:val="008920B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085BDD"/>
    <w:pPr>
      <w:widowControl/>
      <w:tabs>
        <w:tab w:val="left" w:pos="567"/>
      </w:tabs>
      <w:autoSpaceDE w:val="0"/>
      <w:autoSpaceDN w:val="0"/>
      <w:adjustRightInd/>
      <w:spacing w:line="240" w:lineRule="auto"/>
      <w:ind w:left="1416"/>
      <w:contextualSpacing/>
      <w:textAlignment w:val="auto"/>
      <w:outlineLvl w:val="2"/>
    </w:pPr>
    <w:rPr>
      <w:rFonts w:eastAsia="Calibri"/>
      <w:b/>
      <w:spacing w:val="-2"/>
      <w:sz w:val="20"/>
      <w:szCs w:val="20"/>
      <w:lang w:val="es-ES" w:eastAsia="x-none"/>
    </w:rPr>
  </w:style>
  <w:style w:type="paragraph" w:styleId="Heading4">
    <w:name w:val="heading 4"/>
    <w:basedOn w:val="Normal"/>
    <w:next w:val="Normal"/>
    <w:link w:val="Heading4Char"/>
    <w:uiPriority w:val="9"/>
    <w:semiHidden/>
    <w:unhideWhenUsed/>
    <w:qFormat/>
    <w:rsid w:val="008920BF"/>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E3447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unhideWhenUsed/>
    <w:qFormat/>
    <w:rsid w:val="00E3447E"/>
    <w:pPr>
      <w:keepNext w:val="0"/>
      <w:keepLines w:val="0"/>
      <w:widowControl/>
      <w:tabs>
        <w:tab w:val="num" w:pos="3600"/>
      </w:tabs>
      <w:adjustRightInd/>
      <w:spacing w:before="0" w:line="240" w:lineRule="auto"/>
      <w:ind w:left="3600" w:hanging="360"/>
      <w:textAlignment w:val="auto"/>
      <w:outlineLvl w:val="5"/>
    </w:pPr>
    <w:rPr>
      <w:rFonts w:ascii="Verdana" w:eastAsia="Times New Roman" w:hAnsi="Verdana" w:cs="Times New Roman"/>
      <w:color w:val="auto"/>
      <w:spacing w:val="-2"/>
      <w:sz w:val="2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Verdana Char"/>
    <w:basedOn w:val="DefaultParagraphFont"/>
    <w:link w:val="Heading1"/>
    <w:uiPriority w:val="9"/>
    <w:rsid w:val="00085BDD"/>
    <w:rPr>
      <w:rFonts w:ascii="Verdana" w:eastAsia="MS ????" w:hAnsi="Verdana" w:cs="Times New Roman"/>
      <w:b/>
      <w:bCs/>
      <w:caps/>
      <w:snapToGrid w:val="0"/>
      <w:spacing w:val="-2"/>
      <w:sz w:val="20"/>
      <w:szCs w:val="20"/>
      <w:lang w:val="x-none" w:eastAsia="es-ES"/>
    </w:rPr>
  </w:style>
  <w:style w:type="character" w:customStyle="1" w:styleId="Heading3Char">
    <w:name w:val="Heading 3 Char"/>
    <w:basedOn w:val="DefaultParagraphFont"/>
    <w:link w:val="Heading3"/>
    <w:uiPriority w:val="9"/>
    <w:rsid w:val="00085BDD"/>
    <w:rPr>
      <w:rFonts w:ascii="Verdana" w:eastAsia="Calibri" w:hAnsi="Verdana" w:cs="Times New Roman"/>
      <w:b/>
      <w:spacing w:val="-2"/>
      <w:sz w:val="20"/>
      <w:szCs w:val="20"/>
      <w:lang w:val="es-ES" w:eastAsia="x-none"/>
    </w:r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link w:val="4GChar"/>
    <w:uiPriority w:val="99"/>
    <w:qFormat/>
    <w:rsid w:val="00085BDD"/>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
    <w:qFormat/>
    <w:rsid w:val="00085BDD"/>
    <w:pPr>
      <w:spacing w:line="240" w:lineRule="auto"/>
    </w:pPr>
    <w:rPr>
      <w:sz w:val="20"/>
      <w:szCs w:val="20"/>
      <w:lang w:val="es-ES_tradnl"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qFormat/>
    <w:rsid w:val="00085BDD"/>
    <w:rPr>
      <w:rFonts w:ascii="Verdana" w:eastAsia="Times New Roman" w:hAnsi="Verdana" w:cs="Times New Roman"/>
      <w:sz w:val="20"/>
      <w:szCs w:val="20"/>
      <w:lang w:val="es-ES_tradnl" w:eastAsia="x-none"/>
    </w:rPr>
  </w:style>
  <w:style w:type="character" w:styleId="Strong">
    <w:name w:val="Strong"/>
    <w:uiPriority w:val="22"/>
    <w:qFormat/>
    <w:rsid w:val="00085BDD"/>
    <w:rPr>
      <w:b/>
      <w:bCs/>
    </w:rPr>
  </w:style>
  <w:style w:type="paragraph" w:styleId="ListParagraph">
    <w:name w:val="List Paragraph"/>
    <w:aliases w:val="List Paragraph2,Lista vistosa - Énfasis 11,Párrafo de lista1,Footnote,List Paragraph1"/>
    <w:basedOn w:val="Normal"/>
    <w:link w:val="ListParagraphChar1"/>
    <w:uiPriority w:val="34"/>
    <w:qFormat/>
    <w:rsid w:val="00085BDD"/>
    <w:pPr>
      <w:ind w:left="708"/>
    </w:pPr>
  </w:style>
  <w:style w:type="character" w:customStyle="1" w:styleId="MediumGrid1-Accent2Char">
    <w:name w:val="Medium Grid 1 - Accent 2 Char"/>
    <w:aliases w:val="Footnote Char,List Paragraph1 Char,Colorful List - Accent 11 Char,Párrafo de lista1 Char,List Paragraph Char,List Paragraph2 Char,Lista vistosa - Énfasis 11 Char,Colorful List - Accent 1 Char"/>
    <w:link w:val="MediumGrid1-Accent2"/>
    <w:uiPriority w:val="34"/>
    <w:locked/>
    <w:rsid w:val="00475387"/>
    <w:rPr>
      <w:rFonts w:ascii="Verdana" w:eastAsia="Batang" w:hAnsi="Verdana" w:cs="Times"/>
      <w:noProof/>
      <w:sz w:val="20"/>
      <w:szCs w:val="24"/>
      <w:lang w:val="es-ES_tradnl"/>
    </w:rPr>
  </w:style>
  <w:style w:type="paragraph" w:customStyle="1" w:styleId="PrrafodeSentencia">
    <w:name w:val="*. Párrafo de Sentencia"/>
    <w:basedOn w:val="FootnoteText"/>
    <w:link w:val="PrrafodeSentenciaChar"/>
    <w:autoRedefine/>
    <w:qFormat/>
    <w:rsid w:val="00475387"/>
    <w:pPr>
      <w:widowControl/>
      <w:numPr>
        <w:numId w:val="1"/>
      </w:numPr>
      <w:tabs>
        <w:tab w:val="left" w:pos="720"/>
      </w:tabs>
      <w:adjustRightInd/>
      <w:spacing w:before="120" w:after="120"/>
      <w:textAlignment w:val="auto"/>
    </w:pPr>
    <w:rPr>
      <w:bCs/>
      <w:noProof/>
      <w:lang w:eastAsia="es-ES"/>
    </w:rPr>
  </w:style>
  <w:style w:type="table" w:styleId="MediumGrid1-Accent2">
    <w:name w:val="Medium Grid 1 Accent 2"/>
    <w:basedOn w:val="TableNormal"/>
    <w:link w:val="MediumGrid1-Accent2Char"/>
    <w:rsid w:val="00475387"/>
    <w:pPr>
      <w:spacing w:after="0" w:line="240" w:lineRule="auto"/>
    </w:pPr>
    <w:rPr>
      <w:rFonts w:ascii="Verdana" w:eastAsia="Batang" w:hAnsi="Verdana" w:cs="Times"/>
      <w:noProof/>
      <w:sz w:val="20"/>
      <w:szCs w:val="24"/>
      <w:lang w:val="es-ES_tradn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NormalWeb">
    <w:name w:val="Normal (Web)"/>
    <w:basedOn w:val="Normal"/>
    <w:uiPriority w:val="99"/>
    <w:unhideWhenUsed/>
    <w:rsid w:val="006C37C9"/>
    <w:pPr>
      <w:adjustRightInd/>
      <w:spacing w:after="200" w:line="276" w:lineRule="auto"/>
      <w:jc w:val="left"/>
      <w:textAlignment w:val="auto"/>
    </w:pPr>
    <w:rPr>
      <w:rFonts w:ascii="Times New Roman" w:eastAsiaTheme="minorHAnsi" w:hAnsi="Times New Roman"/>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basedOn w:val="DefaultParagraphFont"/>
    <w:uiPriority w:val="99"/>
    <w:rsid w:val="006C37C9"/>
    <w:rPr>
      <w:sz w:val="20"/>
      <w:szCs w:val="20"/>
      <w:lang w:val="en-US"/>
    </w:rPr>
  </w:style>
  <w:style w:type="paragraph" w:styleId="Header">
    <w:name w:val="header"/>
    <w:basedOn w:val="Normal"/>
    <w:link w:val="HeaderChar"/>
    <w:uiPriority w:val="99"/>
    <w:unhideWhenUsed/>
    <w:rsid w:val="006C37C9"/>
    <w:pPr>
      <w:tabs>
        <w:tab w:val="center" w:pos="4252"/>
        <w:tab w:val="right" w:pos="8504"/>
      </w:tabs>
      <w:adjustRightInd/>
      <w:spacing w:line="240" w:lineRule="auto"/>
      <w:jc w:val="left"/>
      <w:textAlignment w:val="auto"/>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6C37C9"/>
    <w:rPr>
      <w:lang w:val="en-US"/>
    </w:rPr>
  </w:style>
  <w:style w:type="paragraph" w:styleId="Footer">
    <w:name w:val="footer"/>
    <w:basedOn w:val="Normal"/>
    <w:link w:val="FooterChar"/>
    <w:uiPriority w:val="99"/>
    <w:unhideWhenUsed/>
    <w:rsid w:val="006C37C9"/>
    <w:pPr>
      <w:tabs>
        <w:tab w:val="center" w:pos="4252"/>
        <w:tab w:val="right" w:pos="8504"/>
      </w:tabs>
      <w:adjustRightInd/>
      <w:spacing w:line="240" w:lineRule="auto"/>
      <w:jc w:val="left"/>
      <w:textAlignment w:val="auto"/>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6C37C9"/>
    <w:rPr>
      <w:lang w:val="en-US"/>
    </w:rPr>
  </w:style>
  <w:style w:type="paragraph" w:styleId="EndnoteText">
    <w:name w:val="endnote text"/>
    <w:basedOn w:val="Normal"/>
    <w:link w:val="EndnoteTextChar"/>
    <w:uiPriority w:val="99"/>
    <w:semiHidden/>
    <w:unhideWhenUsed/>
    <w:rsid w:val="006C37C9"/>
    <w:pPr>
      <w:adjustRightInd/>
      <w:spacing w:line="240" w:lineRule="auto"/>
      <w:jc w:val="left"/>
      <w:textAlignment w:val="auto"/>
    </w:pPr>
    <w:rPr>
      <w:rFonts w:asciiTheme="minorHAnsi" w:eastAsiaTheme="minorHAnsi" w:hAnsiTheme="minorHAnsi" w:cstheme="minorBidi"/>
      <w:sz w:val="20"/>
      <w:szCs w:val="20"/>
      <w:lang w:val="en-US" w:eastAsia="en-US"/>
    </w:rPr>
  </w:style>
  <w:style w:type="character" w:customStyle="1" w:styleId="EndnoteTextChar">
    <w:name w:val="Endnote Text Char"/>
    <w:basedOn w:val="DefaultParagraphFont"/>
    <w:link w:val="EndnoteText"/>
    <w:uiPriority w:val="99"/>
    <w:semiHidden/>
    <w:rsid w:val="006C37C9"/>
    <w:rPr>
      <w:sz w:val="20"/>
      <w:szCs w:val="20"/>
      <w:lang w:val="en-US"/>
    </w:rPr>
  </w:style>
  <w:style w:type="character" w:styleId="Hyperlink">
    <w:name w:val="Hyperlink"/>
    <w:basedOn w:val="DefaultParagraphFont"/>
    <w:uiPriority w:val="99"/>
    <w:unhideWhenUsed/>
    <w:rsid w:val="006C37C9"/>
    <w:rPr>
      <w:color w:val="0000FF" w:themeColor="hyperlink"/>
      <w:u w:val="single"/>
    </w:rPr>
  </w:style>
  <w:style w:type="character" w:styleId="FollowedHyperlink">
    <w:name w:val="FollowedHyperlink"/>
    <w:basedOn w:val="DefaultParagraphFont"/>
    <w:uiPriority w:val="99"/>
    <w:semiHidden/>
    <w:unhideWhenUsed/>
    <w:rsid w:val="006C37C9"/>
    <w:rPr>
      <w:color w:val="800080" w:themeColor="followedHyperlink"/>
      <w:u w:val="single"/>
    </w:rPr>
  </w:style>
  <w:style w:type="paragraph" w:styleId="BalloonText">
    <w:name w:val="Balloon Text"/>
    <w:basedOn w:val="Normal"/>
    <w:link w:val="BalloonTextChar"/>
    <w:uiPriority w:val="99"/>
    <w:semiHidden/>
    <w:unhideWhenUsed/>
    <w:rsid w:val="006C37C9"/>
    <w:pPr>
      <w:widowControl/>
      <w:adjustRightInd/>
      <w:spacing w:line="240" w:lineRule="auto"/>
      <w:jc w:val="left"/>
      <w:textAlignment w:val="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6C37C9"/>
    <w:rPr>
      <w:rFonts w:ascii="Tahoma" w:hAnsi="Tahoma" w:cs="Tahoma"/>
      <w:sz w:val="16"/>
      <w:szCs w:val="16"/>
    </w:rPr>
  </w:style>
  <w:style w:type="paragraph" w:styleId="TOCHeading">
    <w:name w:val="TOC Heading"/>
    <w:basedOn w:val="Heading1"/>
    <w:next w:val="Normal"/>
    <w:uiPriority w:val="39"/>
    <w:unhideWhenUsed/>
    <w:qFormat/>
    <w:rsid w:val="00E16176"/>
    <w:pPr>
      <w:widowControl/>
      <w:tabs>
        <w:tab w:val="clear" w:pos="720"/>
      </w:tabs>
      <w:adjustRightInd/>
      <w:spacing w:before="480" w:line="276" w:lineRule="auto"/>
      <w:jc w:val="left"/>
      <w:textAlignment w:val="auto"/>
      <w:outlineLvl w:val="9"/>
    </w:pPr>
    <w:rPr>
      <w:rFonts w:asciiTheme="majorHAnsi" w:eastAsiaTheme="majorEastAsia" w:hAnsiTheme="majorHAnsi" w:cstheme="majorBidi"/>
      <w:caps w:val="0"/>
      <w:snapToGrid/>
      <w:color w:val="365F91" w:themeColor="accent1" w:themeShade="BF"/>
      <w:spacing w:val="0"/>
      <w:sz w:val="28"/>
      <w:szCs w:val="28"/>
      <w:lang w:val="en-US" w:eastAsia="ja-JP"/>
    </w:rPr>
  </w:style>
  <w:style w:type="paragraph" w:styleId="TOC1">
    <w:name w:val="toc 1"/>
    <w:basedOn w:val="Normal"/>
    <w:next w:val="Normal"/>
    <w:autoRedefine/>
    <w:uiPriority w:val="39"/>
    <w:unhideWhenUsed/>
    <w:rsid w:val="00E16176"/>
    <w:pPr>
      <w:spacing w:after="100"/>
    </w:pPr>
  </w:style>
  <w:style w:type="paragraph" w:styleId="TOC2">
    <w:name w:val="toc 2"/>
    <w:basedOn w:val="Normal"/>
    <w:next w:val="Normal"/>
    <w:autoRedefine/>
    <w:uiPriority w:val="39"/>
    <w:unhideWhenUsed/>
    <w:rsid w:val="008A6487"/>
    <w:pPr>
      <w:tabs>
        <w:tab w:val="left" w:pos="851"/>
        <w:tab w:val="right" w:leader="dot" w:pos="10076"/>
      </w:tabs>
      <w:spacing w:line="240" w:lineRule="auto"/>
      <w:ind w:left="240"/>
      <w:jc w:val="left"/>
    </w:pPr>
  </w:style>
  <w:style w:type="paragraph" w:styleId="TOC3">
    <w:name w:val="toc 3"/>
    <w:basedOn w:val="Normal"/>
    <w:next w:val="Normal"/>
    <w:autoRedefine/>
    <w:uiPriority w:val="39"/>
    <w:unhideWhenUsed/>
    <w:rsid w:val="0014134B"/>
    <w:pPr>
      <w:tabs>
        <w:tab w:val="left" w:pos="1560"/>
        <w:tab w:val="right" w:leader="dot" w:pos="10076"/>
      </w:tabs>
      <w:spacing w:line="240" w:lineRule="auto"/>
      <w:ind w:left="480"/>
    </w:pPr>
  </w:style>
  <w:style w:type="character" w:styleId="LineNumber">
    <w:name w:val="line number"/>
    <w:basedOn w:val="DefaultParagraphFont"/>
    <w:uiPriority w:val="99"/>
    <w:semiHidden/>
    <w:unhideWhenUsed/>
    <w:rsid w:val="00D407D4"/>
  </w:style>
  <w:style w:type="character" w:styleId="CommentReference">
    <w:name w:val="annotation reference"/>
    <w:basedOn w:val="DefaultParagraphFont"/>
    <w:uiPriority w:val="99"/>
    <w:semiHidden/>
    <w:unhideWhenUsed/>
    <w:rsid w:val="007A1A14"/>
    <w:rPr>
      <w:sz w:val="16"/>
      <w:szCs w:val="16"/>
    </w:rPr>
  </w:style>
  <w:style w:type="paragraph" w:styleId="CommentText">
    <w:name w:val="annotation text"/>
    <w:basedOn w:val="Normal"/>
    <w:link w:val="CommentTextChar"/>
    <w:uiPriority w:val="99"/>
    <w:unhideWhenUsed/>
    <w:rsid w:val="007A1A14"/>
    <w:pPr>
      <w:widowControl/>
      <w:adjustRightInd/>
      <w:spacing w:after="200" w:line="240" w:lineRule="auto"/>
      <w:jc w:val="left"/>
      <w:textAlignment w:val="auto"/>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7A1A14"/>
    <w:rPr>
      <w:sz w:val="20"/>
      <w:szCs w:val="20"/>
      <w:lang w:val="en-US"/>
    </w:rPr>
  </w:style>
  <w:style w:type="paragraph" w:styleId="CommentSubject">
    <w:name w:val="annotation subject"/>
    <w:basedOn w:val="CommentText"/>
    <w:next w:val="CommentText"/>
    <w:link w:val="CommentSubjectChar"/>
    <w:uiPriority w:val="99"/>
    <w:semiHidden/>
    <w:unhideWhenUsed/>
    <w:rsid w:val="007A1A14"/>
    <w:rPr>
      <w:b/>
      <w:bCs/>
    </w:rPr>
  </w:style>
  <w:style w:type="character" w:customStyle="1" w:styleId="CommentSubjectChar">
    <w:name w:val="Comment Subject Char"/>
    <w:basedOn w:val="CommentTextChar"/>
    <w:link w:val="CommentSubject"/>
    <w:uiPriority w:val="99"/>
    <w:semiHidden/>
    <w:rsid w:val="007A1A14"/>
    <w:rPr>
      <w:b/>
      <w:bCs/>
      <w:sz w:val="20"/>
      <w:szCs w:val="20"/>
      <w:lang w:val="en-US"/>
    </w:rPr>
  </w:style>
  <w:style w:type="paragraph" w:customStyle="1" w:styleId="Heading21">
    <w:name w:val="Heading 21"/>
    <w:basedOn w:val="Normal"/>
    <w:next w:val="Normal"/>
    <w:uiPriority w:val="9"/>
    <w:semiHidden/>
    <w:unhideWhenUsed/>
    <w:qFormat/>
    <w:rsid w:val="008920BF"/>
    <w:pPr>
      <w:keepNext/>
      <w:keepLines/>
      <w:spacing w:before="200"/>
      <w:outlineLvl w:val="1"/>
    </w:pPr>
    <w:rPr>
      <w:rFonts w:ascii="Cambria" w:hAnsi="Cambria"/>
      <w:b/>
      <w:bCs/>
      <w:color w:val="4F81BD"/>
      <w:sz w:val="26"/>
      <w:szCs w:val="26"/>
    </w:rPr>
  </w:style>
  <w:style w:type="paragraph" w:customStyle="1" w:styleId="Heading41">
    <w:name w:val="Heading 41"/>
    <w:basedOn w:val="Normal"/>
    <w:next w:val="Normal"/>
    <w:uiPriority w:val="9"/>
    <w:semiHidden/>
    <w:unhideWhenUsed/>
    <w:qFormat/>
    <w:rsid w:val="008920BF"/>
    <w:pPr>
      <w:keepNext/>
      <w:keepLines/>
      <w:spacing w:before="200"/>
      <w:outlineLvl w:val="3"/>
    </w:pPr>
    <w:rPr>
      <w:rFonts w:ascii="Cambria" w:hAnsi="Cambria"/>
      <w:b/>
      <w:bCs/>
      <w:i/>
      <w:iCs/>
      <w:color w:val="4F81BD"/>
    </w:rPr>
  </w:style>
  <w:style w:type="numbering" w:customStyle="1" w:styleId="NoList1">
    <w:name w:val="No List1"/>
    <w:next w:val="NoList"/>
    <w:uiPriority w:val="99"/>
    <w:semiHidden/>
    <w:unhideWhenUsed/>
    <w:rsid w:val="008920BF"/>
  </w:style>
  <w:style w:type="character" w:customStyle="1" w:styleId="Heading2Char">
    <w:name w:val="Heading 2 Char"/>
    <w:basedOn w:val="DefaultParagraphFont"/>
    <w:link w:val="Heading2"/>
    <w:uiPriority w:val="9"/>
    <w:rsid w:val="008920BF"/>
    <w:rPr>
      <w:rFonts w:ascii="Cambria" w:eastAsia="Times New Roman" w:hAnsi="Cambria" w:cs="Times New Roman"/>
      <w:b/>
      <w:bCs/>
      <w:color w:val="4F81BD"/>
      <w:sz w:val="26"/>
      <w:szCs w:val="26"/>
      <w:lang w:eastAsia="es-CR"/>
    </w:rPr>
  </w:style>
  <w:style w:type="character" w:customStyle="1" w:styleId="Heading4Char">
    <w:name w:val="Heading 4 Char"/>
    <w:basedOn w:val="DefaultParagraphFont"/>
    <w:link w:val="Heading4"/>
    <w:uiPriority w:val="9"/>
    <w:semiHidden/>
    <w:rsid w:val="008920BF"/>
    <w:rPr>
      <w:rFonts w:ascii="Cambria" w:eastAsia="Times New Roman" w:hAnsi="Cambria" w:cs="Times New Roman"/>
      <w:b/>
      <w:bCs/>
      <w:i/>
      <w:iCs/>
      <w:color w:val="4F81BD"/>
      <w:sz w:val="24"/>
      <w:szCs w:val="24"/>
      <w:lang w:eastAsia="es-CR"/>
    </w:rPr>
  </w:style>
  <w:style w:type="paragraph" w:customStyle="1" w:styleId="Prrafodelista2">
    <w:name w:val="Párrafo de lista2"/>
    <w:basedOn w:val="Normal"/>
    <w:uiPriority w:val="99"/>
    <w:rsid w:val="008920BF"/>
    <w:pPr>
      <w:widowControl/>
      <w:adjustRightInd/>
      <w:spacing w:line="240" w:lineRule="auto"/>
      <w:ind w:left="720"/>
      <w:jc w:val="left"/>
      <w:textAlignment w:val="auto"/>
    </w:pPr>
    <w:rPr>
      <w:rFonts w:eastAsia="MS Mincho"/>
      <w:sz w:val="20"/>
      <w:szCs w:val="20"/>
      <w:lang w:val="es-ES_tradnl" w:eastAsia="en-US" w:bidi="en-US"/>
    </w:rPr>
  </w:style>
  <w:style w:type="character" w:customStyle="1" w:styleId="apple-style-span">
    <w:name w:val="apple-style-span"/>
    <w:rsid w:val="008920BF"/>
    <w:rPr>
      <w:rFonts w:cs="Times New Roman"/>
    </w:rPr>
  </w:style>
  <w:style w:type="character" w:customStyle="1" w:styleId="Listavistosa-nfasis1Car1">
    <w:name w:val="Lista vistosa - Énfasis 1 Car1"/>
    <w:link w:val="ColorfulList-Accent1"/>
    <w:uiPriority w:val="99"/>
    <w:locked/>
    <w:rsid w:val="008920BF"/>
    <w:rPr>
      <w:rFonts w:ascii="Verdana" w:eastAsia="Times New Roman" w:hAnsi="Verdana"/>
      <w:lang w:val="es-ES_tradnl" w:eastAsia="en-US"/>
    </w:rPr>
  </w:style>
  <w:style w:type="character" w:customStyle="1" w:styleId="column01">
    <w:name w:val="column01"/>
    <w:basedOn w:val="DefaultParagraphFont"/>
    <w:rsid w:val="008920BF"/>
  </w:style>
  <w:style w:type="table" w:customStyle="1" w:styleId="ColorfulList-Accent11">
    <w:name w:val="Colorful List - Accent 11"/>
    <w:basedOn w:val="TableNormal"/>
    <w:next w:val="ColorfulList-Accent1"/>
    <w:uiPriority w:val="99"/>
    <w:rsid w:val="008920BF"/>
    <w:pPr>
      <w:spacing w:after="0" w:line="240" w:lineRule="auto"/>
    </w:pPr>
    <w:rPr>
      <w:rFonts w:ascii="Verdana" w:eastAsia="Times New Roman" w:hAnsi="Verdana"/>
      <w:lang w:val="es-ES_tradnl"/>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BodyTextIndent">
    <w:name w:val="Body Text Indent"/>
    <w:basedOn w:val="Normal"/>
    <w:link w:val="BodyTextIndentChar"/>
    <w:uiPriority w:val="99"/>
    <w:rsid w:val="008920BF"/>
    <w:pPr>
      <w:widowControl/>
      <w:adjustRightInd/>
      <w:spacing w:after="120" w:line="240" w:lineRule="auto"/>
      <w:ind w:left="360"/>
      <w:jc w:val="left"/>
      <w:textAlignment w:val="auto"/>
    </w:pPr>
    <w:rPr>
      <w:rFonts w:ascii="Times New Roman" w:eastAsia="MS Mincho" w:hAnsi="Times New Roman"/>
      <w:lang w:val="es-AR" w:eastAsia="en-US"/>
    </w:rPr>
  </w:style>
  <w:style w:type="character" w:customStyle="1" w:styleId="BodyTextIndentChar">
    <w:name w:val="Body Text Indent Char"/>
    <w:basedOn w:val="DefaultParagraphFont"/>
    <w:link w:val="BodyTextIndent"/>
    <w:uiPriority w:val="99"/>
    <w:rsid w:val="008920BF"/>
    <w:rPr>
      <w:rFonts w:ascii="Times New Roman" w:eastAsia="MS Mincho" w:hAnsi="Times New Roman" w:cs="Times New Roman"/>
      <w:sz w:val="24"/>
      <w:szCs w:val="24"/>
      <w:lang w:val="es-AR"/>
    </w:rPr>
  </w:style>
  <w:style w:type="character" w:customStyle="1" w:styleId="apple-converted-space">
    <w:name w:val="apple-converted-space"/>
    <w:basedOn w:val="DefaultParagraphFont"/>
    <w:rsid w:val="008920BF"/>
  </w:style>
  <w:style w:type="paragraph" w:customStyle="1" w:styleId="CM4">
    <w:name w:val="CM4"/>
    <w:basedOn w:val="Normal"/>
    <w:next w:val="Normal"/>
    <w:uiPriority w:val="99"/>
    <w:rsid w:val="008920BF"/>
    <w:pPr>
      <w:widowControl/>
      <w:autoSpaceDE w:val="0"/>
      <w:autoSpaceDN w:val="0"/>
      <w:spacing w:line="240" w:lineRule="auto"/>
      <w:jc w:val="left"/>
      <w:textAlignment w:val="auto"/>
    </w:pPr>
    <w:rPr>
      <w:rFonts w:ascii="EUAlbertina" w:eastAsia="Calibri" w:hAnsi="EUAlbertina"/>
      <w:lang w:eastAsia="en-US"/>
    </w:rPr>
  </w:style>
  <w:style w:type="paragraph" w:customStyle="1" w:styleId="Default">
    <w:name w:val="Default"/>
    <w:rsid w:val="008920BF"/>
    <w:pPr>
      <w:autoSpaceDE w:val="0"/>
      <w:autoSpaceDN w:val="0"/>
      <w:adjustRightInd w:val="0"/>
      <w:spacing w:after="0" w:line="240" w:lineRule="auto"/>
    </w:pPr>
    <w:rPr>
      <w:rFonts w:ascii="Times New Roman" w:eastAsia="Times New Roman" w:hAnsi="Times New Roman" w:cs="Times New Roman"/>
      <w:color w:val="000000"/>
      <w:sz w:val="24"/>
      <w:szCs w:val="24"/>
      <w:lang w:eastAsia="es-CR"/>
    </w:rPr>
  </w:style>
  <w:style w:type="paragraph" w:styleId="HTMLPreformatted">
    <w:name w:val="HTML Preformatted"/>
    <w:basedOn w:val="Normal"/>
    <w:link w:val="HTMLPreformattedChar"/>
    <w:uiPriority w:val="99"/>
    <w:unhideWhenUsed/>
    <w:rsid w:val="008920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8920BF"/>
    <w:rPr>
      <w:rFonts w:ascii="Courier New" w:eastAsia="Times New Roman" w:hAnsi="Courier New" w:cs="Courier New"/>
      <w:sz w:val="20"/>
      <w:szCs w:val="20"/>
      <w:lang w:val="en-US"/>
    </w:rPr>
  </w:style>
  <w:style w:type="character" w:customStyle="1" w:styleId="Heading2Char1">
    <w:name w:val="Heading 2 Char1"/>
    <w:basedOn w:val="DefaultParagraphFont"/>
    <w:uiPriority w:val="9"/>
    <w:semiHidden/>
    <w:rsid w:val="008920BF"/>
    <w:rPr>
      <w:rFonts w:asciiTheme="majorHAnsi" w:eastAsiaTheme="majorEastAsia" w:hAnsiTheme="majorHAnsi" w:cstheme="majorBidi"/>
      <w:b/>
      <w:bCs/>
      <w:color w:val="4F81BD" w:themeColor="accent1"/>
      <w:sz w:val="26"/>
      <w:szCs w:val="26"/>
      <w:lang w:eastAsia="es-CR"/>
    </w:rPr>
  </w:style>
  <w:style w:type="character" w:customStyle="1" w:styleId="Heading4Char1">
    <w:name w:val="Heading 4 Char1"/>
    <w:basedOn w:val="DefaultParagraphFont"/>
    <w:uiPriority w:val="9"/>
    <w:semiHidden/>
    <w:rsid w:val="008920BF"/>
    <w:rPr>
      <w:rFonts w:asciiTheme="majorHAnsi" w:eastAsiaTheme="majorEastAsia" w:hAnsiTheme="majorHAnsi" w:cstheme="majorBidi"/>
      <w:b/>
      <w:bCs/>
      <w:i/>
      <w:iCs/>
      <w:color w:val="4F81BD" w:themeColor="accent1"/>
      <w:sz w:val="24"/>
      <w:szCs w:val="24"/>
      <w:lang w:eastAsia="es-CR"/>
    </w:rPr>
  </w:style>
  <w:style w:type="table" w:styleId="ColorfulList-Accent1">
    <w:name w:val="Colorful List Accent 1"/>
    <w:basedOn w:val="TableNormal"/>
    <w:link w:val="Listavistosa-nfasis1Car1"/>
    <w:uiPriority w:val="99"/>
    <w:rsid w:val="008920BF"/>
    <w:pPr>
      <w:spacing w:after="0" w:line="240" w:lineRule="auto"/>
    </w:pPr>
    <w:rPr>
      <w:rFonts w:ascii="Verdana" w:eastAsia="Times New Roman" w:hAnsi="Verdana"/>
      <w:lang w:val="es-ES_tradnl"/>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b8d990e2">
    <w:name w:val="sb8d990e2"/>
    <w:basedOn w:val="DefaultParagraphFont"/>
    <w:uiPriority w:val="99"/>
    <w:rsid w:val="00502B43"/>
  </w:style>
  <w:style w:type="character" w:customStyle="1" w:styleId="s6b621b36">
    <w:name w:val="s6b621b36"/>
    <w:basedOn w:val="DefaultParagraphFont"/>
    <w:rsid w:val="00502B43"/>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502B43"/>
    <w:pPr>
      <w:widowControl/>
      <w:adjustRightInd/>
      <w:spacing w:line="240" w:lineRule="auto"/>
      <w:textAlignment w:val="auto"/>
    </w:pPr>
    <w:rPr>
      <w:rFonts w:asciiTheme="minorHAnsi" w:eastAsiaTheme="minorHAnsi" w:hAnsiTheme="minorHAnsi" w:cstheme="minorBidi"/>
      <w:sz w:val="22"/>
      <w:szCs w:val="22"/>
      <w:vertAlign w:val="superscript"/>
      <w:lang w:eastAsia="en-US"/>
    </w:rPr>
  </w:style>
  <w:style w:type="paragraph" w:customStyle="1" w:styleId="s5891fd46">
    <w:name w:val="s5891fd46"/>
    <w:basedOn w:val="Normal"/>
    <w:rsid w:val="00502B43"/>
    <w:pPr>
      <w:widowControl/>
      <w:adjustRightInd/>
      <w:spacing w:before="100" w:beforeAutospacing="1" w:after="100" w:afterAutospacing="1" w:line="240" w:lineRule="auto"/>
      <w:jc w:val="left"/>
      <w:textAlignment w:val="auto"/>
    </w:pPr>
    <w:rPr>
      <w:rFonts w:ascii="Times New Roman" w:hAnsi="Times New Roman"/>
    </w:rPr>
  </w:style>
  <w:style w:type="character" w:styleId="Emphasis">
    <w:name w:val="Emphasis"/>
    <w:uiPriority w:val="20"/>
    <w:qFormat/>
    <w:rsid w:val="00502B43"/>
    <w:rPr>
      <w:b/>
      <w:bCs/>
      <w:i/>
      <w:iCs/>
      <w:spacing w:val="10"/>
      <w:bdr w:val="none" w:sz="0" w:space="0" w:color="auto"/>
      <w:shd w:val="clear" w:color="auto" w:fill="auto"/>
    </w:rPr>
  </w:style>
  <w:style w:type="paragraph" w:styleId="TOC4">
    <w:name w:val="toc 4"/>
    <w:basedOn w:val="Normal"/>
    <w:next w:val="Normal"/>
    <w:autoRedefine/>
    <w:uiPriority w:val="39"/>
    <w:unhideWhenUsed/>
    <w:rsid w:val="00E35E14"/>
    <w:pPr>
      <w:widowControl/>
      <w:adjustRightInd/>
      <w:spacing w:after="100" w:line="276" w:lineRule="auto"/>
      <w:ind w:left="660"/>
      <w:jc w:val="left"/>
      <w:textAlignment w:val="auto"/>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35E14"/>
    <w:pPr>
      <w:widowControl/>
      <w:adjustRightInd/>
      <w:spacing w:after="100" w:line="276" w:lineRule="auto"/>
      <w:ind w:left="880"/>
      <w:jc w:val="left"/>
      <w:textAlignment w:val="auto"/>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35E14"/>
    <w:pPr>
      <w:widowControl/>
      <w:adjustRightInd/>
      <w:spacing w:after="100" w:line="276" w:lineRule="auto"/>
      <w:ind w:left="1100"/>
      <w:jc w:val="left"/>
      <w:textAlignment w:val="auto"/>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35E14"/>
    <w:pPr>
      <w:widowControl/>
      <w:adjustRightInd/>
      <w:spacing w:after="100" w:line="276" w:lineRule="auto"/>
      <w:ind w:left="1320"/>
      <w:jc w:val="left"/>
      <w:textAlignment w:val="auto"/>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35E14"/>
    <w:pPr>
      <w:widowControl/>
      <w:adjustRightInd/>
      <w:spacing w:after="100" w:line="276" w:lineRule="auto"/>
      <w:ind w:left="1540"/>
      <w:jc w:val="left"/>
      <w:textAlignment w:val="auto"/>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35E14"/>
    <w:pPr>
      <w:widowControl/>
      <w:adjustRightInd/>
      <w:spacing w:after="100" w:line="276" w:lineRule="auto"/>
      <w:ind w:left="1760"/>
      <w:jc w:val="left"/>
      <w:textAlignment w:val="auto"/>
    </w:pPr>
    <w:rPr>
      <w:rFonts w:asciiTheme="minorHAnsi" w:eastAsiaTheme="minorEastAsia" w:hAnsiTheme="minorHAnsi" w:cstheme="minorBidi"/>
      <w:sz w:val="22"/>
      <w:szCs w:val="22"/>
    </w:rPr>
  </w:style>
  <w:style w:type="paragraph" w:customStyle="1" w:styleId="styletitle2">
    <w:name w:val="styletitle2"/>
    <w:basedOn w:val="Normal"/>
    <w:rsid w:val="00000131"/>
    <w:pPr>
      <w:widowControl/>
      <w:adjustRightInd/>
      <w:spacing w:before="100" w:beforeAutospacing="1" w:after="100" w:afterAutospacing="1" w:line="240" w:lineRule="auto"/>
      <w:jc w:val="left"/>
      <w:textAlignment w:val="auto"/>
    </w:pPr>
    <w:rPr>
      <w:rFonts w:ascii="Times New Roman" w:hAnsi="Times New Roman"/>
    </w:rPr>
  </w:style>
  <w:style w:type="character" w:customStyle="1" w:styleId="ListParagraphChar1">
    <w:name w:val="List Paragraph Char1"/>
    <w:aliases w:val="List Paragraph2 Char1,Lista vistosa - Énfasis 11 Char1,Párrafo de lista1 Char1,Footnote Char1,List Paragraph1 Char1"/>
    <w:basedOn w:val="DefaultParagraphFont"/>
    <w:link w:val="ListParagraph"/>
    <w:uiPriority w:val="34"/>
    <w:rsid w:val="005624D3"/>
    <w:rPr>
      <w:rFonts w:ascii="Verdana" w:eastAsia="Times New Roman" w:hAnsi="Verdana" w:cs="Times New Roman"/>
      <w:sz w:val="24"/>
      <w:szCs w:val="24"/>
      <w:lang w:eastAsia="es-CR"/>
    </w:rPr>
  </w:style>
  <w:style w:type="character" w:customStyle="1" w:styleId="Hipervnculo1">
    <w:name w:val="Hipervínculo1"/>
    <w:basedOn w:val="DefaultParagraphFont"/>
    <w:uiPriority w:val="99"/>
    <w:unhideWhenUsed/>
    <w:rsid w:val="00D534AF"/>
    <w:rPr>
      <w:color w:val="0000FF"/>
      <w:u w:val="single"/>
    </w:rPr>
  </w:style>
  <w:style w:type="character" w:customStyle="1" w:styleId="Heading6Char">
    <w:name w:val="Heading 6 Char"/>
    <w:basedOn w:val="DefaultParagraphFont"/>
    <w:link w:val="Heading6"/>
    <w:uiPriority w:val="9"/>
    <w:rsid w:val="00E3447E"/>
    <w:rPr>
      <w:rFonts w:ascii="Verdana" w:eastAsia="Times New Roman" w:hAnsi="Verdana" w:cs="Times New Roman"/>
      <w:spacing w:val="-2"/>
      <w:sz w:val="20"/>
      <w:szCs w:val="20"/>
      <w:lang w:val="es-ES_tradnl" w:eastAsia="es-CR"/>
    </w:rPr>
  </w:style>
  <w:style w:type="character" w:customStyle="1" w:styleId="Caracteresdenotafinal">
    <w:name w:val="Caracteres de nota final"/>
    <w:rsid w:val="00E3447E"/>
    <w:rPr>
      <w:vertAlign w:val="superscript"/>
    </w:rPr>
  </w:style>
  <w:style w:type="character" w:customStyle="1" w:styleId="Heading5Char">
    <w:name w:val="Heading 5 Char"/>
    <w:basedOn w:val="DefaultParagraphFont"/>
    <w:link w:val="Heading5"/>
    <w:uiPriority w:val="9"/>
    <w:semiHidden/>
    <w:rsid w:val="00E3447E"/>
    <w:rPr>
      <w:rFonts w:asciiTheme="majorHAnsi" w:eastAsiaTheme="majorEastAsia" w:hAnsiTheme="majorHAnsi" w:cstheme="majorBidi"/>
      <w:color w:val="243F60" w:themeColor="accent1" w:themeShade="7F"/>
      <w:sz w:val="24"/>
      <w:szCs w:val="24"/>
      <w:lang w:eastAsia="es-CR"/>
    </w:rPr>
  </w:style>
  <w:style w:type="character" w:styleId="PageNumber">
    <w:name w:val="page number"/>
    <w:basedOn w:val="DefaultParagraphFont"/>
    <w:uiPriority w:val="99"/>
    <w:semiHidden/>
    <w:unhideWhenUsed/>
    <w:rsid w:val="00011543"/>
  </w:style>
  <w:style w:type="table" w:styleId="TableGrid">
    <w:name w:val="Table Grid"/>
    <w:basedOn w:val="TableNormal"/>
    <w:uiPriority w:val="59"/>
    <w:rsid w:val="00C80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5625C"/>
  </w:style>
  <w:style w:type="table" w:customStyle="1" w:styleId="TableGrid1">
    <w:name w:val="Table Grid1"/>
    <w:basedOn w:val="TableNormal"/>
    <w:next w:val="TableGrid"/>
    <w:uiPriority w:val="59"/>
    <w:rsid w:val="00B5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B5625C"/>
    <w:rPr>
      <w:i/>
      <w:iCs/>
      <w:color w:val="808080" w:themeColor="text1" w:themeTint="7F"/>
    </w:rPr>
  </w:style>
  <w:style w:type="character" w:customStyle="1" w:styleId="shorttext">
    <w:name w:val="shorttext"/>
    <w:basedOn w:val="DefaultParagraphFont"/>
    <w:rsid w:val="00B5625C"/>
  </w:style>
  <w:style w:type="paragraph" w:customStyle="1" w:styleId="Estilo4">
    <w:name w:val="Estilo4"/>
    <w:basedOn w:val="ListParagraph"/>
    <w:qFormat/>
    <w:rsid w:val="00B5625C"/>
    <w:pPr>
      <w:widowControl/>
      <w:numPr>
        <w:ilvl w:val="1"/>
        <w:numId w:val="7"/>
      </w:numPr>
      <w:adjustRightInd/>
      <w:spacing w:after="120" w:line="240" w:lineRule="auto"/>
      <w:ind w:left="0" w:firstLine="357"/>
      <w:textAlignment w:val="auto"/>
    </w:pPr>
    <w:rPr>
      <w:spacing w:val="-2"/>
      <w:sz w:val="20"/>
      <w:szCs w:val="20"/>
      <w:lang w:eastAsia="en-US"/>
    </w:rPr>
  </w:style>
  <w:style w:type="character" w:styleId="HTMLTypewriter">
    <w:name w:val="HTML Typewriter"/>
    <w:basedOn w:val="DefaultParagraphFont"/>
    <w:semiHidden/>
    <w:unhideWhenUsed/>
    <w:rsid w:val="00B5625C"/>
    <w:rPr>
      <w:rFonts w:ascii="Courier New" w:eastAsia="Times New Roman" w:hAnsi="Courier New" w:cs="Courier New"/>
      <w:sz w:val="20"/>
      <w:szCs w:val="20"/>
    </w:rPr>
  </w:style>
  <w:style w:type="paragraph" w:customStyle="1" w:styleId="SingleTxtG">
    <w:name w:val="_ Single Txt_G"/>
    <w:basedOn w:val="Normal"/>
    <w:rsid w:val="00B5625C"/>
    <w:pPr>
      <w:widowControl/>
      <w:adjustRightInd/>
      <w:spacing w:after="120" w:line="240" w:lineRule="atLeast"/>
      <w:ind w:left="1134" w:right="1134"/>
      <w:textAlignment w:val="auto"/>
    </w:pPr>
    <w:rPr>
      <w:rFonts w:ascii="Times New Roman" w:hAnsi="Times New Roman"/>
      <w:sz w:val="20"/>
      <w:szCs w:val="20"/>
      <w:lang w:val="es-ES" w:eastAsia="es-ES"/>
    </w:rPr>
  </w:style>
  <w:style w:type="paragraph" w:customStyle="1" w:styleId="Numberedparagraphs">
    <w:name w:val="Numbered paragraphs"/>
    <w:basedOn w:val="Normal"/>
    <w:qFormat/>
    <w:rsid w:val="00E24907"/>
    <w:pPr>
      <w:widowControl/>
      <w:numPr>
        <w:numId w:val="10"/>
      </w:numPr>
      <w:adjustRightInd/>
      <w:spacing w:after="200" w:line="240" w:lineRule="auto"/>
      <w:textAlignment w:val="auto"/>
    </w:pPr>
    <w:rPr>
      <w:rFonts w:eastAsia="MS Mincho"/>
      <w:color w:val="000000"/>
      <w:sz w:val="20"/>
      <w:szCs w:val="20"/>
      <w:lang w:val="es-ES_tradnl" w:eastAsia="en-US"/>
    </w:rPr>
  </w:style>
  <w:style w:type="character" w:customStyle="1" w:styleId="PrrafodeSentenciaChar">
    <w:name w:val="*. Párrafo de Sentencia Char"/>
    <w:link w:val="PrrafodeSentencia"/>
    <w:rsid w:val="008D63D9"/>
    <w:rPr>
      <w:rFonts w:ascii="Verdana" w:eastAsia="Times New Roman" w:hAnsi="Verdana" w:cs="Times New Roman"/>
      <w:bCs/>
      <w:noProof/>
      <w:sz w:val="20"/>
      <w:szCs w:val="20"/>
      <w:lang w:val="es-ES_tradnl" w:eastAsia="es-ES"/>
    </w:rPr>
  </w:style>
  <w:style w:type="paragraph" w:styleId="Revision">
    <w:name w:val="Revision"/>
    <w:hidden/>
    <w:uiPriority w:val="99"/>
    <w:semiHidden/>
    <w:rsid w:val="009D661E"/>
    <w:pPr>
      <w:spacing w:after="0" w:line="240" w:lineRule="auto"/>
    </w:pPr>
    <w:rPr>
      <w:rFonts w:ascii="Verdana" w:eastAsia="Times New Roman" w:hAnsi="Verdana" w:cs="Times New Roman"/>
      <w:sz w:val="24"/>
      <w:szCs w:val="24"/>
      <w:lang w:eastAsia="es-CR"/>
    </w:rPr>
  </w:style>
  <w:style w:type="paragraph" w:styleId="NoSpacing">
    <w:name w:val="No Spacing"/>
    <w:uiPriority w:val="1"/>
    <w:qFormat/>
    <w:rsid w:val="009D661E"/>
    <w:pPr>
      <w:spacing w:after="0" w:line="240" w:lineRule="auto"/>
      <w:jc w:val="both"/>
    </w:pPr>
    <w:rPr>
      <w:rFonts w:ascii="Verdana" w:eastAsia="Calibri" w:hAnsi="Verdana" w:cs="Calibri"/>
      <w:sz w:val="20"/>
      <w:lang w:val="es-MX"/>
    </w:rPr>
  </w:style>
  <w:style w:type="paragraph" w:customStyle="1" w:styleId="Textonotapie1">
    <w:name w:val="Texto nota pie1"/>
    <w:basedOn w:val="Normal"/>
    <w:uiPriority w:val="99"/>
    <w:qFormat/>
    <w:rsid w:val="009D661E"/>
    <w:pPr>
      <w:widowControl/>
      <w:adjustRightInd/>
      <w:spacing w:line="240" w:lineRule="auto"/>
      <w:jc w:val="left"/>
      <w:textAlignment w:val="auto"/>
    </w:pPr>
    <w:rPr>
      <w:rFonts w:ascii="Times New Roman" w:hAnsi="Times New Roman"/>
      <w:sz w:val="20"/>
      <w:szCs w:val="20"/>
      <w:lang w:val="en-US" w:eastAsia="es-ES"/>
    </w:rPr>
  </w:style>
  <w:style w:type="character" w:customStyle="1" w:styleId="Funotenzeichen">
    <w:name w:val="Fußnotenzeichen"/>
    <w:rsid w:val="009D661E"/>
  </w:style>
  <w:style w:type="character" w:customStyle="1" w:styleId="Smbolodenotaalpie">
    <w:name w:val="Símbolo de nota al pie"/>
    <w:rsid w:val="009D661E"/>
    <w:rPr>
      <w:rFonts w:ascii="Times New Roman" w:hAnsi="Times New Roman" w:cs="Times New Roman" w:hint="default"/>
      <w:szCs w:val="20"/>
      <w:vertAlign w:val="superscript"/>
    </w:rPr>
  </w:style>
  <w:style w:type="character" w:customStyle="1" w:styleId="TextonotapieCar2">
    <w:name w:val="Texto nota pie Car2"/>
    <w:aliases w:val="Footnote Text Char Char Char Char Char Car2,Footnote Text Char Char Char Char Car2,Footnote reference Car2,FA Fu Car2,Footnote Text Char Char Char Car2,Footnote Text Cha Car2,FA Fußnotentext Car2,FA Fu?notentext Car2,Ca Car1,C Car2"/>
    <w:locked/>
    <w:rsid w:val="009D661E"/>
  </w:style>
  <w:style w:type="paragraph" w:styleId="ListBullet">
    <w:name w:val="List Bullet"/>
    <w:basedOn w:val="Normal"/>
    <w:uiPriority w:val="99"/>
    <w:unhideWhenUsed/>
    <w:rsid w:val="00673408"/>
    <w:pPr>
      <w:widowControl/>
      <w:numPr>
        <w:numId w:val="22"/>
      </w:numPr>
      <w:adjustRightInd/>
      <w:spacing w:after="200" w:line="276" w:lineRule="auto"/>
      <w:contextualSpacing/>
      <w:jc w:val="left"/>
      <w:textAlignment w:val="auto"/>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BDD"/>
    <w:pPr>
      <w:widowControl w:val="0"/>
      <w:adjustRightInd w:val="0"/>
      <w:spacing w:after="0" w:line="360" w:lineRule="atLeast"/>
      <w:jc w:val="both"/>
      <w:textAlignment w:val="baseline"/>
    </w:pPr>
    <w:rPr>
      <w:rFonts w:ascii="Verdana" w:eastAsia="Times New Roman" w:hAnsi="Verdana" w:cs="Times New Roman"/>
      <w:sz w:val="24"/>
      <w:szCs w:val="24"/>
      <w:lang w:eastAsia="es-CR"/>
    </w:rPr>
  </w:style>
  <w:style w:type="paragraph" w:styleId="Heading1">
    <w:name w:val="heading 1"/>
    <w:aliases w:val="Título Verdana"/>
    <w:basedOn w:val="Normal"/>
    <w:next w:val="Normal"/>
    <w:link w:val="Heading1Char"/>
    <w:uiPriority w:val="9"/>
    <w:qFormat/>
    <w:rsid w:val="00085BDD"/>
    <w:pPr>
      <w:keepNext/>
      <w:keepLines/>
      <w:tabs>
        <w:tab w:val="left" w:pos="720"/>
      </w:tabs>
      <w:spacing w:line="240" w:lineRule="auto"/>
      <w:jc w:val="center"/>
      <w:outlineLvl w:val="0"/>
    </w:pPr>
    <w:rPr>
      <w:rFonts w:eastAsia="MS ????"/>
      <w:b/>
      <w:bCs/>
      <w:caps/>
      <w:snapToGrid w:val="0"/>
      <w:spacing w:val="-2"/>
      <w:sz w:val="20"/>
      <w:szCs w:val="20"/>
      <w:lang w:val="x-none" w:eastAsia="es-ES"/>
    </w:rPr>
  </w:style>
  <w:style w:type="paragraph" w:styleId="Heading2">
    <w:name w:val="heading 2"/>
    <w:basedOn w:val="Normal"/>
    <w:next w:val="Normal"/>
    <w:link w:val="Heading2Char"/>
    <w:uiPriority w:val="9"/>
    <w:unhideWhenUsed/>
    <w:qFormat/>
    <w:rsid w:val="008920BF"/>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085BDD"/>
    <w:pPr>
      <w:widowControl/>
      <w:tabs>
        <w:tab w:val="left" w:pos="567"/>
      </w:tabs>
      <w:autoSpaceDE w:val="0"/>
      <w:autoSpaceDN w:val="0"/>
      <w:adjustRightInd/>
      <w:spacing w:line="240" w:lineRule="auto"/>
      <w:ind w:left="1416"/>
      <w:contextualSpacing/>
      <w:textAlignment w:val="auto"/>
      <w:outlineLvl w:val="2"/>
    </w:pPr>
    <w:rPr>
      <w:rFonts w:eastAsia="Calibri"/>
      <w:b/>
      <w:spacing w:val="-2"/>
      <w:sz w:val="20"/>
      <w:szCs w:val="20"/>
      <w:lang w:val="es-ES" w:eastAsia="x-none"/>
    </w:rPr>
  </w:style>
  <w:style w:type="paragraph" w:styleId="Heading4">
    <w:name w:val="heading 4"/>
    <w:basedOn w:val="Normal"/>
    <w:next w:val="Normal"/>
    <w:link w:val="Heading4Char"/>
    <w:uiPriority w:val="9"/>
    <w:semiHidden/>
    <w:unhideWhenUsed/>
    <w:qFormat/>
    <w:rsid w:val="008920BF"/>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E3447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unhideWhenUsed/>
    <w:qFormat/>
    <w:rsid w:val="00E3447E"/>
    <w:pPr>
      <w:keepNext w:val="0"/>
      <w:keepLines w:val="0"/>
      <w:widowControl/>
      <w:tabs>
        <w:tab w:val="num" w:pos="3600"/>
      </w:tabs>
      <w:adjustRightInd/>
      <w:spacing w:before="0" w:line="240" w:lineRule="auto"/>
      <w:ind w:left="3600" w:hanging="360"/>
      <w:textAlignment w:val="auto"/>
      <w:outlineLvl w:val="5"/>
    </w:pPr>
    <w:rPr>
      <w:rFonts w:ascii="Verdana" w:eastAsia="Times New Roman" w:hAnsi="Verdana" w:cs="Times New Roman"/>
      <w:color w:val="auto"/>
      <w:spacing w:val="-2"/>
      <w:sz w:val="20"/>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Verdana Char"/>
    <w:basedOn w:val="DefaultParagraphFont"/>
    <w:link w:val="Heading1"/>
    <w:uiPriority w:val="9"/>
    <w:rsid w:val="00085BDD"/>
    <w:rPr>
      <w:rFonts w:ascii="Verdana" w:eastAsia="MS ????" w:hAnsi="Verdana" w:cs="Times New Roman"/>
      <w:b/>
      <w:bCs/>
      <w:caps/>
      <w:snapToGrid w:val="0"/>
      <w:spacing w:val="-2"/>
      <w:sz w:val="20"/>
      <w:szCs w:val="20"/>
      <w:lang w:val="x-none" w:eastAsia="es-ES"/>
    </w:rPr>
  </w:style>
  <w:style w:type="character" w:customStyle="1" w:styleId="Heading3Char">
    <w:name w:val="Heading 3 Char"/>
    <w:basedOn w:val="DefaultParagraphFont"/>
    <w:link w:val="Heading3"/>
    <w:uiPriority w:val="9"/>
    <w:rsid w:val="00085BDD"/>
    <w:rPr>
      <w:rFonts w:ascii="Verdana" w:eastAsia="Calibri" w:hAnsi="Verdana" w:cs="Times New Roman"/>
      <w:b/>
      <w:spacing w:val="-2"/>
      <w:sz w:val="20"/>
      <w:szCs w:val="20"/>
      <w:lang w:val="es-ES" w:eastAsia="x-none"/>
    </w:rPr>
  </w:style>
  <w:style w:type="character" w:styleId="FootnoteReference">
    <w:name w:val="footnote reference"/>
    <w:aliases w:val="Appel note de bas de page,Footnotes refss,Footnote number,referencia nota al pie,BVI fnr,f,4_G,16 Point,Superscript 6 Point,Texto nota al pie,Footnote Reference Char3,Footnote Reference Char1 Char,Ref. de nota al,Ref. de nota al pi"/>
    <w:link w:val="4GChar"/>
    <w:uiPriority w:val="99"/>
    <w:qFormat/>
    <w:rsid w:val="00085BDD"/>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Ca,FA Fu?notentext,C,ft"/>
    <w:basedOn w:val="Normal"/>
    <w:link w:val="FootnoteTextChar"/>
    <w:qFormat/>
    <w:rsid w:val="00085BDD"/>
    <w:pPr>
      <w:spacing w:line="240" w:lineRule="auto"/>
    </w:pPr>
    <w:rPr>
      <w:sz w:val="20"/>
      <w:szCs w:val="20"/>
      <w:lang w:val="es-ES_tradnl" w:eastAsia="x-none"/>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qFormat/>
    <w:rsid w:val="00085BDD"/>
    <w:rPr>
      <w:rFonts w:ascii="Verdana" w:eastAsia="Times New Roman" w:hAnsi="Verdana" w:cs="Times New Roman"/>
      <w:sz w:val="20"/>
      <w:szCs w:val="20"/>
      <w:lang w:val="es-ES_tradnl" w:eastAsia="x-none"/>
    </w:rPr>
  </w:style>
  <w:style w:type="character" w:styleId="Strong">
    <w:name w:val="Strong"/>
    <w:uiPriority w:val="22"/>
    <w:qFormat/>
    <w:rsid w:val="00085BDD"/>
    <w:rPr>
      <w:b/>
      <w:bCs/>
    </w:rPr>
  </w:style>
  <w:style w:type="paragraph" w:styleId="ListParagraph">
    <w:name w:val="List Paragraph"/>
    <w:aliases w:val="List Paragraph2,Lista vistosa - Énfasis 11,Párrafo de lista1,Footnote,List Paragraph1"/>
    <w:basedOn w:val="Normal"/>
    <w:link w:val="ListParagraphChar1"/>
    <w:uiPriority w:val="34"/>
    <w:qFormat/>
    <w:rsid w:val="00085BDD"/>
    <w:pPr>
      <w:ind w:left="708"/>
    </w:pPr>
  </w:style>
  <w:style w:type="character" w:customStyle="1" w:styleId="MediumGrid1-Accent2Char">
    <w:name w:val="Medium Grid 1 - Accent 2 Char"/>
    <w:aliases w:val="Footnote Char,List Paragraph1 Char,Colorful List - Accent 11 Char,Párrafo de lista1 Char,List Paragraph Char,List Paragraph2 Char,Lista vistosa - Énfasis 11 Char,Colorful List - Accent 1 Char"/>
    <w:link w:val="MediumGrid1-Accent2"/>
    <w:uiPriority w:val="34"/>
    <w:locked/>
    <w:rsid w:val="00475387"/>
    <w:rPr>
      <w:rFonts w:ascii="Verdana" w:eastAsia="Batang" w:hAnsi="Verdana" w:cs="Times"/>
      <w:noProof/>
      <w:sz w:val="20"/>
      <w:szCs w:val="24"/>
      <w:lang w:val="es-ES_tradnl"/>
    </w:rPr>
  </w:style>
  <w:style w:type="paragraph" w:customStyle="1" w:styleId="PrrafodeSentencia">
    <w:name w:val="*. Párrafo de Sentencia"/>
    <w:basedOn w:val="FootnoteText"/>
    <w:link w:val="PrrafodeSentenciaChar"/>
    <w:autoRedefine/>
    <w:qFormat/>
    <w:rsid w:val="00475387"/>
    <w:pPr>
      <w:widowControl/>
      <w:numPr>
        <w:numId w:val="1"/>
      </w:numPr>
      <w:tabs>
        <w:tab w:val="left" w:pos="720"/>
      </w:tabs>
      <w:adjustRightInd/>
      <w:spacing w:before="120" w:after="120"/>
      <w:textAlignment w:val="auto"/>
    </w:pPr>
    <w:rPr>
      <w:bCs/>
      <w:noProof/>
      <w:lang w:eastAsia="es-ES"/>
    </w:rPr>
  </w:style>
  <w:style w:type="table" w:styleId="MediumGrid1-Accent2">
    <w:name w:val="Medium Grid 1 Accent 2"/>
    <w:basedOn w:val="TableNormal"/>
    <w:link w:val="MediumGrid1-Accent2Char"/>
    <w:rsid w:val="00475387"/>
    <w:pPr>
      <w:spacing w:after="0" w:line="240" w:lineRule="auto"/>
    </w:pPr>
    <w:rPr>
      <w:rFonts w:ascii="Verdana" w:eastAsia="Batang" w:hAnsi="Verdana" w:cs="Times"/>
      <w:noProof/>
      <w:sz w:val="20"/>
      <w:szCs w:val="24"/>
      <w:lang w:val="es-ES_tradnl"/>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NormalWeb">
    <w:name w:val="Normal (Web)"/>
    <w:basedOn w:val="Normal"/>
    <w:uiPriority w:val="99"/>
    <w:unhideWhenUsed/>
    <w:rsid w:val="006C37C9"/>
    <w:pPr>
      <w:adjustRightInd/>
      <w:spacing w:after="200" w:line="276" w:lineRule="auto"/>
      <w:jc w:val="left"/>
      <w:textAlignment w:val="auto"/>
    </w:pPr>
    <w:rPr>
      <w:rFonts w:ascii="Times New Roman" w:eastAsiaTheme="minorHAnsi" w:hAnsi="Times New Roman"/>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basedOn w:val="DefaultParagraphFont"/>
    <w:uiPriority w:val="99"/>
    <w:rsid w:val="006C37C9"/>
    <w:rPr>
      <w:sz w:val="20"/>
      <w:szCs w:val="20"/>
      <w:lang w:val="en-US"/>
    </w:rPr>
  </w:style>
  <w:style w:type="paragraph" w:styleId="Header">
    <w:name w:val="header"/>
    <w:basedOn w:val="Normal"/>
    <w:link w:val="HeaderChar"/>
    <w:uiPriority w:val="99"/>
    <w:unhideWhenUsed/>
    <w:rsid w:val="006C37C9"/>
    <w:pPr>
      <w:tabs>
        <w:tab w:val="center" w:pos="4252"/>
        <w:tab w:val="right" w:pos="8504"/>
      </w:tabs>
      <w:adjustRightInd/>
      <w:spacing w:line="240" w:lineRule="auto"/>
      <w:jc w:val="left"/>
      <w:textAlignment w:val="auto"/>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6C37C9"/>
    <w:rPr>
      <w:lang w:val="en-US"/>
    </w:rPr>
  </w:style>
  <w:style w:type="paragraph" w:styleId="Footer">
    <w:name w:val="footer"/>
    <w:basedOn w:val="Normal"/>
    <w:link w:val="FooterChar"/>
    <w:uiPriority w:val="99"/>
    <w:unhideWhenUsed/>
    <w:rsid w:val="006C37C9"/>
    <w:pPr>
      <w:tabs>
        <w:tab w:val="center" w:pos="4252"/>
        <w:tab w:val="right" w:pos="8504"/>
      </w:tabs>
      <w:adjustRightInd/>
      <w:spacing w:line="240" w:lineRule="auto"/>
      <w:jc w:val="left"/>
      <w:textAlignment w:val="auto"/>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6C37C9"/>
    <w:rPr>
      <w:lang w:val="en-US"/>
    </w:rPr>
  </w:style>
  <w:style w:type="paragraph" w:styleId="EndnoteText">
    <w:name w:val="endnote text"/>
    <w:basedOn w:val="Normal"/>
    <w:link w:val="EndnoteTextChar"/>
    <w:uiPriority w:val="99"/>
    <w:semiHidden/>
    <w:unhideWhenUsed/>
    <w:rsid w:val="006C37C9"/>
    <w:pPr>
      <w:adjustRightInd/>
      <w:spacing w:line="240" w:lineRule="auto"/>
      <w:jc w:val="left"/>
      <w:textAlignment w:val="auto"/>
    </w:pPr>
    <w:rPr>
      <w:rFonts w:asciiTheme="minorHAnsi" w:eastAsiaTheme="minorHAnsi" w:hAnsiTheme="minorHAnsi" w:cstheme="minorBidi"/>
      <w:sz w:val="20"/>
      <w:szCs w:val="20"/>
      <w:lang w:val="en-US" w:eastAsia="en-US"/>
    </w:rPr>
  </w:style>
  <w:style w:type="character" w:customStyle="1" w:styleId="EndnoteTextChar">
    <w:name w:val="Endnote Text Char"/>
    <w:basedOn w:val="DefaultParagraphFont"/>
    <w:link w:val="EndnoteText"/>
    <w:uiPriority w:val="99"/>
    <w:semiHidden/>
    <w:rsid w:val="006C37C9"/>
    <w:rPr>
      <w:sz w:val="20"/>
      <w:szCs w:val="20"/>
      <w:lang w:val="en-US"/>
    </w:rPr>
  </w:style>
  <w:style w:type="character" w:styleId="Hyperlink">
    <w:name w:val="Hyperlink"/>
    <w:basedOn w:val="DefaultParagraphFont"/>
    <w:uiPriority w:val="99"/>
    <w:unhideWhenUsed/>
    <w:rsid w:val="006C37C9"/>
    <w:rPr>
      <w:color w:val="0000FF" w:themeColor="hyperlink"/>
      <w:u w:val="single"/>
    </w:rPr>
  </w:style>
  <w:style w:type="character" w:styleId="FollowedHyperlink">
    <w:name w:val="FollowedHyperlink"/>
    <w:basedOn w:val="DefaultParagraphFont"/>
    <w:uiPriority w:val="99"/>
    <w:semiHidden/>
    <w:unhideWhenUsed/>
    <w:rsid w:val="006C37C9"/>
    <w:rPr>
      <w:color w:val="800080" w:themeColor="followedHyperlink"/>
      <w:u w:val="single"/>
    </w:rPr>
  </w:style>
  <w:style w:type="paragraph" w:styleId="BalloonText">
    <w:name w:val="Balloon Text"/>
    <w:basedOn w:val="Normal"/>
    <w:link w:val="BalloonTextChar"/>
    <w:uiPriority w:val="99"/>
    <w:semiHidden/>
    <w:unhideWhenUsed/>
    <w:rsid w:val="006C37C9"/>
    <w:pPr>
      <w:widowControl/>
      <w:adjustRightInd/>
      <w:spacing w:line="240" w:lineRule="auto"/>
      <w:jc w:val="left"/>
      <w:textAlignment w:val="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6C37C9"/>
    <w:rPr>
      <w:rFonts w:ascii="Tahoma" w:hAnsi="Tahoma" w:cs="Tahoma"/>
      <w:sz w:val="16"/>
      <w:szCs w:val="16"/>
    </w:rPr>
  </w:style>
  <w:style w:type="paragraph" w:styleId="TOCHeading">
    <w:name w:val="TOC Heading"/>
    <w:basedOn w:val="Heading1"/>
    <w:next w:val="Normal"/>
    <w:uiPriority w:val="39"/>
    <w:unhideWhenUsed/>
    <w:qFormat/>
    <w:rsid w:val="00E16176"/>
    <w:pPr>
      <w:widowControl/>
      <w:tabs>
        <w:tab w:val="clear" w:pos="720"/>
      </w:tabs>
      <w:adjustRightInd/>
      <w:spacing w:before="480" w:line="276" w:lineRule="auto"/>
      <w:jc w:val="left"/>
      <w:textAlignment w:val="auto"/>
      <w:outlineLvl w:val="9"/>
    </w:pPr>
    <w:rPr>
      <w:rFonts w:asciiTheme="majorHAnsi" w:eastAsiaTheme="majorEastAsia" w:hAnsiTheme="majorHAnsi" w:cstheme="majorBidi"/>
      <w:caps w:val="0"/>
      <w:snapToGrid/>
      <w:color w:val="365F91" w:themeColor="accent1" w:themeShade="BF"/>
      <w:spacing w:val="0"/>
      <w:sz w:val="28"/>
      <w:szCs w:val="28"/>
      <w:lang w:val="en-US" w:eastAsia="ja-JP"/>
    </w:rPr>
  </w:style>
  <w:style w:type="paragraph" w:styleId="TOC1">
    <w:name w:val="toc 1"/>
    <w:basedOn w:val="Normal"/>
    <w:next w:val="Normal"/>
    <w:autoRedefine/>
    <w:uiPriority w:val="39"/>
    <w:unhideWhenUsed/>
    <w:rsid w:val="00E16176"/>
    <w:pPr>
      <w:spacing w:after="100"/>
    </w:pPr>
  </w:style>
  <w:style w:type="paragraph" w:styleId="TOC2">
    <w:name w:val="toc 2"/>
    <w:basedOn w:val="Normal"/>
    <w:next w:val="Normal"/>
    <w:autoRedefine/>
    <w:uiPriority w:val="39"/>
    <w:unhideWhenUsed/>
    <w:rsid w:val="008A6487"/>
    <w:pPr>
      <w:tabs>
        <w:tab w:val="left" w:pos="851"/>
        <w:tab w:val="right" w:leader="dot" w:pos="10076"/>
      </w:tabs>
      <w:spacing w:line="240" w:lineRule="auto"/>
      <w:ind w:left="240"/>
      <w:jc w:val="left"/>
    </w:pPr>
  </w:style>
  <w:style w:type="paragraph" w:styleId="TOC3">
    <w:name w:val="toc 3"/>
    <w:basedOn w:val="Normal"/>
    <w:next w:val="Normal"/>
    <w:autoRedefine/>
    <w:uiPriority w:val="39"/>
    <w:unhideWhenUsed/>
    <w:rsid w:val="0014134B"/>
    <w:pPr>
      <w:tabs>
        <w:tab w:val="left" w:pos="1560"/>
        <w:tab w:val="right" w:leader="dot" w:pos="10076"/>
      </w:tabs>
      <w:spacing w:line="240" w:lineRule="auto"/>
      <w:ind w:left="480"/>
    </w:pPr>
  </w:style>
  <w:style w:type="character" w:styleId="LineNumber">
    <w:name w:val="line number"/>
    <w:basedOn w:val="DefaultParagraphFont"/>
    <w:uiPriority w:val="99"/>
    <w:semiHidden/>
    <w:unhideWhenUsed/>
    <w:rsid w:val="00D407D4"/>
  </w:style>
  <w:style w:type="character" w:styleId="CommentReference">
    <w:name w:val="annotation reference"/>
    <w:basedOn w:val="DefaultParagraphFont"/>
    <w:uiPriority w:val="99"/>
    <w:semiHidden/>
    <w:unhideWhenUsed/>
    <w:rsid w:val="007A1A14"/>
    <w:rPr>
      <w:sz w:val="16"/>
      <w:szCs w:val="16"/>
    </w:rPr>
  </w:style>
  <w:style w:type="paragraph" w:styleId="CommentText">
    <w:name w:val="annotation text"/>
    <w:basedOn w:val="Normal"/>
    <w:link w:val="CommentTextChar"/>
    <w:uiPriority w:val="99"/>
    <w:unhideWhenUsed/>
    <w:rsid w:val="007A1A14"/>
    <w:pPr>
      <w:widowControl/>
      <w:adjustRightInd/>
      <w:spacing w:after="200" w:line="240" w:lineRule="auto"/>
      <w:jc w:val="left"/>
      <w:textAlignment w:val="auto"/>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7A1A14"/>
    <w:rPr>
      <w:sz w:val="20"/>
      <w:szCs w:val="20"/>
      <w:lang w:val="en-US"/>
    </w:rPr>
  </w:style>
  <w:style w:type="paragraph" w:styleId="CommentSubject">
    <w:name w:val="annotation subject"/>
    <w:basedOn w:val="CommentText"/>
    <w:next w:val="CommentText"/>
    <w:link w:val="CommentSubjectChar"/>
    <w:uiPriority w:val="99"/>
    <w:semiHidden/>
    <w:unhideWhenUsed/>
    <w:rsid w:val="007A1A14"/>
    <w:rPr>
      <w:b/>
      <w:bCs/>
    </w:rPr>
  </w:style>
  <w:style w:type="character" w:customStyle="1" w:styleId="CommentSubjectChar">
    <w:name w:val="Comment Subject Char"/>
    <w:basedOn w:val="CommentTextChar"/>
    <w:link w:val="CommentSubject"/>
    <w:uiPriority w:val="99"/>
    <w:semiHidden/>
    <w:rsid w:val="007A1A14"/>
    <w:rPr>
      <w:b/>
      <w:bCs/>
      <w:sz w:val="20"/>
      <w:szCs w:val="20"/>
      <w:lang w:val="en-US"/>
    </w:rPr>
  </w:style>
  <w:style w:type="paragraph" w:customStyle="1" w:styleId="Heading21">
    <w:name w:val="Heading 21"/>
    <w:basedOn w:val="Normal"/>
    <w:next w:val="Normal"/>
    <w:uiPriority w:val="9"/>
    <w:semiHidden/>
    <w:unhideWhenUsed/>
    <w:qFormat/>
    <w:rsid w:val="008920BF"/>
    <w:pPr>
      <w:keepNext/>
      <w:keepLines/>
      <w:spacing w:before="200"/>
      <w:outlineLvl w:val="1"/>
    </w:pPr>
    <w:rPr>
      <w:rFonts w:ascii="Cambria" w:hAnsi="Cambria"/>
      <w:b/>
      <w:bCs/>
      <w:color w:val="4F81BD"/>
      <w:sz w:val="26"/>
      <w:szCs w:val="26"/>
    </w:rPr>
  </w:style>
  <w:style w:type="paragraph" w:customStyle="1" w:styleId="Heading41">
    <w:name w:val="Heading 41"/>
    <w:basedOn w:val="Normal"/>
    <w:next w:val="Normal"/>
    <w:uiPriority w:val="9"/>
    <w:semiHidden/>
    <w:unhideWhenUsed/>
    <w:qFormat/>
    <w:rsid w:val="008920BF"/>
    <w:pPr>
      <w:keepNext/>
      <w:keepLines/>
      <w:spacing w:before="200"/>
      <w:outlineLvl w:val="3"/>
    </w:pPr>
    <w:rPr>
      <w:rFonts w:ascii="Cambria" w:hAnsi="Cambria"/>
      <w:b/>
      <w:bCs/>
      <w:i/>
      <w:iCs/>
      <w:color w:val="4F81BD"/>
    </w:rPr>
  </w:style>
  <w:style w:type="numbering" w:customStyle="1" w:styleId="NoList1">
    <w:name w:val="No List1"/>
    <w:next w:val="NoList"/>
    <w:uiPriority w:val="99"/>
    <w:semiHidden/>
    <w:unhideWhenUsed/>
    <w:rsid w:val="008920BF"/>
  </w:style>
  <w:style w:type="character" w:customStyle="1" w:styleId="Heading2Char">
    <w:name w:val="Heading 2 Char"/>
    <w:basedOn w:val="DefaultParagraphFont"/>
    <w:link w:val="Heading2"/>
    <w:uiPriority w:val="9"/>
    <w:rsid w:val="008920BF"/>
    <w:rPr>
      <w:rFonts w:ascii="Cambria" w:eastAsia="Times New Roman" w:hAnsi="Cambria" w:cs="Times New Roman"/>
      <w:b/>
      <w:bCs/>
      <w:color w:val="4F81BD"/>
      <w:sz w:val="26"/>
      <w:szCs w:val="26"/>
      <w:lang w:eastAsia="es-CR"/>
    </w:rPr>
  </w:style>
  <w:style w:type="character" w:customStyle="1" w:styleId="Heading4Char">
    <w:name w:val="Heading 4 Char"/>
    <w:basedOn w:val="DefaultParagraphFont"/>
    <w:link w:val="Heading4"/>
    <w:uiPriority w:val="9"/>
    <w:semiHidden/>
    <w:rsid w:val="008920BF"/>
    <w:rPr>
      <w:rFonts w:ascii="Cambria" w:eastAsia="Times New Roman" w:hAnsi="Cambria" w:cs="Times New Roman"/>
      <w:b/>
      <w:bCs/>
      <w:i/>
      <w:iCs/>
      <w:color w:val="4F81BD"/>
      <w:sz w:val="24"/>
      <w:szCs w:val="24"/>
      <w:lang w:eastAsia="es-CR"/>
    </w:rPr>
  </w:style>
  <w:style w:type="paragraph" w:customStyle="1" w:styleId="Prrafodelista2">
    <w:name w:val="Párrafo de lista2"/>
    <w:basedOn w:val="Normal"/>
    <w:uiPriority w:val="99"/>
    <w:rsid w:val="008920BF"/>
    <w:pPr>
      <w:widowControl/>
      <w:adjustRightInd/>
      <w:spacing w:line="240" w:lineRule="auto"/>
      <w:ind w:left="720"/>
      <w:jc w:val="left"/>
      <w:textAlignment w:val="auto"/>
    </w:pPr>
    <w:rPr>
      <w:rFonts w:eastAsia="MS Mincho"/>
      <w:sz w:val="20"/>
      <w:szCs w:val="20"/>
      <w:lang w:val="es-ES_tradnl" w:eastAsia="en-US" w:bidi="en-US"/>
    </w:rPr>
  </w:style>
  <w:style w:type="character" w:customStyle="1" w:styleId="apple-style-span">
    <w:name w:val="apple-style-span"/>
    <w:rsid w:val="008920BF"/>
    <w:rPr>
      <w:rFonts w:cs="Times New Roman"/>
    </w:rPr>
  </w:style>
  <w:style w:type="character" w:customStyle="1" w:styleId="Listavistosa-nfasis1Car1">
    <w:name w:val="Lista vistosa - Énfasis 1 Car1"/>
    <w:link w:val="ColorfulList-Accent1"/>
    <w:uiPriority w:val="99"/>
    <w:locked/>
    <w:rsid w:val="008920BF"/>
    <w:rPr>
      <w:rFonts w:ascii="Verdana" w:eastAsia="Times New Roman" w:hAnsi="Verdana"/>
      <w:lang w:val="es-ES_tradnl" w:eastAsia="en-US"/>
    </w:rPr>
  </w:style>
  <w:style w:type="character" w:customStyle="1" w:styleId="column01">
    <w:name w:val="column01"/>
    <w:basedOn w:val="DefaultParagraphFont"/>
    <w:rsid w:val="008920BF"/>
  </w:style>
  <w:style w:type="table" w:customStyle="1" w:styleId="ColorfulList-Accent11">
    <w:name w:val="Colorful List - Accent 11"/>
    <w:basedOn w:val="TableNormal"/>
    <w:next w:val="ColorfulList-Accent1"/>
    <w:uiPriority w:val="99"/>
    <w:rsid w:val="008920BF"/>
    <w:pPr>
      <w:spacing w:after="0" w:line="240" w:lineRule="auto"/>
    </w:pPr>
    <w:rPr>
      <w:rFonts w:ascii="Verdana" w:eastAsia="Times New Roman" w:hAnsi="Verdana"/>
      <w:lang w:val="es-ES_tradnl"/>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BodyTextIndent">
    <w:name w:val="Body Text Indent"/>
    <w:basedOn w:val="Normal"/>
    <w:link w:val="BodyTextIndentChar"/>
    <w:uiPriority w:val="99"/>
    <w:rsid w:val="008920BF"/>
    <w:pPr>
      <w:widowControl/>
      <w:adjustRightInd/>
      <w:spacing w:after="120" w:line="240" w:lineRule="auto"/>
      <w:ind w:left="360"/>
      <w:jc w:val="left"/>
      <w:textAlignment w:val="auto"/>
    </w:pPr>
    <w:rPr>
      <w:rFonts w:ascii="Times New Roman" w:eastAsia="MS Mincho" w:hAnsi="Times New Roman"/>
      <w:lang w:val="es-AR" w:eastAsia="en-US"/>
    </w:rPr>
  </w:style>
  <w:style w:type="character" w:customStyle="1" w:styleId="BodyTextIndentChar">
    <w:name w:val="Body Text Indent Char"/>
    <w:basedOn w:val="DefaultParagraphFont"/>
    <w:link w:val="BodyTextIndent"/>
    <w:uiPriority w:val="99"/>
    <w:rsid w:val="008920BF"/>
    <w:rPr>
      <w:rFonts w:ascii="Times New Roman" w:eastAsia="MS Mincho" w:hAnsi="Times New Roman" w:cs="Times New Roman"/>
      <w:sz w:val="24"/>
      <w:szCs w:val="24"/>
      <w:lang w:val="es-AR"/>
    </w:rPr>
  </w:style>
  <w:style w:type="character" w:customStyle="1" w:styleId="apple-converted-space">
    <w:name w:val="apple-converted-space"/>
    <w:basedOn w:val="DefaultParagraphFont"/>
    <w:rsid w:val="008920BF"/>
  </w:style>
  <w:style w:type="paragraph" w:customStyle="1" w:styleId="CM4">
    <w:name w:val="CM4"/>
    <w:basedOn w:val="Normal"/>
    <w:next w:val="Normal"/>
    <w:uiPriority w:val="99"/>
    <w:rsid w:val="008920BF"/>
    <w:pPr>
      <w:widowControl/>
      <w:autoSpaceDE w:val="0"/>
      <w:autoSpaceDN w:val="0"/>
      <w:spacing w:line="240" w:lineRule="auto"/>
      <w:jc w:val="left"/>
      <w:textAlignment w:val="auto"/>
    </w:pPr>
    <w:rPr>
      <w:rFonts w:ascii="EUAlbertina" w:eastAsia="Calibri" w:hAnsi="EUAlbertina"/>
      <w:lang w:eastAsia="en-US"/>
    </w:rPr>
  </w:style>
  <w:style w:type="paragraph" w:customStyle="1" w:styleId="Default">
    <w:name w:val="Default"/>
    <w:rsid w:val="008920BF"/>
    <w:pPr>
      <w:autoSpaceDE w:val="0"/>
      <w:autoSpaceDN w:val="0"/>
      <w:adjustRightInd w:val="0"/>
      <w:spacing w:after="0" w:line="240" w:lineRule="auto"/>
    </w:pPr>
    <w:rPr>
      <w:rFonts w:ascii="Times New Roman" w:eastAsia="Times New Roman" w:hAnsi="Times New Roman" w:cs="Times New Roman"/>
      <w:color w:val="000000"/>
      <w:sz w:val="24"/>
      <w:szCs w:val="24"/>
      <w:lang w:eastAsia="es-CR"/>
    </w:rPr>
  </w:style>
  <w:style w:type="paragraph" w:styleId="HTMLPreformatted">
    <w:name w:val="HTML Preformatted"/>
    <w:basedOn w:val="Normal"/>
    <w:link w:val="HTMLPreformattedChar"/>
    <w:uiPriority w:val="99"/>
    <w:unhideWhenUsed/>
    <w:rsid w:val="008920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8920BF"/>
    <w:rPr>
      <w:rFonts w:ascii="Courier New" w:eastAsia="Times New Roman" w:hAnsi="Courier New" w:cs="Courier New"/>
      <w:sz w:val="20"/>
      <w:szCs w:val="20"/>
      <w:lang w:val="en-US"/>
    </w:rPr>
  </w:style>
  <w:style w:type="character" w:customStyle="1" w:styleId="Heading2Char1">
    <w:name w:val="Heading 2 Char1"/>
    <w:basedOn w:val="DefaultParagraphFont"/>
    <w:uiPriority w:val="9"/>
    <w:semiHidden/>
    <w:rsid w:val="008920BF"/>
    <w:rPr>
      <w:rFonts w:asciiTheme="majorHAnsi" w:eastAsiaTheme="majorEastAsia" w:hAnsiTheme="majorHAnsi" w:cstheme="majorBidi"/>
      <w:b/>
      <w:bCs/>
      <w:color w:val="4F81BD" w:themeColor="accent1"/>
      <w:sz w:val="26"/>
      <w:szCs w:val="26"/>
      <w:lang w:eastAsia="es-CR"/>
    </w:rPr>
  </w:style>
  <w:style w:type="character" w:customStyle="1" w:styleId="Heading4Char1">
    <w:name w:val="Heading 4 Char1"/>
    <w:basedOn w:val="DefaultParagraphFont"/>
    <w:uiPriority w:val="9"/>
    <w:semiHidden/>
    <w:rsid w:val="008920BF"/>
    <w:rPr>
      <w:rFonts w:asciiTheme="majorHAnsi" w:eastAsiaTheme="majorEastAsia" w:hAnsiTheme="majorHAnsi" w:cstheme="majorBidi"/>
      <w:b/>
      <w:bCs/>
      <w:i/>
      <w:iCs/>
      <w:color w:val="4F81BD" w:themeColor="accent1"/>
      <w:sz w:val="24"/>
      <w:szCs w:val="24"/>
      <w:lang w:eastAsia="es-CR"/>
    </w:rPr>
  </w:style>
  <w:style w:type="table" w:styleId="ColorfulList-Accent1">
    <w:name w:val="Colorful List Accent 1"/>
    <w:basedOn w:val="TableNormal"/>
    <w:link w:val="Listavistosa-nfasis1Car1"/>
    <w:uiPriority w:val="99"/>
    <w:rsid w:val="008920BF"/>
    <w:pPr>
      <w:spacing w:after="0" w:line="240" w:lineRule="auto"/>
    </w:pPr>
    <w:rPr>
      <w:rFonts w:ascii="Verdana" w:eastAsia="Times New Roman" w:hAnsi="Verdana"/>
      <w:lang w:val="es-ES_tradnl"/>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b8d990e2">
    <w:name w:val="sb8d990e2"/>
    <w:basedOn w:val="DefaultParagraphFont"/>
    <w:uiPriority w:val="99"/>
    <w:rsid w:val="00502B43"/>
  </w:style>
  <w:style w:type="character" w:customStyle="1" w:styleId="s6b621b36">
    <w:name w:val="s6b621b36"/>
    <w:basedOn w:val="DefaultParagraphFont"/>
    <w:rsid w:val="00502B43"/>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502B43"/>
    <w:pPr>
      <w:widowControl/>
      <w:adjustRightInd/>
      <w:spacing w:line="240" w:lineRule="auto"/>
      <w:textAlignment w:val="auto"/>
    </w:pPr>
    <w:rPr>
      <w:rFonts w:asciiTheme="minorHAnsi" w:eastAsiaTheme="minorHAnsi" w:hAnsiTheme="minorHAnsi" w:cstheme="minorBidi"/>
      <w:sz w:val="22"/>
      <w:szCs w:val="22"/>
      <w:vertAlign w:val="superscript"/>
      <w:lang w:eastAsia="en-US"/>
    </w:rPr>
  </w:style>
  <w:style w:type="paragraph" w:customStyle="1" w:styleId="s5891fd46">
    <w:name w:val="s5891fd46"/>
    <w:basedOn w:val="Normal"/>
    <w:rsid w:val="00502B43"/>
    <w:pPr>
      <w:widowControl/>
      <w:adjustRightInd/>
      <w:spacing w:before="100" w:beforeAutospacing="1" w:after="100" w:afterAutospacing="1" w:line="240" w:lineRule="auto"/>
      <w:jc w:val="left"/>
      <w:textAlignment w:val="auto"/>
    </w:pPr>
    <w:rPr>
      <w:rFonts w:ascii="Times New Roman" w:hAnsi="Times New Roman"/>
    </w:rPr>
  </w:style>
  <w:style w:type="character" w:styleId="Emphasis">
    <w:name w:val="Emphasis"/>
    <w:uiPriority w:val="20"/>
    <w:qFormat/>
    <w:rsid w:val="00502B43"/>
    <w:rPr>
      <w:b/>
      <w:bCs/>
      <w:i/>
      <w:iCs/>
      <w:spacing w:val="10"/>
      <w:bdr w:val="none" w:sz="0" w:space="0" w:color="auto"/>
      <w:shd w:val="clear" w:color="auto" w:fill="auto"/>
    </w:rPr>
  </w:style>
  <w:style w:type="paragraph" w:styleId="TOC4">
    <w:name w:val="toc 4"/>
    <w:basedOn w:val="Normal"/>
    <w:next w:val="Normal"/>
    <w:autoRedefine/>
    <w:uiPriority w:val="39"/>
    <w:unhideWhenUsed/>
    <w:rsid w:val="00E35E14"/>
    <w:pPr>
      <w:widowControl/>
      <w:adjustRightInd/>
      <w:spacing w:after="100" w:line="276" w:lineRule="auto"/>
      <w:ind w:left="660"/>
      <w:jc w:val="left"/>
      <w:textAlignment w:val="auto"/>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35E14"/>
    <w:pPr>
      <w:widowControl/>
      <w:adjustRightInd/>
      <w:spacing w:after="100" w:line="276" w:lineRule="auto"/>
      <w:ind w:left="880"/>
      <w:jc w:val="left"/>
      <w:textAlignment w:val="auto"/>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35E14"/>
    <w:pPr>
      <w:widowControl/>
      <w:adjustRightInd/>
      <w:spacing w:after="100" w:line="276" w:lineRule="auto"/>
      <w:ind w:left="1100"/>
      <w:jc w:val="left"/>
      <w:textAlignment w:val="auto"/>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35E14"/>
    <w:pPr>
      <w:widowControl/>
      <w:adjustRightInd/>
      <w:spacing w:after="100" w:line="276" w:lineRule="auto"/>
      <w:ind w:left="1320"/>
      <w:jc w:val="left"/>
      <w:textAlignment w:val="auto"/>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35E14"/>
    <w:pPr>
      <w:widowControl/>
      <w:adjustRightInd/>
      <w:spacing w:after="100" w:line="276" w:lineRule="auto"/>
      <w:ind w:left="1540"/>
      <w:jc w:val="left"/>
      <w:textAlignment w:val="auto"/>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35E14"/>
    <w:pPr>
      <w:widowControl/>
      <w:adjustRightInd/>
      <w:spacing w:after="100" w:line="276" w:lineRule="auto"/>
      <w:ind w:left="1760"/>
      <w:jc w:val="left"/>
      <w:textAlignment w:val="auto"/>
    </w:pPr>
    <w:rPr>
      <w:rFonts w:asciiTheme="minorHAnsi" w:eastAsiaTheme="minorEastAsia" w:hAnsiTheme="minorHAnsi" w:cstheme="minorBidi"/>
      <w:sz w:val="22"/>
      <w:szCs w:val="22"/>
    </w:rPr>
  </w:style>
  <w:style w:type="paragraph" w:customStyle="1" w:styleId="styletitle2">
    <w:name w:val="styletitle2"/>
    <w:basedOn w:val="Normal"/>
    <w:rsid w:val="00000131"/>
    <w:pPr>
      <w:widowControl/>
      <w:adjustRightInd/>
      <w:spacing w:before="100" w:beforeAutospacing="1" w:after="100" w:afterAutospacing="1" w:line="240" w:lineRule="auto"/>
      <w:jc w:val="left"/>
      <w:textAlignment w:val="auto"/>
    </w:pPr>
    <w:rPr>
      <w:rFonts w:ascii="Times New Roman" w:hAnsi="Times New Roman"/>
    </w:rPr>
  </w:style>
  <w:style w:type="character" w:customStyle="1" w:styleId="ListParagraphChar1">
    <w:name w:val="List Paragraph Char1"/>
    <w:aliases w:val="List Paragraph2 Char1,Lista vistosa - Énfasis 11 Char1,Párrafo de lista1 Char1,Footnote Char1,List Paragraph1 Char1"/>
    <w:basedOn w:val="DefaultParagraphFont"/>
    <w:link w:val="ListParagraph"/>
    <w:uiPriority w:val="34"/>
    <w:rsid w:val="005624D3"/>
    <w:rPr>
      <w:rFonts w:ascii="Verdana" w:eastAsia="Times New Roman" w:hAnsi="Verdana" w:cs="Times New Roman"/>
      <w:sz w:val="24"/>
      <w:szCs w:val="24"/>
      <w:lang w:eastAsia="es-CR"/>
    </w:rPr>
  </w:style>
  <w:style w:type="character" w:customStyle="1" w:styleId="Hipervnculo1">
    <w:name w:val="Hipervínculo1"/>
    <w:basedOn w:val="DefaultParagraphFont"/>
    <w:uiPriority w:val="99"/>
    <w:unhideWhenUsed/>
    <w:rsid w:val="00D534AF"/>
    <w:rPr>
      <w:color w:val="0000FF"/>
      <w:u w:val="single"/>
    </w:rPr>
  </w:style>
  <w:style w:type="character" w:customStyle="1" w:styleId="Heading6Char">
    <w:name w:val="Heading 6 Char"/>
    <w:basedOn w:val="DefaultParagraphFont"/>
    <w:link w:val="Heading6"/>
    <w:uiPriority w:val="9"/>
    <w:rsid w:val="00E3447E"/>
    <w:rPr>
      <w:rFonts w:ascii="Verdana" w:eastAsia="Times New Roman" w:hAnsi="Verdana" w:cs="Times New Roman"/>
      <w:spacing w:val="-2"/>
      <w:sz w:val="20"/>
      <w:szCs w:val="20"/>
      <w:lang w:val="es-ES_tradnl" w:eastAsia="es-CR"/>
    </w:rPr>
  </w:style>
  <w:style w:type="character" w:customStyle="1" w:styleId="Caracteresdenotafinal">
    <w:name w:val="Caracteres de nota final"/>
    <w:rsid w:val="00E3447E"/>
    <w:rPr>
      <w:vertAlign w:val="superscript"/>
    </w:rPr>
  </w:style>
  <w:style w:type="character" w:customStyle="1" w:styleId="Heading5Char">
    <w:name w:val="Heading 5 Char"/>
    <w:basedOn w:val="DefaultParagraphFont"/>
    <w:link w:val="Heading5"/>
    <w:uiPriority w:val="9"/>
    <w:semiHidden/>
    <w:rsid w:val="00E3447E"/>
    <w:rPr>
      <w:rFonts w:asciiTheme="majorHAnsi" w:eastAsiaTheme="majorEastAsia" w:hAnsiTheme="majorHAnsi" w:cstheme="majorBidi"/>
      <w:color w:val="243F60" w:themeColor="accent1" w:themeShade="7F"/>
      <w:sz w:val="24"/>
      <w:szCs w:val="24"/>
      <w:lang w:eastAsia="es-CR"/>
    </w:rPr>
  </w:style>
  <w:style w:type="character" w:styleId="PageNumber">
    <w:name w:val="page number"/>
    <w:basedOn w:val="DefaultParagraphFont"/>
    <w:uiPriority w:val="99"/>
    <w:semiHidden/>
    <w:unhideWhenUsed/>
    <w:rsid w:val="00011543"/>
  </w:style>
  <w:style w:type="table" w:styleId="TableGrid">
    <w:name w:val="Table Grid"/>
    <w:basedOn w:val="TableNormal"/>
    <w:uiPriority w:val="59"/>
    <w:rsid w:val="00C80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5625C"/>
  </w:style>
  <w:style w:type="table" w:customStyle="1" w:styleId="TableGrid1">
    <w:name w:val="Table Grid1"/>
    <w:basedOn w:val="TableNormal"/>
    <w:next w:val="TableGrid"/>
    <w:uiPriority w:val="59"/>
    <w:rsid w:val="00B5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B5625C"/>
    <w:rPr>
      <w:i/>
      <w:iCs/>
      <w:color w:val="808080" w:themeColor="text1" w:themeTint="7F"/>
    </w:rPr>
  </w:style>
  <w:style w:type="character" w:customStyle="1" w:styleId="shorttext">
    <w:name w:val="shorttext"/>
    <w:basedOn w:val="DefaultParagraphFont"/>
    <w:rsid w:val="00B5625C"/>
  </w:style>
  <w:style w:type="paragraph" w:customStyle="1" w:styleId="Estilo4">
    <w:name w:val="Estilo4"/>
    <w:basedOn w:val="ListParagraph"/>
    <w:qFormat/>
    <w:rsid w:val="00B5625C"/>
    <w:pPr>
      <w:widowControl/>
      <w:numPr>
        <w:ilvl w:val="1"/>
        <w:numId w:val="7"/>
      </w:numPr>
      <w:adjustRightInd/>
      <w:spacing w:after="120" w:line="240" w:lineRule="auto"/>
      <w:ind w:left="0" w:firstLine="357"/>
      <w:textAlignment w:val="auto"/>
    </w:pPr>
    <w:rPr>
      <w:spacing w:val="-2"/>
      <w:sz w:val="20"/>
      <w:szCs w:val="20"/>
      <w:lang w:eastAsia="en-US"/>
    </w:rPr>
  </w:style>
  <w:style w:type="character" w:styleId="HTMLTypewriter">
    <w:name w:val="HTML Typewriter"/>
    <w:basedOn w:val="DefaultParagraphFont"/>
    <w:semiHidden/>
    <w:unhideWhenUsed/>
    <w:rsid w:val="00B5625C"/>
    <w:rPr>
      <w:rFonts w:ascii="Courier New" w:eastAsia="Times New Roman" w:hAnsi="Courier New" w:cs="Courier New"/>
      <w:sz w:val="20"/>
      <w:szCs w:val="20"/>
    </w:rPr>
  </w:style>
  <w:style w:type="paragraph" w:customStyle="1" w:styleId="SingleTxtG">
    <w:name w:val="_ Single Txt_G"/>
    <w:basedOn w:val="Normal"/>
    <w:rsid w:val="00B5625C"/>
    <w:pPr>
      <w:widowControl/>
      <w:adjustRightInd/>
      <w:spacing w:after="120" w:line="240" w:lineRule="atLeast"/>
      <w:ind w:left="1134" w:right="1134"/>
      <w:textAlignment w:val="auto"/>
    </w:pPr>
    <w:rPr>
      <w:rFonts w:ascii="Times New Roman" w:hAnsi="Times New Roman"/>
      <w:sz w:val="20"/>
      <w:szCs w:val="20"/>
      <w:lang w:val="es-ES" w:eastAsia="es-ES"/>
    </w:rPr>
  </w:style>
  <w:style w:type="paragraph" w:customStyle="1" w:styleId="Numberedparagraphs">
    <w:name w:val="Numbered paragraphs"/>
    <w:basedOn w:val="Normal"/>
    <w:qFormat/>
    <w:rsid w:val="00E24907"/>
    <w:pPr>
      <w:widowControl/>
      <w:numPr>
        <w:numId w:val="10"/>
      </w:numPr>
      <w:adjustRightInd/>
      <w:spacing w:after="200" w:line="240" w:lineRule="auto"/>
      <w:textAlignment w:val="auto"/>
    </w:pPr>
    <w:rPr>
      <w:rFonts w:eastAsia="MS Mincho"/>
      <w:color w:val="000000"/>
      <w:sz w:val="20"/>
      <w:szCs w:val="20"/>
      <w:lang w:val="es-ES_tradnl" w:eastAsia="en-US"/>
    </w:rPr>
  </w:style>
  <w:style w:type="character" w:customStyle="1" w:styleId="PrrafodeSentenciaChar">
    <w:name w:val="*. Párrafo de Sentencia Char"/>
    <w:link w:val="PrrafodeSentencia"/>
    <w:rsid w:val="008D63D9"/>
    <w:rPr>
      <w:rFonts w:ascii="Verdana" w:eastAsia="Times New Roman" w:hAnsi="Verdana" w:cs="Times New Roman"/>
      <w:bCs/>
      <w:noProof/>
      <w:sz w:val="20"/>
      <w:szCs w:val="20"/>
      <w:lang w:val="es-ES_tradnl" w:eastAsia="es-ES"/>
    </w:rPr>
  </w:style>
  <w:style w:type="paragraph" w:styleId="Revision">
    <w:name w:val="Revision"/>
    <w:hidden/>
    <w:uiPriority w:val="99"/>
    <w:semiHidden/>
    <w:rsid w:val="009D661E"/>
    <w:pPr>
      <w:spacing w:after="0" w:line="240" w:lineRule="auto"/>
    </w:pPr>
    <w:rPr>
      <w:rFonts w:ascii="Verdana" w:eastAsia="Times New Roman" w:hAnsi="Verdana" w:cs="Times New Roman"/>
      <w:sz w:val="24"/>
      <w:szCs w:val="24"/>
      <w:lang w:eastAsia="es-CR"/>
    </w:rPr>
  </w:style>
  <w:style w:type="paragraph" w:styleId="NoSpacing">
    <w:name w:val="No Spacing"/>
    <w:uiPriority w:val="1"/>
    <w:qFormat/>
    <w:rsid w:val="009D661E"/>
    <w:pPr>
      <w:spacing w:after="0" w:line="240" w:lineRule="auto"/>
      <w:jc w:val="both"/>
    </w:pPr>
    <w:rPr>
      <w:rFonts w:ascii="Verdana" w:eastAsia="Calibri" w:hAnsi="Verdana" w:cs="Calibri"/>
      <w:sz w:val="20"/>
      <w:lang w:val="es-MX"/>
    </w:rPr>
  </w:style>
  <w:style w:type="paragraph" w:customStyle="1" w:styleId="Textonotapie1">
    <w:name w:val="Texto nota pie1"/>
    <w:basedOn w:val="Normal"/>
    <w:uiPriority w:val="99"/>
    <w:qFormat/>
    <w:rsid w:val="009D661E"/>
    <w:pPr>
      <w:widowControl/>
      <w:adjustRightInd/>
      <w:spacing w:line="240" w:lineRule="auto"/>
      <w:jc w:val="left"/>
      <w:textAlignment w:val="auto"/>
    </w:pPr>
    <w:rPr>
      <w:rFonts w:ascii="Times New Roman" w:hAnsi="Times New Roman"/>
      <w:sz w:val="20"/>
      <w:szCs w:val="20"/>
      <w:lang w:val="en-US" w:eastAsia="es-ES"/>
    </w:rPr>
  </w:style>
  <w:style w:type="character" w:customStyle="1" w:styleId="Funotenzeichen">
    <w:name w:val="Fußnotenzeichen"/>
    <w:rsid w:val="009D661E"/>
  </w:style>
  <w:style w:type="character" w:customStyle="1" w:styleId="Smbolodenotaalpie">
    <w:name w:val="Símbolo de nota al pie"/>
    <w:rsid w:val="009D661E"/>
    <w:rPr>
      <w:rFonts w:ascii="Times New Roman" w:hAnsi="Times New Roman" w:cs="Times New Roman" w:hint="default"/>
      <w:szCs w:val="20"/>
      <w:vertAlign w:val="superscript"/>
    </w:rPr>
  </w:style>
  <w:style w:type="character" w:customStyle="1" w:styleId="TextonotapieCar2">
    <w:name w:val="Texto nota pie Car2"/>
    <w:aliases w:val="Footnote Text Char Char Char Char Char Car2,Footnote Text Char Char Char Char Car2,Footnote reference Car2,FA Fu Car2,Footnote Text Char Char Char Car2,Footnote Text Cha Car2,FA Fußnotentext Car2,FA Fu?notentext Car2,Ca Car1,C Car2"/>
    <w:locked/>
    <w:rsid w:val="009D661E"/>
  </w:style>
  <w:style w:type="paragraph" w:styleId="ListBullet">
    <w:name w:val="List Bullet"/>
    <w:basedOn w:val="Normal"/>
    <w:uiPriority w:val="99"/>
    <w:unhideWhenUsed/>
    <w:rsid w:val="00673408"/>
    <w:pPr>
      <w:widowControl/>
      <w:numPr>
        <w:numId w:val="22"/>
      </w:numPr>
      <w:adjustRightInd/>
      <w:spacing w:after="200" w:line="276" w:lineRule="auto"/>
      <w:contextualSpacing/>
      <w:jc w:val="left"/>
      <w:textAlignment w:val="auto"/>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8026">
      <w:bodyDiv w:val="1"/>
      <w:marLeft w:val="0"/>
      <w:marRight w:val="0"/>
      <w:marTop w:val="0"/>
      <w:marBottom w:val="0"/>
      <w:divBdr>
        <w:top w:val="none" w:sz="0" w:space="0" w:color="auto"/>
        <w:left w:val="none" w:sz="0" w:space="0" w:color="auto"/>
        <w:bottom w:val="none" w:sz="0" w:space="0" w:color="auto"/>
        <w:right w:val="none" w:sz="0" w:space="0" w:color="auto"/>
      </w:divBdr>
      <w:divsChild>
        <w:div w:id="601454574">
          <w:marLeft w:val="432"/>
          <w:marRight w:val="0"/>
          <w:marTop w:val="120"/>
          <w:marBottom w:val="0"/>
          <w:divBdr>
            <w:top w:val="none" w:sz="0" w:space="0" w:color="auto"/>
            <w:left w:val="none" w:sz="0" w:space="0" w:color="auto"/>
            <w:bottom w:val="none" w:sz="0" w:space="0" w:color="auto"/>
            <w:right w:val="none" w:sz="0" w:space="0" w:color="auto"/>
          </w:divBdr>
        </w:div>
      </w:divsChild>
    </w:div>
    <w:div w:id="51543350">
      <w:bodyDiv w:val="1"/>
      <w:marLeft w:val="0"/>
      <w:marRight w:val="0"/>
      <w:marTop w:val="0"/>
      <w:marBottom w:val="0"/>
      <w:divBdr>
        <w:top w:val="none" w:sz="0" w:space="0" w:color="auto"/>
        <w:left w:val="none" w:sz="0" w:space="0" w:color="auto"/>
        <w:bottom w:val="none" w:sz="0" w:space="0" w:color="auto"/>
        <w:right w:val="none" w:sz="0" w:space="0" w:color="auto"/>
      </w:divBdr>
    </w:div>
    <w:div w:id="70860996">
      <w:bodyDiv w:val="1"/>
      <w:marLeft w:val="0"/>
      <w:marRight w:val="0"/>
      <w:marTop w:val="0"/>
      <w:marBottom w:val="0"/>
      <w:divBdr>
        <w:top w:val="none" w:sz="0" w:space="0" w:color="auto"/>
        <w:left w:val="none" w:sz="0" w:space="0" w:color="auto"/>
        <w:bottom w:val="none" w:sz="0" w:space="0" w:color="auto"/>
        <w:right w:val="none" w:sz="0" w:space="0" w:color="auto"/>
      </w:divBdr>
    </w:div>
    <w:div w:id="228080537">
      <w:bodyDiv w:val="1"/>
      <w:marLeft w:val="0"/>
      <w:marRight w:val="0"/>
      <w:marTop w:val="0"/>
      <w:marBottom w:val="0"/>
      <w:divBdr>
        <w:top w:val="none" w:sz="0" w:space="0" w:color="auto"/>
        <w:left w:val="none" w:sz="0" w:space="0" w:color="auto"/>
        <w:bottom w:val="none" w:sz="0" w:space="0" w:color="auto"/>
        <w:right w:val="none" w:sz="0" w:space="0" w:color="auto"/>
      </w:divBdr>
    </w:div>
    <w:div w:id="346055597">
      <w:bodyDiv w:val="1"/>
      <w:marLeft w:val="0"/>
      <w:marRight w:val="0"/>
      <w:marTop w:val="0"/>
      <w:marBottom w:val="0"/>
      <w:divBdr>
        <w:top w:val="none" w:sz="0" w:space="0" w:color="auto"/>
        <w:left w:val="none" w:sz="0" w:space="0" w:color="auto"/>
        <w:bottom w:val="none" w:sz="0" w:space="0" w:color="auto"/>
        <w:right w:val="none" w:sz="0" w:space="0" w:color="auto"/>
      </w:divBdr>
      <w:divsChild>
        <w:div w:id="1780489099">
          <w:marLeft w:val="547"/>
          <w:marRight w:val="0"/>
          <w:marTop w:val="125"/>
          <w:marBottom w:val="0"/>
          <w:divBdr>
            <w:top w:val="none" w:sz="0" w:space="0" w:color="auto"/>
            <w:left w:val="none" w:sz="0" w:space="0" w:color="auto"/>
            <w:bottom w:val="none" w:sz="0" w:space="0" w:color="auto"/>
            <w:right w:val="none" w:sz="0" w:space="0" w:color="auto"/>
          </w:divBdr>
        </w:div>
        <w:div w:id="232393733">
          <w:marLeft w:val="547"/>
          <w:marRight w:val="0"/>
          <w:marTop w:val="125"/>
          <w:marBottom w:val="0"/>
          <w:divBdr>
            <w:top w:val="none" w:sz="0" w:space="0" w:color="auto"/>
            <w:left w:val="none" w:sz="0" w:space="0" w:color="auto"/>
            <w:bottom w:val="none" w:sz="0" w:space="0" w:color="auto"/>
            <w:right w:val="none" w:sz="0" w:space="0" w:color="auto"/>
          </w:divBdr>
        </w:div>
      </w:divsChild>
    </w:div>
    <w:div w:id="349140117">
      <w:bodyDiv w:val="1"/>
      <w:marLeft w:val="0"/>
      <w:marRight w:val="0"/>
      <w:marTop w:val="0"/>
      <w:marBottom w:val="0"/>
      <w:divBdr>
        <w:top w:val="none" w:sz="0" w:space="0" w:color="auto"/>
        <w:left w:val="none" w:sz="0" w:space="0" w:color="auto"/>
        <w:bottom w:val="none" w:sz="0" w:space="0" w:color="auto"/>
        <w:right w:val="none" w:sz="0" w:space="0" w:color="auto"/>
      </w:divBdr>
      <w:divsChild>
        <w:div w:id="1429081194">
          <w:marLeft w:val="0"/>
          <w:marRight w:val="0"/>
          <w:marTop w:val="0"/>
          <w:marBottom w:val="0"/>
          <w:divBdr>
            <w:top w:val="none" w:sz="0" w:space="0" w:color="auto"/>
            <w:left w:val="none" w:sz="0" w:space="0" w:color="auto"/>
            <w:bottom w:val="none" w:sz="0" w:space="0" w:color="auto"/>
            <w:right w:val="none" w:sz="0" w:space="0" w:color="auto"/>
          </w:divBdr>
          <w:divsChild>
            <w:div w:id="2021077975">
              <w:marLeft w:val="0"/>
              <w:marRight w:val="60"/>
              <w:marTop w:val="0"/>
              <w:marBottom w:val="0"/>
              <w:divBdr>
                <w:top w:val="none" w:sz="0" w:space="0" w:color="auto"/>
                <w:left w:val="none" w:sz="0" w:space="0" w:color="auto"/>
                <w:bottom w:val="none" w:sz="0" w:space="0" w:color="auto"/>
                <w:right w:val="none" w:sz="0" w:space="0" w:color="auto"/>
              </w:divBdr>
              <w:divsChild>
                <w:div w:id="1169172349">
                  <w:marLeft w:val="0"/>
                  <w:marRight w:val="0"/>
                  <w:marTop w:val="0"/>
                  <w:marBottom w:val="120"/>
                  <w:divBdr>
                    <w:top w:val="single" w:sz="6" w:space="0" w:color="C0C0C0"/>
                    <w:left w:val="single" w:sz="6" w:space="0" w:color="D9D9D9"/>
                    <w:bottom w:val="single" w:sz="6" w:space="0" w:color="D9D9D9"/>
                    <w:right w:val="single" w:sz="6" w:space="0" w:color="D9D9D9"/>
                  </w:divBdr>
                  <w:divsChild>
                    <w:div w:id="10881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19240">
          <w:marLeft w:val="0"/>
          <w:marRight w:val="0"/>
          <w:marTop w:val="0"/>
          <w:marBottom w:val="0"/>
          <w:divBdr>
            <w:top w:val="none" w:sz="0" w:space="0" w:color="auto"/>
            <w:left w:val="none" w:sz="0" w:space="0" w:color="auto"/>
            <w:bottom w:val="none" w:sz="0" w:space="0" w:color="auto"/>
            <w:right w:val="none" w:sz="0" w:space="0" w:color="auto"/>
          </w:divBdr>
          <w:divsChild>
            <w:div w:id="9337766">
              <w:marLeft w:val="60"/>
              <w:marRight w:val="0"/>
              <w:marTop w:val="0"/>
              <w:marBottom w:val="0"/>
              <w:divBdr>
                <w:top w:val="none" w:sz="0" w:space="0" w:color="auto"/>
                <w:left w:val="none" w:sz="0" w:space="0" w:color="auto"/>
                <w:bottom w:val="none" w:sz="0" w:space="0" w:color="auto"/>
                <w:right w:val="none" w:sz="0" w:space="0" w:color="auto"/>
              </w:divBdr>
              <w:divsChild>
                <w:div w:id="896430872">
                  <w:marLeft w:val="0"/>
                  <w:marRight w:val="0"/>
                  <w:marTop w:val="0"/>
                  <w:marBottom w:val="0"/>
                  <w:divBdr>
                    <w:top w:val="none" w:sz="0" w:space="0" w:color="auto"/>
                    <w:left w:val="none" w:sz="0" w:space="0" w:color="auto"/>
                    <w:bottom w:val="none" w:sz="0" w:space="0" w:color="auto"/>
                    <w:right w:val="none" w:sz="0" w:space="0" w:color="auto"/>
                  </w:divBdr>
                  <w:divsChild>
                    <w:div w:id="1255674402">
                      <w:marLeft w:val="0"/>
                      <w:marRight w:val="0"/>
                      <w:marTop w:val="0"/>
                      <w:marBottom w:val="120"/>
                      <w:divBdr>
                        <w:top w:val="single" w:sz="6" w:space="0" w:color="F5F5F5"/>
                        <w:left w:val="single" w:sz="6" w:space="0" w:color="F5F5F5"/>
                        <w:bottom w:val="single" w:sz="6" w:space="0" w:color="F5F5F5"/>
                        <w:right w:val="single" w:sz="6" w:space="0" w:color="F5F5F5"/>
                      </w:divBdr>
                      <w:divsChild>
                        <w:div w:id="671491477">
                          <w:marLeft w:val="0"/>
                          <w:marRight w:val="0"/>
                          <w:marTop w:val="0"/>
                          <w:marBottom w:val="0"/>
                          <w:divBdr>
                            <w:top w:val="none" w:sz="0" w:space="0" w:color="auto"/>
                            <w:left w:val="none" w:sz="0" w:space="0" w:color="auto"/>
                            <w:bottom w:val="none" w:sz="0" w:space="0" w:color="auto"/>
                            <w:right w:val="none" w:sz="0" w:space="0" w:color="auto"/>
                          </w:divBdr>
                          <w:divsChild>
                            <w:div w:id="122383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913164">
      <w:bodyDiv w:val="1"/>
      <w:marLeft w:val="0"/>
      <w:marRight w:val="0"/>
      <w:marTop w:val="0"/>
      <w:marBottom w:val="0"/>
      <w:divBdr>
        <w:top w:val="none" w:sz="0" w:space="0" w:color="auto"/>
        <w:left w:val="none" w:sz="0" w:space="0" w:color="auto"/>
        <w:bottom w:val="none" w:sz="0" w:space="0" w:color="auto"/>
        <w:right w:val="none" w:sz="0" w:space="0" w:color="auto"/>
      </w:divBdr>
    </w:div>
    <w:div w:id="707994313">
      <w:bodyDiv w:val="1"/>
      <w:marLeft w:val="0"/>
      <w:marRight w:val="0"/>
      <w:marTop w:val="0"/>
      <w:marBottom w:val="0"/>
      <w:divBdr>
        <w:top w:val="none" w:sz="0" w:space="0" w:color="auto"/>
        <w:left w:val="none" w:sz="0" w:space="0" w:color="auto"/>
        <w:bottom w:val="none" w:sz="0" w:space="0" w:color="auto"/>
        <w:right w:val="none" w:sz="0" w:space="0" w:color="auto"/>
      </w:divBdr>
      <w:divsChild>
        <w:div w:id="1097560830">
          <w:marLeft w:val="432"/>
          <w:marRight w:val="0"/>
          <w:marTop w:val="91"/>
          <w:marBottom w:val="0"/>
          <w:divBdr>
            <w:top w:val="none" w:sz="0" w:space="0" w:color="auto"/>
            <w:left w:val="none" w:sz="0" w:space="0" w:color="auto"/>
            <w:bottom w:val="none" w:sz="0" w:space="0" w:color="auto"/>
            <w:right w:val="none" w:sz="0" w:space="0" w:color="auto"/>
          </w:divBdr>
        </w:div>
      </w:divsChild>
    </w:div>
    <w:div w:id="747845350">
      <w:bodyDiv w:val="1"/>
      <w:marLeft w:val="0"/>
      <w:marRight w:val="0"/>
      <w:marTop w:val="0"/>
      <w:marBottom w:val="0"/>
      <w:divBdr>
        <w:top w:val="none" w:sz="0" w:space="0" w:color="auto"/>
        <w:left w:val="none" w:sz="0" w:space="0" w:color="auto"/>
        <w:bottom w:val="none" w:sz="0" w:space="0" w:color="auto"/>
        <w:right w:val="none" w:sz="0" w:space="0" w:color="auto"/>
      </w:divBdr>
    </w:div>
    <w:div w:id="755058272">
      <w:bodyDiv w:val="1"/>
      <w:marLeft w:val="0"/>
      <w:marRight w:val="0"/>
      <w:marTop w:val="0"/>
      <w:marBottom w:val="0"/>
      <w:divBdr>
        <w:top w:val="none" w:sz="0" w:space="0" w:color="auto"/>
        <w:left w:val="none" w:sz="0" w:space="0" w:color="auto"/>
        <w:bottom w:val="none" w:sz="0" w:space="0" w:color="auto"/>
        <w:right w:val="none" w:sz="0" w:space="0" w:color="auto"/>
      </w:divBdr>
    </w:div>
    <w:div w:id="781265155">
      <w:bodyDiv w:val="1"/>
      <w:marLeft w:val="0"/>
      <w:marRight w:val="0"/>
      <w:marTop w:val="0"/>
      <w:marBottom w:val="0"/>
      <w:divBdr>
        <w:top w:val="none" w:sz="0" w:space="0" w:color="auto"/>
        <w:left w:val="none" w:sz="0" w:space="0" w:color="auto"/>
        <w:bottom w:val="none" w:sz="0" w:space="0" w:color="auto"/>
        <w:right w:val="none" w:sz="0" w:space="0" w:color="auto"/>
      </w:divBdr>
    </w:div>
    <w:div w:id="786851822">
      <w:bodyDiv w:val="1"/>
      <w:marLeft w:val="0"/>
      <w:marRight w:val="0"/>
      <w:marTop w:val="0"/>
      <w:marBottom w:val="0"/>
      <w:divBdr>
        <w:top w:val="none" w:sz="0" w:space="0" w:color="auto"/>
        <w:left w:val="none" w:sz="0" w:space="0" w:color="auto"/>
        <w:bottom w:val="none" w:sz="0" w:space="0" w:color="auto"/>
        <w:right w:val="none" w:sz="0" w:space="0" w:color="auto"/>
      </w:divBdr>
    </w:div>
    <w:div w:id="871185451">
      <w:bodyDiv w:val="1"/>
      <w:marLeft w:val="0"/>
      <w:marRight w:val="0"/>
      <w:marTop w:val="0"/>
      <w:marBottom w:val="0"/>
      <w:divBdr>
        <w:top w:val="none" w:sz="0" w:space="0" w:color="auto"/>
        <w:left w:val="none" w:sz="0" w:space="0" w:color="auto"/>
        <w:bottom w:val="none" w:sz="0" w:space="0" w:color="auto"/>
        <w:right w:val="none" w:sz="0" w:space="0" w:color="auto"/>
      </w:divBdr>
    </w:div>
    <w:div w:id="980354312">
      <w:bodyDiv w:val="1"/>
      <w:marLeft w:val="0"/>
      <w:marRight w:val="0"/>
      <w:marTop w:val="0"/>
      <w:marBottom w:val="0"/>
      <w:divBdr>
        <w:top w:val="none" w:sz="0" w:space="0" w:color="auto"/>
        <w:left w:val="none" w:sz="0" w:space="0" w:color="auto"/>
        <w:bottom w:val="none" w:sz="0" w:space="0" w:color="auto"/>
        <w:right w:val="none" w:sz="0" w:space="0" w:color="auto"/>
      </w:divBdr>
    </w:div>
    <w:div w:id="1075664695">
      <w:bodyDiv w:val="1"/>
      <w:marLeft w:val="0"/>
      <w:marRight w:val="0"/>
      <w:marTop w:val="0"/>
      <w:marBottom w:val="0"/>
      <w:divBdr>
        <w:top w:val="none" w:sz="0" w:space="0" w:color="auto"/>
        <w:left w:val="none" w:sz="0" w:space="0" w:color="auto"/>
        <w:bottom w:val="none" w:sz="0" w:space="0" w:color="auto"/>
        <w:right w:val="none" w:sz="0" w:space="0" w:color="auto"/>
      </w:divBdr>
    </w:div>
    <w:div w:id="1170753839">
      <w:bodyDiv w:val="1"/>
      <w:marLeft w:val="0"/>
      <w:marRight w:val="0"/>
      <w:marTop w:val="0"/>
      <w:marBottom w:val="0"/>
      <w:divBdr>
        <w:top w:val="none" w:sz="0" w:space="0" w:color="auto"/>
        <w:left w:val="none" w:sz="0" w:space="0" w:color="auto"/>
        <w:bottom w:val="none" w:sz="0" w:space="0" w:color="auto"/>
        <w:right w:val="none" w:sz="0" w:space="0" w:color="auto"/>
      </w:divBdr>
    </w:div>
    <w:div w:id="1187326676">
      <w:bodyDiv w:val="1"/>
      <w:marLeft w:val="0"/>
      <w:marRight w:val="0"/>
      <w:marTop w:val="0"/>
      <w:marBottom w:val="0"/>
      <w:divBdr>
        <w:top w:val="none" w:sz="0" w:space="0" w:color="auto"/>
        <w:left w:val="none" w:sz="0" w:space="0" w:color="auto"/>
        <w:bottom w:val="none" w:sz="0" w:space="0" w:color="auto"/>
        <w:right w:val="none" w:sz="0" w:space="0" w:color="auto"/>
      </w:divBdr>
    </w:div>
    <w:div w:id="1410224755">
      <w:bodyDiv w:val="1"/>
      <w:marLeft w:val="0"/>
      <w:marRight w:val="0"/>
      <w:marTop w:val="0"/>
      <w:marBottom w:val="0"/>
      <w:divBdr>
        <w:top w:val="none" w:sz="0" w:space="0" w:color="auto"/>
        <w:left w:val="none" w:sz="0" w:space="0" w:color="auto"/>
        <w:bottom w:val="none" w:sz="0" w:space="0" w:color="auto"/>
        <w:right w:val="none" w:sz="0" w:space="0" w:color="auto"/>
      </w:divBdr>
    </w:div>
    <w:div w:id="1835105144">
      <w:bodyDiv w:val="1"/>
      <w:marLeft w:val="0"/>
      <w:marRight w:val="0"/>
      <w:marTop w:val="0"/>
      <w:marBottom w:val="0"/>
      <w:divBdr>
        <w:top w:val="none" w:sz="0" w:space="0" w:color="auto"/>
        <w:left w:val="none" w:sz="0" w:space="0" w:color="auto"/>
        <w:bottom w:val="none" w:sz="0" w:space="0" w:color="auto"/>
        <w:right w:val="none" w:sz="0" w:space="0" w:color="auto"/>
      </w:divBdr>
    </w:div>
    <w:div w:id="212495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orteidh.or.cr/cf/themis/digesto/digesto.cf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D254B-982F-4F36-944B-E75D851EB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122</Pages>
  <Words>56938</Words>
  <Characters>324549</Characters>
  <Application>Microsoft Office Word</Application>
  <DocSecurity>4</DocSecurity>
  <Lines>2704</Lines>
  <Paragraphs>761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380726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Patricia Calderon</cp:lastModifiedBy>
  <cp:revision>2</cp:revision>
  <cp:lastPrinted>2018-05-23T15:53:00Z</cp:lastPrinted>
  <dcterms:created xsi:type="dcterms:W3CDTF">2018-05-23T16:05:00Z</dcterms:created>
  <dcterms:modified xsi:type="dcterms:W3CDTF">2018-05-23T16:05:00Z</dcterms:modified>
</cp:coreProperties>
</file>